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DC4793" w14:textId="77777777" w:rsidR="002B38D4" w:rsidRPr="001B6518" w:rsidRDefault="002B38D4" w:rsidP="002B38D4">
      <w:pPr>
        <w:spacing w:before="100" w:beforeAutospacing="1" w:after="100" w:afterAutospacing="1" w:line="276" w:lineRule="auto"/>
        <w:jc w:val="right"/>
        <w:rPr>
          <w:rFonts w:ascii="Arial" w:eastAsia="Arial" w:hAnsi="Arial" w:cs="Arial"/>
        </w:rPr>
      </w:pPr>
      <w:bookmarkStart w:id="0" w:name="_GoBack"/>
      <w:bookmarkEnd w:id="0"/>
      <w:r w:rsidRPr="001B6518">
        <w:rPr>
          <w:rFonts w:ascii="Arial" w:eastAsia="Arial" w:hAnsi="Arial" w:cs="Arial"/>
        </w:rPr>
        <w:t>Mérida, Yucatán, a 24 de noviembre de 2025.</w:t>
      </w:r>
    </w:p>
    <w:p w14:paraId="1AB28F66" w14:textId="77777777" w:rsidR="002B38D4" w:rsidRPr="001B6518" w:rsidRDefault="002B38D4" w:rsidP="002B38D4">
      <w:pPr>
        <w:spacing w:before="100" w:beforeAutospacing="1" w:after="100" w:afterAutospacing="1" w:line="276" w:lineRule="auto"/>
        <w:jc w:val="both"/>
        <w:rPr>
          <w:rFonts w:ascii="Arial" w:eastAsia="Arial" w:hAnsi="Arial" w:cs="Arial"/>
          <w:b/>
        </w:rPr>
      </w:pPr>
      <w:r w:rsidRPr="001B6518">
        <w:rPr>
          <w:rFonts w:ascii="Arial" w:eastAsia="Arial" w:hAnsi="Arial" w:cs="Arial"/>
          <w:b/>
        </w:rPr>
        <w:t>H. Congreso del Estado de Yucatán:</w:t>
      </w:r>
    </w:p>
    <w:p w14:paraId="2DB57A4E" w14:textId="77777777" w:rsidR="006021DF" w:rsidRPr="001B6518" w:rsidRDefault="006021DF" w:rsidP="006021DF">
      <w:pPr>
        <w:spacing w:before="280" w:after="280" w:line="240" w:lineRule="auto"/>
        <w:jc w:val="center"/>
        <w:rPr>
          <w:rFonts w:ascii="Arial" w:eastAsia="Arial" w:hAnsi="Arial" w:cs="Arial"/>
          <w:b/>
        </w:rPr>
      </w:pPr>
      <w:r w:rsidRPr="001B6518">
        <w:rPr>
          <w:rFonts w:ascii="Arial" w:eastAsia="Arial" w:hAnsi="Arial" w:cs="Arial"/>
          <w:b/>
        </w:rPr>
        <w:t>Iniciativa para expedir la Ley de Ingresos del Estado de Yucatán para el Ejercicio Fiscal 2026</w:t>
      </w:r>
    </w:p>
    <w:p w14:paraId="15A44FA7" w14:textId="77777777" w:rsidR="002B38D4" w:rsidRPr="001B6518" w:rsidRDefault="007E01F0" w:rsidP="002B38D4">
      <w:pPr>
        <w:spacing w:before="100" w:beforeAutospacing="1" w:after="100" w:afterAutospacing="1" w:line="276" w:lineRule="auto"/>
        <w:jc w:val="center"/>
        <w:rPr>
          <w:rFonts w:ascii="Arial" w:eastAsia="Arial" w:hAnsi="Arial" w:cs="Arial"/>
          <w:b/>
        </w:rPr>
      </w:pPr>
      <w:sdt>
        <w:sdtPr>
          <w:rPr>
            <w:rFonts w:ascii="Arial" w:hAnsi="Arial" w:cs="Arial"/>
          </w:rPr>
          <w:tag w:val="goog_rdk_0"/>
          <w:id w:val="-591686844"/>
        </w:sdtPr>
        <w:sdtEndPr/>
        <w:sdtContent/>
      </w:sdt>
      <w:r w:rsidR="002B38D4" w:rsidRPr="001B6518">
        <w:rPr>
          <w:rFonts w:ascii="Arial" w:eastAsia="Arial" w:hAnsi="Arial" w:cs="Arial"/>
          <w:b/>
        </w:rPr>
        <w:t>Exposición de motivos</w:t>
      </w:r>
    </w:p>
    <w:p w14:paraId="5B906ABF"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El año 2026 representa una oportunidad estratégica para impulsar el progreso social y económico de Yucatán, en un contexto macroeconómico que muestra signos de estabilidad y transición hacia condiciones más favorables. Este escenario se presenta tras un periodo de tensiones geopolíticas, volatilidad financiera y cambios en los entornos comerciales, lo que refuerza la necesidad de una política de ingresos sólida, transparente y orientada al bienestar de la población.</w:t>
      </w:r>
    </w:p>
    <w:p w14:paraId="4E5BFA40"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México cuenta con bases económicas sólidas que respaldan las expectativas de crecimiento para el ejercicio fiscal 2026, consistentes en un mercado laboral dinámico y especializado, una base industrial consolidada, elevados niveles de inversión nacional y extranjera, un sistema financiero bien capitalizado y una posición competitiva en el comercio con Estados Unidos y Canadá. Estas condiciones fortalecen al país como destino confiable para la inversión y, en consecuencia, favorecen el desarrollo de Yucatán.</w:t>
      </w:r>
    </w:p>
    <w:p w14:paraId="399C536D"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Sobre estos cimientos, la Cuarta Transformación impulsa un proceso de cambio orientado al fortalecimiento institucional, la ampliación de la participación ciudadana, la promoción de la justicia social y la consolidación de mecanismos efectivos de combate a la corrupción. Este compromiso ha guiado de manera consistente la labor de esta administración desde su primer año.</w:t>
      </w:r>
    </w:p>
    <w:p w14:paraId="3D393ED6"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Durante este tiempo, hemos acompañado la determinación del pueblo yucateco en su búsqueda de justicia social y democracia plena, con el propósito de consolidar una sociedad más equitativa y garantizar el ejercicio de sus derechos. Yucatán, a lo largo de generaciones, ha preservado sus raíces, seguridad y cultura; un compromiso que se fortalece mediante la labor institucional orientada al interés de la ciudadanía.</w:t>
      </w:r>
    </w:p>
    <w:p w14:paraId="582C6119"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lastRenderedPageBreak/>
        <w:t>El segundo piso de la Cuarta Transformación se sustenta en los principios del Humanismo Mexicano, que promueve el progreso con justicia, atiende las deudas históricas y consolida un gobierno honesto, transparente y libre de corrupción. Los valores de fraternidad, equidad y justicia guían la acción institucional y refuerzan la rectitud, la integridad y la defensa de la soberanía.</w:t>
      </w:r>
    </w:p>
    <w:p w14:paraId="3995CF41" w14:textId="77777777" w:rsidR="002B38D4" w:rsidRPr="001B6518" w:rsidRDefault="002B38D4" w:rsidP="002B38D4">
      <w:pPr>
        <w:spacing w:before="100" w:beforeAutospacing="1" w:after="100" w:afterAutospacing="1" w:line="276" w:lineRule="auto"/>
        <w:jc w:val="both"/>
        <w:rPr>
          <w:rFonts w:ascii="Arial" w:hAnsi="Arial" w:cs="Arial"/>
        </w:rPr>
      </w:pPr>
      <w:r w:rsidRPr="001B6518">
        <w:rPr>
          <w:rFonts w:ascii="Arial" w:hAnsi="Arial" w:cs="Arial"/>
        </w:rPr>
        <w:t xml:space="preserve">Estos principios se expresan en el concepto del Renacimiento Maya, que vincula nuestras raíces históricas y culturales con la construcción de un Yucatán más </w:t>
      </w:r>
      <w:r w:rsidRPr="001B6518">
        <w:rPr>
          <w:rFonts w:ascii="Arial" w:eastAsia="Arial" w:hAnsi="Arial" w:cs="Arial"/>
        </w:rPr>
        <w:t xml:space="preserve">equitativo, </w:t>
      </w:r>
      <w:r w:rsidRPr="001B6518">
        <w:rPr>
          <w:rFonts w:ascii="Arial" w:hAnsi="Arial" w:cs="Arial"/>
        </w:rPr>
        <w:t xml:space="preserve">próspero e incluyente. Para </w:t>
      </w:r>
      <w:r w:rsidRPr="001B6518">
        <w:rPr>
          <w:rFonts w:ascii="Arial" w:eastAsia="Arial" w:hAnsi="Arial" w:cs="Arial"/>
        </w:rPr>
        <w:t>el logro de este objetivo</w:t>
      </w:r>
      <w:r w:rsidRPr="001B6518">
        <w:rPr>
          <w:rFonts w:ascii="Arial" w:hAnsi="Arial" w:cs="Arial"/>
        </w:rPr>
        <w:t xml:space="preserve">, se </w:t>
      </w:r>
      <w:r w:rsidRPr="001B6518">
        <w:rPr>
          <w:rFonts w:ascii="Arial" w:eastAsia="Arial" w:hAnsi="Arial" w:cs="Arial"/>
        </w:rPr>
        <w:t>presenta</w:t>
      </w:r>
      <w:r w:rsidRPr="001B6518">
        <w:rPr>
          <w:rFonts w:ascii="Arial" w:hAnsi="Arial" w:cs="Arial"/>
        </w:rPr>
        <w:t xml:space="preserve"> el paquete fiscal 2026, instrumento clave para ordenar y proyectar los recursos que respaldarán el Renacimiento Maya y garantizarán un desarrollo sostenible para todos.</w:t>
      </w:r>
    </w:p>
    <w:p w14:paraId="433CBBEB"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La palabra renacimiento hace alusión a la época en la que la humanidad encontró la luz del progreso después de siglos de oscuridad, por su parte, la palabra maya alude a nuestro origen ancestral y ascendencia únicas que se erigen como puntos fuertes para superar los retos y desafíos de la desigualdad.</w:t>
      </w:r>
    </w:p>
    <w:p w14:paraId="0C01EEE8" w14:textId="77777777" w:rsidR="002B38D4" w:rsidRPr="001B6518" w:rsidRDefault="002B38D4" w:rsidP="002B38D4">
      <w:pPr>
        <w:spacing w:before="100" w:beforeAutospacing="1" w:after="100" w:afterAutospacing="1" w:line="276" w:lineRule="auto"/>
        <w:jc w:val="both"/>
        <w:rPr>
          <w:rFonts w:ascii="Arial" w:hAnsi="Arial" w:cs="Arial"/>
        </w:rPr>
      </w:pPr>
      <w:r w:rsidRPr="001B6518">
        <w:rPr>
          <w:rFonts w:ascii="Arial" w:hAnsi="Arial" w:cs="Arial"/>
        </w:rPr>
        <w:t>Hoy nos encontramos frente al umbral de una nueva etapa de transformación. El Renacimiento Maya no constituye una iniciativa circunstancial ni un planteamiento aislado; es la consecuencia histórica de la lucha de generaciones, de las aspiraciones acumuladas por el pueblo yucateco y de la convicción de que el desarrollo del estado debe avanzar sin dejar a nadie atrás.</w:t>
      </w:r>
    </w:p>
    <w:p w14:paraId="4136E72A"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 xml:space="preserve">Con el Renacimiento Maya tomamos en nuestras manos el futuro para construir el mejor Yucatán de nuestra historia, usando como fortalezas nuestras raíces e identidad inigualables. </w:t>
      </w:r>
    </w:p>
    <w:p w14:paraId="724F0887"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 xml:space="preserve">La presente Iniciativa para expedir la Ley de Ingresos del Estado de Yucatán para el Ejercicio Fiscal 2026 tiene como finalidad definir los recursos que el Estado prevé percibir durante dicho ejercicio y disponer de ellos conforme al Presupuesto de Egresos correspondiente; así mismo, en cumplimiento al artículo 16 de la Ley de Disciplina Financiera de las Entidades Federativas y los Municipios, se sustenta en el principio de balance presupuestario sostenible, presentando un paquete fiscal equilibrado que ajusta el gasto a la capacidad financiera proyectada. </w:t>
      </w:r>
    </w:p>
    <w:p w14:paraId="5D070DD0" w14:textId="77777777" w:rsidR="002B38D4" w:rsidRPr="001B6518" w:rsidRDefault="002B38D4" w:rsidP="002B38D4">
      <w:pPr>
        <w:spacing w:before="100" w:beforeAutospacing="1" w:after="100" w:afterAutospacing="1" w:line="276" w:lineRule="auto"/>
        <w:jc w:val="both"/>
        <w:rPr>
          <w:rFonts w:ascii="Arial" w:hAnsi="Arial" w:cs="Arial"/>
        </w:rPr>
      </w:pPr>
      <w:r w:rsidRPr="001B6518">
        <w:rPr>
          <w:rFonts w:ascii="Arial" w:hAnsi="Arial" w:cs="Arial"/>
        </w:rPr>
        <w:lastRenderedPageBreak/>
        <w:t xml:space="preserve">Esta iniciativa constituye el instrumento jurídico que, en coordinación con las leyes tributarias federales y locales, establece la forma en que el </w:t>
      </w:r>
      <w:r w:rsidRPr="001B6518">
        <w:rPr>
          <w:rFonts w:ascii="Arial" w:eastAsia="Arial" w:hAnsi="Arial" w:cs="Arial"/>
        </w:rPr>
        <w:t>estado</w:t>
      </w:r>
      <w:r w:rsidRPr="001B6518">
        <w:rPr>
          <w:rFonts w:ascii="Arial" w:hAnsi="Arial" w:cs="Arial"/>
        </w:rPr>
        <w:t xml:space="preserve"> percibirá ingresos públicos para cumplir sus funciones, garantizar el desarrollo económico y promover un Yucatán </w:t>
      </w:r>
      <w:r w:rsidRPr="001B6518">
        <w:rPr>
          <w:rFonts w:ascii="Arial" w:eastAsia="Arial" w:hAnsi="Arial" w:cs="Arial"/>
        </w:rPr>
        <w:t>que asegure</w:t>
      </w:r>
      <w:r w:rsidRPr="001B6518">
        <w:rPr>
          <w:rFonts w:ascii="Arial" w:hAnsi="Arial" w:cs="Arial"/>
        </w:rPr>
        <w:t xml:space="preserve"> el acceso equitativo a servicios, oportunidades y bienestar para toda la población, especialmente quienes históricamente han sido excluidos.</w:t>
      </w:r>
    </w:p>
    <w:p w14:paraId="72A9DE9E" w14:textId="77777777" w:rsidR="002B38D4" w:rsidRPr="001B6518" w:rsidRDefault="002B38D4" w:rsidP="002B38D4">
      <w:pPr>
        <w:spacing w:before="100" w:beforeAutospacing="1" w:after="100" w:afterAutospacing="1" w:line="276" w:lineRule="auto"/>
        <w:jc w:val="both"/>
        <w:rPr>
          <w:rFonts w:ascii="Arial" w:hAnsi="Arial" w:cs="Arial"/>
        </w:rPr>
      </w:pPr>
      <w:r w:rsidRPr="001B6518">
        <w:rPr>
          <w:rFonts w:ascii="Arial" w:hAnsi="Arial" w:cs="Arial"/>
        </w:rPr>
        <w:t xml:space="preserve">La estimación de ingresos del </w:t>
      </w:r>
      <w:r w:rsidRPr="001B6518">
        <w:rPr>
          <w:rFonts w:ascii="Arial" w:eastAsia="Arial" w:hAnsi="Arial" w:cs="Arial"/>
        </w:rPr>
        <w:t>estado</w:t>
      </w:r>
      <w:r w:rsidRPr="001B6518">
        <w:rPr>
          <w:rFonts w:ascii="Arial" w:hAnsi="Arial" w:cs="Arial"/>
        </w:rPr>
        <w:t xml:space="preserve"> permite definir los recursos disponibles para atender las necesidades de la población, ejecutar programas que reduzcan la desigualdad</w:t>
      </w:r>
      <w:r w:rsidRPr="001B6518">
        <w:rPr>
          <w:rFonts w:ascii="Arial" w:eastAsia="Arial" w:hAnsi="Arial" w:cs="Arial"/>
        </w:rPr>
        <w:t>,</w:t>
      </w:r>
      <w:r w:rsidRPr="001B6518" w:rsidDel="00905121">
        <w:rPr>
          <w:rFonts w:ascii="Arial" w:eastAsia="Arial" w:hAnsi="Arial" w:cs="Arial"/>
        </w:rPr>
        <w:t xml:space="preserve"> </w:t>
      </w:r>
      <w:r w:rsidRPr="001B6518">
        <w:rPr>
          <w:rFonts w:ascii="Arial" w:eastAsia="Arial" w:hAnsi="Arial" w:cs="Arial"/>
        </w:rPr>
        <w:t>promover la inversión pública</w:t>
      </w:r>
      <w:r w:rsidRPr="001B6518">
        <w:rPr>
          <w:rFonts w:ascii="Arial" w:hAnsi="Arial" w:cs="Arial"/>
        </w:rPr>
        <w:t xml:space="preserve"> y garantizar la estabilidad financiera y el bienestar integral de las y los yucatecos. Esta iniciativa fortalece la base fiscal con visión estratégica, promoviendo un crecimiento equitativo, inclusivo y sostenible, sin comprometer el desarrollo económico ni el patrimonio natural, cultural y social, y con pleno apego a los principios de legalidad, honestidad, eficiencia, transparencia y rendición de cuentas.</w:t>
      </w:r>
    </w:p>
    <w:p w14:paraId="79CE4F7A" w14:textId="77777777" w:rsidR="002B38D4" w:rsidRPr="001B6518" w:rsidRDefault="002B38D4" w:rsidP="002B38D4">
      <w:pPr>
        <w:spacing w:before="100" w:beforeAutospacing="1" w:after="100" w:afterAutospacing="1" w:line="276" w:lineRule="auto"/>
        <w:jc w:val="both"/>
        <w:rPr>
          <w:rFonts w:ascii="Arial" w:hAnsi="Arial" w:cs="Arial"/>
        </w:rPr>
      </w:pPr>
      <w:r w:rsidRPr="001B6518">
        <w:rPr>
          <w:rFonts w:ascii="Arial" w:hAnsi="Arial" w:cs="Arial"/>
        </w:rPr>
        <w:t xml:space="preserve">La iniciativa </w:t>
      </w:r>
      <w:r w:rsidRPr="001B6518">
        <w:rPr>
          <w:rFonts w:ascii="Arial" w:eastAsia="Arial" w:hAnsi="Arial" w:cs="Arial"/>
        </w:rPr>
        <w:t>busca mantener un balance fiscal sostenible, optimizando la recaudación y el uso de los recursos públicos. Se</w:t>
      </w:r>
      <w:r w:rsidRPr="001B6518">
        <w:rPr>
          <w:rFonts w:ascii="Arial" w:hAnsi="Arial" w:cs="Arial"/>
        </w:rPr>
        <w:t xml:space="preserve"> alinea con las estimaciones económicas del Paquete Económico para el Ejercicio Fiscal 2026, con los objetivos del Plan Estatal de Desarrollo Renacimiento Maya 2024-2030 y los Programas de Mediano Plazo, asegurando que los recursos se orienten a cumplir las prioridades estratégicas del estado.</w:t>
      </w:r>
    </w:p>
    <w:p w14:paraId="7ACBF3BA"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El proyecto de iniciativa está elaborado con base en lo establecido en la Ley General de Contabilidad Gubernamental, la Ley de Disciplina Financiera de las Entidades Federativas y los Municipios, la Ley del Presupuesto y Contabilidad Gubernamental del Estado de Yucatán y la normativa emitida por el Consejo Nacional de Armonización Contable.</w:t>
      </w:r>
    </w:p>
    <w:p w14:paraId="7D5222DF"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Asimismo, para su elaboración se tomaron en consideración, los Criterios Generales de Política Económica para la Iniciativa de Ley de Ingresos y el Proyecto de Presupuesto de Egresos de la Federación para el ejercicio fiscal 2026, así como las proyecciones y los riesgos relevantes para las finanzas públicas.</w:t>
      </w:r>
    </w:p>
    <w:p w14:paraId="5310D267" w14:textId="77777777" w:rsidR="002B38D4" w:rsidRPr="001B6518" w:rsidRDefault="002B38D4" w:rsidP="002B38D4">
      <w:pPr>
        <w:spacing w:before="100" w:beforeAutospacing="1" w:after="100" w:afterAutospacing="1" w:line="276" w:lineRule="auto"/>
        <w:rPr>
          <w:rFonts w:ascii="Arial" w:hAnsi="Arial" w:cs="Arial"/>
          <w:b/>
          <w:bCs/>
        </w:rPr>
      </w:pPr>
      <w:r w:rsidRPr="001B6518">
        <w:rPr>
          <w:rFonts w:ascii="Arial" w:hAnsi="Arial" w:cs="Arial"/>
          <w:b/>
          <w:bCs/>
        </w:rPr>
        <w:t xml:space="preserve">1. Contexto económico </w:t>
      </w:r>
    </w:p>
    <w:p w14:paraId="476489F7" w14:textId="77777777" w:rsidR="002B38D4" w:rsidRPr="001B6518" w:rsidRDefault="002B38D4" w:rsidP="002B38D4">
      <w:pPr>
        <w:spacing w:before="100" w:beforeAutospacing="1" w:after="100" w:afterAutospacing="1" w:line="276" w:lineRule="auto"/>
        <w:rPr>
          <w:rFonts w:ascii="Arial" w:hAnsi="Arial" w:cs="Arial"/>
          <w:bCs/>
          <w:i/>
        </w:rPr>
      </w:pPr>
      <w:r w:rsidRPr="001B6518">
        <w:rPr>
          <w:rFonts w:ascii="Arial" w:hAnsi="Arial" w:cs="Arial"/>
          <w:bCs/>
          <w:i/>
        </w:rPr>
        <w:t xml:space="preserve">1.1. Contexto económico global y nacional </w:t>
      </w:r>
    </w:p>
    <w:p w14:paraId="770DACAF" w14:textId="77777777" w:rsidR="002B38D4" w:rsidRPr="001B6518" w:rsidRDefault="002B38D4" w:rsidP="002B38D4">
      <w:pPr>
        <w:spacing w:before="100" w:beforeAutospacing="1" w:after="100" w:afterAutospacing="1" w:line="276" w:lineRule="auto"/>
        <w:jc w:val="both"/>
        <w:rPr>
          <w:rFonts w:ascii="Arial" w:hAnsi="Arial" w:cs="Arial"/>
        </w:rPr>
      </w:pPr>
      <w:r w:rsidRPr="001B6518">
        <w:rPr>
          <w:rFonts w:ascii="Arial" w:hAnsi="Arial" w:cs="Arial"/>
        </w:rPr>
        <w:lastRenderedPageBreak/>
        <w:t>Durante el primer semestre de 2025, la economía mundial ha moderado su ritmo de crecimiento en un entorno de elevada incertidumbre, tensiones comerciales y conflictos geopolíticos. Las principales economías avanzadas, en particular Estados Unidos y la zona euro, han mostrado una desaceleración respecto a 2024, mientras que China mantiene un crecimiento moderado, pero resiliente apoyado en políticas fiscales y monetarias expansivas y en un repunte de sus exportaciones.</w:t>
      </w:r>
    </w:p>
    <w:p w14:paraId="62A69B40" w14:textId="77777777" w:rsidR="002B38D4" w:rsidRPr="001B6518" w:rsidRDefault="002B38D4" w:rsidP="002B38D4">
      <w:pPr>
        <w:spacing w:before="100" w:beforeAutospacing="1" w:after="100" w:afterAutospacing="1" w:line="276" w:lineRule="auto"/>
        <w:jc w:val="both"/>
        <w:rPr>
          <w:rFonts w:ascii="Arial" w:hAnsi="Arial" w:cs="Arial"/>
        </w:rPr>
      </w:pPr>
      <w:r w:rsidRPr="001B6518">
        <w:rPr>
          <w:rFonts w:ascii="Arial" w:hAnsi="Arial" w:cs="Arial"/>
        </w:rPr>
        <w:t>La inflación global continúa disminuyendo gradualmente, aunque se mantiene por encima de los objetivos de los principales bancos centrales. Esto ha favorecido el inicio de un ciclo de relajación monetaria paulatina en diversas economías, con expectativas de recortes graduales en las tasas de interés de referencia. Al mismo tiempo, los mercados financieros siguen sujetos a episodios de volatilidad asociados con los precios de las materias primas, en particular de energéticos, así como con ajustes en las valuaciones de activos vinculados a sectores de alta intensidad de capital.</w:t>
      </w:r>
    </w:p>
    <w:p w14:paraId="2C9ED2D3" w14:textId="77777777" w:rsidR="002B38D4" w:rsidRPr="001B6518" w:rsidRDefault="002B38D4" w:rsidP="002B38D4">
      <w:pPr>
        <w:spacing w:before="100" w:beforeAutospacing="1" w:after="100" w:afterAutospacing="1" w:line="276" w:lineRule="auto"/>
        <w:jc w:val="both"/>
        <w:rPr>
          <w:rFonts w:ascii="Arial" w:hAnsi="Arial" w:cs="Arial"/>
        </w:rPr>
      </w:pPr>
      <w:r w:rsidRPr="001B6518">
        <w:rPr>
          <w:rFonts w:ascii="Arial" w:hAnsi="Arial" w:cs="Arial"/>
        </w:rPr>
        <w:t>En este contexto, México ha logrado mantener un desempeño económico positivo durante 2025, apoyado en fundamentos macroeconómicos sólidos, un mercado interno dinámico, la fortaleza del ingreso laboral real y la continuidad de los programas sociales. La actividad económica nacional ha superado las expectativas de los analistas, impulsada por la resiliencia de la demanda interna, un tipo de cambio real más competitivo y un flujo de inversión extranjera directa que se mantiene en niveles históricamente elevados.</w:t>
      </w:r>
    </w:p>
    <w:p w14:paraId="640AA3B2" w14:textId="77777777" w:rsidR="002B38D4" w:rsidRPr="001B6518" w:rsidRDefault="002B38D4" w:rsidP="002B38D4">
      <w:pPr>
        <w:spacing w:before="100" w:beforeAutospacing="1" w:after="100" w:afterAutospacing="1" w:line="276" w:lineRule="auto"/>
        <w:jc w:val="both"/>
        <w:rPr>
          <w:rFonts w:ascii="Arial" w:hAnsi="Arial" w:cs="Arial"/>
        </w:rPr>
      </w:pPr>
      <w:r w:rsidRPr="001B6518">
        <w:rPr>
          <w:rFonts w:ascii="Arial" w:hAnsi="Arial" w:cs="Arial"/>
        </w:rPr>
        <w:t>Hacia 2026 se proyecta un crecimiento del Producto Interno Bruto (PIB) real en un rango acotado, acompañado de menores presiones inflacionarias, una reducción gradual de las tasas de interés y un entorno financiero más favorable, aunque aún incierto. En este marco, el Gobierno Federal estima ingresos presupuestarios por $8.7 billones de pesos y un gasto federalizado que ascendería a aproximadamente $2.81 billones de pesos, con un crecimiento real cercano a 3%, lo cual será determinante para las finanzas de las entidades federativas, entre ellas Yucatán.</w:t>
      </w:r>
    </w:p>
    <w:p w14:paraId="0736C29A" w14:textId="77777777" w:rsidR="002B38D4" w:rsidRPr="001B6518" w:rsidRDefault="002B38D4" w:rsidP="002B38D4">
      <w:pPr>
        <w:spacing w:before="100" w:beforeAutospacing="1" w:after="100" w:afterAutospacing="1" w:line="276" w:lineRule="auto"/>
        <w:jc w:val="both"/>
        <w:rPr>
          <w:rFonts w:ascii="Arial" w:hAnsi="Arial" w:cs="Arial"/>
        </w:rPr>
      </w:pPr>
      <w:r w:rsidRPr="001B6518">
        <w:rPr>
          <w:rFonts w:ascii="Arial" w:hAnsi="Arial" w:cs="Arial"/>
        </w:rPr>
        <w:t xml:space="preserve">En ese sentido, el contexto económico nacional y global para 2026 combina retos y oportunidades: por un lado; la persistencia de riesgos geopolíticos, comerciales y climáticos; por otro, la posibilidad de aprovechar un entorno de menor inflación, </w:t>
      </w:r>
      <w:r w:rsidRPr="001B6518">
        <w:rPr>
          <w:rFonts w:ascii="Arial" w:hAnsi="Arial" w:cs="Arial"/>
        </w:rPr>
        <w:lastRenderedPageBreak/>
        <w:t xml:space="preserve">condiciones financieras ligeramente mejores y el reposicionamiento de México en las cadenas globales de valor. </w:t>
      </w:r>
    </w:p>
    <w:p w14:paraId="5AD446BD" w14:textId="77777777" w:rsidR="002B38D4" w:rsidRPr="001B6518" w:rsidRDefault="002B38D4" w:rsidP="002B38D4">
      <w:pPr>
        <w:spacing w:before="100" w:beforeAutospacing="1" w:after="100" w:afterAutospacing="1" w:line="276" w:lineRule="auto"/>
        <w:jc w:val="both"/>
        <w:rPr>
          <w:rFonts w:ascii="Arial" w:hAnsi="Arial" w:cs="Arial"/>
        </w:rPr>
      </w:pPr>
      <w:r w:rsidRPr="001B6518">
        <w:rPr>
          <w:rFonts w:ascii="Arial" w:hAnsi="Arial" w:cs="Arial"/>
        </w:rPr>
        <w:t>La política económica del Ejecutivo Estatal se diseña considerando este entorno, de manera que contribuya a amortiguar riesgos externos, fortalecer la resiliencia de la economía yucateca y aprovechar las oportunidades de inversión y crecimiento incluyente que se derivan del Paquete Económico Federal.</w:t>
      </w:r>
    </w:p>
    <w:p w14:paraId="1CAAB4BA" w14:textId="77777777" w:rsidR="002B38D4" w:rsidRPr="001B6518" w:rsidRDefault="002B38D4" w:rsidP="002B38D4">
      <w:pPr>
        <w:spacing w:before="100" w:beforeAutospacing="1" w:after="100" w:afterAutospacing="1" w:line="276" w:lineRule="auto"/>
        <w:rPr>
          <w:rFonts w:ascii="Arial" w:hAnsi="Arial" w:cs="Arial"/>
          <w:bCs/>
          <w:i/>
        </w:rPr>
      </w:pPr>
      <w:r w:rsidRPr="001B6518">
        <w:rPr>
          <w:rFonts w:ascii="Arial" w:hAnsi="Arial" w:cs="Arial"/>
          <w:bCs/>
          <w:i/>
        </w:rPr>
        <w:t>1.2. Contexto Económico Estatal 2026</w:t>
      </w:r>
    </w:p>
    <w:p w14:paraId="5BE404E8" w14:textId="77777777" w:rsidR="002B38D4" w:rsidRPr="001B6518" w:rsidRDefault="002B38D4" w:rsidP="002B38D4">
      <w:pPr>
        <w:spacing w:before="100" w:beforeAutospacing="1" w:after="100" w:afterAutospacing="1" w:line="276" w:lineRule="auto"/>
        <w:jc w:val="both"/>
        <w:rPr>
          <w:rFonts w:ascii="Arial" w:hAnsi="Arial" w:cs="Arial"/>
        </w:rPr>
      </w:pPr>
      <w:r w:rsidRPr="001B6518">
        <w:rPr>
          <w:rFonts w:ascii="Arial" w:hAnsi="Arial" w:cs="Arial"/>
        </w:rPr>
        <w:t>Ahora bien, las finanzas públicas del Estado de Yucatán para 2026 se estructuran con el propósito de preservar la sostenibilidad fiscal, garantizar la provisión de servicios públicos esenciales y orientar el gasto hacia los objetivos de desarrollo establecidos en el Plan Estatal de Desarrollo Renacimiento Maya 2024-2030. Las finanzas estatales se apoyan de una política de Ingreso y Gasto responsable, con honestidad y eficiencia reconociendo la importancia del equilibrio entre disciplina y atención de las prioridades sociales y de inversión.</w:t>
      </w:r>
    </w:p>
    <w:p w14:paraId="559D211B" w14:textId="77777777" w:rsidR="002B38D4" w:rsidRPr="001B6518" w:rsidRDefault="002B38D4" w:rsidP="002B38D4">
      <w:pPr>
        <w:spacing w:before="100" w:beforeAutospacing="1" w:after="100" w:afterAutospacing="1" w:line="276" w:lineRule="auto"/>
        <w:jc w:val="both"/>
        <w:rPr>
          <w:rFonts w:ascii="Arial" w:hAnsi="Arial" w:cs="Arial"/>
        </w:rPr>
      </w:pPr>
      <w:r w:rsidRPr="001B6518">
        <w:rPr>
          <w:rFonts w:ascii="Arial" w:hAnsi="Arial" w:cs="Arial"/>
        </w:rPr>
        <w:t>En cuanto a los ingresos, la estimación estatal incorpora, por un lado, el desempeño de la recaudación propia y, por otro, la evolución del gasto federalizado derivado del Proyecto de Presupuesto de Egresos de la Federación 2026.</w:t>
      </w:r>
    </w:p>
    <w:p w14:paraId="080BE712" w14:textId="77777777" w:rsidR="002B38D4" w:rsidRPr="001B6518" w:rsidRDefault="002B38D4" w:rsidP="002B38D4">
      <w:pPr>
        <w:spacing w:before="100" w:beforeAutospacing="1" w:after="100" w:afterAutospacing="1" w:line="276" w:lineRule="auto"/>
        <w:jc w:val="both"/>
        <w:rPr>
          <w:rFonts w:ascii="Arial" w:hAnsi="Arial" w:cs="Arial"/>
        </w:rPr>
      </w:pPr>
      <w:r w:rsidRPr="001B6518">
        <w:rPr>
          <w:rFonts w:ascii="Arial" w:hAnsi="Arial" w:cs="Arial"/>
        </w:rPr>
        <w:t>Este perfil de ingresos federales, complementado con los ingresos propios, ofrece al Estado un margen de maniobra razonable para sostener y, en algunos casos, ampliar la cobertura de programas y servicios prioritarios. No obstante, la volatilidad observada en las transferencias refuerza la necesidad de mantener una gestión prudente del gasto, fortalecer las capacidades recaudatorias locales y consolidar mecanismos de previsión y ahorro que atenúen la exposición a riesgos externos sobre los ingresos.</w:t>
      </w:r>
    </w:p>
    <w:p w14:paraId="4BAC6459" w14:textId="77777777" w:rsidR="002B38D4" w:rsidRPr="001B6518" w:rsidRDefault="002B38D4" w:rsidP="002B38D4">
      <w:pPr>
        <w:spacing w:before="100" w:beforeAutospacing="1" w:after="100" w:afterAutospacing="1" w:line="276" w:lineRule="auto"/>
        <w:rPr>
          <w:rFonts w:ascii="Arial" w:hAnsi="Arial" w:cs="Arial"/>
          <w:b/>
          <w:bCs/>
          <w:i/>
        </w:rPr>
      </w:pPr>
      <w:r w:rsidRPr="001B6518">
        <w:rPr>
          <w:rFonts w:ascii="Arial" w:hAnsi="Arial" w:cs="Arial"/>
          <w:b/>
          <w:bCs/>
          <w:i/>
        </w:rPr>
        <w:t>2. Política de Ingresos</w:t>
      </w:r>
    </w:p>
    <w:p w14:paraId="2F9276C3" w14:textId="77777777" w:rsidR="002B38D4" w:rsidRPr="001B6518" w:rsidRDefault="002B38D4" w:rsidP="002B38D4">
      <w:pPr>
        <w:pStyle w:val="Prrafodelista"/>
        <w:spacing w:before="100" w:beforeAutospacing="1" w:after="100" w:afterAutospacing="1"/>
        <w:ind w:left="0" w:right="49"/>
        <w:contextualSpacing w:val="0"/>
        <w:jc w:val="both"/>
        <w:rPr>
          <w:rFonts w:ascii="Arial" w:hAnsi="Arial" w:cs="Arial"/>
          <w:sz w:val="24"/>
        </w:rPr>
      </w:pPr>
      <w:r w:rsidRPr="001B6518">
        <w:rPr>
          <w:rFonts w:ascii="Arial" w:hAnsi="Arial" w:cs="Arial"/>
          <w:sz w:val="24"/>
        </w:rPr>
        <w:t xml:space="preserve">La política de ingresos para el ejercicio fiscal 2026 está enfocada en fortalecer la recaudación y optimizar los recursos públicos, priorizando el bienestar social y garantizando el uso eficiente de los recursos. A través de un enfoque orientado a la justicia distributiva y al fortalecimiento de las capacidades fiscales locales, se </w:t>
      </w:r>
      <w:r w:rsidRPr="001B6518">
        <w:rPr>
          <w:rFonts w:ascii="Arial" w:hAnsi="Arial" w:cs="Arial"/>
          <w:sz w:val="24"/>
        </w:rPr>
        <w:lastRenderedPageBreak/>
        <w:t>busca impulsar un manejo responsable que permita consolidar un modelo de desarrollo incluyente y sostenible en el marco del Pacto Fiscal Federal.</w:t>
      </w:r>
    </w:p>
    <w:p w14:paraId="20E2D4CF" w14:textId="77777777" w:rsidR="002B38D4" w:rsidRPr="001B6518" w:rsidRDefault="002B38D4" w:rsidP="002B38D4">
      <w:pPr>
        <w:pStyle w:val="Prrafodelista"/>
        <w:spacing w:before="100" w:beforeAutospacing="1" w:after="100" w:afterAutospacing="1"/>
        <w:ind w:left="0" w:right="49"/>
        <w:contextualSpacing w:val="0"/>
        <w:jc w:val="both"/>
        <w:rPr>
          <w:rFonts w:ascii="Arial" w:hAnsi="Arial" w:cs="Arial"/>
          <w:sz w:val="24"/>
        </w:rPr>
      </w:pPr>
      <w:r w:rsidRPr="001B6518">
        <w:rPr>
          <w:rFonts w:ascii="Arial" w:hAnsi="Arial" w:cs="Arial"/>
          <w:sz w:val="24"/>
        </w:rPr>
        <w:t>Para ello, la administración tributaria estatal, en esta ley prevé las siguientes acciones:</w:t>
      </w:r>
    </w:p>
    <w:p w14:paraId="390AC4FE" w14:textId="77777777" w:rsidR="002B38D4" w:rsidRPr="001B6518" w:rsidRDefault="002B38D4" w:rsidP="002B38D4">
      <w:pPr>
        <w:pStyle w:val="Prrafodelista"/>
        <w:spacing w:before="100" w:beforeAutospacing="1" w:after="100" w:afterAutospacing="1"/>
        <w:ind w:left="0" w:right="51" w:firstLine="709"/>
        <w:contextualSpacing w:val="0"/>
        <w:jc w:val="both"/>
        <w:rPr>
          <w:rFonts w:ascii="Arial" w:hAnsi="Arial" w:cs="Arial"/>
          <w:sz w:val="24"/>
        </w:rPr>
      </w:pPr>
      <w:r w:rsidRPr="001B6518">
        <w:rPr>
          <w:rFonts w:ascii="Arial" w:hAnsi="Arial" w:cs="Arial"/>
          <w:sz w:val="24"/>
        </w:rPr>
        <w:t>a) Favorecer la consolidación de los ingresos fiscales locales mediante una recaudación de $8,180 mdp.</w:t>
      </w:r>
    </w:p>
    <w:p w14:paraId="6D341C29" w14:textId="77777777" w:rsidR="002B38D4" w:rsidRPr="001B6518" w:rsidRDefault="002B38D4" w:rsidP="002B38D4">
      <w:pPr>
        <w:pStyle w:val="Prrafodelista"/>
        <w:spacing w:before="100" w:beforeAutospacing="1" w:after="100" w:afterAutospacing="1"/>
        <w:ind w:left="0" w:right="51" w:firstLine="709"/>
        <w:contextualSpacing w:val="0"/>
        <w:jc w:val="both"/>
        <w:rPr>
          <w:rFonts w:ascii="Arial" w:hAnsi="Arial" w:cs="Arial"/>
          <w:sz w:val="24"/>
        </w:rPr>
      </w:pPr>
      <w:r w:rsidRPr="001B6518">
        <w:rPr>
          <w:rFonts w:ascii="Arial" w:hAnsi="Arial" w:cs="Arial"/>
          <w:sz w:val="24"/>
        </w:rPr>
        <w:t>b) Mantener un trabajo coordinado con los diferentes entes de la Administración Pública estatal, así como facilitar e incentivar al contribuyente a cumplir con sus obligaciones fiscales, ofreciendo más canales de atención de la mano con herramientas tecnológicas.</w:t>
      </w:r>
    </w:p>
    <w:p w14:paraId="03295393" w14:textId="77777777" w:rsidR="002B38D4" w:rsidRPr="001B6518" w:rsidRDefault="002B38D4" w:rsidP="002B38D4">
      <w:pPr>
        <w:pStyle w:val="Prrafodelista"/>
        <w:spacing w:before="100" w:beforeAutospacing="1" w:after="100" w:afterAutospacing="1"/>
        <w:ind w:left="0" w:right="51" w:firstLine="709"/>
        <w:contextualSpacing w:val="0"/>
        <w:jc w:val="both"/>
        <w:rPr>
          <w:rFonts w:ascii="Arial" w:hAnsi="Arial" w:cs="Arial"/>
          <w:sz w:val="24"/>
        </w:rPr>
      </w:pPr>
      <w:r w:rsidRPr="001B6518">
        <w:rPr>
          <w:rFonts w:ascii="Arial" w:hAnsi="Arial" w:cs="Arial"/>
          <w:sz w:val="24"/>
        </w:rPr>
        <w:t>c) Privilegiar el acercamiento y cumplimiento voluntario de los contribuyentes, sin dejar de lado la vigilancia, control y fiscalización de sus obligaciones fiscales.</w:t>
      </w:r>
    </w:p>
    <w:p w14:paraId="6377D97C" w14:textId="77777777" w:rsidR="002B38D4" w:rsidRPr="001B6518" w:rsidRDefault="002B38D4" w:rsidP="002B38D4">
      <w:pPr>
        <w:pStyle w:val="Prrafodelista"/>
        <w:spacing w:before="100" w:beforeAutospacing="1" w:after="100" w:afterAutospacing="1"/>
        <w:ind w:left="0" w:right="51" w:firstLine="709"/>
        <w:contextualSpacing w:val="0"/>
        <w:jc w:val="both"/>
        <w:rPr>
          <w:rFonts w:ascii="Arial" w:hAnsi="Arial" w:cs="Arial"/>
          <w:sz w:val="24"/>
        </w:rPr>
      </w:pPr>
      <w:r w:rsidRPr="001B6518">
        <w:rPr>
          <w:rFonts w:ascii="Arial" w:hAnsi="Arial" w:cs="Arial"/>
          <w:sz w:val="24"/>
        </w:rPr>
        <w:t>d) Impulsar acciones coordinadas con todos los órdenes de gobierno para lograr el cumplimiento de los objetivos de fiscalización a través del Convenio de Colaboración Administrativa en Materia Fiscal Federal.</w:t>
      </w:r>
    </w:p>
    <w:p w14:paraId="07DF54E7" w14:textId="77777777" w:rsidR="002B38D4" w:rsidRPr="001B6518" w:rsidRDefault="002B38D4" w:rsidP="002B38D4">
      <w:pPr>
        <w:pStyle w:val="Prrafodelista"/>
        <w:spacing w:before="100" w:beforeAutospacing="1" w:after="100" w:afterAutospacing="1"/>
        <w:ind w:left="0" w:right="51" w:firstLine="709"/>
        <w:contextualSpacing w:val="0"/>
        <w:jc w:val="both"/>
        <w:rPr>
          <w:rFonts w:ascii="Arial" w:hAnsi="Arial" w:cs="Arial"/>
          <w:sz w:val="24"/>
        </w:rPr>
      </w:pPr>
      <w:r w:rsidRPr="001B6518">
        <w:rPr>
          <w:rFonts w:ascii="Arial" w:hAnsi="Arial" w:cs="Arial"/>
          <w:sz w:val="24"/>
        </w:rPr>
        <w:t xml:space="preserve">e) Generar junto con los municipios las estrategias y mecanismos necesarios que permitan fortalecer la hacienda pública, a través de la recaudación del impuesto predial, sirviendo, además, como un medio para incrementar las participaciones federales. </w:t>
      </w:r>
    </w:p>
    <w:p w14:paraId="1DC8C6C9" w14:textId="77777777" w:rsidR="002B38D4" w:rsidRPr="001B6518" w:rsidRDefault="002B38D4" w:rsidP="002B38D4">
      <w:pPr>
        <w:pStyle w:val="Prrafodelista"/>
        <w:spacing w:before="100" w:beforeAutospacing="1" w:after="100" w:afterAutospacing="1"/>
        <w:ind w:left="0" w:right="51" w:firstLine="709"/>
        <w:contextualSpacing w:val="0"/>
        <w:jc w:val="both"/>
        <w:rPr>
          <w:rFonts w:ascii="Arial" w:hAnsi="Arial" w:cs="Arial"/>
          <w:sz w:val="24"/>
        </w:rPr>
      </w:pPr>
      <w:r w:rsidRPr="001B6518">
        <w:rPr>
          <w:rFonts w:ascii="Arial" w:hAnsi="Arial" w:cs="Arial"/>
          <w:sz w:val="24"/>
        </w:rPr>
        <w:t>f) Continuar con la estrategia de transitar a un gobierno digital, con el fortalecimiento de herramientas tecnológicas, mediante las cuales se facilite a las y los ciudadanos el cumplimiento de sus obligaciones fiscales, no siendo una limitante la distancia, reduciendo costos y tiempos.</w:t>
      </w:r>
    </w:p>
    <w:p w14:paraId="3A7ECE95" w14:textId="77777777" w:rsidR="002B38D4" w:rsidRPr="001B6518" w:rsidRDefault="002B38D4" w:rsidP="002B38D4">
      <w:pPr>
        <w:pStyle w:val="Prrafodelista"/>
        <w:spacing w:before="100" w:beforeAutospacing="1" w:after="100" w:afterAutospacing="1"/>
        <w:ind w:left="0" w:right="51" w:firstLine="709"/>
        <w:contextualSpacing w:val="0"/>
        <w:jc w:val="both"/>
        <w:rPr>
          <w:rFonts w:ascii="Arial" w:hAnsi="Arial" w:cs="Arial"/>
          <w:sz w:val="24"/>
        </w:rPr>
      </w:pPr>
      <w:r w:rsidRPr="001B6518">
        <w:rPr>
          <w:rFonts w:ascii="Arial" w:hAnsi="Arial" w:cs="Arial"/>
          <w:sz w:val="24"/>
        </w:rPr>
        <w:t>g) Mantener una presencia fiscal constante en la cual se combatan las acciones tendientes a la evasión y elusión fiscal, aplicando acciones de ejemplaridad que fortalezcan la hacienda pública.</w:t>
      </w:r>
    </w:p>
    <w:p w14:paraId="2DC8017F" w14:textId="77777777" w:rsidR="002B38D4" w:rsidRPr="001B6518" w:rsidRDefault="002B38D4" w:rsidP="002B38D4">
      <w:pPr>
        <w:spacing w:before="100" w:beforeAutospacing="1" w:after="100" w:afterAutospacing="1" w:line="276" w:lineRule="auto"/>
        <w:rPr>
          <w:rFonts w:ascii="Arial" w:hAnsi="Arial" w:cs="Arial"/>
          <w:i/>
        </w:rPr>
      </w:pPr>
      <w:r w:rsidRPr="001B6518">
        <w:rPr>
          <w:rFonts w:ascii="Arial" w:hAnsi="Arial" w:cs="Arial"/>
          <w:i/>
        </w:rPr>
        <w:lastRenderedPageBreak/>
        <w:t xml:space="preserve">2.1. </w:t>
      </w:r>
      <w:bookmarkStart w:id="1" w:name="_Hlk214551990"/>
      <w:r w:rsidRPr="001B6518">
        <w:rPr>
          <w:rFonts w:ascii="Arial" w:hAnsi="Arial" w:cs="Arial"/>
          <w:i/>
        </w:rPr>
        <w:t>Objetivos anuales, estrategias y metas</w:t>
      </w:r>
      <w:bookmarkEnd w:id="1"/>
    </w:p>
    <w:p w14:paraId="6CEE3708" w14:textId="77777777" w:rsidR="002B38D4" w:rsidRPr="001B6518" w:rsidRDefault="002B38D4" w:rsidP="002B38D4">
      <w:pPr>
        <w:spacing w:before="100" w:beforeAutospacing="1" w:after="100" w:afterAutospacing="1" w:line="276" w:lineRule="auto"/>
        <w:jc w:val="both"/>
        <w:rPr>
          <w:rFonts w:ascii="Arial" w:hAnsi="Arial" w:cs="Arial"/>
        </w:rPr>
      </w:pPr>
      <w:r w:rsidRPr="001B6518">
        <w:rPr>
          <w:rFonts w:ascii="Arial" w:hAnsi="Arial" w:cs="Arial"/>
        </w:rPr>
        <w:t>La presente Iniciativa de Ley de Ingresos del Estado de Yucatán para el Ejercicio Fiscal 2026 establece objetivos anuales, estrategias y metas orientados a asegurar un manejo responsable y sostenible de las finanzas públicas, conforme a lo previsto por el artículo 5, fracción I, de la Ley de Disciplina Financiera de las Entidades Federativas y los Municipios. Su finalidad es definir los recursos que el Estado prevé percibir durante el ejercicio y disponer de ellos conforme al Presupuesto de Egresos, con base en proyecciones realistas y parámetros cuantificables.</w:t>
      </w:r>
    </w:p>
    <w:p w14:paraId="09C21C34" w14:textId="77777777" w:rsidR="002B38D4" w:rsidRPr="001B6518" w:rsidRDefault="002B38D4" w:rsidP="002B38D4">
      <w:pPr>
        <w:spacing w:before="100" w:beforeAutospacing="1" w:after="100" w:afterAutospacing="1" w:line="276" w:lineRule="auto"/>
        <w:jc w:val="both"/>
        <w:rPr>
          <w:rFonts w:ascii="Arial" w:hAnsi="Arial" w:cs="Arial"/>
        </w:rPr>
      </w:pPr>
      <w:r w:rsidRPr="001B6518">
        <w:rPr>
          <w:rFonts w:ascii="Arial" w:hAnsi="Arial" w:cs="Arial"/>
        </w:rPr>
        <w:t>En atención al principio de balance presupuestario sostenible, se presenta un paquete fiscal equilibrado que ajusta el gasto a la capacidad financiera proyectada, fortalece la recaudación mediante criterios de eficiencia y transparencia y orienta la política fiscal hacia la estabilidad económica y el cumplimiento de los objetivos del Plan Estatal de Desarrollo del Renacimiento Maya 2024-2030.</w:t>
      </w:r>
    </w:p>
    <w:p w14:paraId="76C0B8C0" w14:textId="77777777" w:rsidR="002B38D4" w:rsidRPr="001B6518" w:rsidRDefault="002B38D4" w:rsidP="002B38D4">
      <w:pPr>
        <w:spacing w:before="100" w:beforeAutospacing="1" w:after="100" w:afterAutospacing="1" w:line="276" w:lineRule="auto"/>
        <w:rPr>
          <w:rFonts w:ascii="Arial" w:hAnsi="Arial" w:cs="Arial"/>
          <w:b/>
          <w:bCs/>
        </w:rPr>
      </w:pPr>
      <w:r w:rsidRPr="001B6518">
        <w:rPr>
          <w:rFonts w:ascii="Arial" w:hAnsi="Arial" w:cs="Arial"/>
          <w:b/>
          <w:bCs/>
        </w:rPr>
        <w:t>3. Resultados de las finanzas públicas por un periodo de cinco años</w:t>
      </w:r>
    </w:p>
    <w:p w14:paraId="5A7C90FD"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En cumplimiento al artículo 5, fracción IV, de la Ley de Disciplina Financiera de las Entidades Federativas y los Municipios, se presentan en el Anexo II los montos de los ingresos del Estado de Yucatán de los últimos cinco ejercicios fiscales.</w:t>
      </w:r>
    </w:p>
    <w:p w14:paraId="77D321D5" w14:textId="77777777" w:rsidR="002B38D4" w:rsidRPr="001B6518" w:rsidRDefault="002B38D4" w:rsidP="002B38D4">
      <w:pPr>
        <w:spacing w:before="100" w:beforeAutospacing="1" w:after="100" w:afterAutospacing="1" w:line="276" w:lineRule="auto"/>
        <w:jc w:val="both"/>
        <w:rPr>
          <w:rFonts w:ascii="Arial" w:eastAsia="Arial" w:hAnsi="Arial" w:cs="Arial"/>
          <w:b/>
        </w:rPr>
      </w:pPr>
      <w:r w:rsidRPr="001B6518">
        <w:rPr>
          <w:rFonts w:ascii="Arial" w:eastAsia="Arial" w:hAnsi="Arial" w:cs="Arial"/>
          <w:b/>
        </w:rPr>
        <w:t>4. Riesgos relevantes para las finanzas públicas</w:t>
      </w:r>
    </w:p>
    <w:p w14:paraId="79C5E61B"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En cumplimiento de lo establecido en los artículos 5, fracción III, de la Ley de Disciplina Financiera de las Entidades Federativas y los Municipios, y 20, fracción III, de la Ley del Presupuesto y Contabilidad Gubernamental del Estado de Yucatán, se presentan los principales riesgos que se detectan para los ingresos que estima percibir el Estado en el ejercicio fiscal 2026:</w:t>
      </w:r>
    </w:p>
    <w:tbl>
      <w:tblPr>
        <w:tblStyle w:val="Tablaconcuadrcula"/>
        <w:tblW w:w="0" w:type="auto"/>
        <w:tblLook w:val="04A0" w:firstRow="1" w:lastRow="0" w:firstColumn="1" w:lastColumn="0" w:noHBand="0" w:noVBand="1"/>
      </w:tblPr>
      <w:tblGrid>
        <w:gridCol w:w="4414"/>
        <w:gridCol w:w="4414"/>
      </w:tblGrid>
      <w:tr w:rsidR="002B38D4" w:rsidRPr="001B6518" w14:paraId="73478B78" w14:textId="77777777" w:rsidTr="00C13C9E">
        <w:trPr>
          <w:trHeight w:val="589"/>
        </w:trPr>
        <w:tc>
          <w:tcPr>
            <w:tcW w:w="4414" w:type="dxa"/>
            <w:tcBorders>
              <w:top w:val="single" w:sz="4" w:space="0" w:color="auto"/>
              <w:left w:val="single" w:sz="4" w:space="0" w:color="auto"/>
              <w:bottom w:val="single" w:sz="4" w:space="0" w:color="auto"/>
              <w:right w:val="single" w:sz="4" w:space="0" w:color="auto"/>
            </w:tcBorders>
            <w:shd w:val="clear" w:color="auto" w:fill="691C32"/>
            <w:hideMark/>
          </w:tcPr>
          <w:p w14:paraId="38199238" w14:textId="77777777" w:rsidR="002B38D4" w:rsidRPr="001B6518" w:rsidRDefault="002B38D4" w:rsidP="00C13C9E">
            <w:pPr>
              <w:spacing w:before="100" w:beforeAutospacing="1" w:after="100" w:afterAutospacing="1" w:line="276" w:lineRule="auto"/>
              <w:jc w:val="center"/>
              <w:rPr>
                <w:rFonts w:ascii="Arial" w:eastAsia="Arial" w:hAnsi="Arial" w:cs="Arial"/>
                <w:b/>
                <w:sz w:val="22"/>
                <w:szCs w:val="22"/>
              </w:rPr>
            </w:pPr>
            <w:r w:rsidRPr="001B6518">
              <w:rPr>
                <w:rFonts w:ascii="Arial" w:eastAsia="Arial" w:hAnsi="Arial" w:cs="Arial"/>
                <w:b/>
                <w:sz w:val="22"/>
                <w:szCs w:val="22"/>
              </w:rPr>
              <w:t>Riesgos Relevantes</w:t>
            </w:r>
          </w:p>
        </w:tc>
        <w:tc>
          <w:tcPr>
            <w:tcW w:w="4414" w:type="dxa"/>
            <w:tcBorders>
              <w:top w:val="single" w:sz="4" w:space="0" w:color="auto"/>
              <w:left w:val="single" w:sz="4" w:space="0" w:color="auto"/>
              <w:bottom w:val="single" w:sz="4" w:space="0" w:color="auto"/>
              <w:right w:val="single" w:sz="4" w:space="0" w:color="auto"/>
            </w:tcBorders>
            <w:shd w:val="clear" w:color="auto" w:fill="691C32"/>
            <w:hideMark/>
          </w:tcPr>
          <w:p w14:paraId="480B4449" w14:textId="77777777" w:rsidR="002B38D4" w:rsidRPr="001B6518" w:rsidRDefault="002B38D4" w:rsidP="00C13C9E">
            <w:pPr>
              <w:spacing w:before="100" w:beforeAutospacing="1" w:after="100" w:afterAutospacing="1" w:line="276" w:lineRule="auto"/>
              <w:jc w:val="center"/>
              <w:rPr>
                <w:rFonts w:ascii="Arial" w:eastAsia="Arial" w:hAnsi="Arial" w:cs="Arial"/>
                <w:b/>
                <w:sz w:val="22"/>
                <w:szCs w:val="22"/>
              </w:rPr>
            </w:pPr>
            <w:r w:rsidRPr="001B6518">
              <w:rPr>
                <w:rFonts w:ascii="Arial" w:eastAsia="Arial" w:hAnsi="Arial" w:cs="Arial"/>
                <w:b/>
                <w:sz w:val="22"/>
                <w:szCs w:val="22"/>
              </w:rPr>
              <w:t>Propuestas de Acción</w:t>
            </w:r>
          </w:p>
        </w:tc>
      </w:tr>
      <w:tr w:rsidR="002B38D4" w:rsidRPr="001B6518" w14:paraId="284C46C1" w14:textId="77777777" w:rsidTr="00C13C9E">
        <w:trPr>
          <w:trHeight w:val="414"/>
        </w:trPr>
        <w:tc>
          <w:tcPr>
            <w:tcW w:w="4414" w:type="dxa"/>
            <w:tcBorders>
              <w:top w:val="single" w:sz="4" w:space="0" w:color="auto"/>
              <w:left w:val="single" w:sz="4" w:space="0" w:color="auto"/>
              <w:bottom w:val="single" w:sz="4" w:space="0" w:color="auto"/>
              <w:right w:val="single" w:sz="4" w:space="0" w:color="auto"/>
            </w:tcBorders>
            <w:hideMark/>
          </w:tcPr>
          <w:p w14:paraId="1ABE6A77" w14:textId="77777777" w:rsidR="002B38D4" w:rsidRPr="001B6518" w:rsidRDefault="002B38D4" w:rsidP="00C13C9E">
            <w:pPr>
              <w:spacing w:before="100" w:beforeAutospacing="1" w:after="100" w:afterAutospacing="1" w:line="276" w:lineRule="auto"/>
              <w:jc w:val="both"/>
              <w:rPr>
                <w:rFonts w:ascii="Arial" w:eastAsia="Arial" w:hAnsi="Arial" w:cs="Arial"/>
                <w:sz w:val="22"/>
                <w:szCs w:val="22"/>
              </w:rPr>
            </w:pPr>
            <w:r w:rsidRPr="001B6518">
              <w:rPr>
                <w:rFonts w:ascii="Arial" w:eastAsia="Arial" w:hAnsi="Arial" w:cs="Arial"/>
                <w:sz w:val="22"/>
                <w:szCs w:val="22"/>
                <w:u w:val="single"/>
              </w:rPr>
              <w:t xml:space="preserve">Recaudación Federal Participable. </w:t>
            </w:r>
            <w:r w:rsidRPr="001B6518">
              <w:rPr>
                <w:rFonts w:ascii="Arial" w:eastAsia="Arial" w:hAnsi="Arial" w:cs="Arial"/>
                <w:sz w:val="22"/>
                <w:szCs w:val="22"/>
              </w:rPr>
              <w:t xml:space="preserve">En caso de presentarse un entorno económico con mayor inflación y menor crecimiento que el estimado por la Secretaría de Hacienda y </w:t>
            </w:r>
            <w:r w:rsidRPr="001B6518">
              <w:rPr>
                <w:rFonts w:ascii="Arial" w:eastAsia="Arial" w:hAnsi="Arial" w:cs="Arial"/>
                <w:sz w:val="22"/>
                <w:szCs w:val="22"/>
              </w:rPr>
              <w:lastRenderedPageBreak/>
              <w:t>Crédito Público, existe el riesgo que esta coyuntura no permita el logro de las metas de recaudación federal planteadas en el Proyecto de Presupuesto de Egresos de la Federación. En este caso, los ingresos de fondos de Participaciones referenciados a la Recaudación Federal Participable podrían ser menores a lo estimado y el Fondo de Estabilización de los Ingresos de las Entidades Federativas (FEIEF) podría verse potencializado.</w:t>
            </w:r>
          </w:p>
        </w:tc>
        <w:tc>
          <w:tcPr>
            <w:tcW w:w="4414" w:type="dxa"/>
            <w:tcBorders>
              <w:top w:val="single" w:sz="4" w:space="0" w:color="auto"/>
              <w:left w:val="single" w:sz="4" w:space="0" w:color="auto"/>
              <w:bottom w:val="single" w:sz="4" w:space="0" w:color="auto"/>
              <w:right w:val="single" w:sz="4" w:space="0" w:color="auto"/>
            </w:tcBorders>
            <w:hideMark/>
          </w:tcPr>
          <w:p w14:paraId="1607120D" w14:textId="77777777" w:rsidR="002B38D4" w:rsidRPr="001B6518" w:rsidRDefault="002B38D4" w:rsidP="00C13C9E">
            <w:pPr>
              <w:spacing w:before="100" w:beforeAutospacing="1" w:after="100" w:afterAutospacing="1" w:line="276" w:lineRule="auto"/>
              <w:jc w:val="both"/>
              <w:rPr>
                <w:rFonts w:ascii="Arial" w:eastAsia="Arial" w:hAnsi="Arial" w:cs="Arial"/>
                <w:sz w:val="22"/>
                <w:szCs w:val="22"/>
              </w:rPr>
            </w:pPr>
            <w:r w:rsidRPr="001B6518">
              <w:rPr>
                <w:rFonts w:ascii="Arial" w:eastAsia="Arial" w:hAnsi="Arial" w:cs="Arial"/>
                <w:sz w:val="22"/>
                <w:szCs w:val="22"/>
              </w:rPr>
              <w:lastRenderedPageBreak/>
              <w:t xml:space="preserve">Fortalecer la recaudación de los ingresos propios, a efecto de dar continuidad a los programas y proyectos principalmente en materia de impuestos y derechos, lo cual </w:t>
            </w:r>
            <w:r w:rsidRPr="001B6518">
              <w:rPr>
                <w:rFonts w:ascii="Arial" w:eastAsia="Arial" w:hAnsi="Arial" w:cs="Arial"/>
                <w:sz w:val="22"/>
                <w:szCs w:val="22"/>
              </w:rPr>
              <w:lastRenderedPageBreak/>
              <w:t xml:space="preserve">contribuirá a incrementar la asignación al Estado de diversos fondos participables como el Fondo General de Participaciones (FOGEN) y el Fondo de Fiscalización y Recaudación (FOFIR) </w:t>
            </w:r>
          </w:p>
        </w:tc>
      </w:tr>
      <w:tr w:rsidR="002B38D4" w:rsidRPr="001B6518" w14:paraId="60E96767" w14:textId="77777777" w:rsidTr="00C13C9E">
        <w:trPr>
          <w:trHeight w:val="2508"/>
        </w:trPr>
        <w:tc>
          <w:tcPr>
            <w:tcW w:w="4414" w:type="dxa"/>
            <w:tcBorders>
              <w:top w:val="single" w:sz="4" w:space="0" w:color="auto"/>
              <w:left w:val="single" w:sz="4" w:space="0" w:color="auto"/>
              <w:bottom w:val="single" w:sz="4" w:space="0" w:color="auto"/>
              <w:right w:val="single" w:sz="4" w:space="0" w:color="auto"/>
            </w:tcBorders>
            <w:hideMark/>
          </w:tcPr>
          <w:p w14:paraId="11431F46" w14:textId="77777777" w:rsidR="002B38D4" w:rsidRPr="001B6518" w:rsidRDefault="002B38D4" w:rsidP="00C13C9E">
            <w:pPr>
              <w:spacing w:before="100" w:beforeAutospacing="1" w:after="100" w:afterAutospacing="1" w:line="276" w:lineRule="auto"/>
              <w:jc w:val="both"/>
              <w:rPr>
                <w:rFonts w:ascii="Arial" w:eastAsia="Arial" w:hAnsi="Arial" w:cs="Arial"/>
                <w:sz w:val="22"/>
                <w:szCs w:val="22"/>
              </w:rPr>
            </w:pPr>
            <w:r w:rsidRPr="001B6518">
              <w:rPr>
                <w:rFonts w:ascii="Arial" w:eastAsia="Arial" w:hAnsi="Arial" w:cs="Arial"/>
                <w:sz w:val="22"/>
                <w:szCs w:val="22"/>
                <w:u w:val="single"/>
              </w:rPr>
              <w:lastRenderedPageBreak/>
              <w:t>Ajustes a las participaciones por el cálculo del coeficiente de participaciones 2026.</w:t>
            </w:r>
            <w:r w:rsidRPr="001B6518">
              <w:rPr>
                <w:rFonts w:ascii="Arial" w:eastAsia="Arial" w:hAnsi="Arial" w:cs="Arial"/>
                <w:i/>
                <w:sz w:val="22"/>
                <w:szCs w:val="22"/>
              </w:rPr>
              <w:t xml:space="preserve"> </w:t>
            </w:r>
            <w:r w:rsidRPr="001B6518">
              <w:rPr>
                <w:rFonts w:ascii="Arial" w:eastAsia="Arial" w:hAnsi="Arial" w:cs="Arial"/>
                <w:sz w:val="22"/>
                <w:szCs w:val="22"/>
              </w:rPr>
              <w:t>El coeficiente aplicado para la distribución de recursos del Fondo General de Participaciones se modifica cada año en función de los resultados de recaudación publicados en las Cuentas Públicas previas inmediatas.</w:t>
            </w:r>
          </w:p>
        </w:tc>
        <w:tc>
          <w:tcPr>
            <w:tcW w:w="4414" w:type="dxa"/>
            <w:tcBorders>
              <w:top w:val="single" w:sz="4" w:space="0" w:color="auto"/>
              <w:left w:val="single" w:sz="4" w:space="0" w:color="auto"/>
              <w:bottom w:val="single" w:sz="4" w:space="0" w:color="auto"/>
              <w:right w:val="single" w:sz="4" w:space="0" w:color="auto"/>
            </w:tcBorders>
            <w:hideMark/>
          </w:tcPr>
          <w:p w14:paraId="57138D01" w14:textId="77777777" w:rsidR="002B38D4" w:rsidRPr="001B6518" w:rsidRDefault="002B38D4" w:rsidP="00C13C9E">
            <w:pPr>
              <w:spacing w:before="100" w:beforeAutospacing="1" w:after="100" w:afterAutospacing="1" w:line="276" w:lineRule="auto"/>
              <w:jc w:val="both"/>
              <w:rPr>
                <w:rFonts w:ascii="Arial" w:eastAsia="Arial" w:hAnsi="Arial" w:cs="Arial"/>
                <w:sz w:val="22"/>
                <w:szCs w:val="22"/>
              </w:rPr>
            </w:pPr>
            <w:r w:rsidRPr="001B6518">
              <w:rPr>
                <w:rFonts w:ascii="Arial" w:eastAsia="Arial" w:hAnsi="Arial" w:cs="Arial"/>
                <w:sz w:val="22"/>
                <w:szCs w:val="22"/>
              </w:rPr>
              <w:t>Fortalecer la recaudación local a través del combate a la evasión fiscal y la realización de acciones para consolidar la base de contribuyentes.</w:t>
            </w:r>
          </w:p>
          <w:p w14:paraId="241551A2" w14:textId="77777777" w:rsidR="002B38D4" w:rsidRPr="001B6518" w:rsidRDefault="002B38D4" w:rsidP="00C13C9E">
            <w:pPr>
              <w:spacing w:before="100" w:beforeAutospacing="1" w:after="100" w:afterAutospacing="1" w:line="276" w:lineRule="auto"/>
              <w:jc w:val="both"/>
              <w:rPr>
                <w:rFonts w:ascii="Arial" w:eastAsia="Arial" w:hAnsi="Arial" w:cs="Arial"/>
                <w:sz w:val="22"/>
                <w:szCs w:val="22"/>
              </w:rPr>
            </w:pPr>
            <w:r w:rsidRPr="001B6518">
              <w:rPr>
                <w:rFonts w:ascii="Arial" w:eastAsia="Arial" w:hAnsi="Arial" w:cs="Arial"/>
                <w:sz w:val="22"/>
                <w:szCs w:val="22"/>
              </w:rPr>
              <w:t>Mantener cautela en el ejercicio de los recursos participables estimados con el fin de no recaer en compromisos por encima de las expectativas de recaudación.</w:t>
            </w:r>
          </w:p>
        </w:tc>
      </w:tr>
      <w:tr w:rsidR="002B38D4" w:rsidRPr="001B6518" w14:paraId="30FE3098" w14:textId="77777777" w:rsidTr="00C13C9E">
        <w:trPr>
          <w:trHeight w:val="555"/>
        </w:trPr>
        <w:tc>
          <w:tcPr>
            <w:tcW w:w="4414" w:type="dxa"/>
            <w:tcBorders>
              <w:top w:val="single" w:sz="4" w:space="0" w:color="auto"/>
              <w:left w:val="single" w:sz="4" w:space="0" w:color="auto"/>
              <w:bottom w:val="single" w:sz="4" w:space="0" w:color="auto"/>
              <w:right w:val="single" w:sz="4" w:space="0" w:color="auto"/>
            </w:tcBorders>
            <w:hideMark/>
          </w:tcPr>
          <w:p w14:paraId="7530B30E" w14:textId="77777777" w:rsidR="002B38D4" w:rsidRPr="001B6518" w:rsidRDefault="002B38D4" w:rsidP="00C13C9E">
            <w:pPr>
              <w:spacing w:before="100" w:beforeAutospacing="1" w:after="100" w:afterAutospacing="1" w:line="276" w:lineRule="auto"/>
              <w:jc w:val="both"/>
              <w:rPr>
                <w:rFonts w:ascii="Arial" w:eastAsia="Arial" w:hAnsi="Arial" w:cs="Arial"/>
                <w:sz w:val="22"/>
                <w:szCs w:val="22"/>
              </w:rPr>
            </w:pPr>
            <w:r w:rsidRPr="001B6518">
              <w:rPr>
                <w:rFonts w:ascii="Arial" w:eastAsia="Arial" w:hAnsi="Arial" w:cs="Arial"/>
                <w:sz w:val="22"/>
                <w:szCs w:val="22"/>
                <w:u w:val="single"/>
              </w:rPr>
              <w:t>Modificaciones fiscales y presupuestales del Gobierno Federal.</w:t>
            </w:r>
            <w:r w:rsidRPr="001B6518">
              <w:rPr>
                <w:rFonts w:ascii="Arial" w:eastAsia="Arial" w:hAnsi="Arial" w:cs="Arial"/>
                <w:i/>
                <w:sz w:val="22"/>
                <w:szCs w:val="22"/>
              </w:rPr>
              <w:t xml:space="preserve"> </w:t>
            </w:r>
            <w:r w:rsidRPr="001B6518">
              <w:rPr>
                <w:rFonts w:ascii="Arial" w:eastAsia="Arial" w:hAnsi="Arial" w:cs="Arial"/>
                <w:sz w:val="22"/>
                <w:szCs w:val="22"/>
              </w:rPr>
              <w:t>Este riesgo se refiere a los recursos que operan las entidades federativas a través de la firma de convenios de colaboración con la federación. Existe incertidumbre sobre si habrá cambios en el marco fiscal vigente o en los programas federales que actualmente existen. El Gobierno del Estado ha seguido la estrategia de gestionar y dar cumplimiento a los requisitos para la firma de convenios para la obtención de recursos.</w:t>
            </w:r>
          </w:p>
        </w:tc>
        <w:tc>
          <w:tcPr>
            <w:tcW w:w="4414" w:type="dxa"/>
            <w:tcBorders>
              <w:top w:val="single" w:sz="4" w:space="0" w:color="auto"/>
              <w:left w:val="single" w:sz="4" w:space="0" w:color="auto"/>
              <w:bottom w:val="single" w:sz="4" w:space="0" w:color="auto"/>
              <w:right w:val="single" w:sz="4" w:space="0" w:color="auto"/>
            </w:tcBorders>
            <w:hideMark/>
          </w:tcPr>
          <w:p w14:paraId="68521BB7" w14:textId="77777777" w:rsidR="002B38D4" w:rsidRPr="001B6518" w:rsidRDefault="002B38D4" w:rsidP="00C13C9E">
            <w:pPr>
              <w:spacing w:before="100" w:beforeAutospacing="1" w:after="100" w:afterAutospacing="1" w:line="276" w:lineRule="auto"/>
              <w:jc w:val="both"/>
              <w:rPr>
                <w:rFonts w:ascii="Arial" w:eastAsia="Arial" w:hAnsi="Arial" w:cs="Arial"/>
                <w:sz w:val="22"/>
                <w:szCs w:val="22"/>
              </w:rPr>
            </w:pPr>
            <w:r w:rsidRPr="001B6518">
              <w:rPr>
                <w:rFonts w:ascii="Arial" w:eastAsia="Arial" w:hAnsi="Arial" w:cs="Arial"/>
                <w:sz w:val="22"/>
                <w:szCs w:val="22"/>
              </w:rPr>
              <w:t>No comprometer recursos federales hasta tener certidumbre de que estos recursos serán radicados al Estado.</w:t>
            </w:r>
          </w:p>
        </w:tc>
      </w:tr>
      <w:tr w:rsidR="002B38D4" w:rsidRPr="001B6518" w14:paraId="66E3C002" w14:textId="77777777" w:rsidTr="00C13C9E">
        <w:trPr>
          <w:trHeight w:val="2820"/>
        </w:trPr>
        <w:tc>
          <w:tcPr>
            <w:tcW w:w="4414" w:type="dxa"/>
            <w:tcBorders>
              <w:top w:val="single" w:sz="4" w:space="0" w:color="auto"/>
              <w:left w:val="single" w:sz="4" w:space="0" w:color="auto"/>
              <w:bottom w:val="single" w:sz="4" w:space="0" w:color="auto"/>
              <w:right w:val="single" w:sz="4" w:space="0" w:color="auto"/>
            </w:tcBorders>
            <w:hideMark/>
          </w:tcPr>
          <w:p w14:paraId="229B0D63" w14:textId="77777777" w:rsidR="002B38D4" w:rsidRPr="001B6518" w:rsidRDefault="002B38D4" w:rsidP="00C13C9E">
            <w:pPr>
              <w:spacing w:before="100" w:beforeAutospacing="1" w:after="100" w:afterAutospacing="1" w:line="276" w:lineRule="auto"/>
              <w:jc w:val="both"/>
              <w:rPr>
                <w:rFonts w:ascii="Arial" w:eastAsia="Arial" w:hAnsi="Arial" w:cs="Arial"/>
                <w:sz w:val="22"/>
                <w:szCs w:val="22"/>
                <w:u w:val="single"/>
              </w:rPr>
            </w:pPr>
            <w:r w:rsidRPr="001B6518">
              <w:rPr>
                <w:rFonts w:ascii="Arial" w:eastAsia="Arial" w:hAnsi="Arial" w:cs="Arial"/>
                <w:sz w:val="22"/>
                <w:szCs w:val="22"/>
                <w:u w:val="single"/>
              </w:rPr>
              <w:lastRenderedPageBreak/>
              <w:t>Modificación de la tasa de referencia.</w:t>
            </w:r>
            <w:r w:rsidRPr="001B6518">
              <w:rPr>
                <w:rFonts w:ascii="Arial" w:eastAsia="Arial" w:hAnsi="Arial" w:cs="Arial"/>
                <w:i/>
                <w:sz w:val="22"/>
                <w:szCs w:val="22"/>
              </w:rPr>
              <w:t xml:space="preserve"> </w:t>
            </w:r>
            <w:r w:rsidRPr="001B6518">
              <w:rPr>
                <w:rFonts w:ascii="Arial" w:eastAsia="Arial" w:hAnsi="Arial" w:cs="Arial"/>
                <w:sz w:val="22"/>
                <w:szCs w:val="22"/>
              </w:rPr>
              <w:t>Un escenario con inflación mayor a la prevista por Secretaría de Hacienda y Crédito Público podría resultar en una política monetaria con una disminución menos acelerada de la estimada de las tasas de referencia fijadas por el Banco de México. De presentarse esta situación, el Estado podría enfrentar un mayor costo del servicio de la deuda y condiciones menos favorables para acceder o reestructurar los financiamientos.</w:t>
            </w:r>
          </w:p>
        </w:tc>
        <w:tc>
          <w:tcPr>
            <w:tcW w:w="4414" w:type="dxa"/>
            <w:tcBorders>
              <w:top w:val="single" w:sz="4" w:space="0" w:color="auto"/>
              <w:left w:val="single" w:sz="4" w:space="0" w:color="auto"/>
              <w:bottom w:val="single" w:sz="4" w:space="0" w:color="auto"/>
              <w:right w:val="single" w:sz="4" w:space="0" w:color="auto"/>
            </w:tcBorders>
            <w:hideMark/>
          </w:tcPr>
          <w:p w14:paraId="315D6476" w14:textId="77777777" w:rsidR="002B38D4" w:rsidRPr="001B6518" w:rsidRDefault="002B38D4" w:rsidP="00C13C9E">
            <w:pPr>
              <w:spacing w:before="100" w:beforeAutospacing="1" w:after="100" w:afterAutospacing="1" w:line="276" w:lineRule="auto"/>
              <w:jc w:val="both"/>
              <w:rPr>
                <w:rFonts w:ascii="Arial" w:eastAsia="Arial" w:hAnsi="Arial" w:cs="Arial"/>
                <w:sz w:val="22"/>
                <w:szCs w:val="22"/>
              </w:rPr>
            </w:pPr>
            <w:r w:rsidRPr="001B6518">
              <w:rPr>
                <w:rFonts w:ascii="Arial" w:eastAsia="Arial" w:hAnsi="Arial" w:cs="Arial"/>
                <w:sz w:val="22"/>
                <w:szCs w:val="22"/>
              </w:rPr>
              <w:t xml:space="preserve">Celebrar contratos de coberturas de tasas con el fin de reducir la incertidumbre con respecto al Servicio de la Deuda. </w:t>
            </w:r>
          </w:p>
        </w:tc>
      </w:tr>
      <w:tr w:rsidR="002B38D4" w:rsidRPr="001B6518" w14:paraId="5310F57A" w14:textId="77777777" w:rsidTr="00C13C9E">
        <w:trPr>
          <w:trHeight w:val="2820"/>
        </w:trPr>
        <w:tc>
          <w:tcPr>
            <w:tcW w:w="4414" w:type="dxa"/>
            <w:tcBorders>
              <w:top w:val="single" w:sz="4" w:space="0" w:color="auto"/>
              <w:left w:val="single" w:sz="4" w:space="0" w:color="auto"/>
              <w:bottom w:val="single" w:sz="4" w:space="0" w:color="auto"/>
              <w:right w:val="single" w:sz="4" w:space="0" w:color="auto"/>
            </w:tcBorders>
          </w:tcPr>
          <w:p w14:paraId="4A49EEF5" w14:textId="77777777" w:rsidR="002B38D4" w:rsidRPr="001B6518" w:rsidRDefault="002B38D4" w:rsidP="00C13C9E">
            <w:pPr>
              <w:spacing w:before="100" w:beforeAutospacing="1" w:after="100" w:afterAutospacing="1" w:line="276" w:lineRule="auto"/>
              <w:jc w:val="both"/>
              <w:rPr>
                <w:rFonts w:ascii="Arial" w:eastAsia="Arial" w:hAnsi="Arial" w:cs="Arial"/>
                <w:sz w:val="22"/>
                <w:szCs w:val="22"/>
                <w:u w:val="single"/>
              </w:rPr>
            </w:pPr>
            <w:r w:rsidRPr="001B6518">
              <w:rPr>
                <w:rFonts w:ascii="Arial" w:eastAsia="Arial" w:hAnsi="Arial" w:cs="Arial"/>
                <w:sz w:val="22"/>
                <w:szCs w:val="22"/>
                <w:u w:val="single"/>
              </w:rPr>
              <w:t>Factores climatológicos adversos que puedan afectar la actividad agrícola, industrial o de servicios.</w:t>
            </w:r>
          </w:p>
        </w:tc>
        <w:tc>
          <w:tcPr>
            <w:tcW w:w="4414" w:type="dxa"/>
            <w:tcBorders>
              <w:top w:val="single" w:sz="4" w:space="0" w:color="auto"/>
              <w:left w:val="single" w:sz="4" w:space="0" w:color="auto"/>
              <w:bottom w:val="single" w:sz="4" w:space="0" w:color="auto"/>
              <w:right w:val="single" w:sz="4" w:space="0" w:color="auto"/>
            </w:tcBorders>
          </w:tcPr>
          <w:p w14:paraId="11610BDE" w14:textId="77777777" w:rsidR="002B38D4" w:rsidRPr="001B6518" w:rsidRDefault="002B38D4" w:rsidP="00C13C9E">
            <w:pPr>
              <w:spacing w:before="100" w:beforeAutospacing="1" w:after="100" w:afterAutospacing="1" w:line="276" w:lineRule="auto"/>
              <w:jc w:val="both"/>
              <w:rPr>
                <w:rFonts w:ascii="Arial" w:eastAsia="Arial" w:hAnsi="Arial" w:cs="Arial"/>
                <w:sz w:val="22"/>
                <w:szCs w:val="22"/>
              </w:rPr>
            </w:pPr>
            <w:r w:rsidRPr="001B6518">
              <w:rPr>
                <w:rFonts w:ascii="Arial" w:eastAsia="Arial" w:hAnsi="Arial" w:cs="Arial"/>
                <w:sz w:val="22"/>
                <w:szCs w:val="22"/>
              </w:rPr>
              <w:t xml:space="preserve">Contar con recursos económicos en el Fondo de Atención a Emergencias y Desastres (FAED), y, en su caso, la contratación de seguros para atender los daños que se ocasionen por fenómenos naturales. </w:t>
            </w:r>
          </w:p>
        </w:tc>
      </w:tr>
    </w:tbl>
    <w:p w14:paraId="1B6C1B68" w14:textId="77777777" w:rsidR="002B38D4" w:rsidRPr="001B6518" w:rsidRDefault="002B38D4" w:rsidP="002B38D4">
      <w:pPr>
        <w:spacing w:before="100" w:beforeAutospacing="1" w:after="100" w:afterAutospacing="1" w:line="276" w:lineRule="auto"/>
        <w:jc w:val="both"/>
        <w:rPr>
          <w:rFonts w:ascii="Arial" w:eastAsia="Arial" w:hAnsi="Arial" w:cs="Arial"/>
          <w:b/>
          <w:bCs/>
        </w:rPr>
      </w:pPr>
      <w:r w:rsidRPr="001B6518">
        <w:rPr>
          <w:rFonts w:ascii="Arial" w:hAnsi="Arial" w:cs="Arial"/>
          <w:b/>
        </w:rPr>
        <w:t xml:space="preserve">5. </w:t>
      </w:r>
      <w:r w:rsidRPr="001B6518">
        <w:rPr>
          <w:rFonts w:ascii="Arial" w:eastAsia="Arial" w:hAnsi="Arial" w:cs="Arial"/>
          <w:b/>
          <w:bCs/>
        </w:rPr>
        <w:t>Financiamientos y deuda contingente</w:t>
      </w:r>
    </w:p>
    <w:p w14:paraId="1D642AC4" w14:textId="77777777" w:rsidR="002B38D4" w:rsidRPr="001B6518" w:rsidRDefault="002B38D4" w:rsidP="002B38D4">
      <w:pPr>
        <w:spacing w:before="100" w:beforeAutospacing="1" w:after="100" w:afterAutospacing="1" w:line="276" w:lineRule="auto"/>
        <w:jc w:val="both"/>
        <w:outlineLvl w:val="2"/>
        <w:rPr>
          <w:rFonts w:ascii="Arial" w:hAnsi="Arial" w:cs="Arial"/>
          <w:i/>
        </w:rPr>
      </w:pPr>
      <w:r w:rsidRPr="001B6518">
        <w:rPr>
          <w:rFonts w:ascii="Arial" w:hAnsi="Arial" w:cs="Arial"/>
          <w:i/>
        </w:rPr>
        <w:t xml:space="preserve">5.1. Programa Anual de Financiamiento </w:t>
      </w:r>
    </w:p>
    <w:p w14:paraId="26C96DB5" w14:textId="77777777" w:rsidR="002B38D4" w:rsidRPr="001B6518" w:rsidRDefault="002B38D4" w:rsidP="002B38D4">
      <w:pPr>
        <w:spacing w:before="100" w:beforeAutospacing="1" w:after="100" w:afterAutospacing="1" w:line="276" w:lineRule="auto"/>
        <w:jc w:val="both"/>
        <w:outlineLvl w:val="2"/>
        <w:rPr>
          <w:rFonts w:ascii="Arial" w:hAnsi="Arial" w:cs="Arial"/>
        </w:rPr>
      </w:pPr>
      <w:r w:rsidRPr="001B6518">
        <w:rPr>
          <w:rFonts w:ascii="Arial" w:hAnsi="Arial" w:cs="Arial"/>
        </w:rPr>
        <w:t>Financiamiento de largo plazo</w:t>
      </w:r>
    </w:p>
    <w:p w14:paraId="18827DB1" w14:textId="77777777" w:rsidR="002B38D4" w:rsidRPr="001B6518" w:rsidRDefault="002B38D4" w:rsidP="002B38D4">
      <w:pPr>
        <w:spacing w:before="100" w:beforeAutospacing="1" w:after="100" w:afterAutospacing="1" w:line="276" w:lineRule="auto"/>
        <w:jc w:val="both"/>
        <w:outlineLvl w:val="2"/>
        <w:rPr>
          <w:rFonts w:ascii="Arial" w:hAnsi="Arial" w:cs="Arial"/>
        </w:rPr>
      </w:pPr>
      <w:r w:rsidRPr="001B6518">
        <w:rPr>
          <w:rFonts w:ascii="Arial" w:hAnsi="Arial" w:cs="Arial"/>
        </w:rPr>
        <w:t>El panorama económico de Yucatán muestra un crecimiento constante en algunos sectores, pero con diversos desafíos, el crecimiento se encuentra estrechamente vinculado con el desarrollo de infraestructura y el ordenamiento territorial.</w:t>
      </w:r>
    </w:p>
    <w:p w14:paraId="611CA6F9" w14:textId="77777777" w:rsidR="002B38D4" w:rsidRPr="001B6518" w:rsidRDefault="002B38D4" w:rsidP="002B38D4">
      <w:pPr>
        <w:spacing w:before="100" w:beforeAutospacing="1" w:after="100" w:afterAutospacing="1" w:line="276" w:lineRule="auto"/>
        <w:jc w:val="both"/>
        <w:outlineLvl w:val="2"/>
        <w:rPr>
          <w:rFonts w:ascii="Arial" w:hAnsi="Arial" w:cs="Arial"/>
        </w:rPr>
      </w:pPr>
      <w:r w:rsidRPr="001B6518">
        <w:rPr>
          <w:rFonts w:ascii="Arial" w:hAnsi="Arial" w:cs="Arial"/>
        </w:rPr>
        <w:t xml:space="preserve">El desarrollo territorial y la infraestructura son elementos clave para mejorar la calidad de vida y fortalecer la competitividad de Yucatán. Sin embargo, para que estos avances tengan un impacto integral en el bienestar de la población, es necesario que vayan acompañados de inversiones en educación, cultura, deporte, entre otras. </w:t>
      </w:r>
    </w:p>
    <w:p w14:paraId="233E76BA" w14:textId="77777777" w:rsidR="002B38D4" w:rsidRPr="001B6518" w:rsidRDefault="002B38D4" w:rsidP="002B38D4">
      <w:pPr>
        <w:spacing w:before="100" w:beforeAutospacing="1" w:after="100" w:afterAutospacing="1" w:line="276" w:lineRule="auto"/>
        <w:jc w:val="both"/>
        <w:outlineLvl w:val="2"/>
        <w:rPr>
          <w:rFonts w:ascii="Arial" w:hAnsi="Arial" w:cs="Arial"/>
        </w:rPr>
      </w:pPr>
      <w:r w:rsidRPr="001B6518">
        <w:rPr>
          <w:rFonts w:ascii="Arial" w:hAnsi="Arial" w:cs="Arial"/>
        </w:rPr>
        <w:lastRenderedPageBreak/>
        <w:t>Al respecto, en la Directriz 5: Infraestructura para un Desarrollo Territorial Ordenado y Sostenible, del Plan Estatal de Desarrollo Renacimiento Maya 2024-2030, se establecen los principios rectores para el crecimiento territorial equilibrado, la modernización de la infraestructura y la integración de soluciones sostenibles que impulsen el desarrollo de Yucatán.</w:t>
      </w:r>
    </w:p>
    <w:p w14:paraId="2E5D7000" w14:textId="77777777" w:rsidR="002B38D4" w:rsidRPr="001B6518" w:rsidRDefault="002B38D4" w:rsidP="002B38D4">
      <w:pPr>
        <w:spacing w:before="100" w:beforeAutospacing="1" w:after="100" w:afterAutospacing="1" w:line="276" w:lineRule="auto"/>
        <w:jc w:val="both"/>
        <w:outlineLvl w:val="2"/>
        <w:rPr>
          <w:rFonts w:ascii="Arial" w:hAnsi="Arial" w:cs="Arial"/>
        </w:rPr>
      </w:pPr>
      <w:r w:rsidRPr="001B6518">
        <w:rPr>
          <w:rFonts w:ascii="Arial" w:hAnsi="Arial" w:cs="Arial"/>
        </w:rPr>
        <w:t xml:space="preserve">En este sentido, la vertiente 5.9 Infraestructura pública, se enfoca en la planificación, construcción y modernización de infraestructura urbana y rural, con un enfoque en transporte, salud, educación, agua potable, saneamiento y espacios recreativos. En zonas urbanas, prioriza proyectos que descongestionen el tráfico, mejoren la movilidad y fortalezcan el acceso a servicios esenciales. </w:t>
      </w:r>
    </w:p>
    <w:p w14:paraId="519E6CD7" w14:textId="77777777" w:rsidR="002B38D4" w:rsidRPr="001B6518" w:rsidRDefault="002B38D4" w:rsidP="002B38D4">
      <w:pPr>
        <w:spacing w:before="100" w:beforeAutospacing="1" w:after="100" w:afterAutospacing="1" w:line="276" w:lineRule="auto"/>
        <w:jc w:val="both"/>
        <w:outlineLvl w:val="2"/>
        <w:rPr>
          <w:rFonts w:ascii="Arial" w:hAnsi="Arial" w:cs="Arial"/>
        </w:rPr>
      </w:pPr>
      <w:r w:rsidRPr="001B6518">
        <w:rPr>
          <w:rFonts w:ascii="Arial" w:hAnsi="Arial" w:cs="Arial"/>
        </w:rPr>
        <w:t>En zonas rurales, se busca reducir la brecha de infraestructura mediante la creación de caminos, escuelas, centros de salud y redes de agua potable que respondan a las necesidades de las comunidades. Además, fomenta la sostenibilidad en el diseño y operación de proyectos, integrando tecnologías limpias y materiales locales que respeten el entorno natural. Paralelamente, promueve la participación ciudadana en la planeación y monitoreo de los proyectos para asegurar que correspondan a las necesidades reales de la población.</w:t>
      </w:r>
    </w:p>
    <w:p w14:paraId="45C260D4" w14:textId="77777777" w:rsidR="002B38D4" w:rsidRPr="001B6518" w:rsidRDefault="002B38D4" w:rsidP="002B38D4">
      <w:pPr>
        <w:spacing w:before="100" w:beforeAutospacing="1" w:after="100" w:afterAutospacing="1" w:line="276" w:lineRule="auto"/>
        <w:jc w:val="both"/>
        <w:outlineLvl w:val="2"/>
        <w:rPr>
          <w:rFonts w:ascii="Arial" w:hAnsi="Arial" w:cs="Arial"/>
        </w:rPr>
      </w:pPr>
      <w:r w:rsidRPr="001B6518">
        <w:rPr>
          <w:rFonts w:ascii="Arial" w:hAnsi="Arial" w:cs="Arial"/>
        </w:rPr>
        <w:t>Yucatán se encuentra clasificado con un nivel de endeudamiento sostenible, lo que permite acceder a un techo de financiamiento neto equivalente al quince por ciento de los ingresos de libre disposición.</w:t>
      </w:r>
    </w:p>
    <w:p w14:paraId="4D096DFF" w14:textId="77777777" w:rsidR="002B38D4" w:rsidRPr="001B6518" w:rsidRDefault="002B38D4" w:rsidP="002B38D4">
      <w:pPr>
        <w:spacing w:before="100" w:beforeAutospacing="1" w:after="100" w:afterAutospacing="1" w:line="276" w:lineRule="auto"/>
        <w:jc w:val="both"/>
        <w:outlineLvl w:val="2"/>
        <w:rPr>
          <w:rFonts w:ascii="Arial" w:hAnsi="Arial" w:cs="Arial"/>
        </w:rPr>
      </w:pPr>
      <w:r w:rsidRPr="001B6518">
        <w:rPr>
          <w:rFonts w:ascii="Arial" w:hAnsi="Arial" w:cs="Arial"/>
        </w:rPr>
        <w:t xml:space="preserve">La combinación de una economía estable, proyectos estratégicos de alto impacto alineados a los objetivos establecidos en el Plan Estatal de Desarrollo, así como condiciones favorables de financiamiento, permiten a Yucatán considerar el financiamiento de largo plazo como una opción viable y estratégica para impulsar el Plan Estatal de Desarrollo. </w:t>
      </w:r>
    </w:p>
    <w:p w14:paraId="7DCDA653" w14:textId="77777777" w:rsidR="002B38D4" w:rsidRPr="001B6518" w:rsidRDefault="002B38D4" w:rsidP="002B38D4">
      <w:pPr>
        <w:spacing w:before="100" w:beforeAutospacing="1" w:after="100" w:afterAutospacing="1" w:line="276" w:lineRule="auto"/>
        <w:jc w:val="both"/>
        <w:outlineLvl w:val="2"/>
        <w:rPr>
          <w:rFonts w:ascii="Arial" w:hAnsi="Arial" w:cs="Arial"/>
        </w:rPr>
      </w:pPr>
      <w:r w:rsidRPr="001B6518">
        <w:rPr>
          <w:rFonts w:ascii="Arial" w:hAnsi="Arial" w:cs="Arial"/>
        </w:rPr>
        <w:t xml:space="preserve">Para el ejercicio fiscal 2026, se plantea potenciar la inversión en infraestructura pública productiva con recursos propios, para ello, dentro del Programa Anual de Financiamiento se proyecta mantener la autorización de realizar, en mejores condiciones, el refinanciamiento de la deuda pública contratada por administraciones anteriores y adquirir un monto de endeudamiento por debajo del techo de financiamiento neto correspondiente al Estado, en apego a lo establecido </w:t>
      </w:r>
      <w:r w:rsidRPr="001B6518">
        <w:rPr>
          <w:rFonts w:ascii="Arial" w:hAnsi="Arial" w:cs="Arial"/>
        </w:rPr>
        <w:lastRenderedPageBreak/>
        <w:t xml:space="preserve">por la Ley de Disciplina Financiera de las Entidades Federativas y los Municipios; es decir, financiamiento neto a largo plazo hasta por $1,530 mdp que permita, junto con los resultados de esfuerzo recaudatorio, dar suficiencia a la estrategia de elevar la inversión pública con recursos propios a cerca de $3,167 mdp en los rubros de gasto correspondientes a la definición legal de inversión pública productiva. </w:t>
      </w:r>
    </w:p>
    <w:p w14:paraId="5572C46C" w14:textId="5933DEF0" w:rsidR="002B38D4" w:rsidRPr="001B6518" w:rsidRDefault="002B38D4" w:rsidP="00F33EB0">
      <w:pPr>
        <w:pBdr>
          <w:top w:val="nil"/>
          <w:left w:val="nil"/>
          <w:bottom w:val="nil"/>
          <w:right w:val="nil"/>
          <w:between w:val="nil"/>
        </w:pBdr>
        <w:spacing w:before="240" w:line="240" w:lineRule="auto"/>
        <w:ind w:hanging="2"/>
        <w:jc w:val="both"/>
        <w:rPr>
          <w:rFonts w:ascii="Arial" w:eastAsia="Arial" w:hAnsi="Arial" w:cs="Arial"/>
        </w:rPr>
      </w:pPr>
      <w:r w:rsidRPr="001B6518">
        <w:rPr>
          <w:rFonts w:ascii="Arial" w:hAnsi="Arial" w:cs="Arial"/>
        </w:rPr>
        <w:t>Estos rubros globales de gasto corresponden a los capítulos 5000 BIENES MUEBLES, INMUEBLES E INTANGIBLES, 5100 MOBILIARIO Y EQUIPO DE ADMINISTRACIÓN, 511 Muebles de oficina y estantería, 515 Equipo de cómputo y de tecnologías de la información, 519 Otros mobiliarios y equipos de administración; 5200 MOBILIARIO Y EQUIPO EDUCACIONAL Y RECREATIVO</w:t>
      </w:r>
      <w:r w:rsidR="005369EE">
        <w:rPr>
          <w:rFonts w:ascii="Arial" w:hAnsi="Arial" w:cs="Arial"/>
        </w:rPr>
        <w:t>,</w:t>
      </w:r>
      <w:r w:rsidRPr="001B6518">
        <w:rPr>
          <w:rFonts w:ascii="Arial" w:hAnsi="Arial" w:cs="Arial"/>
        </w:rPr>
        <w:t xml:space="preserve"> 521 Equipos y aparatos audiovisuales, 522 Aparatos deportivos, 523 Cámaras fotográficas y de video, 529 Otro mobiliario y equipo educacional, 5300 EQUIPO E INSTRUMENTAL MÉDICO Y DE LABORATORIO, 531 Equipo médico y de laboratorio, 532 Instrumental médico y de laboratorio, 5400 VEHÍCULOS Y EQUIPO DE TRANSPORTE, 541 Vehículos y equipo terrestre, 544 Equipo ferroviario, 549 Otros equipos de transporte, 5500 EQUIPO DE DEFENSA Y SEGURIDAD, 551 Equipo de defensa y seguridad; 5600 MAQUINARIA, OTROS EQUIPOS Y HERRAMIENTAS, 561 Maquinaria y equipo agropecuario, 563 Maquinaria y equipo de construcción, 564 Sistemas de aire acondicionado, calefacción y de refrigeración industrial y comercial, 565 Equipo de comunicación y telecomunicación, 566 Equipos de generación eléctrica, aparatos y accesorios eléctricos, 569 Otros equipos; 5800 BIENES INMUEBLES, 581 Terrenos, 583 Edificios no residenciales; y 6000 INVERSIÓN PÚBLICA, 6100 OBRA PÚBLICA EN BIENES DE DOMINIO PÚBLICO</w:t>
      </w:r>
      <w:r w:rsidR="00F33EB0" w:rsidRPr="001B6518">
        <w:rPr>
          <w:rFonts w:ascii="Arial" w:eastAsia="Arial" w:hAnsi="Arial" w:cs="Arial"/>
        </w:rPr>
        <w:t>, 611 Edificación habitacional, 612 Edificación no habitacional, 613 Construcción de obras para el abastecimiento de agua, petróleo, gas, electricidad y telecomunicaciones, 614 División de terrenos y construcción de obras de urbanización, 615 Construcción de vías de comunicación, 616 Otras construcciones de ingeniería civil u obra pesada, 617 Instalaciones y equipamiento en construcciones, 619 Trabajos de acabados en edificaciones y otros trabajos especializados.</w:t>
      </w:r>
    </w:p>
    <w:p w14:paraId="2EE65042" w14:textId="77777777" w:rsidR="002B38D4" w:rsidRPr="001B6518" w:rsidRDefault="002B38D4" w:rsidP="002B38D4">
      <w:pPr>
        <w:spacing w:before="100" w:beforeAutospacing="1" w:after="100" w:afterAutospacing="1" w:line="276" w:lineRule="auto"/>
        <w:jc w:val="both"/>
        <w:outlineLvl w:val="2"/>
        <w:rPr>
          <w:rFonts w:ascii="Arial" w:hAnsi="Arial" w:cs="Arial"/>
        </w:rPr>
      </w:pPr>
      <w:r w:rsidRPr="001B6518">
        <w:rPr>
          <w:rFonts w:ascii="Arial" w:hAnsi="Arial" w:cs="Arial"/>
        </w:rPr>
        <w:t>Para tal efecto, se desprende que el acceso al financiamiento neto solicitado resulta financieramente viable y sostenible a largo plazo, entre otras consideraciones, ya que:</w:t>
      </w:r>
    </w:p>
    <w:p w14:paraId="54A1B277" w14:textId="77777777" w:rsidR="002B38D4" w:rsidRPr="001B6518" w:rsidRDefault="002B38D4" w:rsidP="002B38D4">
      <w:pPr>
        <w:spacing w:before="100" w:beforeAutospacing="1" w:after="100" w:afterAutospacing="1" w:line="276" w:lineRule="auto"/>
        <w:ind w:firstLine="709"/>
        <w:jc w:val="both"/>
        <w:rPr>
          <w:rFonts w:ascii="Arial" w:hAnsi="Arial" w:cs="Arial"/>
        </w:rPr>
      </w:pPr>
      <w:r w:rsidRPr="001B6518">
        <w:rPr>
          <w:rFonts w:ascii="Arial" w:hAnsi="Arial" w:cs="Arial"/>
        </w:rPr>
        <w:t xml:space="preserve">a) La presente administración no solo ha mantenido una adecuada calificación crediticia del Estado, sino que ante las medidas prudenciales reflejadas </w:t>
      </w:r>
      <w:r w:rsidRPr="001B6518">
        <w:rPr>
          <w:rFonts w:ascii="Arial" w:hAnsi="Arial" w:cs="Arial"/>
        </w:rPr>
        <w:lastRenderedPageBreak/>
        <w:t>en el paquete económico 2025 y la correcta administración, el 19 de marzo de 2025, HR Ratings mejoró la calificación de HR AA a HR AA+.</w:t>
      </w:r>
    </w:p>
    <w:p w14:paraId="5A486BCD" w14:textId="77777777" w:rsidR="002B38D4" w:rsidRPr="001B6518" w:rsidRDefault="002B38D4" w:rsidP="002B38D4">
      <w:pPr>
        <w:spacing w:before="100" w:beforeAutospacing="1" w:after="100" w:afterAutospacing="1" w:line="276" w:lineRule="auto"/>
        <w:ind w:firstLine="709"/>
        <w:jc w:val="both"/>
        <w:rPr>
          <w:rFonts w:ascii="Arial" w:hAnsi="Arial" w:cs="Arial"/>
        </w:rPr>
      </w:pPr>
      <w:r w:rsidRPr="001B6518">
        <w:rPr>
          <w:rFonts w:ascii="Arial" w:eastAsia="Calibri" w:hAnsi="Arial" w:cs="Arial"/>
        </w:rPr>
        <w:t xml:space="preserve">b) </w:t>
      </w:r>
      <w:r w:rsidRPr="001B6518">
        <w:rPr>
          <w:rFonts w:ascii="Arial" w:hAnsi="Arial" w:cs="Arial"/>
        </w:rPr>
        <w:t>Una de las medidas prudenciales, precisamente fue limitar la disposición del endeudamiento neto de los $3,063 mdp previstos para el Proyecto Puerto de Altura Progreso, autorizado y contratado en el ejercicio 2023, a únicamente $1,765 mdp.</w:t>
      </w:r>
    </w:p>
    <w:p w14:paraId="275C78E2" w14:textId="77777777" w:rsidR="002B38D4" w:rsidRPr="001B6518" w:rsidRDefault="002B38D4" w:rsidP="002B38D4">
      <w:pPr>
        <w:spacing w:before="100" w:beforeAutospacing="1" w:after="100" w:afterAutospacing="1" w:line="276" w:lineRule="auto"/>
        <w:ind w:firstLine="709"/>
        <w:jc w:val="both"/>
        <w:rPr>
          <w:rFonts w:ascii="Arial" w:hAnsi="Arial" w:cs="Arial"/>
        </w:rPr>
      </w:pPr>
      <w:r w:rsidRPr="001B6518">
        <w:rPr>
          <w:rFonts w:ascii="Arial" w:eastAsia="Calibri" w:hAnsi="Arial" w:cs="Arial"/>
        </w:rPr>
        <w:t xml:space="preserve">c) </w:t>
      </w:r>
      <w:r w:rsidRPr="001B6518">
        <w:rPr>
          <w:rFonts w:ascii="Arial" w:hAnsi="Arial" w:cs="Arial"/>
        </w:rPr>
        <w:t>Yucatán se mantiene clasificado por el Sistema de Alertas federal a cargo de la Secretaría de Hacienda y Crédito Público con un nivel de endeudamiento sostenible, lo que permite acceder a un techo de financiamiento neto equivalente al quince por ciento de los ingresos de libre disposición. No obstante, prudentemente se solicita un monto menor a la capacidad total.</w:t>
      </w:r>
    </w:p>
    <w:p w14:paraId="21962EAD" w14:textId="77777777" w:rsidR="002B38D4" w:rsidRPr="001B6518" w:rsidRDefault="002B38D4" w:rsidP="002B38D4">
      <w:pPr>
        <w:spacing w:before="100" w:beforeAutospacing="1" w:after="100" w:afterAutospacing="1" w:line="276" w:lineRule="auto"/>
        <w:ind w:firstLine="709"/>
        <w:jc w:val="both"/>
        <w:rPr>
          <w:rFonts w:ascii="Arial" w:hAnsi="Arial" w:cs="Arial"/>
        </w:rPr>
      </w:pPr>
      <w:r w:rsidRPr="001B6518">
        <w:rPr>
          <w:rFonts w:ascii="Arial" w:eastAsia="Calibri" w:hAnsi="Arial" w:cs="Arial"/>
        </w:rPr>
        <w:t xml:space="preserve">d) </w:t>
      </w:r>
      <w:r w:rsidRPr="001B6518">
        <w:rPr>
          <w:rFonts w:ascii="Arial" w:hAnsi="Arial" w:cs="Arial"/>
        </w:rPr>
        <w:t>El monto de financiamiento solicitado permitirá mantener al Estado con un bajo índice de endeudamiento en todos los criterios relevantes, tanto por población, deuda contra ingresos totales e ingresos de libre disposición, así como de afectación de ingresos al servicio de deuda, todos por debajo de la media nacional.</w:t>
      </w:r>
    </w:p>
    <w:p w14:paraId="19895BA5" w14:textId="77777777" w:rsidR="002B38D4" w:rsidRPr="001B6518" w:rsidRDefault="002B38D4" w:rsidP="002B38D4">
      <w:pPr>
        <w:spacing w:before="100" w:beforeAutospacing="1" w:after="100" w:afterAutospacing="1" w:line="276" w:lineRule="auto"/>
        <w:jc w:val="both"/>
        <w:rPr>
          <w:rFonts w:ascii="Arial" w:hAnsi="Arial" w:cs="Arial"/>
        </w:rPr>
      </w:pPr>
      <w:r w:rsidRPr="001B6518">
        <w:rPr>
          <w:rFonts w:ascii="Arial" w:hAnsi="Arial" w:cs="Arial"/>
        </w:rPr>
        <w:t xml:space="preserve">La autorización que se plantea prevé el monto de hasta $1,530 mdp y la estructura jurídica y financiera más conservadora en el mercado, esto es, un plazo de pago de hasta 20 años, la afectación al servicio de la deuda de participaciones en ingresos federales o aportaciones susceptibles de afectación y acompañar el financiamiento de una estrategia de cobertura, todo lo anterior, para tener la flexibilidad financiera necesaria y obtener las mejores condiciones de mercado. </w:t>
      </w:r>
    </w:p>
    <w:p w14:paraId="458D96A4" w14:textId="77777777" w:rsidR="002B38D4" w:rsidRPr="001B6518" w:rsidRDefault="002B38D4" w:rsidP="002B38D4">
      <w:pPr>
        <w:spacing w:before="100" w:beforeAutospacing="1" w:after="100" w:afterAutospacing="1" w:line="276" w:lineRule="auto"/>
        <w:jc w:val="both"/>
        <w:rPr>
          <w:rFonts w:ascii="Arial" w:eastAsia="Arial" w:hAnsi="Arial" w:cs="Arial"/>
          <w:bCs/>
          <w:i/>
        </w:rPr>
      </w:pPr>
      <w:r w:rsidRPr="001B6518">
        <w:rPr>
          <w:rFonts w:ascii="Arial" w:eastAsia="Arial" w:hAnsi="Arial" w:cs="Arial"/>
          <w:bCs/>
          <w:i/>
        </w:rPr>
        <w:t>5.2. Deuda contingente</w:t>
      </w:r>
    </w:p>
    <w:p w14:paraId="15E0019F" w14:textId="618D4BE5" w:rsidR="002B38D4" w:rsidRPr="001B6518" w:rsidRDefault="002B38D4" w:rsidP="002B38D4">
      <w:pPr>
        <w:spacing w:before="100" w:beforeAutospacing="1" w:after="100" w:afterAutospacing="1" w:line="276" w:lineRule="auto"/>
        <w:jc w:val="both"/>
        <w:rPr>
          <w:rFonts w:ascii="Arial" w:hAnsi="Arial" w:cs="Arial"/>
        </w:rPr>
      </w:pPr>
      <w:r w:rsidRPr="001B6518">
        <w:rPr>
          <w:rFonts w:ascii="Arial" w:hAnsi="Arial" w:cs="Arial"/>
        </w:rPr>
        <w:t>Desde marzo de 2014, el estado no tiene obligaciones relacionadas con deuda contingente, por lo que se manifiesta que, para el ejercicio fiscal 2026, no se identifican programas o proyectos de inversión de largo plazo con estas características.</w:t>
      </w:r>
    </w:p>
    <w:p w14:paraId="4DAAE8A8" w14:textId="77777777" w:rsidR="002B38D4" w:rsidRPr="001B6518" w:rsidRDefault="002B38D4" w:rsidP="002B38D4">
      <w:pPr>
        <w:spacing w:before="100" w:beforeAutospacing="1" w:after="100" w:afterAutospacing="1" w:line="276" w:lineRule="auto"/>
        <w:jc w:val="both"/>
        <w:rPr>
          <w:rFonts w:ascii="Arial" w:eastAsia="Arial" w:hAnsi="Arial" w:cs="Arial"/>
          <w:b/>
        </w:rPr>
      </w:pPr>
      <w:r w:rsidRPr="001B6518">
        <w:rPr>
          <w:rFonts w:ascii="Arial" w:eastAsia="Arial" w:hAnsi="Arial" w:cs="Arial"/>
          <w:b/>
        </w:rPr>
        <w:t>6. Proyección de las finanzas públicas por un periodo de cinco años</w:t>
      </w:r>
    </w:p>
    <w:p w14:paraId="30AC6234" w14:textId="77777777" w:rsidR="002B38D4" w:rsidRPr="001B6518" w:rsidRDefault="002B38D4" w:rsidP="002B38D4">
      <w:pPr>
        <w:spacing w:before="100" w:beforeAutospacing="1" w:after="100" w:afterAutospacing="1" w:line="276" w:lineRule="auto"/>
        <w:jc w:val="both"/>
        <w:rPr>
          <w:rFonts w:ascii="Arial" w:hAnsi="Arial" w:cs="Arial"/>
        </w:rPr>
      </w:pPr>
      <w:r w:rsidRPr="001B6518">
        <w:rPr>
          <w:rFonts w:ascii="Arial" w:eastAsia="Arial" w:hAnsi="Arial" w:cs="Arial"/>
        </w:rPr>
        <w:lastRenderedPageBreak/>
        <w:t>A fin de cumplir con los criterios para la elaboración y presentación homogénea de la información financiera y de los formatos a que hace referencia</w:t>
      </w:r>
      <w:r w:rsidRPr="001B6518">
        <w:rPr>
          <w:rFonts w:ascii="Arial" w:hAnsi="Arial" w:cs="Arial"/>
        </w:rPr>
        <w:t xml:space="preserve"> la Ley de Disciplina Financiera de las Entidades Federativas y los Municipios, se </w:t>
      </w:r>
      <w:r w:rsidRPr="001B6518">
        <w:rPr>
          <w:rFonts w:ascii="Arial" w:eastAsia="Arial" w:hAnsi="Arial" w:cs="Arial"/>
        </w:rPr>
        <w:t xml:space="preserve">incluyeron las proyecciones de </w:t>
      </w:r>
      <w:r w:rsidRPr="001B6518">
        <w:rPr>
          <w:rFonts w:ascii="Arial" w:hAnsi="Arial" w:cs="Arial"/>
        </w:rPr>
        <w:t xml:space="preserve">ingresos </w:t>
      </w:r>
      <w:r w:rsidRPr="001B6518">
        <w:rPr>
          <w:rFonts w:ascii="Arial" w:eastAsia="Arial" w:hAnsi="Arial" w:cs="Arial"/>
        </w:rPr>
        <w:t>a</w:t>
      </w:r>
      <w:r w:rsidRPr="001B6518">
        <w:rPr>
          <w:rFonts w:ascii="Arial" w:hAnsi="Arial" w:cs="Arial"/>
        </w:rPr>
        <w:t xml:space="preserve"> cinco </w:t>
      </w:r>
      <w:r w:rsidRPr="001B6518">
        <w:rPr>
          <w:rFonts w:ascii="Arial" w:eastAsia="Arial" w:hAnsi="Arial" w:cs="Arial"/>
        </w:rPr>
        <w:t>años (Anexo I).</w:t>
      </w:r>
    </w:p>
    <w:p w14:paraId="60403151" w14:textId="77777777" w:rsidR="002B38D4" w:rsidRPr="001B6518" w:rsidRDefault="002B38D4" w:rsidP="002B38D4">
      <w:pPr>
        <w:spacing w:before="100" w:beforeAutospacing="1" w:after="100" w:afterAutospacing="1" w:line="276" w:lineRule="auto"/>
        <w:jc w:val="both"/>
        <w:rPr>
          <w:rFonts w:ascii="Arial" w:eastAsia="Arial" w:hAnsi="Arial" w:cs="Arial"/>
          <w:b/>
        </w:rPr>
      </w:pPr>
      <w:r w:rsidRPr="001B6518">
        <w:rPr>
          <w:rFonts w:ascii="Arial" w:eastAsia="Arial" w:hAnsi="Arial" w:cs="Arial"/>
          <w:b/>
        </w:rPr>
        <w:t>7. Estimación de los ingresos al cierre del ejercicio 2025</w:t>
      </w:r>
    </w:p>
    <w:p w14:paraId="19B0D4C2"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De cara a 2026, se prevé un panorama económico estable, en línea con las expectativas nacionales de crecimiento entre 1.0% y 2.3% y una inflación controlada cercana al 3.4%. Bajo estas condiciones, se estima que Yucatán mantenga un ritmo de crecimiento del 1.9%, consolidando su tendencia hacia la estabilidad y el desarrollo sostenido.</w:t>
      </w:r>
    </w:p>
    <w:p w14:paraId="2FDED245"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Para el ejercicio 2025 se estima un cierre balanceado entre el ingreso y el gasto. Se prevé que los ingresos cerrarán en $55,746 mdp excluyendo la Venta de Bienes y Servicios y Cuotas y Aportaciones de Seguridad Social. Se considera que el gasto sea por el mismo importe. El diferencial correspondería a recursos remanentes de ejercicios fiscales anteriores que se estima que se ejerzan en 2025.</w:t>
      </w:r>
    </w:p>
    <w:p w14:paraId="123578F6"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Tras el análisis de desempeño se proyecta una recaudación de ingresos no etiquetados de $31,461 mdp.</w:t>
      </w:r>
    </w:p>
    <w:p w14:paraId="286E2B51"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Con base en la información disponible de los convenios federales vigentes y la publicación oficial de los acuerdos federales para las ministraciones del Ramo 33 en el ejercicio fiscal en curso, se estima que los recursos etiquetados al cierre del año serán de $24,285 mdp. Para el cierre de 2025 se prevé que Yucatán continuará registrando un crecimiento real positivo, a pesar de los persistentes riesgos asociados a la incertidumbre económica global.</w:t>
      </w:r>
    </w:p>
    <w:p w14:paraId="258093E0" w14:textId="77777777" w:rsidR="002B38D4" w:rsidRPr="001B6518" w:rsidRDefault="002B38D4" w:rsidP="002B38D4">
      <w:pPr>
        <w:spacing w:before="100" w:beforeAutospacing="1" w:after="100" w:afterAutospacing="1" w:line="276" w:lineRule="auto"/>
        <w:jc w:val="both"/>
        <w:rPr>
          <w:rFonts w:ascii="Arial" w:eastAsia="Arial" w:hAnsi="Arial" w:cs="Arial"/>
          <w:b/>
        </w:rPr>
      </w:pPr>
      <w:r w:rsidRPr="001B6518">
        <w:rPr>
          <w:rFonts w:ascii="Arial" w:eastAsia="Arial" w:hAnsi="Arial" w:cs="Arial"/>
          <w:b/>
        </w:rPr>
        <w:t>8. Estimación de los ingresos para el ejercicio fiscal 2026</w:t>
      </w:r>
    </w:p>
    <w:p w14:paraId="50B5BCDC" w14:textId="6FAF554C" w:rsidR="002B38D4" w:rsidRPr="001B6518" w:rsidRDefault="002B38D4" w:rsidP="002B38D4">
      <w:pPr>
        <w:spacing w:before="100" w:beforeAutospacing="1" w:after="100" w:afterAutospacing="1" w:line="276" w:lineRule="auto"/>
        <w:jc w:val="both"/>
        <w:rPr>
          <w:rFonts w:ascii="Arial" w:hAnsi="Arial" w:cs="Arial"/>
        </w:rPr>
      </w:pPr>
      <w:r w:rsidRPr="001B6518">
        <w:rPr>
          <w:rFonts w:ascii="Arial" w:hAnsi="Arial" w:cs="Arial"/>
        </w:rPr>
        <w:t>Para el ejercicio fiscal 2026 se estima obtener ingresos para el estado por $</w:t>
      </w:r>
      <w:r w:rsidRPr="001B6518">
        <w:rPr>
          <w:rFonts w:ascii="Arial" w:eastAsia="Arial" w:hAnsi="Arial" w:cs="Arial"/>
        </w:rPr>
        <w:t>66,408</w:t>
      </w:r>
      <w:r w:rsidR="000437BB">
        <w:rPr>
          <w:rFonts w:ascii="Arial" w:hAnsi="Arial" w:cs="Arial"/>
        </w:rPr>
        <w:t xml:space="preserve"> mdp e</w:t>
      </w:r>
      <w:r w:rsidRPr="001B6518">
        <w:rPr>
          <w:rFonts w:ascii="Arial" w:hAnsi="Arial" w:cs="Arial"/>
        </w:rPr>
        <w:t>xcluyendo Financiamiento, la Venta de Bienes y Servicios, así como Cuotas y Aportaciones de Seguridad Social, estos ingresos ascienden a $59,</w:t>
      </w:r>
      <w:r w:rsidRPr="001B6518">
        <w:rPr>
          <w:rFonts w:ascii="Arial" w:eastAsia="Arial" w:hAnsi="Arial" w:cs="Arial"/>
        </w:rPr>
        <w:t>376</w:t>
      </w:r>
      <w:r w:rsidRPr="001B6518">
        <w:rPr>
          <w:rFonts w:ascii="Arial" w:hAnsi="Arial" w:cs="Arial"/>
        </w:rPr>
        <w:t xml:space="preserve"> mdp.</w:t>
      </w:r>
    </w:p>
    <w:p w14:paraId="671B1E82"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lastRenderedPageBreak/>
        <w:t xml:space="preserve">Los recursos estimados para el ejercicio fiscal 2026 se distribuyen de la siguiente manera: </w:t>
      </w:r>
    </w:p>
    <w:p w14:paraId="166E5239" w14:textId="77777777" w:rsidR="002B38D4" w:rsidRPr="001B6518" w:rsidRDefault="002B38D4" w:rsidP="002B38D4">
      <w:pPr>
        <w:spacing w:before="100" w:beforeAutospacing="1" w:after="100" w:afterAutospacing="1" w:line="276" w:lineRule="auto"/>
        <w:ind w:firstLine="1418"/>
        <w:jc w:val="both"/>
        <w:rPr>
          <w:rFonts w:ascii="Arial" w:hAnsi="Arial" w:cs="Arial"/>
        </w:rPr>
      </w:pPr>
      <w:r w:rsidRPr="001B6518">
        <w:rPr>
          <w:rFonts w:ascii="Arial" w:hAnsi="Arial" w:cs="Arial"/>
        </w:rPr>
        <w:t xml:space="preserve">a) </w:t>
      </w:r>
      <w:r w:rsidRPr="001B6518">
        <w:rPr>
          <w:rFonts w:ascii="Arial" w:hAnsi="Arial" w:cs="Arial"/>
          <w:i/>
        </w:rPr>
        <w:t>Etiquetados (transferencias federales etiquetadas):</w:t>
      </w:r>
      <w:r w:rsidRPr="001B6518">
        <w:rPr>
          <w:rFonts w:ascii="Arial" w:hAnsi="Arial" w:cs="Arial"/>
        </w:rPr>
        <w:t xml:space="preserve"> se estiman en $26,</w:t>
      </w:r>
      <w:r w:rsidRPr="001B6518">
        <w:rPr>
          <w:rFonts w:ascii="Arial" w:eastAsia="Arial" w:hAnsi="Arial" w:cs="Arial"/>
        </w:rPr>
        <w:t>276</w:t>
      </w:r>
      <w:r w:rsidRPr="001B6518">
        <w:rPr>
          <w:rFonts w:ascii="Arial" w:hAnsi="Arial" w:cs="Arial"/>
        </w:rPr>
        <w:t xml:space="preserve"> mdp. La mayor parte de los convenios y fondos del Ramo 33 considerados en estos ingresos serán definidos durante el primer trimestre del ejercicio, por lo que es probable que presenten cambios en los montos o reglas de operación. Del mismo modo, es posible que surjan convenios adicionales a los contemplados en esta iniciativa.</w:t>
      </w:r>
    </w:p>
    <w:p w14:paraId="215504E3" w14:textId="77777777" w:rsidR="002B38D4" w:rsidRPr="001B6518" w:rsidRDefault="002B38D4" w:rsidP="002B38D4">
      <w:pPr>
        <w:spacing w:before="100" w:beforeAutospacing="1" w:after="100" w:afterAutospacing="1" w:line="276" w:lineRule="auto"/>
        <w:ind w:firstLine="1418"/>
        <w:jc w:val="both"/>
        <w:rPr>
          <w:rFonts w:ascii="Arial" w:eastAsia="Arial" w:hAnsi="Arial" w:cs="Arial"/>
        </w:rPr>
      </w:pPr>
      <w:r w:rsidRPr="001B6518">
        <w:rPr>
          <w:rFonts w:ascii="Arial" w:eastAsia="Arial" w:hAnsi="Arial" w:cs="Arial"/>
        </w:rPr>
        <w:t xml:space="preserve">b) </w:t>
      </w:r>
      <w:r w:rsidRPr="001B6518">
        <w:rPr>
          <w:rFonts w:ascii="Arial" w:eastAsia="Arial" w:hAnsi="Arial" w:cs="Arial"/>
          <w:i/>
        </w:rPr>
        <w:t>No etiquetados (ingresos de libre disposición):</w:t>
      </w:r>
      <w:r w:rsidRPr="001B6518">
        <w:rPr>
          <w:rFonts w:ascii="Arial" w:eastAsia="Arial" w:hAnsi="Arial" w:cs="Arial"/>
        </w:rPr>
        <w:t xml:space="preserve"> están compuestos por el Ramo 28 y los ingresos de recaudación fiscal local, y se estiman en $33,100 mdp. La estimación del Ramo 28 se realiza con base en las cifras publicadas por la Secretaría de Hacienda y Crédito Público en el Proyecto de Presupuesto de Egresos de la Federación para el Ejercicio Fiscal 2026. Esta proyección, que incluye participaciones federales e incentivos de colaboración fiscal, considera $24,920 mdp, lo que representa un incremento de 6.8% con respecto al presupuesto autorizado 2025. Los ingresos de recaudación fiscal local derivan de las proyecciones de la Agencia de Administración Fiscal de Yucatán. En total, esta iniciativa considera $8,180 mdp por estos rubros.</w:t>
      </w:r>
    </w:p>
    <w:p w14:paraId="55A94A6F" w14:textId="622FC03C" w:rsidR="002B38D4" w:rsidRPr="001B6518" w:rsidRDefault="002B38D4" w:rsidP="002B38D4">
      <w:pPr>
        <w:spacing w:before="100" w:beforeAutospacing="1" w:after="100" w:afterAutospacing="1" w:line="276" w:lineRule="auto"/>
        <w:ind w:firstLine="1418"/>
        <w:jc w:val="both"/>
        <w:rPr>
          <w:rFonts w:ascii="Arial" w:hAnsi="Arial" w:cs="Arial"/>
        </w:rPr>
      </w:pPr>
      <w:r w:rsidRPr="001B6518">
        <w:rPr>
          <w:rFonts w:ascii="Arial" w:eastAsia="Arial" w:hAnsi="Arial" w:cs="Arial"/>
        </w:rPr>
        <w:t>c) Cuotas y Aportaciones de Seguridad Social e ingresos por Ventas de Bienes y Servicios</w:t>
      </w:r>
      <w:r w:rsidR="00204327">
        <w:rPr>
          <w:rFonts w:ascii="Arial" w:eastAsia="Arial" w:hAnsi="Arial" w:cs="Arial"/>
        </w:rPr>
        <w:t>:</w:t>
      </w:r>
      <w:r w:rsidRPr="001B6518">
        <w:rPr>
          <w:rFonts w:ascii="Arial" w:hAnsi="Arial" w:cs="Arial"/>
        </w:rPr>
        <w:t xml:space="preserve"> se contemplan $5,502 mdp que corresponden a la recaudación estimada por parte de las Entidades, Poder Legislativo y Judicial, así como Organismos Autónomos y se integran de la siguiente manera: $2,427 mdp corresponden a Cuotas de Aportación de Seguridad Social y $3,074 mdp de Venta de Bienes y Servicios. </w:t>
      </w:r>
    </w:p>
    <w:p w14:paraId="5A997996" w14:textId="47F9FCDC" w:rsidR="002B38D4" w:rsidRPr="001B6518" w:rsidRDefault="002B38D4" w:rsidP="002B38D4">
      <w:pPr>
        <w:spacing w:before="100" w:beforeAutospacing="1" w:after="100" w:afterAutospacing="1" w:line="276" w:lineRule="auto"/>
        <w:ind w:firstLine="1418"/>
        <w:jc w:val="both"/>
        <w:rPr>
          <w:rFonts w:ascii="Arial" w:eastAsia="Arial" w:hAnsi="Arial" w:cs="Arial"/>
        </w:rPr>
      </w:pPr>
      <w:r w:rsidRPr="001B6518">
        <w:rPr>
          <w:rFonts w:ascii="Arial" w:eastAsia="Arial" w:hAnsi="Arial" w:cs="Arial"/>
        </w:rPr>
        <w:t xml:space="preserve">d) Ingresos Derivados de Financiamiento: </w:t>
      </w:r>
      <w:r w:rsidR="00204327" w:rsidRPr="001B6518">
        <w:rPr>
          <w:rFonts w:ascii="Arial" w:eastAsia="Arial" w:hAnsi="Arial" w:cs="Arial"/>
        </w:rPr>
        <w:t>s</w:t>
      </w:r>
      <w:r w:rsidRPr="001B6518">
        <w:rPr>
          <w:rFonts w:ascii="Arial" w:eastAsia="Arial" w:hAnsi="Arial" w:cs="Arial"/>
        </w:rPr>
        <w:t>e contemplan $1,530 mdp correspondientes a Ingresos Derivados de Financiamiento.</w:t>
      </w:r>
    </w:p>
    <w:p w14:paraId="4CDA5399" w14:textId="77777777" w:rsidR="002B38D4" w:rsidRPr="001B6518" w:rsidRDefault="002B38D4" w:rsidP="002B38D4">
      <w:pPr>
        <w:spacing w:before="100" w:beforeAutospacing="1" w:after="100" w:afterAutospacing="1" w:line="276" w:lineRule="auto"/>
        <w:rPr>
          <w:rFonts w:ascii="Arial" w:hAnsi="Arial" w:cs="Arial"/>
          <w:b/>
          <w:bCs/>
        </w:rPr>
      </w:pPr>
      <w:r w:rsidRPr="001B6518">
        <w:rPr>
          <w:rFonts w:ascii="Arial" w:hAnsi="Arial" w:cs="Arial"/>
          <w:b/>
          <w:bCs/>
        </w:rPr>
        <w:t>9. Otras Consideraciones</w:t>
      </w:r>
    </w:p>
    <w:p w14:paraId="6EC5E1D5" w14:textId="77777777" w:rsidR="002B38D4" w:rsidRPr="001B6518" w:rsidRDefault="002B38D4" w:rsidP="002B38D4">
      <w:pPr>
        <w:spacing w:before="100" w:beforeAutospacing="1" w:after="100" w:afterAutospacing="1" w:line="276" w:lineRule="auto"/>
        <w:rPr>
          <w:rFonts w:ascii="Arial" w:hAnsi="Arial" w:cs="Arial"/>
          <w:bCs/>
          <w:i/>
        </w:rPr>
      </w:pPr>
      <w:r w:rsidRPr="001B6518">
        <w:rPr>
          <w:rFonts w:ascii="Arial" w:hAnsi="Arial" w:cs="Arial"/>
          <w:bCs/>
          <w:i/>
        </w:rPr>
        <w:t xml:space="preserve">9.1 </w:t>
      </w:r>
      <w:r w:rsidRPr="001B6518">
        <w:rPr>
          <w:rFonts w:ascii="Arial" w:eastAsia="Arial" w:hAnsi="Arial" w:cs="Arial"/>
          <w:bCs/>
          <w:i/>
        </w:rPr>
        <w:t>Modificaciones a ingresos fiscales</w:t>
      </w:r>
    </w:p>
    <w:p w14:paraId="38758CA2"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lastRenderedPageBreak/>
        <w:t>En</w:t>
      </w:r>
      <w:r w:rsidRPr="001B6518">
        <w:rPr>
          <w:rFonts w:ascii="Arial" w:hAnsi="Arial" w:cs="Arial"/>
        </w:rPr>
        <w:t xml:space="preserve"> 2026</w:t>
      </w:r>
      <w:r w:rsidRPr="001B6518">
        <w:rPr>
          <w:rFonts w:ascii="Arial" w:eastAsia="Arial" w:hAnsi="Arial" w:cs="Arial"/>
        </w:rPr>
        <w:t xml:space="preserve"> continuará el esfuerzo coordinado para ampliar la base recaudatoria mediante el fortalecimiento de los mecanismos de vigilancia, control y determinación de obligaciones, promoviendo al mismo tiempo que los contribuyentes corrijan inconsistencias a través de herramientas que faciliten su regularización. De manera complementaria, seguirán las acciones conjuntas con autoridades federales, incluido el Servicio de Administración Tributaria, para acercar servicios como la Oficina Móvil y los Módulos de Servicios Tributarios a los municipios del estado, garantizando un acompañamiento cercano y eficiente en el cumplimiento fiscal.</w:t>
      </w:r>
    </w:p>
    <w:p w14:paraId="10A0FE31"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La</w:t>
      </w:r>
      <w:r w:rsidRPr="001B6518">
        <w:rPr>
          <w:rFonts w:ascii="Arial" w:hAnsi="Arial" w:cs="Arial"/>
        </w:rPr>
        <w:t xml:space="preserve"> iniciativa incorpora los ajustes derivados de las reformas a la Ley General de Hacienda del Estado de Yucatán, </w:t>
      </w:r>
      <w:r w:rsidRPr="001B6518">
        <w:rPr>
          <w:rFonts w:ascii="Arial" w:eastAsia="Arial" w:hAnsi="Arial" w:cs="Arial"/>
        </w:rPr>
        <w:t>orientadas a modernizar</w:t>
      </w:r>
      <w:r w:rsidRPr="001B6518">
        <w:rPr>
          <w:rFonts w:ascii="Arial" w:hAnsi="Arial" w:cs="Arial"/>
        </w:rPr>
        <w:t xml:space="preserve"> el marco fiscal, </w:t>
      </w:r>
      <w:r w:rsidRPr="001B6518">
        <w:rPr>
          <w:rFonts w:ascii="Arial" w:eastAsia="Arial" w:hAnsi="Arial" w:cs="Arial"/>
        </w:rPr>
        <w:t>actualizar</w:t>
      </w:r>
      <w:r w:rsidRPr="001B6518">
        <w:rPr>
          <w:rFonts w:ascii="Arial" w:hAnsi="Arial" w:cs="Arial"/>
        </w:rPr>
        <w:t xml:space="preserve"> impuestos y derechos, y </w:t>
      </w:r>
      <w:r w:rsidRPr="001B6518">
        <w:rPr>
          <w:rFonts w:ascii="Arial" w:eastAsia="Arial" w:hAnsi="Arial" w:cs="Arial"/>
        </w:rPr>
        <w:t>fortalecer la capacidad financiera del Estado en áreas como transporte, seguridad patrimonial y economía. Estas modificaciones responden</w:t>
      </w:r>
      <w:r w:rsidRPr="001B6518">
        <w:rPr>
          <w:rFonts w:ascii="Arial" w:hAnsi="Arial" w:cs="Arial"/>
        </w:rPr>
        <w:t xml:space="preserve"> a la necesidad de contar con un sistema hacendario claro, ordenado y coherente con la dinámica económica </w:t>
      </w:r>
      <w:r w:rsidRPr="001B6518">
        <w:rPr>
          <w:rFonts w:ascii="Arial" w:eastAsia="Arial" w:hAnsi="Arial" w:cs="Arial"/>
        </w:rPr>
        <w:t>actual</w:t>
      </w:r>
      <w:r w:rsidRPr="001B6518">
        <w:rPr>
          <w:rFonts w:ascii="Arial" w:hAnsi="Arial" w:cs="Arial"/>
        </w:rPr>
        <w:t xml:space="preserve">, así como de </w:t>
      </w:r>
      <w:r w:rsidRPr="001B6518">
        <w:rPr>
          <w:rFonts w:ascii="Arial" w:eastAsia="Arial" w:hAnsi="Arial" w:cs="Arial"/>
        </w:rPr>
        <w:t>asegurar</w:t>
      </w:r>
      <w:r w:rsidRPr="001B6518">
        <w:rPr>
          <w:rFonts w:ascii="Arial" w:hAnsi="Arial" w:cs="Arial"/>
        </w:rPr>
        <w:t xml:space="preserve"> condiciones de equidad, seguridad jurídica y </w:t>
      </w:r>
      <w:r w:rsidRPr="001B6518">
        <w:rPr>
          <w:rFonts w:ascii="Arial" w:eastAsia="Arial" w:hAnsi="Arial" w:cs="Arial"/>
        </w:rPr>
        <w:t>suficiencia recaudatoria que permitan enfrentar el incremento</w:t>
      </w:r>
      <w:r w:rsidRPr="001B6518">
        <w:rPr>
          <w:rFonts w:ascii="Arial" w:hAnsi="Arial" w:cs="Arial"/>
        </w:rPr>
        <w:t xml:space="preserve"> en </w:t>
      </w:r>
      <w:r w:rsidRPr="001B6518">
        <w:rPr>
          <w:rFonts w:ascii="Arial" w:eastAsia="Arial" w:hAnsi="Arial" w:cs="Arial"/>
        </w:rPr>
        <w:t>los costos</w:t>
      </w:r>
      <w:r w:rsidRPr="001B6518">
        <w:rPr>
          <w:rFonts w:ascii="Arial" w:hAnsi="Arial" w:cs="Arial"/>
        </w:rPr>
        <w:t xml:space="preserve"> de </w:t>
      </w:r>
      <w:r w:rsidRPr="001B6518">
        <w:rPr>
          <w:rFonts w:ascii="Arial" w:eastAsia="Arial" w:hAnsi="Arial" w:cs="Arial"/>
        </w:rPr>
        <w:t xml:space="preserve">operación, la modernización tecnológica y las </w:t>
      </w:r>
      <w:r w:rsidRPr="001B6518">
        <w:rPr>
          <w:rFonts w:ascii="Arial" w:hAnsi="Arial" w:cs="Arial"/>
        </w:rPr>
        <w:t xml:space="preserve">crecientes </w:t>
      </w:r>
      <w:r w:rsidRPr="001B6518">
        <w:rPr>
          <w:rFonts w:ascii="Arial" w:eastAsia="Arial" w:hAnsi="Arial" w:cs="Arial"/>
        </w:rPr>
        <w:t xml:space="preserve">demandas </w:t>
      </w:r>
      <w:r w:rsidRPr="001B6518">
        <w:rPr>
          <w:rFonts w:ascii="Arial" w:hAnsi="Arial" w:cs="Arial"/>
        </w:rPr>
        <w:t xml:space="preserve">de </w:t>
      </w:r>
      <w:r w:rsidRPr="001B6518">
        <w:rPr>
          <w:rFonts w:ascii="Arial" w:eastAsia="Arial" w:hAnsi="Arial" w:cs="Arial"/>
        </w:rPr>
        <w:t>servicios públicos.</w:t>
      </w:r>
    </w:p>
    <w:p w14:paraId="0B446164" w14:textId="77777777" w:rsidR="002B38D4" w:rsidRPr="001B6518" w:rsidRDefault="002B38D4" w:rsidP="002B38D4">
      <w:pPr>
        <w:spacing w:before="100" w:beforeAutospacing="1" w:after="100" w:afterAutospacing="1" w:line="276" w:lineRule="auto"/>
        <w:jc w:val="both"/>
        <w:rPr>
          <w:rFonts w:ascii="Arial" w:hAnsi="Arial" w:cs="Arial"/>
        </w:rPr>
      </w:pPr>
      <w:r w:rsidRPr="001B6518">
        <w:rPr>
          <w:rFonts w:ascii="Arial" w:eastAsia="Arial" w:hAnsi="Arial" w:cs="Arial"/>
        </w:rPr>
        <w:t xml:space="preserve">Asimismo, los módulos de ventanilla única estatal —tanto fijos como itinerantes— continuarán acercando trámites y servicios a </w:t>
      </w:r>
      <w:r w:rsidRPr="001B6518">
        <w:rPr>
          <w:rFonts w:ascii="Arial" w:hAnsi="Arial" w:cs="Arial"/>
        </w:rPr>
        <w:t>la población</w:t>
      </w:r>
      <w:r w:rsidRPr="001B6518">
        <w:rPr>
          <w:rFonts w:ascii="Arial" w:eastAsia="Arial" w:hAnsi="Arial" w:cs="Arial"/>
        </w:rPr>
        <w:t>, reduciendo costos y agilizando el cumplimiento</w:t>
      </w:r>
      <w:r w:rsidRPr="001B6518">
        <w:rPr>
          <w:rFonts w:ascii="Arial" w:hAnsi="Arial" w:cs="Arial"/>
        </w:rPr>
        <w:t xml:space="preserve"> de </w:t>
      </w:r>
      <w:r w:rsidRPr="001B6518">
        <w:rPr>
          <w:rFonts w:ascii="Arial" w:eastAsia="Arial" w:hAnsi="Arial" w:cs="Arial"/>
        </w:rPr>
        <w:t>obligaciones. En concordancia con la Ley Nacional para eliminar Trámites Burocráticos, se fortalecerán la digitalización y simplificación de procesos para mejorar tiempos de respuesta, promover la transparencia y contribuir a finanzas públicas sólidas que permitan mantener, mejorar y ampliar la infraestructura, los programas sociales y los servicios destinados al bienestar de la población</w:t>
      </w:r>
      <w:r w:rsidRPr="001B6518">
        <w:rPr>
          <w:rFonts w:ascii="Arial" w:hAnsi="Arial" w:cs="Arial"/>
        </w:rPr>
        <w:t>.</w:t>
      </w:r>
    </w:p>
    <w:p w14:paraId="5958E6A9" w14:textId="77777777" w:rsidR="002B38D4" w:rsidRPr="001B6518" w:rsidRDefault="002B38D4" w:rsidP="002B38D4">
      <w:pPr>
        <w:keepNext/>
        <w:keepLines/>
        <w:spacing w:before="100" w:beforeAutospacing="1" w:after="100" w:afterAutospacing="1" w:line="276" w:lineRule="auto"/>
        <w:jc w:val="both"/>
        <w:rPr>
          <w:rFonts w:ascii="Arial" w:eastAsia="Arial" w:hAnsi="Arial" w:cs="Arial"/>
          <w:i/>
        </w:rPr>
      </w:pPr>
      <w:r w:rsidRPr="001B6518">
        <w:rPr>
          <w:rFonts w:ascii="Arial" w:eastAsia="Arial" w:hAnsi="Arial" w:cs="Arial"/>
          <w:i/>
        </w:rPr>
        <w:t>9.2. Cambios en estructura del Clasificador por Rubro de Ingresos (CRI)</w:t>
      </w:r>
    </w:p>
    <w:p w14:paraId="4295B71D"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El Clasificador por Rubro de Ingresos (CRI) constituye el instrumento que ordena, agrupa y presenta los ingresos públicos conforme a su naturaleza y al tipo de transacción que les da origen. A través de este clasificador se distinguen las diversas fuentes de financiamiento del Estado, tales como los impuestos, derechos, productos, aprovechamientos y transferencias, entre otros.</w:t>
      </w:r>
    </w:p>
    <w:p w14:paraId="049EA596"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lastRenderedPageBreak/>
        <w:t>El CRI permite un registro analítico y sistemático de las transacciones de ingresos, facilitando la vinculación entre los aspectos presupuestarios y contables de los recursos públicos. Su estructura básica de codificación comprende dos niveles:</w:t>
      </w:r>
    </w:p>
    <w:p w14:paraId="55431AFF" w14:textId="77777777" w:rsidR="002B38D4" w:rsidRPr="001B6518" w:rsidRDefault="002B38D4" w:rsidP="002B38D4">
      <w:pPr>
        <w:spacing w:before="100" w:beforeAutospacing="1" w:after="100" w:afterAutospacing="1" w:line="276" w:lineRule="auto"/>
        <w:ind w:firstLine="709"/>
        <w:jc w:val="both"/>
        <w:rPr>
          <w:rFonts w:ascii="Arial" w:eastAsia="Arial" w:hAnsi="Arial" w:cs="Arial"/>
        </w:rPr>
      </w:pPr>
      <w:r w:rsidRPr="001B6518">
        <w:rPr>
          <w:rFonts w:ascii="Arial" w:eastAsia="Arial" w:hAnsi="Arial" w:cs="Arial"/>
        </w:rPr>
        <w:t>a) Rubro: nivel superior de agregación que clasifica los ingresos públicos de acuerdo con su naturaleza y el tipo de transacción que los genera.</w:t>
      </w:r>
    </w:p>
    <w:p w14:paraId="0A6F88A0" w14:textId="77777777" w:rsidR="002B38D4" w:rsidRPr="001B6518" w:rsidRDefault="002B38D4" w:rsidP="002B38D4">
      <w:pPr>
        <w:spacing w:before="100" w:beforeAutospacing="1" w:after="100" w:afterAutospacing="1" w:line="276" w:lineRule="auto"/>
        <w:ind w:firstLine="709"/>
        <w:jc w:val="both"/>
        <w:rPr>
          <w:rFonts w:ascii="Arial" w:eastAsia="Arial" w:hAnsi="Arial" w:cs="Arial"/>
        </w:rPr>
      </w:pPr>
      <w:r w:rsidRPr="001B6518">
        <w:rPr>
          <w:rFonts w:ascii="Arial" w:eastAsia="Arial" w:hAnsi="Arial" w:cs="Arial"/>
        </w:rPr>
        <w:t>b) Tipo: nivel intermedio que agrupa los distintos ingresos que integran cada rubro.</w:t>
      </w:r>
    </w:p>
    <w:p w14:paraId="73D90962"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De conformidad con lo establecido por el Consejo Nacional de Armonización Contable (CONAC), los dos primeros niveles de codificación —Rubro (primer nivel) y Tipo (segundo nivel)— son de aplicación general para todos los órdenes de gobierno. No obstante, las instancias competentes en materia de contabilidad gubernamental e ingresos pueden presentar mayor desagregación según sus necesidades específicas, a partir de la estructura básica de dos dígitos.</w:t>
      </w:r>
    </w:p>
    <w:p w14:paraId="6849FBB2"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En este sentido, y con el propósito de fortalecer la claridad, la precisión y la transparencia en la información de los ingresos públicos del Estado, se ha actualizado la nomenclatura correspondiente a los niveles de codificación superiores (a partir del tercer nivel). Esta actualización responde a la necesidad de armonizar los registros con la realidad actual de los recursos, toda vez que en ejercicios fiscales anteriores existía un rezago derivado de los cambios en la denominación, naturaleza y destino de los programas federales que les dan origen.</w:t>
      </w:r>
    </w:p>
    <w:p w14:paraId="7949C8AE"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Con esta modificación, la Ley de Ingresos del Gobierno del Estado de Yucatán para el Ejercicio Fiscal 2026 reflejará de manera más precisa la naturaleza y el destino de los recursos. Este esfuerzo representa un avance significativo en materia de transparencia y rendición de cuentas, ya que:</w:t>
      </w:r>
    </w:p>
    <w:p w14:paraId="1EA4C66E" w14:textId="77777777" w:rsidR="002B38D4" w:rsidRPr="001B6518" w:rsidRDefault="002B38D4" w:rsidP="002B38D4">
      <w:pPr>
        <w:spacing w:before="100" w:beforeAutospacing="1" w:after="100" w:afterAutospacing="1" w:line="276" w:lineRule="auto"/>
        <w:ind w:firstLine="709"/>
        <w:jc w:val="both"/>
        <w:rPr>
          <w:rFonts w:ascii="Arial" w:eastAsia="Arial" w:hAnsi="Arial" w:cs="Arial"/>
        </w:rPr>
      </w:pPr>
      <w:r w:rsidRPr="001B6518">
        <w:rPr>
          <w:rFonts w:ascii="Arial" w:eastAsia="Arial" w:hAnsi="Arial" w:cs="Arial"/>
        </w:rPr>
        <w:t>a) Facilita el acceso ciudadano a información más clara y actualizada sobre la naturaleza de los recursos del Estado.</w:t>
      </w:r>
    </w:p>
    <w:p w14:paraId="325D3052" w14:textId="77777777" w:rsidR="002B38D4" w:rsidRPr="001B6518" w:rsidRDefault="002B38D4" w:rsidP="002B38D4">
      <w:pPr>
        <w:spacing w:before="100" w:beforeAutospacing="1" w:after="100" w:afterAutospacing="1" w:line="276" w:lineRule="auto"/>
        <w:ind w:firstLine="709"/>
        <w:jc w:val="both"/>
        <w:rPr>
          <w:rFonts w:ascii="Arial" w:eastAsia="Arial" w:hAnsi="Arial" w:cs="Arial"/>
        </w:rPr>
      </w:pPr>
      <w:r w:rsidRPr="001B6518">
        <w:rPr>
          <w:rFonts w:ascii="Arial" w:eastAsia="Arial" w:hAnsi="Arial" w:cs="Arial"/>
        </w:rPr>
        <w:t>b) Mejora la comprensión y el seguimiento del destino de los recursos públicos por parte de los ejecutores del gasto.</w:t>
      </w:r>
    </w:p>
    <w:p w14:paraId="3C1382C5" w14:textId="77777777" w:rsidR="002B38D4" w:rsidRPr="001B6518" w:rsidRDefault="002B38D4" w:rsidP="002B38D4">
      <w:pPr>
        <w:spacing w:before="100" w:beforeAutospacing="1" w:after="100" w:afterAutospacing="1" w:line="276" w:lineRule="auto"/>
        <w:ind w:firstLine="709"/>
        <w:jc w:val="both"/>
        <w:rPr>
          <w:rFonts w:ascii="Arial" w:eastAsia="Arial" w:hAnsi="Arial" w:cs="Arial"/>
        </w:rPr>
      </w:pPr>
      <w:r w:rsidRPr="001B6518">
        <w:rPr>
          <w:rFonts w:ascii="Arial" w:eastAsia="Arial" w:hAnsi="Arial" w:cs="Arial"/>
        </w:rPr>
        <w:lastRenderedPageBreak/>
        <w:t>c) Fortalece las labores de fiscalización y control de los órganos competentes, al contar con una estructura de clasificación más precisa y coherente.</w:t>
      </w:r>
    </w:p>
    <w:p w14:paraId="538C9642"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 xml:space="preserve">En suma, la actualización del Clasificador por Rubro de Ingresos constituye una medida de modernización administrativa que promueve una gestión pública más abierta, ordenada y transparente, en beneficio de la sociedad y de las instituciones responsables de la rendición de cuentas. </w:t>
      </w:r>
    </w:p>
    <w:p w14:paraId="536D41E2" w14:textId="77777777" w:rsidR="002B38D4" w:rsidRPr="001B6518" w:rsidRDefault="002B38D4" w:rsidP="002B38D4">
      <w:pPr>
        <w:spacing w:before="100" w:beforeAutospacing="1" w:after="100" w:afterAutospacing="1" w:line="276" w:lineRule="auto"/>
        <w:jc w:val="both"/>
        <w:rPr>
          <w:rFonts w:ascii="Arial" w:eastAsia="Arial" w:hAnsi="Arial" w:cs="Arial"/>
          <w:i/>
        </w:rPr>
      </w:pPr>
      <w:r w:rsidRPr="001B6518">
        <w:rPr>
          <w:rFonts w:ascii="Arial" w:eastAsia="Arial" w:hAnsi="Arial" w:cs="Arial"/>
          <w:i/>
        </w:rPr>
        <w:t>9.2.1. Aportaciones, Convenios y Subsidio UADY</w:t>
      </w:r>
    </w:p>
    <w:p w14:paraId="21856820"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En el caso de las Aportaciones, Convenios, Subsidios y Subvenciones (Subsidio UADY) cambia la nomenclatura tomando como referencia los programas presupuestarios federales de los cuales deriva el recurso o sus componentes, haciendo modificaciones cuando estas pueden ayudar a mejorar la comprensión de la naturaleza del recurso, por ejemplo, se incluye en algunos casos la unidad responsable por parte de la federación, el ejecutor del gasto por parte del Estado o alguna referencia a la nomenclatura anterior.</w:t>
      </w:r>
    </w:p>
    <w:p w14:paraId="15F8521E" w14:textId="77777777" w:rsidR="002B38D4" w:rsidRPr="001B6518" w:rsidRDefault="002B38D4" w:rsidP="002B38D4">
      <w:pPr>
        <w:spacing w:before="100" w:beforeAutospacing="1" w:after="100" w:afterAutospacing="1" w:line="276" w:lineRule="auto"/>
        <w:jc w:val="both"/>
        <w:rPr>
          <w:rFonts w:ascii="Arial" w:eastAsia="Arial" w:hAnsi="Arial" w:cs="Arial"/>
          <w:i/>
        </w:rPr>
      </w:pPr>
      <w:r w:rsidRPr="001B6518">
        <w:rPr>
          <w:rFonts w:ascii="Arial" w:eastAsia="Arial" w:hAnsi="Arial" w:cs="Arial"/>
          <w:i/>
        </w:rPr>
        <w:t>9.2.2. Ramo 28 – Participaciones e Incentivos de Colaboración Fiscal</w:t>
      </w:r>
    </w:p>
    <w:p w14:paraId="72730F1A" w14:textId="77777777" w:rsidR="002B38D4" w:rsidRPr="001B6518" w:rsidRDefault="002B38D4" w:rsidP="002B38D4">
      <w:pPr>
        <w:keepNext/>
        <w:keepLines/>
        <w:spacing w:before="100" w:beforeAutospacing="1" w:after="100" w:afterAutospacing="1" w:line="276" w:lineRule="auto"/>
        <w:jc w:val="both"/>
        <w:rPr>
          <w:rFonts w:ascii="Arial" w:eastAsia="Arial" w:hAnsi="Arial" w:cs="Arial"/>
        </w:rPr>
      </w:pPr>
      <w:r w:rsidRPr="001B6518">
        <w:rPr>
          <w:rFonts w:ascii="Arial" w:eastAsia="Arial" w:hAnsi="Arial" w:cs="Arial"/>
        </w:rPr>
        <w:t>Los recursos provenientes del Ramo 28 se integran por “Participaciones” e “Incentivos Derivados de la Colaboración Fiscal”. En el ejercicio fiscal no se consideran nuevos fondos o conceptos, sin embargo, se reclasifica el “Fondo de Compensación ISAN” y el “Fondo de Compensación Repecos-Intermedios” pasando del rubro de “Participaciones” a “Incentivos Derivados de la Colaboración Fiscal” conforme a lo establecido en el artículo 13 de la Ley de Coordinación Fiscal.</w:t>
      </w:r>
      <w:bookmarkStart w:id="2" w:name="_heading=h.jb0gyu5tnrka" w:colFirst="0" w:colLast="0"/>
      <w:bookmarkEnd w:id="2"/>
    </w:p>
    <w:p w14:paraId="43176037" w14:textId="77777777" w:rsidR="002B38D4" w:rsidRPr="001B6518" w:rsidRDefault="002B38D4" w:rsidP="002B38D4">
      <w:pPr>
        <w:spacing w:before="100" w:beforeAutospacing="1" w:after="100" w:afterAutospacing="1" w:line="276" w:lineRule="auto"/>
        <w:jc w:val="both"/>
        <w:rPr>
          <w:rFonts w:ascii="Arial" w:eastAsia="Arial" w:hAnsi="Arial" w:cs="Arial"/>
          <w:b/>
          <w:bCs/>
        </w:rPr>
      </w:pPr>
      <w:r w:rsidRPr="001B6518">
        <w:rPr>
          <w:rFonts w:ascii="Arial" w:eastAsia="Arial" w:hAnsi="Arial" w:cs="Arial"/>
          <w:b/>
          <w:bCs/>
        </w:rPr>
        <w:t xml:space="preserve">10. Contenido de la ley </w:t>
      </w:r>
    </w:p>
    <w:p w14:paraId="72D2FCE9" w14:textId="77777777" w:rsidR="002B38D4" w:rsidRPr="001B6518" w:rsidRDefault="002B38D4" w:rsidP="002B38D4">
      <w:pPr>
        <w:spacing w:before="100" w:beforeAutospacing="1" w:after="100" w:afterAutospacing="1" w:line="276" w:lineRule="auto"/>
        <w:jc w:val="both"/>
        <w:rPr>
          <w:rFonts w:ascii="Arial" w:eastAsia="Arial" w:hAnsi="Arial" w:cs="Arial"/>
          <w:color w:val="FF0000"/>
        </w:rPr>
      </w:pPr>
      <w:r w:rsidRPr="001B6518">
        <w:rPr>
          <w:rFonts w:ascii="Arial" w:eastAsia="Arial" w:hAnsi="Arial" w:cs="Arial"/>
          <w:bCs/>
        </w:rPr>
        <w:t>Ahora bien,</w:t>
      </w:r>
      <w:r w:rsidRPr="001B6518">
        <w:rPr>
          <w:rFonts w:ascii="Arial" w:eastAsia="Arial" w:hAnsi="Arial" w:cs="Arial"/>
          <w:b/>
        </w:rPr>
        <w:t xml:space="preserve"> </w:t>
      </w:r>
      <w:r w:rsidRPr="001B6518">
        <w:rPr>
          <w:rFonts w:ascii="Arial" w:eastAsia="Arial" w:hAnsi="Arial" w:cs="Arial"/>
          <w:bCs/>
        </w:rPr>
        <w:t>e</w:t>
      </w:r>
      <w:r w:rsidRPr="001B6518">
        <w:rPr>
          <w:rFonts w:ascii="Arial" w:eastAsia="Arial" w:hAnsi="Arial" w:cs="Arial"/>
        </w:rPr>
        <w:t>sta iniciativa se conforma por treinta y cuatro artículos, divididos en seis capítulos, ocho artículos transitorios y tres anexos.</w:t>
      </w:r>
    </w:p>
    <w:p w14:paraId="233D7C2B"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 xml:space="preserve">El capítulo I, denominado “Ingresos” establece la estimación de los ingresos totales que el Gobierno del estado, en todos sus ámbitos, considera obtener para el ejercicio fiscal 2026. El capítulo II, denominado “Disciplina presupuestal en el ingreso”, contiene las premisas y el cumplimiento de disposiciones de la Ley de </w:t>
      </w:r>
      <w:r w:rsidRPr="001B6518">
        <w:rPr>
          <w:rFonts w:ascii="Arial" w:eastAsia="Arial" w:hAnsi="Arial" w:cs="Arial"/>
        </w:rPr>
        <w:lastRenderedPageBreak/>
        <w:t>Disciplina Financiera de las Entidades Federativas y los Municipios, incluyendo el programa anual de financiamiento 2026 y la estimación de las amortizaciones y el costo del servicio de la deuda a largo plazo que se cubrirán durante el ejercicio fiscal 2026. El capítulo III, denominado “Recursos provenientes de la Federación”, considera la obligación del tratamiento de recursos que el estado reciba de la Federación por diferentes rubros, incluyendo contratos o convenios que se celebren con el Gobierno federal y que impliquen ingresos para la Hacienda pública estatal y la recepción y distribución de las participaciones que correspondan a los municipios de la entidad, en términos de las disposiciones legales y normativas aplicables.</w:t>
      </w:r>
    </w:p>
    <w:p w14:paraId="08D14B7A"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El capítulo IV, denominado “Recaudación y concentración de ingresos”, se refiere a la manera en que se hará la recaudación y cómo se concentrarán los recursos públicos del estado por diversos rubros. El capítulo V, denominado “Sujetos públicos obligados”, únicamente contiene un artículo que se refiere a los sujetos públicos obligados al pago de contribuciones. El capítulo VI, denominado “Facilidades a los contribuyentes”, señala las herramientas y los mecanismos encaminados a facilitar el correcto y responsable cumplimiento de las obligaciones tributarias por parte de los contribuyentes.</w:t>
      </w:r>
    </w:p>
    <w:p w14:paraId="6049303B"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Finalmente, se incluyen ocho</w:t>
      </w:r>
      <w:r w:rsidRPr="001B6518">
        <w:rPr>
          <w:rFonts w:ascii="Arial" w:eastAsia="Arial" w:hAnsi="Arial" w:cs="Arial"/>
          <w:color w:val="EE0000"/>
        </w:rPr>
        <w:t xml:space="preserve"> </w:t>
      </w:r>
      <w:r w:rsidRPr="001B6518">
        <w:rPr>
          <w:rFonts w:ascii="Arial" w:eastAsia="Arial" w:hAnsi="Arial" w:cs="Arial"/>
        </w:rPr>
        <w:t>artículos transitorios con disposiciones que permitirán una efectiva entrada en vigor y aplicación de la ley.</w:t>
      </w:r>
    </w:p>
    <w:p w14:paraId="72CC2803"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Es importante mencionar que el artículo 2 de la ley contenida en esta iniciativa, dispone la tabla 1, denominada “Clasificador por rubro de ingresos”, establecida por el Consejo Nacional de Armonización Contable como instrumento de la administración financiera gubernamental.</w:t>
      </w:r>
    </w:p>
    <w:p w14:paraId="1D280077"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color w:val="000000"/>
          <w:highlight w:val="white"/>
        </w:rPr>
        <w:t>Para los efectos de esta exposición de motivos, algunas de las cifras referentes a los recursos financieros se señalan de manera redondeada y en millones de pesos (mdp). Lo anterior, solo para facilitar su lectura y comprensión dentro del texto.</w:t>
      </w:r>
    </w:p>
    <w:p w14:paraId="22A694FF" w14:textId="77777777" w:rsidR="002B38D4" w:rsidRPr="001B6518" w:rsidRDefault="002B38D4" w:rsidP="002B38D4">
      <w:pPr>
        <w:spacing w:before="100" w:beforeAutospacing="1" w:after="100" w:afterAutospacing="1" w:line="276" w:lineRule="auto"/>
        <w:jc w:val="both"/>
        <w:rPr>
          <w:rFonts w:ascii="Arial" w:eastAsia="Arial" w:hAnsi="Arial" w:cs="Arial"/>
          <w:i/>
        </w:rPr>
      </w:pPr>
      <w:r w:rsidRPr="001B6518">
        <w:rPr>
          <w:rFonts w:ascii="Arial" w:eastAsia="Arial" w:hAnsi="Arial" w:cs="Arial"/>
          <w:i/>
        </w:rPr>
        <w:t>10.1 Impacto Presupuestario</w:t>
      </w:r>
    </w:p>
    <w:p w14:paraId="6BAEC437" w14:textId="77777777" w:rsidR="002B38D4" w:rsidRPr="001B6518" w:rsidRDefault="002B38D4" w:rsidP="002B38D4">
      <w:pPr>
        <w:spacing w:before="100" w:beforeAutospacing="1" w:after="100" w:afterAutospacing="1" w:line="276" w:lineRule="auto"/>
        <w:jc w:val="both"/>
        <w:rPr>
          <w:rFonts w:ascii="Arial" w:eastAsia="Arial" w:hAnsi="Arial" w:cs="Arial"/>
        </w:rPr>
      </w:pPr>
      <w:r w:rsidRPr="001B6518">
        <w:rPr>
          <w:rFonts w:ascii="Arial" w:eastAsia="Arial" w:hAnsi="Arial" w:cs="Arial"/>
        </w:rPr>
        <w:t xml:space="preserve">Esta iniciativa tiene por objeto establecer los recursos que el Estado estima percibir durante el ejercicio fiscal 2026 y que estarán disponibles para su aplicación conforme al Presupuesto de Egresos del Estado de Yucatán para el mismo ejercicio </w:t>
      </w:r>
      <w:r w:rsidRPr="001B6518">
        <w:rPr>
          <w:rFonts w:ascii="Arial" w:eastAsia="Arial" w:hAnsi="Arial" w:cs="Arial"/>
        </w:rPr>
        <w:lastRenderedPageBreak/>
        <w:t xml:space="preserve">fiscal. Conforme a lo establecido en el artículo 16 de la Ley de Disciplina Financiera de las Entidades Federativas y los Municipios, el presente decreto se sustenta en el principio fundamental de balance presupuestario sostenible. De esta forma y relacionado con el Presupuesto de Egresos del Estado de Yucatán para el Ejercicio Fiscal 2026, el paquete fiscal 2026 se presenta un presupuesto balanceado, sujetando los gastos a la capacidad financiera establecida en esta iniciativa. </w:t>
      </w:r>
    </w:p>
    <w:p w14:paraId="2AAA5A0F" w14:textId="77777777" w:rsidR="002B38D4" w:rsidRPr="001B6518" w:rsidRDefault="002B38D4" w:rsidP="002B38D4">
      <w:pPr>
        <w:spacing w:before="100" w:beforeAutospacing="1" w:after="100" w:afterAutospacing="1" w:line="276" w:lineRule="auto"/>
        <w:jc w:val="both"/>
        <w:rPr>
          <w:rFonts w:ascii="Arial" w:eastAsia="Arial" w:hAnsi="Arial" w:cs="Arial"/>
          <w:color w:val="FF0000"/>
        </w:rPr>
      </w:pPr>
      <w:r w:rsidRPr="001B6518">
        <w:rPr>
          <w:rFonts w:ascii="Arial" w:eastAsia="Arial" w:hAnsi="Arial" w:cs="Arial"/>
        </w:rPr>
        <w:t>En virtud de lo anterior, y en ejercicio de la facultad que me confiere el artículo 35, fracción II, y 55, fracción XIV, de la Constitución Política del Estado de Yucatán, someto a su consideración la siguiente:</w:t>
      </w:r>
    </w:p>
    <w:p w14:paraId="00000042" w14:textId="77777777" w:rsidR="006B6C42" w:rsidRPr="001B6518" w:rsidRDefault="00DA2020">
      <w:pPr>
        <w:spacing w:before="280" w:after="280" w:line="240" w:lineRule="auto"/>
        <w:jc w:val="center"/>
        <w:rPr>
          <w:rFonts w:ascii="Arial" w:eastAsia="Arial" w:hAnsi="Arial" w:cs="Arial"/>
          <w:b/>
        </w:rPr>
      </w:pPr>
      <w:r w:rsidRPr="001B6518">
        <w:rPr>
          <w:rFonts w:ascii="Arial" w:eastAsia="Arial" w:hAnsi="Arial" w:cs="Arial"/>
          <w:b/>
        </w:rPr>
        <w:t>Iniciativa para expedir la Ley de Ingresos del Estado de Yucatán para el Ejercicio Fiscal 2026</w:t>
      </w:r>
    </w:p>
    <w:p w14:paraId="00000043" w14:textId="15CE8AF6" w:rsidR="006B6C42" w:rsidRPr="001B6518" w:rsidRDefault="00DA2020">
      <w:pPr>
        <w:spacing w:before="280" w:after="280" w:line="240" w:lineRule="auto"/>
        <w:jc w:val="both"/>
        <w:rPr>
          <w:rFonts w:ascii="Arial" w:eastAsia="Arial" w:hAnsi="Arial" w:cs="Arial"/>
        </w:rPr>
      </w:pPr>
      <w:r w:rsidRPr="001B6518">
        <w:rPr>
          <w:rFonts w:ascii="Arial" w:eastAsia="Arial" w:hAnsi="Arial" w:cs="Arial"/>
          <w:b/>
        </w:rPr>
        <w:t>Artículo único.</w:t>
      </w:r>
      <w:r w:rsidRPr="001B6518">
        <w:rPr>
          <w:rFonts w:ascii="Arial" w:eastAsia="Arial" w:hAnsi="Arial" w:cs="Arial"/>
        </w:rPr>
        <w:t xml:space="preserve"> Se expide la </w:t>
      </w:r>
      <w:r w:rsidR="004B0B37" w:rsidRPr="004B0B37">
        <w:rPr>
          <w:rFonts w:ascii="Arial" w:eastAsia="Arial" w:hAnsi="Arial" w:cs="Arial"/>
        </w:rPr>
        <w:t>Ley de Ingresos del Estado de Yucatán para el Ejercicio Fiscal 2026</w:t>
      </w:r>
      <w:r w:rsidRPr="001B6518">
        <w:rPr>
          <w:rFonts w:ascii="Arial" w:eastAsia="Arial" w:hAnsi="Arial" w:cs="Arial"/>
        </w:rPr>
        <w:t>.</w:t>
      </w:r>
    </w:p>
    <w:p w14:paraId="00000044" w14:textId="61973F2A" w:rsidR="006B6C42" w:rsidRPr="001B6518" w:rsidRDefault="004B0B37">
      <w:pPr>
        <w:spacing w:before="280" w:after="280" w:line="240" w:lineRule="auto"/>
        <w:jc w:val="center"/>
        <w:rPr>
          <w:rFonts w:ascii="Arial" w:eastAsia="Arial" w:hAnsi="Arial" w:cs="Arial"/>
          <w:b/>
        </w:rPr>
      </w:pPr>
      <w:r w:rsidRPr="004B0B37">
        <w:rPr>
          <w:rFonts w:ascii="Arial" w:eastAsia="Arial" w:hAnsi="Arial" w:cs="Arial"/>
          <w:b/>
        </w:rPr>
        <w:t>Ley de Ingresos del Estado de Yucatán para el Ejercicio Fiscal 2026</w:t>
      </w:r>
    </w:p>
    <w:p w14:paraId="00000045" w14:textId="77777777" w:rsidR="006B6C42" w:rsidRPr="001B6518" w:rsidRDefault="00DA2020">
      <w:pPr>
        <w:spacing w:before="280" w:after="280" w:line="240" w:lineRule="auto"/>
        <w:jc w:val="center"/>
        <w:rPr>
          <w:rFonts w:ascii="Arial" w:eastAsia="Arial" w:hAnsi="Arial" w:cs="Arial"/>
          <w:b/>
        </w:rPr>
      </w:pPr>
      <w:r w:rsidRPr="001B6518">
        <w:rPr>
          <w:rFonts w:ascii="Arial" w:eastAsia="Arial" w:hAnsi="Arial" w:cs="Arial"/>
          <w:b/>
        </w:rPr>
        <w:t>Capítulo I</w:t>
      </w:r>
      <w:r w:rsidRPr="001B6518">
        <w:rPr>
          <w:rFonts w:ascii="Arial" w:eastAsia="Arial" w:hAnsi="Arial" w:cs="Arial"/>
        </w:rPr>
        <w:br/>
      </w:r>
      <w:r w:rsidRPr="001B6518">
        <w:rPr>
          <w:rFonts w:ascii="Arial" w:eastAsia="Arial" w:hAnsi="Arial" w:cs="Arial"/>
          <w:b/>
        </w:rPr>
        <w:t>Ingresos</w:t>
      </w:r>
    </w:p>
    <w:p w14:paraId="00000046" w14:textId="77777777"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Artículo 1. Objeto</w:t>
      </w:r>
    </w:p>
    <w:p w14:paraId="00000047"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Esta ley tiene por objeto establecer las estimaciones de los ingresos que percibirá el estado de Yucatán durante el ejercicio fiscal comprendido del 1 de enero de 2026 al 31 de diciembre de 2026, que permitirán atender y financiar, entre otros rubros las inversiones públicas, la organización y la prestación de servicios públicos y los proyectos estratégicos, así como trabajar en el cumplimiento de las directrices y vertientes establecidas en el Plan Estatal de Desarrollo Renacimiento Maya 2024-2030.</w:t>
      </w:r>
    </w:p>
    <w:p w14:paraId="00000048"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 xml:space="preserve">Los ingresos referidos en el párrafo anterior se integrarán, de manera enunciativa, mas no limitativa, con los recursos provenientes de impuestos, cuotas y aportaciones de seguridad social, derechos, productos, aprovechamientos, ingresos por venta de bienes y servicios, participaciones, aportaciones, convenios, incentivos derivados de la colaboración fiscal, fondos distintos de aportaciones, subsidios y subvenciones, así como ingresos derivados de financiamientos que determinen esta ley y las demás disposiciones fiscales aplicables. </w:t>
      </w:r>
    </w:p>
    <w:p w14:paraId="00000049" w14:textId="77777777"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lastRenderedPageBreak/>
        <w:t>Artículo 2. Ingresos</w:t>
      </w:r>
    </w:p>
    <w:p w14:paraId="0000004A"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 xml:space="preserve">Los ingresos que el estado de Yucatán percibirá durante el ejercicio fiscal 2026 serán los provenientes de los rubros, tipos y en las cantidades estimadas que a continuación se enumeran: </w:t>
      </w:r>
    </w:p>
    <w:p w14:paraId="0000004C" w14:textId="77777777" w:rsidR="006B6C42" w:rsidRPr="001B6518" w:rsidRDefault="00DA2020">
      <w:pPr>
        <w:spacing w:before="280" w:after="280" w:line="240" w:lineRule="auto"/>
        <w:jc w:val="center"/>
        <w:rPr>
          <w:rFonts w:ascii="Arial" w:eastAsia="Arial" w:hAnsi="Arial" w:cs="Arial"/>
          <w:b/>
          <w:sz w:val="20"/>
          <w:szCs w:val="20"/>
        </w:rPr>
      </w:pPr>
      <w:r w:rsidRPr="001B6518">
        <w:rPr>
          <w:rFonts w:ascii="Arial" w:eastAsia="Arial" w:hAnsi="Arial" w:cs="Arial"/>
          <w:b/>
          <w:sz w:val="20"/>
          <w:szCs w:val="20"/>
        </w:rPr>
        <w:t>Tabla 1. Clasificador por rubro de ingresos</w:t>
      </w:r>
    </w:p>
    <w:tbl>
      <w:tblPr>
        <w:tblW w:w="5000" w:type="pct"/>
        <w:tblLayout w:type="fixed"/>
        <w:tblCellMar>
          <w:left w:w="70" w:type="dxa"/>
          <w:right w:w="70" w:type="dxa"/>
        </w:tblCellMar>
        <w:tblLook w:val="04A0" w:firstRow="1" w:lastRow="0" w:firstColumn="1" w:lastColumn="0" w:noHBand="0" w:noVBand="1"/>
      </w:tblPr>
      <w:tblGrid>
        <w:gridCol w:w="851"/>
        <w:gridCol w:w="6662"/>
        <w:gridCol w:w="1315"/>
      </w:tblGrid>
      <w:tr w:rsidR="00E23F6E" w:rsidRPr="001B6518" w14:paraId="490E1A17" w14:textId="77777777" w:rsidTr="00B04627">
        <w:trPr>
          <w:trHeight w:val="20"/>
          <w:tblHeader/>
        </w:trPr>
        <w:tc>
          <w:tcPr>
            <w:tcW w:w="482" w:type="pct"/>
            <w:tcBorders>
              <w:top w:val="single" w:sz="8" w:space="0" w:color="auto"/>
              <w:left w:val="nil"/>
              <w:bottom w:val="single" w:sz="8" w:space="0" w:color="auto"/>
              <w:right w:val="single" w:sz="8" w:space="0" w:color="auto"/>
            </w:tcBorders>
            <w:shd w:val="clear" w:color="000000" w:fill="000000"/>
            <w:noWrap/>
            <w:vAlign w:val="center"/>
            <w:hideMark/>
          </w:tcPr>
          <w:p w14:paraId="540EB8A1" w14:textId="77777777" w:rsidR="00E23F6E" w:rsidRPr="001B6518" w:rsidRDefault="00E23F6E" w:rsidP="00E23F6E">
            <w:pPr>
              <w:spacing w:after="0" w:line="240" w:lineRule="auto"/>
              <w:jc w:val="center"/>
              <w:rPr>
                <w:rFonts w:ascii="Arial" w:hAnsi="Arial" w:cs="Arial"/>
                <w:b/>
                <w:bCs/>
                <w:color w:val="FFFFFF"/>
                <w:sz w:val="16"/>
                <w:szCs w:val="16"/>
              </w:rPr>
            </w:pPr>
            <w:r w:rsidRPr="001B6518">
              <w:rPr>
                <w:rFonts w:ascii="Arial" w:hAnsi="Arial" w:cs="Arial"/>
                <w:b/>
                <w:bCs/>
                <w:color w:val="FFFFFF"/>
                <w:sz w:val="16"/>
                <w:szCs w:val="16"/>
              </w:rPr>
              <w:t xml:space="preserve">C.R.I. 2026 </w:t>
            </w:r>
          </w:p>
        </w:tc>
        <w:tc>
          <w:tcPr>
            <w:tcW w:w="3773" w:type="pct"/>
            <w:tcBorders>
              <w:top w:val="single" w:sz="8" w:space="0" w:color="auto"/>
              <w:left w:val="nil"/>
              <w:bottom w:val="single" w:sz="8" w:space="0" w:color="auto"/>
              <w:right w:val="single" w:sz="8" w:space="0" w:color="auto"/>
            </w:tcBorders>
            <w:shd w:val="clear" w:color="000000" w:fill="000000"/>
            <w:noWrap/>
            <w:vAlign w:val="center"/>
            <w:hideMark/>
          </w:tcPr>
          <w:p w14:paraId="53CDCA9C" w14:textId="77777777" w:rsidR="00E23F6E" w:rsidRPr="001B6518" w:rsidRDefault="00E23F6E" w:rsidP="00E23F6E">
            <w:pPr>
              <w:spacing w:after="0" w:line="240" w:lineRule="auto"/>
              <w:jc w:val="center"/>
              <w:rPr>
                <w:rFonts w:ascii="Arial" w:hAnsi="Arial" w:cs="Arial"/>
                <w:b/>
                <w:bCs/>
                <w:color w:val="FFFFFF"/>
                <w:sz w:val="16"/>
                <w:szCs w:val="16"/>
              </w:rPr>
            </w:pPr>
            <w:r w:rsidRPr="001B6518">
              <w:rPr>
                <w:rFonts w:ascii="Arial" w:hAnsi="Arial" w:cs="Arial"/>
                <w:b/>
                <w:bCs/>
                <w:color w:val="FFFFFF"/>
                <w:sz w:val="16"/>
                <w:szCs w:val="16"/>
              </w:rPr>
              <w:t xml:space="preserve"> CONCEPTO </w:t>
            </w:r>
          </w:p>
        </w:tc>
        <w:tc>
          <w:tcPr>
            <w:tcW w:w="745" w:type="pct"/>
            <w:tcBorders>
              <w:top w:val="single" w:sz="8" w:space="0" w:color="auto"/>
              <w:left w:val="nil"/>
              <w:bottom w:val="single" w:sz="8" w:space="0" w:color="auto"/>
              <w:right w:val="single" w:sz="8" w:space="0" w:color="auto"/>
            </w:tcBorders>
            <w:shd w:val="clear" w:color="000000" w:fill="000000"/>
            <w:noWrap/>
            <w:vAlign w:val="center"/>
            <w:hideMark/>
          </w:tcPr>
          <w:p w14:paraId="18E29F83" w14:textId="77777777" w:rsidR="00E23F6E" w:rsidRPr="001B6518" w:rsidRDefault="00E23F6E" w:rsidP="00E23F6E">
            <w:pPr>
              <w:spacing w:after="0" w:line="240" w:lineRule="auto"/>
              <w:jc w:val="center"/>
              <w:rPr>
                <w:rFonts w:ascii="Arial" w:hAnsi="Arial" w:cs="Arial"/>
                <w:b/>
                <w:bCs/>
                <w:color w:val="FFFFFF"/>
                <w:sz w:val="16"/>
                <w:szCs w:val="16"/>
              </w:rPr>
            </w:pPr>
            <w:r w:rsidRPr="001B6518">
              <w:rPr>
                <w:rFonts w:ascii="Arial" w:hAnsi="Arial" w:cs="Arial"/>
                <w:b/>
                <w:bCs/>
                <w:color w:val="FFFFFF"/>
                <w:sz w:val="16"/>
                <w:szCs w:val="16"/>
              </w:rPr>
              <w:t xml:space="preserve"> Totales </w:t>
            </w:r>
          </w:p>
        </w:tc>
      </w:tr>
      <w:tr w:rsidR="00E23F6E" w:rsidRPr="001B6518" w14:paraId="461B828A" w14:textId="77777777" w:rsidTr="00E23F6E">
        <w:trPr>
          <w:trHeight w:val="20"/>
        </w:trPr>
        <w:tc>
          <w:tcPr>
            <w:tcW w:w="482" w:type="pct"/>
            <w:tcBorders>
              <w:top w:val="nil"/>
              <w:left w:val="nil"/>
              <w:bottom w:val="single" w:sz="8" w:space="0" w:color="auto"/>
              <w:right w:val="single" w:sz="8" w:space="0" w:color="auto"/>
            </w:tcBorders>
            <w:shd w:val="clear" w:color="000000" w:fill="F2F2F2"/>
            <w:noWrap/>
            <w:vAlign w:val="center"/>
            <w:hideMark/>
          </w:tcPr>
          <w:p w14:paraId="3D0BB25B"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w:t>
            </w:r>
          </w:p>
        </w:tc>
        <w:tc>
          <w:tcPr>
            <w:tcW w:w="3773" w:type="pct"/>
            <w:tcBorders>
              <w:top w:val="nil"/>
              <w:left w:val="nil"/>
              <w:bottom w:val="single" w:sz="8" w:space="0" w:color="auto"/>
              <w:right w:val="single" w:sz="8" w:space="0" w:color="auto"/>
            </w:tcBorders>
            <w:shd w:val="clear" w:color="000000" w:fill="F2F2F2"/>
            <w:noWrap/>
            <w:vAlign w:val="center"/>
            <w:hideMark/>
          </w:tcPr>
          <w:p w14:paraId="04C62A46"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Total PLIE</w:t>
            </w:r>
          </w:p>
        </w:tc>
        <w:tc>
          <w:tcPr>
            <w:tcW w:w="745" w:type="pct"/>
            <w:tcBorders>
              <w:top w:val="nil"/>
              <w:left w:val="nil"/>
              <w:bottom w:val="single" w:sz="8" w:space="0" w:color="auto"/>
              <w:right w:val="nil"/>
            </w:tcBorders>
            <w:shd w:val="clear" w:color="000000" w:fill="F2F2F2"/>
            <w:noWrap/>
            <w:vAlign w:val="center"/>
            <w:hideMark/>
          </w:tcPr>
          <w:p w14:paraId="41507168"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66,407,949,735 </w:t>
            </w:r>
          </w:p>
        </w:tc>
      </w:tr>
      <w:tr w:rsidR="00E23F6E" w:rsidRPr="001B6518" w14:paraId="42EB7BA8" w14:textId="77777777" w:rsidTr="00E23F6E">
        <w:trPr>
          <w:trHeight w:val="20"/>
        </w:trPr>
        <w:tc>
          <w:tcPr>
            <w:tcW w:w="482" w:type="pct"/>
            <w:tcBorders>
              <w:top w:val="nil"/>
              <w:left w:val="nil"/>
              <w:bottom w:val="single" w:sz="8" w:space="0" w:color="auto"/>
              <w:right w:val="single" w:sz="8" w:space="0" w:color="auto"/>
            </w:tcBorders>
            <w:shd w:val="clear" w:color="000000" w:fill="D9D9D9"/>
            <w:noWrap/>
            <w:vAlign w:val="center"/>
            <w:hideMark/>
          </w:tcPr>
          <w:p w14:paraId="286BC738"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1</w:t>
            </w:r>
          </w:p>
        </w:tc>
        <w:tc>
          <w:tcPr>
            <w:tcW w:w="3773" w:type="pct"/>
            <w:tcBorders>
              <w:top w:val="nil"/>
              <w:left w:val="nil"/>
              <w:bottom w:val="single" w:sz="8" w:space="0" w:color="auto"/>
              <w:right w:val="single" w:sz="8" w:space="0" w:color="auto"/>
            </w:tcBorders>
            <w:shd w:val="clear" w:color="000000" w:fill="D9D9D9"/>
            <w:noWrap/>
            <w:vAlign w:val="center"/>
            <w:hideMark/>
          </w:tcPr>
          <w:p w14:paraId="49C67613"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Impuestos</w:t>
            </w:r>
          </w:p>
        </w:tc>
        <w:tc>
          <w:tcPr>
            <w:tcW w:w="745" w:type="pct"/>
            <w:tcBorders>
              <w:top w:val="nil"/>
              <w:left w:val="nil"/>
              <w:bottom w:val="single" w:sz="8" w:space="0" w:color="auto"/>
              <w:right w:val="nil"/>
            </w:tcBorders>
            <w:shd w:val="clear" w:color="000000" w:fill="D9D9D9"/>
            <w:vAlign w:val="center"/>
            <w:hideMark/>
          </w:tcPr>
          <w:p w14:paraId="5DACA2B9"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5,214,559,050 </w:t>
            </w:r>
          </w:p>
        </w:tc>
      </w:tr>
      <w:tr w:rsidR="00E23F6E" w:rsidRPr="001B6518" w14:paraId="4F6C3673" w14:textId="77777777" w:rsidTr="00E23F6E">
        <w:trPr>
          <w:trHeight w:val="20"/>
        </w:trPr>
        <w:tc>
          <w:tcPr>
            <w:tcW w:w="482" w:type="pct"/>
            <w:tcBorders>
              <w:top w:val="nil"/>
              <w:left w:val="nil"/>
              <w:bottom w:val="single" w:sz="8" w:space="0" w:color="auto"/>
              <w:right w:val="single" w:sz="8" w:space="0" w:color="auto"/>
            </w:tcBorders>
            <w:shd w:val="clear" w:color="000000" w:fill="FFFFFF"/>
            <w:noWrap/>
            <w:vAlign w:val="center"/>
            <w:hideMark/>
          </w:tcPr>
          <w:p w14:paraId="5EF3BDD0"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1.1</w:t>
            </w:r>
          </w:p>
        </w:tc>
        <w:tc>
          <w:tcPr>
            <w:tcW w:w="3773" w:type="pct"/>
            <w:tcBorders>
              <w:top w:val="nil"/>
              <w:left w:val="nil"/>
              <w:bottom w:val="single" w:sz="8" w:space="0" w:color="auto"/>
              <w:right w:val="single" w:sz="8" w:space="0" w:color="auto"/>
            </w:tcBorders>
            <w:shd w:val="clear" w:color="000000" w:fill="FFFFFF"/>
            <w:noWrap/>
            <w:vAlign w:val="center"/>
            <w:hideMark/>
          </w:tcPr>
          <w:p w14:paraId="47C5AFFA"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Impuestos sobre los Ingresos</w:t>
            </w:r>
          </w:p>
        </w:tc>
        <w:tc>
          <w:tcPr>
            <w:tcW w:w="745" w:type="pct"/>
            <w:tcBorders>
              <w:top w:val="nil"/>
              <w:left w:val="nil"/>
              <w:bottom w:val="single" w:sz="8" w:space="0" w:color="auto"/>
              <w:right w:val="nil"/>
            </w:tcBorders>
            <w:shd w:val="clear" w:color="000000" w:fill="FFFFFF"/>
            <w:noWrap/>
            <w:vAlign w:val="center"/>
            <w:hideMark/>
          </w:tcPr>
          <w:p w14:paraId="05FCD461"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493,185,663 </w:t>
            </w:r>
          </w:p>
        </w:tc>
      </w:tr>
      <w:tr w:rsidR="00E23F6E" w:rsidRPr="001B6518" w14:paraId="140B83A0"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571AFE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1.1.1</w:t>
            </w:r>
          </w:p>
        </w:tc>
        <w:tc>
          <w:tcPr>
            <w:tcW w:w="3773" w:type="pct"/>
            <w:tcBorders>
              <w:top w:val="nil"/>
              <w:left w:val="nil"/>
              <w:bottom w:val="single" w:sz="8" w:space="0" w:color="auto"/>
              <w:right w:val="single" w:sz="8" w:space="0" w:color="auto"/>
            </w:tcBorders>
            <w:shd w:val="clear" w:color="000000" w:fill="FFFFFF"/>
            <w:noWrap/>
            <w:vAlign w:val="center"/>
            <w:hideMark/>
          </w:tcPr>
          <w:p w14:paraId="7574CC89"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Sobre loterías, rifas, sorteos, concursos y juegos con cruce de apuestas legalmente permitidos</w:t>
            </w:r>
          </w:p>
        </w:tc>
        <w:tc>
          <w:tcPr>
            <w:tcW w:w="745" w:type="pct"/>
            <w:tcBorders>
              <w:top w:val="nil"/>
              <w:left w:val="nil"/>
              <w:bottom w:val="single" w:sz="8" w:space="0" w:color="auto"/>
              <w:right w:val="nil"/>
            </w:tcBorders>
            <w:shd w:val="clear" w:color="000000" w:fill="FFFFFF"/>
            <w:vAlign w:val="center"/>
            <w:hideMark/>
          </w:tcPr>
          <w:p w14:paraId="1CD78B6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101,533,123 </w:t>
            </w:r>
          </w:p>
        </w:tc>
      </w:tr>
      <w:tr w:rsidR="00E23F6E" w:rsidRPr="001B6518" w14:paraId="5D42BC94"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8C5541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1.1.2</w:t>
            </w:r>
          </w:p>
        </w:tc>
        <w:tc>
          <w:tcPr>
            <w:tcW w:w="3773" w:type="pct"/>
            <w:tcBorders>
              <w:top w:val="nil"/>
              <w:left w:val="nil"/>
              <w:bottom w:val="single" w:sz="8" w:space="0" w:color="auto"/>
              <w:right w:val="single" w:sz="8" w:space="0" w:color="auto"/>
            </w:tcBorders>
            <w:shd w:val="clear" w:color="000000" w:fill="FFFFFF"/>
            <w:noWrap/>
            <w:vAlign w:val="center"/>
            <w:hideMark/>
          </w:tcPr>
          <w:p w14:paraId="65389ED8"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Sobre el ejercicio profesional</w:t>
            </w:r>
          </w:p>
        </w:tc>
        <w:tc>
          <w:tcPr>
            <w:tcW w:w="745" w:type="pct"/>
            <w:tcBorders>
              <w:top w:val="nil"/>
              <w:left w:val="nil"/>
              <w:bottom w:val="single" w:sz="8" w:space="0" w:color="auto"/>
              <w:right w:val="nil"/>
            </w:tcBorders>
            <w:shd w:val="clear" w:color="000000" w:fill="FFFFFF"/>
            <w:vAlign w:val="center"/>
            <w:hideMark/>
          </w:tcPr>
          <w:p w14:paraId="4832BB2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63,482,864 </w:t>
            </w:r>
          </w:p>
        </w:tc>
      </w:tr>
      <w:tr w:rsidR="00E23F6E" w:rsidRPr="001B6518" w14:paraId="6AF7271E"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4496BC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1.1.3</w:t>
            </w:r>
          </w:p>
        </w:tc>
        <w:tc>
          <w:tcPr>
            <w:tcW w:w="3773" w:type="pct"/>
            <w:tcBorders>
              <w:top w:val="nil"/>
              <w:left w:val="nil"/>
              <w:bottom w:val="single" w:sz="8" w:space="0" w:color="auto"/>
              <w:right w:val="single" w:sz="8" w:space="0" w:color="auto"/>
            </w:tcBorders>
            <w:shd w:val="clear" w:color="000000" w:fill="FFFFFF"/>
            <w:noWrap/>
            <w:vAlign w:val="center"/>
            <w:hideMark/>
          </w:tcPr>
          <w:p w14:paraId="6FB9A935"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Cedular sobre la obtención de ingresos por actividades empresariales</w:t>
            </w:r>
          </w:p>
        </w:tc>
        <w:tc>
          <w:tcPr>
            <w:tcW w:w="745" w:type="pct"/>
            <w:tcBorders>
              <w:top w:val="nil"/>
              <w:left w:val="nil"/>
              <w:bottom w:val="single" w:sz="8" w:space="0" w:color="auto"/>
              <w:right w:val="nil"/>
            </w:tcBorders>
            <w:shd w:val="clear" w:color="000000" w:fill="FFFFFF"/>
            <w:vAlign w:val="center"/>
            <w:hideMark/>
          </w:tcPr>
          <w:p w14:paraId="409D3B4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98,089,160 </w:t>
            </w:r>
          </w:p>
        </w:tc>
      </w:tr>
      <w:tr w:rsidR="00E23F6E" w:rsidRPr="001B6518" w14:paraId="6694E010"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6A4A96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1.1.4</w:t>
            </w:r>
          </w:p>
        </w:tc>
        <w:tc>
          <w:tcPr>
            <w:tcW w:w="3773" w:type="pct"/>
            <w:tcBorders>
              <w:top w:val="nil"/>
              <w:left w:val="nil"/>
              <w:bottom w:val="single" w:sz="8" w:space="0" w:color="auto"/>
              <w:right w:val="single" w:sz="8" w:space="0" w:color="auto"/>
            </w:tcBorders>
            <w:shd w:val="clear" w:color="000000" w:fill="FFFFFF"/>
            <w:noWrap/>
            <w:vAlign w:val="center"/>
            <w:hideMark/>
          </w:tcPr>
          <w:p w14:paraId="16049A6F"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Cedular por la enajenación de bienes inmuebles</w:t>
            </w:r>
          </w:p>
        </w:tc>
        <w:tc>
          <w:tcPr>
            <w:tcW w:w="745" w:type="pct"/>
            <w:tcBorders>
              <w:top w:val="nil"/>
              <w:left w:val="nil"/>
              <w:bottom w:val="single" w:sz="8" w:space="0" w:color="auto"/>
              <w:right w:val="nil"/>
            </w:tcBorders>
            <w:shd w:val="clear" w:color="000000" w:fill="FFFFFF"/>
            <w:vAlign w:val="center"/>
            <w:hideMark/>
          </w:tcPr>
          <w:p w14:paraId="49A5540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230,080,516 </w:t>
            </w:r>
          </w:p>
        </w:tc>
      </w:tr>
      <w:tr w:rsidR="00E23F6E" w:rsidRPr="001B6518" w14:paraId="5F8F7369" w14:textId="77777777" w:rsidTr="00E23F6E">
        <w:trPr>
          <w:trHeight w:val="20"/>
        </w:trPr>
        <w:tc>
          <w:tcPr>
            <w:tcW w:w="482" w:type="pct"/>
            <w:tcBorders>
              <w:top w:val="nil"/>
              <w:left w:val="nil"/>
              <w:bottom w:val="single" w:sz="8" w:space="0" w:color="auto"/>
              <w:right w:val="single" w:sz="8" w:space="0" w:color="auto"/>
            </w:tcBorders>
            <w:shd w:val="clear" w:color="000000" w:fill="FFFFFF"/>
            <w:noWrap/>
            <w:vAlign w:val="center"/>
            <w:hideMark/>
          </w:tcPr>
          <w:p w14:paraId="7864B201"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1.2</w:t>
            </w:r>
          </w:p>
        </w:tc>
        <w:tc>
          <w:tcPr>
            <w:tcW w:w="3773" w:type="pct"/>
            <w:tcBorders>
              <w:top w:val="nil"/>
              <w:left w:val="nil"/>
              <w:bottom w:val="single" w:sz="8" w:space="0" w:color="auto"/>
              <w:right w:val="single" w:sz="8" w:space="0" w:color="auto"/>
            </w:tcBorders>
            <w:shd w:val="clear" w:color="000000" w:fill="FFFFFF"/>
            <w:noWrap/>
            <w:vAlign w:val="center"/>
            <w:hideMark/>
          </w:tcPr>
          <w:p w14:paraId="4A0DDBA8"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Impuestos Sobre el Patrimonio</w:t>
            </w:r>
          </w:p>
        </w:tc>
        <w:tc>
          <w:tcPr>
            <w:tcW w:w="745" w:type="pct"/>
            <w:tcBorders>
              <w:top w:val="nil"/>
              <w:left w:val="nil"/>
              <w:bottom w:val="single" w:sz="8" w:space="0" w:color="auto"/>
              <w:right w:val="nil"/>
            </w:tcBorders>
            <w:shd w:val="clear" w:color="000000" w:fill="FFFFFF"/>
            <w:vAlign w:val="center"/>
            <w:hideMark/>
          </w:tcPr>
          <w:p w14:paraId="10B08949"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0 </w:t>
            </w:r>
          </w:p>
        </w:tc>
      </w:tr>
      <w:tr w:rsidR="00E23F6E" w:rsidRPr="001B6518" w14:paraId="785C903E"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D4B5E5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1.2.1</w:t>
            </w:r>
          </w:p>
        </w:tc>
        <w:tc>
          <w:tcPr>
            <w:tcW w:w="3773" w:type="pct"/>
            <w:tcBorders>
              <w:top w:val="nil"/>
              <w:left w:val="nil"/>
              <w:bottom w:val="single" w:sz="8" w:space="0" w:color="auto"/>
              <w:right w:val="single" w:sz="8" w:space="0" w:color="auto"/>
            </w:tcBorders>
            <w:shd w:val="clear" w:color="000000" w:fill="FFFFFF"/>
            <w:noWrap/>
            <w:vAlign w:val="center"/>
            <w:hideMark/>
          </w:tcPr>
          <w:p w14:paraId="6F6EBEE3"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Sobre Tenencia o Uso de Vehículos</w:t>
            </w:r>
          </w:p>
        </w:tc>
        <w:tc>
          <w:tcPr>
            <w:tcW w:w="745" w:type="pct"/>
            <w:tcBorders>
              <w:top w:val="nil"/>
              <w:left w:val="nil"/>
              <w:bottom w:val="single" w:sz="8" w:space="0" w:color="auto"/>
              <w:right w:val="nil"/>
            </w:tcBorders>
            <w:shd w:val="clear" w:color="000000" w:fill="FFFFFF"/>
            <w:vAlign w:val="center"/>
            <w:hideMark/>
          </w:tcPr>
          <w:p w14:paraId="069E0CC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071865D9" w14:textId="77777777" w:rsidTr="00E23F6E">
        <w:trPr>
          <w:trHeight w:val="20"/>
        </w:trPr>
        <w:tc>
          <w:tcPr>
            <w:tcW w:w="482" w:type="pct"/>
            <w:tcBorders>
              <w:top w:val="nil"/>
              <w:left w:val="nil"/>
              <w:bottom w:val="single" w:sz="8" w:space="0" w:color="auto"/>
              <w:right w:val="single" w:sz="8" w:space="0" w:color="auto"/>
            </w:tcBorders>
            <w:shd w:val="clear" w:color="000000" w:fill="FFFFFF"/>
            <w:noWrap/>
            <w:vAlign w:val="center"/>
            <w:hideMark/>
          </w:tcPr>
          <w:p w14:paraId="1216A0F3"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1.3</w:t>
            </w:r>
          </w:p>
        </w:tc>
        <w:tc>
          <w:tcPr>
            <w:tcW w:w="3773" w:type="pct"/>
            <w:tcBorders>
              <w:top w:val="nil"/>
              <w:left w:val="nil"/>
              <w:bottom w:val="single" w:sz="8" w:space="0" w:color="auto"/>
              <w:right w:val="single" w:sz="8" w:space="0" w:color="auto"/>
            </w:tcBorders>
            <w:shd w:val="clear" w:color="000000" w:fill="FFFFFF"/>
            <w:noWrap/>
            <w:vAlign w:val="center"/>
            <w:hideMark/>
          </w:tcPr>
          <w:p w14:paraId="092938A9"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Impuestos Sobre la Producción, el Consumo y las Transacciones</w:t>
            </w:r>
          </w:p>
        </w:tc>
        <w:tc>
          <w:tcPr>
            <w:tcW w:w="745" w:type="pct"/>
            <w:tcBorders>
              <w:top w:val="nil"/>
              <w:left w:val="nil"/>
              <w:bottom w:val="single" w:sz="8" w:space="0" w:color="auto"/>
              <w:right w:val="nil"/>
            </w:tcBorders>
            <w:shd w:val="clear" w:color="000000" w:fill="FFFFFF"/>
            <w:noWrap/>
            <w:vAlign w:val="center"/>
            <w:hideMark/>
          </w:tcPr>
          <w:p w14:paraId="0D6F6F95"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737,191,386 </w:t>
            </w:r>
          </w:p>
        </w:tc>
      </w:tr>
      <w:tr w:rsidR="00E23F6E" w:rsidRPr="001B6518" w14:paraId="42C8D597"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E07EA9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1.3.1</w:t>
            </w:r>
          </w:p>
        </w:tc>
        <w:tc>
          <w:tcPr>
            <w:tcW w:w="3773" w:type="pct"/>
            <w:tcBorders>
              <w:top w:val="nil"/>
              <w:left w:val="nil"/>
              <w:bottom w:val="single" w:sz="8" w:space="0" w:color="auto"/>
              <w:right w:val="single" w:sz="8" w:space="0" w:color="auto"/>
            </w:tcBorders>
            <w:shd w:val="clear" w:color="000000" w:fill="FFFFFF"/>
            <w:noWrap/>
            <w:vAlign w:val="center"/>
            <w:hideMark/>
          </w:tcPr>
          <w:p w14:paraId="20BF2B2D"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Sobre Hospedaje</w:t>
            </w:r>
          </w:p>
        </w:tc>
        <w:tc>
          <w:tcPr>
            <w:tcW w:w="745" w:type="pct"/>
            <w:tcBorders>
              <w:top w:val="nil"/>
              <w:left w:val="nil"/>
              <w:bottom w:val="single" w:sz="8" w:space="0" w:color="auto"/>
              <w:right w:val="nil"/>
            </w:tcBorders>
            <w:shd w:val="clear" w:color="000000" w:fill="FFFFFF"/>
            <w:vAlign w:val="center"/>
            <w:hideMark/>
          </w:tcPr>
          <w:p w14:paraId="60E8170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178,767,889 </w:t>
            </w:r>
          </w:p>
        </w:tc>
      </w:tr>
      <w:tr w:rsidR="00E23F6E" w:rsidRPr="001B6518" w14:paraId="7C202D93"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DB6DE7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1.3.2</w:t>
            </w:r>
          </w:p>
        </w:tc>
        <w:tc>
          <w:tcPr>
            <w:tcW w:w="3773" w:type="pct"/>
            <w:tcBorders>
              <w:top w:val="nil"/>
              <w:left w:val="nil"/>
              <w:bottom w:val="single" w:sz="8" w:space="0" w:color="auto"/>
              <w:right w:val="single" w:sz="8" w:space="0" w:color="auto"/>
            </w:tcBorders>
            <w:shd w:val="clear" w:color="000000" w:fill="FFFFFF"/>
            <w:noWrap/>
            <w:vAlign w:val="center"/>
            <w:hideMark/>
          </w:tcPr>
          <w:p w14:paraId="5B81688D"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Sobre enajenación de vehículos usados</w:t>
            </w:r>
          </w:p>
        </w:tc>
        <w:tc>
          <w:tcPr>
            <w:tcW w:w="745" w:type="pct"/>
            <w:tcBorders>
              <w:top w:val="nil"/>
              <w:left w:val="nil"/>
              <w:bottom w:val="single" w:sz="8" w:space="0" w:color="auto"/>
              <w:right w:val="nil"/>
            </w:tcBorders>
            <w:shd w:val="clear" w:color="000000" w:fill="FFFFFF"/>
            <w:vAlign w:val="center"/>
            <w:hideMark/>
          </w:tcPr>
          <w:p w14:paraId="0E94C39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50,383,508 </w:t>
            </w:r>
          </w:p>
        </w:tc>
      </w:tr>
      <w:tr w:rsidR="00E23F6E" w:rsidRPr="001B6518" w14:paraId="3C02FF1C"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98169A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1.3.3</w:t>
            </w:r>
          </w:p>
        </w:tc>
        <w:tc>
          <w:tcPr>
            <w:tcW w:w="3773" w:type="pct"/>
            <w:tcBorders>
              <w:top w:val="nil"/>
              <w:left w:val="nil"/>
              <w:bottom w:val="single" w:sz="8" w:space="0" w:color="auto"/>
              <w:right w:val="single" w:sz="8" w:space="0" w:color="auto"/>
            </w:tcBorders>
            <w:shd w:val="clear" w:color="000000" w:fill="FFFFFF"/>
            <w:noWrap/>
            <w:vAlign w:val="center"/>
            <w:hideMark/>
          </w:tcPr>
          <w:p w14:paraId="74BFBC54"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Adicional para la ejecución de obras materiales y asistencia social</w:t>
            </w:r>
          </w:p>
        </w:tc>
        <w:tc>
          <w:tcPr>
            <w:tcW w:w="745" w:type="pct"/>
            <w:tcBorders>
              <w:top w:val="nil"/>
              <w:left w:val="nil"/>
              <w:bottom w:val="single" w:sz="8" w:space="0" w:color="auto"/>
              <w:right w:val="nil"/>
            </w:tcBorders>
            <w:shd w:val="clear" w:color="000000" w:fill="FFFFFF"/>
            <w:vAlign w:val="center"/>
            <w:hideMark/>
          </w:tcPr>
          <w:p w14:paraId="7AA8E26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258,067,232 </w:t>
            </w:r>
          </w:p>
        </w:tc>
      </w:tr>
      <w:tr w:rsidR="00E23F6E" w:rsidRPr="001B6518" w14:paraId="2B99154C"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A019FB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1.3.4</w:t>
            </w:r>
          </w:p>
        </w:tc>
        <w:tc>
          <w:tcPr>
            <w:tcW w:w="3773" w:type="pct"/>
            <w:tcBorders>
              <w:top w:val="nil"/>
              <w:left w:val="nil"/>
              <w:bottom w:val="single" w:sz="8" w:space="0" w:color="auto"/>
              <w:right w:val="single" w:sz="8" w:space="0" w:color="auto"/>
            </w:tcBorders>
            <w:shd w:val="clear" w:color="000000" w:fill="FFFFFF"/>
            <w:noWrap/>
            <w:vAlign w:val="center"/>
            <w:hideMark/>
          </w:tcPr>
          <w:p w14:paraId="0B597226"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 las erogaciones en juegos y concursos</w:t>
            </w:r>
          </w:p>
        </w:tc>
        <w:tc>
          <w:tcPr>
            <w:tcW w:w="745" w:type="pct"/>
            <w:tcBorders>
              <w:top w:val="nil"/>
              <w:left w:val="nil"/>
              <w:bottom w:val="single" w:sz="8" w:space="0" w:color="auto"/>
              <w:right w:val="nil"/>
            </w:tcBorders>
            <w:shd w:val="clear" w:color="000000" w:fill="FFFFFF"/>
            <w:vAlign w:val="center"/>
            <w:hideMark/>
          </w:tcPr>
          <w:p w14:paraId="017CCB8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163,662,888 </w:t>
            </w:r>
          </w:p>
        </w:tc>
      </w:tr>
      <w:tr w:rsidR="00E23F6E" w:rsidRPr="001B6518" w14:paraId="0C5027AC"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AD2C5E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1.3.5</w:t>
            </w:r>
          </w:p>
        </w:tc>
        <w:tc>
          <w:tcPr>
            <w:tcW w:w="3773" w:type="pct"/>
            <w:tcBorders>
              <w:top w:val="nil"/>
              <w:left w:val="nil"/>
              <w:bottom w:val="single" w:sz="8" w:space="0" w:color="auto"/>
              <w:right w:val="single" w:sz="8" w:space="0" w:color="auto"/>
            </w:tcBorders>
            <w:shd w:val="clear" w:color="000000" w:fill="FFFFFF"/>
            <w:noWrap/>
            <w:vAlign w:val="center"/>
            <w:hideMark/>
          </w:tcPr>
          <w:p w14:paraId="72FDE95E"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 Casas de Empeño</w:t>
            </w:r>
          </w:p>
        </w:tc>
        <w:tc>
          <w:tcPr>
            <w:tcW w:w="745" w:type="pct"/>
            <w:tcBorders>
              <w:top w:val="nil"/>
              <w:left w:val="nil"/>
              <w:bottom w:val="single" w:sz="8" w:space="0" w:color="auto"/>
              <w:right w:val="nil"/>
            </w:tcBorders>
            <w:shd w:val="clear" w:color="000000" w:fill="FFFFFF"/>
            <w:vAlign w:val="center"/>
            <w:hideMark/>
          </w:tcPr>
          <w:p w14:paraId="11EEAC2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707,872 </w:t>
            </w:r>
          </w:p>
        </w:tc>
      </w:tr>
      <w:tr w:rsidR="00E23F6E" w:rsidRPr="001B6518" w14:paraId="3F31B5B2"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A0EA57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1.3.6</w:t>
            </w:r>
          </w:p>
        </w:tc>
        <w:tc>
          <w:tcPr>
            <w:tcW w:w="3773" w:type="pct"/>
            <w:tcBorders>
              <w:top w:val="nil"/>
              <w:left w:val="nil"/>
              <w:bottom w:val="single" w:sz="8" w:space="0" w:color="auto"/>
              <w:right w:val="single" w:sz="8" w:space="0" w:color="auto"/>
            </w:tcBorders>
            <w:shd w:val="clear" w:color="000000" w:fill="FFFFFF"/>
            <w:noWrap/>
            <w:vAlign w:val="center"/>
            <w:hideMark/>
          </w:tcPr>
          <w:p w14:paraId="1EEF6223"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 la venta final de bebidas con contenido alcohólico</w:t>
            </w:r>
          </w:p>
        </w:tc>
        <w:tc>
          <w:tcPr>
            <w:tcW w:w="745" w:type="pct"/>
            <w:tcBorders>
              <w:top w:val="nil"/>
              <w:left w:val="nil"/>
              <w:bottom w:val="single" w:sz="8" w:space="0" w:color="auto"/>
              <w:right w:val="nil"/>
            </w:tcBorders>
            <w:shd w:val="clear" w:color="000000" w:fill="FFFFFF"/>
            <w:vAlign w:val="center"/>
            <w:hideMark/>
          </w:tcPr>
          <w:p w14:paraId="6094955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35,201,997 </w:t>
            </w:r>
          </w:p>
        </w:tc>
      </w:tr>
      <w:tr w:rsidR="00E23F6E" w:rsidRPr="001B6518" w14:paraId="18E55CB3"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114430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1.3.7</w:t>
            </w:r>
          </w:p>
        </w:tc>
        <w:tc>
          <w:tcPr>
            <w:tcW w:w="3773" w:type="pct"/>
            <w:tcBorders>
              <w:top w:val="nil"/>
              <w:left w:val="nil"/>
              <w:bottom w:val="single" w:sz="8" w:space="0" w:color="auto"/>
              <w:right w:val="single" w:sz="8" w:space="0" w:color="auto"/>
            </w:tcBorders>
            <w:shd w:val="clear" w:color="000000" w:fill="FFFFFF"/>
            <w:noWrap/>
            <w:vAlign w:val="center"/>
            <w:hideMark/>
          </w:tcPr>
          <w:p w14:paraId="315B794C" w14:textId="4BE6ED7C"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Impuesto tarifas cobradas por empresas de transporte</w:t>
            </w:r>
          </w:p>
        </w:tc>
        <w:tc>
          <w:tcPr>
            <w:tcW w:w="745" w:type="pct"/>
            <w:tcBorders>
              <w:top w:val="nil"/>
              <w:left w:val="nil"/>
              <w:bottom w:val="single" w:sz="8" w:space="0" w:color="auto"/>
              <w:right w:val="nil"/>
            </w:tcBorders>
            <w:shd w:val="clear" w:color="000000" w:fill="FFFFFF"/>
            <w:vAlign w:val="center"/>
            <w:hideMark/>
          </w:tcPr>
          <w:p w14:paraId="1D491CD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50,400,000 </w:t>
            </w:r>
          </w:p>
        </w:tc>
      </w:tr>
      <w:tr w:rsidR="00E23F6E" w:rsidRPr="001B6518" w14:paraId="454AD86A" w14:textId="77777777" w:rsidTr="00E23F6E">
        <w:trPr>
          <w:trHeight w:val="20"/>
        </w:trPr>
        <w:tc>
          <w:tcPr>
            <w:tcW w:w="482" w:type="pct"/>
            <w:tcBorders>
              <w:top w:val="nil"/>
              <w:left w:val="nil"/>
              <w:bottom w:val="single" w:sz="8" w:space="0" w:color="auto"/>
              <w:right w:val="single" w:sz="8" w:space="0" w:color="auto"/>
            </w:tcBorders>
            <w:shd w:val="clear" w:color="000000" w:fill="FFFFFF"/>
            <w:noWrap/>
            <w:vAlign w:val="center"/>
            <w:hideMark/>
          </w:tcPr>
          <w:p w14:paraId="3221EFA8"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1.4</w:t>
            </w:r>
          </w:p>
        </w:tc>
        <w:tc>
          <w:tcPr>
            <w:tcW w:w="3773" w:type="pct"/>
            <w:tcBorders>
              <w:top w:val="nil"/>
              <w:left w:val="nil"/>
              <w:bottom w:val="single" w:sz="8" w:space="0" w:color="auto"/>
              <w:right w:val="single" w:sz="8" w:space="0" w:color="auto"/>
            </w:tcBorders>
            <w:shd w:val="clear" w:color="000000" w:fill="FFFFFF"/>
            <w:noWrap/>
            <w:vAlign w:val="center"/>
            <w:hideMark/>
          </w:tcPr>
          <w:p w14:paraId="5AF3D573"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Impuestos al comercio exterior</w:t>
            </w:r>
          </w:p>
        </w:tc>
        <w:tc>
          <w:tcPr>
            <w:tcW w:w="745" w:type="pct"/>
            <w:tcBorders>
              <w:top w:val="nil"/>
              <w:left w:val="nil"/>
              <w:bottom w:val="single" w:sz="8" w:space="0" w:color="auto"/>
              <w:right w:val="nil"/>
            </w:tcBorders>
            <w:shd w:val="clear" w:color="000000" w:fill="FFFFFF"/>
            <w:vAlign w:val="center"/>
            <w:hideMark/>
          </w:tcPr>
          <w:p w14:paraId="57507950"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0 </w:t>
            </w:r>
          </w:p>
        </w:tc>
      </w:tr>
      <w:tr w:rsidR="00E23F6E" w:rsidRPr="001B6518" w14:paraId="35BB35E9"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35D38F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1.4.1</w:t>
            </w:r>
          </w:p>
        </w:tc>
        <w:tc>
          <w:tcPr>
            <w:tcW w:w="3773" w:type="pct"/>
            <w:tcBorders>
              <w:top w:val="nil"/>
              <w:left w:val="nil"/>
              <w:bottom w:val="single" w:sz="8" w:space="0" w:color="auto"/>
              <w:right w:val="single" w:sz="8" w:space="0" w:color="auto"/>
            </w:tcBorders>
            <w:shd w:val="clear" w:color="000000" w:fill="FFFFFF"/>
            <w:noWrap/>
            <w:vAlign w:val="center"/>
            <w:hideMark/>
          </w:tcPr>
          <w:p w14:paraId="0A6043FD"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Al comercio exterior</w:t>
            </w:r>
          </w:p>
        </w:tc>
        <w:tc>
          <w:tcPr>
            <w:tcW w:w="745" w:type="pct"/>
            <w:tcBorders>
              <w:top w:val="nil"/>
              <w:left w:val="nil"/>
              <w:bottom w:val="single" w:sz="8" w:space="0" w:color="auto"/>
              <w:right w:val="nil"/>
            </w:tcBorders>
            <w:shd w:val="clear" w:color="000000" w:fill="FFFFFF"/>
            <w:vAlign w:val="center"/>
            <w:hideMark/>
          </w:tcPr>
          <w:p w14:paraId="2A1D00F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5F08D0F0" w14:textId="77777777" w:rsidTr="00E23F6E">
        <w:trPr>
          <w:trHeight w:val="20"/>
        </w:trPr>
        <w:tc>
          <w:tcPr>
            <w:tcW w:w="482" w:type="pct"/>
            <w:tcBorders>
              <w:top w:val="nil"/>
              <w:left w:val="nil"/>
              <w:bottom w:val="single" w:sz="8" w:space="0" w:color="auto"/>
              <w:right w:val="single" w:sz="8" w:space="0" w:color="auto"/>
            </w:tcBorders>
            <w:shd w:val="clear" w:color="000000" w:fill="FFFFFF"/>
            <w:noWrap/>
            <w:vAlign w:val="center"/>
            <w:hideMark/>
          </w:tcPr>
          <w:p w14:paraId="6A10033C"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1.5</w:t>
            </w:r>
          </w:p>
        </w:tc>
        <w:tc>
          <w:tcPr>
            <w:tcW w:w="3773" w:type="pct"/>
            <w:tcBorders>
              <w:top w:val="nil"/>
              <w:left w:val="nil"/>
              <w:bottom w:val="single" w:sz="8" w:space="0" w:color="auto"/>
              <w:right w:val="single" w:sz="8" w:space="0" w:color="auto"/>
            </w:tcBorders>
            <w:shd w:val="clear" w:color="000000" w:fill="FFFFFF"/>
            <w:noWrap/>
            <w:vAlign w:val="center"/>
            <w:hideMark/>
          </w:tcPr>
          <w:p w14:paraId="0358FB9A"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Impuestos sobre Nóminas y Asimilables</w:t>
            </w:r>
          </w:p>
        </w:tc>
        <w:tc>
          <w:tcPr>
            <w:tcW w:w="745" w:type="pct"/>
            <w:tcBorders>
              <w:top w:val="nil"/>
              <w:left w:val="nil"/>
              <w:bottom w:val="single" w:sz="8" w:space="0" w:color="auto"/>
              <w:right w:val="nil"/>
            </w:tcBorders>
            <w:shd w:val="clear" w:color="000000" w:fill="FFFFFF"/>
            <w:noWrap/>
            <w:vAlign w:val="center"/>
            <w:hideMark/>
          </w:tcPr>
          <w:p w14:paraId="07B8FE84"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3,869,065,522 </w:t>
            </w:r>
          </w:p>
        </w:tc>
      </w:tr>
      <w:tr w:rsidR="00E23F6E" w:rsidRPr="001B6518" w14:paraId="4D1BA0E2"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0446FD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1.5.1</w:t>
            </w:r>
          </w:p>
        </w:tc>
        <w:tc>
          <w:tcPr>
            <w:tcW w:w="3773" w:type="pct"/>
            <w:tcBorders>
              <w:top w:val="nil"/>
              <w:left w:val="nil"/>
              <w:bottom w:val="single" w:sz="8" w:space="0" w:color="auto"/>
              <w:right w:val="single" w:sz="8" w:space="0" w:color="auto"/>
            </w:tcBorders>
            <w:shd w:val="clear" w:color="000000" w:fill="FFFFFF"/>
            <w:noWrap/>
            <w:vAlign w:val="center"/>
            <w:hideMark/>
          </w:tcPr>
          <w:p w14:paraId="0C84419D"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Sobre erogaciones por remuneración al trabajo personal</w:t>
            </w:r>
          </w:p>
        </w:tc>
        <w:tc>
          <w:tcPr>
            <w:tcW w:w="745" w:type="pct"/>
            <w:tcBorders>
              <w:top w:val="nil"/>
              <w:left w:val="nil"/>
              <w:bottom w:val="single" w:sz="8" w:space="0" w:color="auto"/>
              <w:right w:val="nil"/>
            </w:tcBorders>
            <w:shd w:val="clear" w:color="000000" w:fill="FFFFFF"/>
            <w:vAlign w:val="center"/>
            <w:hideMark/>
          </w:tcPr>
          <w:p w14:paraId="48D5CCB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3,869,065,522 </w:t>
            </w:r>
          </w:p>
        </w:tc>
      </w:tr>
      <w:tr w:rsidR="00E23F6E" w:rsidRPr="001B6518" w14:paraId="5A1D0AC1"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37F7E97A"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1.6</w:t>
            </w:r>
          </w:p>
        </w:tc>
        <w:tc>
          <w:tcPr>
            <w:tcW w:w="3773" w:type="pct"/>
            <w:tcBorders>
              <w:top w:val="nil"/>
              <w:left w:val="nil"/>
              <w:bottom w:val="single" w:sz="8" w:space="0" w:color="auto"/>
              <w:right w:val="single" w:sz="8" w:space="0" w:color="auto"/>
            </w:tcBorders>
            <w:noWrap/>
            <w:vAlign w:val="center"/>
            <w:hideMark/>
          </w:tcPr>
          <w:p w14:paraId="3CC4ABF6"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Impuestos ecológicos</w:t>
            </w:r>
          </w:p>
        </w:tc>
        <w:tc>
          <w:tcPr>
            <w:tcW w:w="745" w:type="pct"/>
            <w:tcBorders>
              <w:top w:val="nil"/>
              <w:left w:val="nil"/>
              <w:bottom w:val="single" w:sz="8" w:space="0" w:color="auto"/>
              <w:right w:val="nil"/>
            </w:tcBorders>
            <w:noWrap/>
            <w:vAlign w:val="center"/>
            <w:hideMark/>
          </w:tcPr>
          <w:p w14:paraId="6005D083"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86,704,390 </w:t>
            </w:r>
          </w:p>
        </w:tc>
      </w:tr>
      <w:tr w:rsidR="00E23F6E" w:rsidRPr="001B6518" w14:paraId="1ABC532F"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7326DC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1.6.1</w:t>
            </w:r>
          </w:p>
        </w:tc>
        <w:tc>
          <w:tcPr>
            <w:tcW w:w="3773" w:type="pct"/>
            <w:tcBorders>
              <w:top w:val="nil"/>
              <w:left w:val="nil"/>
              <w:bottom w:val="single" w:sz="8" w:space="0" w:color="auto"/>
              <w:right w:val="single" w:sz="8" w:space="0" w:color="auto"/>
            </w:tcBorders>
            <w:shd w:val="clear" w:color="000000" w:fill="FFFFFF"/>
            <w:noWrap/>
            <w:vAlign w:val="center"/>
            <w:hideMark/>
          </w:tcPr>
          <w:p w14:paraId="54AB0339"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 la Emisión de Contaminantes al Suelo, Subsuelo y Agua</w:t>
            </w:r>
          </w:p>
        </w:tc>
        <w:tc>
          <w:tcPr>
            <w:tcW w:w="745" w:type="pct"/>
            <w:tcBorders>
              <w:top w:val="nil"/>
              <w:left w:val="nil"/>
              <w:bottom w:val="single" w:sz="8" w:space="0" w:color="auto"/>
              <w:right w:val="nil"/>
            </w:tcBorders>
            <w:shd w:val="clear" w:color="000000" w:fill="FFFFFF"/>
            <w:vAlign w:val="center"/>
            <w:hideMark/>
          </w:tcPr>
          <w:p w14:paraId="3FA792E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22,649,144 </w:t>
            </w:r>
          </w:p>
        </w:tc>
      </w:tr>
      <w:tr w:rsidR="00E23F6E" w:rsidRPr="001B6518" w14:paraId="0BEDB06D"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5CFF7A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1.6.2</w:t>
            </w:r>
          </w:p>
        </w:tc>
        <w:tc>
          <w:tcPr>
            <w:tcW w:w="3773" w:type="pct"/>
            <w:tcBorders>
              <w:top w:val="nil"/>
              <w:left w:val="nil"/>
              <w:bottom w:val="single" w:sz="8" w:space="0" w:color="auto"/>
              <w:right w:val="single" w:sz="8" w:space="0" w:color="auto"/>
            </w:tcBorders>
            <w:shd w:val="clear" w:color="000000" w:fill="FFFFFF"/>
            <w:noWrap/>
            <w:vAlign w:val="center"/>
            <w:hideMark/>
          </w:tcPr>
          <w:p w14:paraId="565DC499"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 la Emisión de Gases a la Atmósfera</w:t>
            </w:r>
          </w:p>
        </w:tc>
        <w:tc>
          <w:tcPr>
            <w:tcW w:w="745" w:type="pct"/>
            <w:tcBorders>
              <w:top w:val="nil"/>
              <w:left w:val="nil"/>
              <w:bottom w:val="single" w:sz="8" w:space="0" w:color="auto"/>
              <w:right w:val="nil"/>
            </w:tcBorders>
            <w:shd w:val="clear" w:color="000000" w:fill="FFFFFF"/>
            <w:vAlign w:val="center"/>
            <w:hideMark/>
          </w:tcPr>
          <w:p w14:paraId="664BFB1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64,055,246 </w:t>
            </w:r>
          </w:p>
        </w:tc>
      </w:tr>
      <w:tr w:rsidR="00E23F6E" w:rsidRPr="001B6518" w14:paraId="0C25FC71"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3896091C"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1.7</w:t>
            </w:r>
          </w:p>
        </w:tc>
        <w:tc>
          <w:tcPr>
            <w:tcW w:w="3773" w:type="pct"/>
            <w:tcBorders>
              <w:top w:val="nil"/>
              <w:left w:val="nil"/>
              <w:bottom w:val="single" w:sz="8" w:space="0" w:color="auto"/>
              <w:right w:val="single" w:sz="8" w:space="0" w:color="auto"/>
            </w:tcBorders>
            <w:noWrap/>
            <w:vAlign w:val="center"/>
            <w:hideMark/>
          </w:tcPr>
          <w:p w14:paraId="6EE843E5"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Accesorios de Impuestos</w:t>
            </w:r>
          </w:p>
        </w:tc>
        <w:tc>
          <w:tcPr>
            <w:tcW w:w="745" w:type="pct"/>
            <w:tcBorders>
              <w:top w:val="nil"/>
              <w:left w:val="nil"/>
              <w:bottom w:val="single" w:sz="8" w:space="0" w:color="auto"/>
              <w:right w:val="nil"/>
            </w:tcBorders>
            <w:noWrap/>
            <w:vAlign w:val="center"/>
            <w:hideMark/>
          </w:tcPr>
          <w:p w14:paraId="5F81A864"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28,094,740 </w:t>
            </w:r>
          </w:p>
        </w:tc>
      </w:tr>
      <w:tr w:rsidR="00E23F6E" w:rsidRPr="001B6518" w14:paraId="2055DDE1"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852350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1.7.1</w:t>
            </w:r>
          </w:p>
        </w:tc>
        <w:tc>
          <w:tcPr>
            <w:tcW w:w="3773" w:type="pct"/>
            <w:tcBorders>
              <w:top w:val="nil"/>
              <w:left w:val="nil"/>
              <w:bottom w:val="single" w:sz="8" w:space="0" w:color="auto"/>
              <w:right w:val="single" w:sz="8" w:space="0" w:color="auto"/>
            </w:tcBorders>
            <w:shd w:val="clear" w:color="000000" w:fill="FFFFFF"/>
            <w:noWrap/>
            <w:vAlign w:val="center"/>
            <w:hideMark/>
          </w:tcPr>
          <w:p w14:paraId="74C9D776"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Multas, recargos, gastos extraordinarios y otros accesorios</w:t>
            </w:r>
          </w:p>
        </w:tc>
        <w:tc>
          <w:tcPr>
            <w:tcW w:w="745" w:type="pct"/>
            <w:tcBorders>
              <w:top w:val="nil"/>
              <w:left w:val="nil"/>
              <w:bottom w:val="single" w:sz="8" w:space="0" w:color="auto"/>
              <w:right w:val="nil"/>
            </w:tcBorders>
            <w:shd w:val="clear" w:color="000000" w:fill="FFFFFF"/>
            <w:vAlign w:val="center"/>
            <w:hideMark/>
          </w:tcPr>
          <w:p w14:paraId="7E5BBC5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28,094,740 </w:t>
            </w:r>
          </w:p>
        </w:tc>
      </w:tr>
      <w:tr w:rsidR="00E23F6E" w:rsidRPr="001B6518" w14:paraId="6D29BBFE"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92DCD1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1.7.2</w:t>
            </w:r>
          </w:p>
        </w:tc>
        <w:tc>
          <w:tcPr>
            <w:tcW w:w="3773" w:type="pct"/>
            <w:tcBorders>
              <w:top w:val="nil"/>
              <w:left w:val="nil"/>
              <w:bottom w:val="single" w:sz="8" w:space="0" w:color="auto"/>
              <w:right w:val="single" w:sz="8" w:space="0" w:color="auto"/>
            </w:tcBorders>
            <w:shd w:val="clear" w:color="000000" w:fill="FFFFFF"/>
            <w:noWrap/>
            <w:vAlign w:val="center"/>
            <w:hideMark/>
          </w:tcPr>
          <w:p w14:paraId="0D21C8B8"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Indemnizaciones de impuestos</w:t>
            </w:r>
          </w:p>
        </w:tc>
        <w:tc>
          <w:tcPr>
            <w:tcW w:w="745" w:type="pct"/>
            <w:tcBorders>
              <w:top w:val="nil"/>
              <w:left w:val="nil"/>
              <w:bottom w:val="single" w:sz="8" w:space="0" w:color="auto"/>
              <w:right w:val="nil"/>
            </w:tcBorders>
            <w:shd w:val="clear" w:color="000000" w:fill="FFFFFF"/>
            <w:vAlign w:val="center"/>
            <w:hideMark/>
          </w:tcPr>
          <w:p w14:paraId="641DFAC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366A7B26"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751DDF1B"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1.8</w:t>
            </w:r>
          </w:p>
        </w:tc>
        <w:tc>
          <w:tcPr>
            <w:tcW w:w="3773" w:type="pct"/>
            <w:tcBorders>
              <w:top w:val="nil"/>
              <w:left w:val="nil"/>
              <w:bottom w:val="single" w:sz="8" w:space="0" w:color="auto"/>
              <w:right w:val="single" w:sz="8" w:space="0" w:color="auto"/>
            </w:tcBorders>
            <w:noWrap/>
            <w:vAlign w:val="center"/>
            <w:hideMark/>
          </w:tcPr>
          <w:p w14:paraId="1604F4F0"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Otros impuestos</w:t>
            </w:r>
          </w:p>
        </w:tc>
        <w:tc>
          <w:tcPr>
            <w:tcW w:w="745" w:type="pct"/>
            <w:tcBorders>
              <w:top w:val="nil"/>
              <w:left w:val="nil"/>
              <w:bottom w:val="single" w:sz="8" w:space="0" w:color="auto"/>
              <w:right w:val="nil"/>
            </w:tcBorders>
            <w:vAlign w:val="center"/>
            <w:hideMark/>
          </w:tcPr>
          <w:p w14:paraId="573564D7"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0 </w:t>
            </w:r>
          </w:p>
        </w:tc>
      </w:tr>
      <w:tr w:rsidR="00E23F6E" w:rsidRPr="001B6518" w14:paraId="1743FCB2"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E0341F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1.8.1</w:t>
            </w:r>
          </w:p>
        </w:tc>
        <w:tc>
          <w:tcPr>
            <w:tcW w:w="3773" w:type="pct"/>
            <w:tcBorders>
              <w:top w:val="nil"/>
              <w:left w:val="nil"/>
              <w:bottom w:val="single" w:sz="8" w:space="0" w:color="auto"/>
              <w:right w:val="single" w:sz="8" w:space="0" w:color="auto"/>
            </w:tcBorders>
            <w:shd w:val="clear" w:color="000000" w:fill="FFFFFF"/>
            <w:noWrap/>
            <w:vAlign w:val="center"/>
            <w:hideMark/>
          </w:tcPr>
          <w:p w14:paraId="4E0750F0"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Otros impuestos varios</w:t>
            </w:r>
          </w:p>
        </w:tc>
        <w:tc>
          <w:tcPr>
            <w:tcW w:w="745" w:type="pct"/>
            <w:tcBorders>
              <w:top w:val="nil"/>
              <w:left w:val="nil"/>
              <w:bottom w:val="single" w:sz="8" w:space="0" w:color="auto"/>
              <w:right w:val="nil"/>
            </w:tcBorders>
            <w:shd w:val="clear" w:color="000000" w:fill="FFFFFF"/>
            <w:vAlign w:val="center"/>
            <w:hideMark/>
          </w:tcPr>
          <w:p w14:paraId="09B8F2B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1ACD1A68"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26420491"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1.9</w:t>
            </w:r>
          </w:p>
        </w:tc>
        <w:tc>
          <w:tcPr>
            <w:tcW w:w="3773" w:type="pct"/>
            <w:tcBorders>
              <w:top w:val="nil"/>
              <w:left w:val="nil"/>
              <w:bottom w:val="single" w:sz="8" w:space="0" w:color="auto"/>
              <w:right w:val="single" w:sz="8" w:space="0" w:color="auto"/>
            </w:tcBorders>
            <w:noWrap/>
            <w:vAlign w:val="center"/>
            <w:hideMark/>
          </w:tcPr>
          <w:p w14:paraId="4DB60897"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Impuestos no Comprendidos en la Ley de Ingresos Vigente, Causados en Ejercicios Fiscales Anteriores Pendientes de Liquidación o Pago</w:t>
            </w:r>
          </w:p>
        </w:tc>
        <w:tc>
          <w:tcPr>
            <w:tcW w:w="745" w:type="pct"/>
            <w:tcBorders>
              <w:top w:val="nil"/>
              <w:left w:val="nil"/>
              <w:bottom w:val="single" w:sz="8" w:space="0" w:color="auto"/>
              <w:right w:val="nil"/>
            </w:tcBorders>
            <w:vAlign w:val="center"/>
            <w:hideMark/>
          </w:tcPr>
          <w:p w14:paraId="5B74617F"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317,349 </w:t>
            </w:r>
          </w:p>
        </w:tc>
      </w:tr>
      <w:tr w:rsidR="00E23F6E" w:rsidRPr="001B6518" w14:paraId="412DDD4A"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97AD66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1.9.1</w:t>
            </w:r>
          </w:p>
        </w:tc>
        <w:tc>
          <w:tcPr>
            <w:tcW w:w="3773" w:type="pct"/>
            <w:tcBorders>
              <w:top w:val="nil"/>
              <w:left w:val="nil"/>
              <w:bottom w:val="single" w:sz="8" w:space="0" w:color="auto"/>
              <w:right w:val="single" w:sz="8" w:space="0" w:color="auto"/>
            </w:tcBorders>
            <w:shd w:val="clear" w:color="000000" w:fill="FFFFFF"/>
            <w:noWrap/>
            <w:vAlign w:val="center"/>
            <w:hideMark/>
          </w:tcPr>
          <w:p w14:paraId="087F35D6"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Sobre tenencia o uso de vehículos</w:t>
            </w:r>
          </w:p>
        </w:tc>
        <w:tc>
          <w:tcPr>
            <w:tcW w:w="745" w:type="pct"/>
            <w:tcBorders>
              <w:top w:val="nil"/>
              <w:left w:val="nil"/>
              <w:bottom w:val="single" w:sz="8" w:space="0" w:color="auto"/>
              <w:right w:val="nil"/>
            </w:tcBorders>
            <w:shd w:val="clear" w:color="000000" w:fill="FFFFFF"/>
            <w:vAlign w:val="center"/>
            <w:hideMark/>
          </w:tcPr>
          <w:p w14:paraId="13410A1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317,349 </w:t>
            </w:r>
          </w:p>
        </w:tc>
      </w:tr>
      <w:tr w:rsidR="00E23F6E" w:rsidRPr="001B6518" w14:paraId="17F56E10" w14:textId="77777777" w:rsidTr="00E23F6E">
        <w:trPr>
          <w:trHeight w:val="20"/>
        </w:trPr>
        <w:tc>
          <w:tcPr>
            <w:tcW w:w="482" w:type="pct"/>
            <w:tcBorders>
              <w:top w:val="nil"/>
              <w:left w:val="nil"/>
              <w:bottom w:val="single" w:sz="8" w:space="0" w:color="auto"/>
              <w:right w:val="single" w:sz="8" w:space="0" w:color="auto"/>
            </w:tcBorders>
            <w:shd w:val="clear" w:color="000000" w:fill="D0CECE"/>
            <w:noWrap/>
            <w:vAlign w:val="center"/>
            <w:hideMark/>
          </w:tcPr>
          <w:p w14:paraId="178F4929"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2</w:t>
            </w:r>
          </w:p>
        </w:tc>
        <w:tc>
          <w:tcPr>
            <w:tcW w:w="3773" w:type="pct"/>
            <w:tcBorders>
              <w:top w:val="nil"/>
              <w:left w:val="nil"/>
              <w:bottom w:val="single" w:sz="8" w:space="0" w:color="auto"/>
              <w:right w:val="single" w:sz="8" w:space="0" w:color="auto"/>
            </w:tcBorders>
            <w:shd w:val="clear" w:color="000000" w:fill="D0CECE"/>
            <w:noWrap/>
            <w:vAlign w:val="center"/>
            <w:hideMark/>
          </w:tcPr>
          <w:p w14:paraId="6EF6653C"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Cuotas y Aportaciones de Seguridad Social</w:t>
            </w:r>
          </w:p>
        </w:tc>
        <w:tc>
          <w:tcPr>
            <w:tcW w:w="745" w:type="pct"/>
            <w:tcBorders>
              <w:top w:val="nil"/>
              <w:left w:val="nil"/>
              <w:bottom w:val="single" w:sz="8" w:space="0" w:color="auto"/>
              <w:right w:val="nil"/>
            </w:tcBorders>
            <w:shd w:val="clear" w:color="000000" w:fill="D0CECE"/>
            <w:vAlign w:val="center"/>
            <w:hideMark/>
          </w:tcPr>
          <w:p w14:paraId="7D96A99A"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2,427,466,792 </w:t>
            </w:r>
          </w:p>
        </w:tc>
      </w:tr>
      <w:tr w:rsidR="00E23F6E" w:rsidRPr="001B6518" w14:paraId="698A4E4F"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3D8C0BB1"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2.1</w:t>
            </w:r>
          </w:p>
        </w:tc>
        <w:tc>
          <w:tcPr>
            <w:tcW w:w="3773" w:type="pct"/>
            <w:tcBorders>
              <w:top w:val="nil"/>
              <w:left w:val="nil"/>
              <w:bottom w:val="single" w:sz="8" w:space="0" w:color="auto"/>
              <w:right w:val="single" w:sz="8" w:space="0" w:color="auto"/>
            </w:tcBorders>
            <w:noWrap/>
            <w:vAlign w:val="center"/>
            <w:hideMark/>
          </w:tcPr>
          <w:p w14:paraId="40A961C3"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Aportaciones para Fondos de Vivienda</w:t>
            </w:r>
          </w:p>
        </w:tc>
        <w:tc>
          <w:tcPr>
            <w:tcW w:w="745" w:type="pct"/>
            <w:tcBorders>
              <w:top w:val="nil"/>
              <w:left w:val="nil"/>
              <w:bottom w:val="single" w:sz="8" w:space="0" w:color="auto"/>
              <w:right w:val="nil"/>
            </w:tcBorders>
            <w:vAlign w:val="center"/>
            <w:hideMark/>
          </w:tcPr>
          <w:p w14:paraId="3D185539"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0 </w:t>
            </w:r>
          </w:p>
        </w:tc>
      </w:tr>
      <w:tr w:rsidR="00E23F6E" w:rsidRPr="001B6518" w14:paraId="0B3A97E9"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9EB2E6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2.1.1</w:t>
            </w:r>
          </w:p>
        </w:tc>
        <w:tc>
          <w:tcPr>
            <w:tcW w:w="3773" w:type="pct"/>
            <w:tcBorders>
              <w:top w:val="nil"/>
              <w:left w:val="nil"/>
              <w:bottom w:val="single" w:sz="8" w:space="0" w:color="auto"/>
              <w:right w:val="single" w:sz="8" w:space="0" w:color="auto"/>
            </w:tcBorders>
            <w:shd w:val="clear" w:color="000000" w:fill="FFFFFF"/>
            <w:noWrap/>
            <w:vAlign w:val="center"/>
            <w:hideMark/>
          </w:tcPr>
          <w:p w14:paraId="4E5FE901"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Aportaciones para Fondos de Vivienda</w:t>
            </w:r>
          </w:p>
        </w:tc>
        <w:tc>
          <w:tcPr>
            <w:tcW w:w="745" w:type="pct"/>
            <w:tcBorders>
              <w:top w:val="nil"/>
              <w:left w:val="nil"/>
              <w:bottom w:val="single" w:sz="8" w:space="0" w:color="auto"/>
              <w:right w:val="nil"/>
            </w:tcBorders>
            <w:shd w:val="clear" w:color="000000" w:fill="FFFFFF"/>
            <w:vAlign w:val="center"/>
            <w:hideMark/>
          </w:tcPr>
          <w:p w14:paraId="507A9F3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4D9C2DA1"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61E28F72"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2.2</w:t>
            </w:r>
          </w:p>
        </w:tc>
        <w:tc>
          <w:tcPr>
            <w:tcW w:w="3773" w:type="pct"/>
            <w:tcBorders>
              <w:top w:val="nil"/>
              <w:left w:val="nil"/>
              <w:bottom w:val="single" w:sz="8" w:space="0" w:color="auto"/>
              <w:right w:val="single" w:sz="8" w:space="0" w:color="auto"/>
            </w:tcBorders>
            <w:noWrap/>
            <w:vAlign w:val="center"/>
            <w:hideMark/>
          </w:tcPr>
          <w:p w14:paraId="4BA60565"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Cuotas para la Seguridad Social</w:t>
            </w:r>
          </w:p>
        </w:tc>
        <w:tc>
          <w:tcPr>
            <w:tcW w:w="745" w:type="pct"/>
            <w:tcBorders>
              <w:top w:val="nil"/>
              <w:left w:val="nil"/>
              <w:bottom w:val="single" w:sz="8" w:space="0" w:color="auto"/>
              <w:right w:val="nil"/>
            </w:tcBorders>
            <w:vAlign w:val="center"/>
            <w:hideMark/>
          </w:tcPr>
          <w:p w14:paraId="3B29CCA2"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2,427,466,792 </w:t>
            </w:r>
          </w:p>
        </w:tc>
      </w:tr>
      <w:tr w:rsidR="00E23F6E" w:rsidRPr="001B6518" w14:paraId="2BA3F909"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B8F5DF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2.2.1</w:t>
            </w:r>
          </w:p>
        </w:tc>
        <w:tc>
          <w:tcPr>
            <w:tcW w:w="3773" w:type="pct"/>
            <w:tcBorders>
              <w:top w:val="nil"/>
              <w:left w:val="nil"/>
              <w:bottom w:val="single" w:sz="8" w:space="0" w:color="auto"/>
              <w:right w:val="single" w:sz="8" w:space="0" w:color="auto"/>
            </w:tcBorders>
            <w:shd w:val="clear" w:color="000000" w:fill="FFFFFF"/>
            <w:noWrap/>
            <w:vAlign w:val="center"/>
            <w:hideMark/>
          </w:tcPr>
          <w:p w14:paraId="4614BCD3"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Cuotas para la Seguridad Social de los Trabajadores del Estado</w:t>
            </w:r>
          </w:p>
        </w:tc>
        <w:tc>
          <w:tcPr>
            <w:tcW w:w="745" w:type="pct"/>
            <w:tcBorders>
              <w:top w:val="nil"/>
              <w:left w:val="nil"/>
              <w:bottom w:val="single" w:sz="8" w:space="0" w:color="auto"/>
              <w:right w:val="nil"/>
            </w:tcBorders>
            <w:shd w:val="clear" w:color="000000" w:fill="FFFFFF"/>
            <w:vAlign w:val="center"/>
            <w:hideMark/>
          </w:tcPr>
          <w:p w14:paraId="249CBA4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2,427,466,792 </w:t>
            </w:r>
          </w:p>
        </w:tc>
      </w:tr>
      <w:tr w:rsidR="00E23F6E" w:rsidRPr="001B6518" w14:paraId="781ADA60"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4C9598AC"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2.3</w:t>
            </w:r>
          </w:p>
        </w:tc>
        <w:tc>
          <w:tcPr>
            <w:tcW w:w="3773" w:type="pct"/>
            <w:tcBorders>
              <w:top w:val="nil"/>
              <w:left w:val="nil"/>
              <w:bottom w:val="single" w:sz="8" w:space="0" w:color="auto"/>
              <w:right w:val="single" w:sz="8" w:space="0" w:color="auto"/>
            </w:tcBorders>
            <w:noWrap/>
            <w:vAlign w:val="center"/>
            <w:hideMark/>
          </w:tcPr>
          <w:p w14:paraId="220EE67D"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Cuotas de Ahorro para el Retiro</w:t>
            </w:r>
          </w:p>
        </w:tc>
        <w:tc>
          <w:tcPr>
            <w:tcW w:w="745" w:type="pct"/>
            <w:tcBorders>
              <w:top w:val="nil"/>
              <w:left w:val="nil"/>
              <w:bottom w:val="single" w:sz="8" w:space="0" w:color="auto"/>
              <w:right w:val="nil"/>
            </w:tcBorders>
            <w:vAlign w:val="center"/>
            <w:hideMark/>
          </w:tcPr>
          <w:p w14:paraId="30AD0162"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0 </w:t>
            </w:r>
          </w:p>
        </w:tc>
      </w:tr>
      <w:tr w:rsidR="00E23F6E" w:rsidRPr="001B6518" w14:paraId="62C0DF6F"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938838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2.3.1</w:t>
            </w:r>
          </w:p>
        </w:tc>
        <w:tc>
          <w:tcPr>
            <w:tcW w:w="3773" w:type="pct"/>
            <w:tcBorders>
              <w:top w:val="nil"/>
              <w:left w:val="nil"/>
              <w:bottom w:val="single" w:sz="8" w:space="0" w:color="auto"/>
              <w:right w:val="single" w:sz="8" w:space="0" w:color="auto"/>
            </w:tcBorders>
            <w:shd w:val="clear" w:color="000000" w:fill="FFFFFF"/>
            <w:noWrap/>
            <w:vAlign w:val="center"/>
            <w:hideMark/>
          </w:tcPr>
          <w:p w14:paraId="481B5046"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Cuotas de Ahorro para el Retiro</w:t>
            </w:r>
          </w:p>
        </w:tc>
        <w:tc>
          <w:tcPr>
            <w:tcW w:w="745" w:type="pct"/>
            <w:tcBorders>
              <w:top w:val="nil"/>
              <w:left w:val="nil"/>
              <w:bottom w:val="single" w:sz="8" w:space="0" w:color="auto"/>
              <w:right w:val="nil"/>
            </w:tcBorders>
            <w:shd w:val="clear" w:color="000000" w:fill="FFFFFF"/>
            <w:vAlign w:val="center"/>
            <w:hideMark/>
          </w:tcPr>
          <w:p w14:paraId="5AE3730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1E564432"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1C4883E3"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2.4</w:t>
            </w:r>
          </w:p>
        </w:tc>
        <w:tc>
          <w:tcPr>
            <w:tcW w:w="3773" w:type="pct"/>
            <w:tcBorders>
              <w:top w:val="nil"/>
              <w:left w:val="nil"/>
              <w:bottom w:val="single" w:sz="8" w:space="0" w:color="auto"/>
              <w:right w:val="single" w:sz="8" w:space="0" w:color="auto"/>
            </w:tcBorders>
            <w:noWrap/>
            <w:vAlign w:val="center"/>
            <w:hideMark/>
          </w:tcPr>
          <w:p w14:paraId="24F857C9"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Otras Cuotas y Aportaciones para la Seguridad Social</w:t>
            </w:r>
          </w:p>
        </w:tc>
        <w:tc>
          <w:tcPr>
            <w:tcW w:w="745" w:type="pct"/>
            <w:tcBorders>
              <w:top w:val="nil"/>
              <w:left w:val="nil"/>
              <w:bottom w:val="single" w:sz="8" w:space="0" w:color="auto"/>
              <w:right w:val="nil"/>
            </w:tcBorders>
            <w:vAlign w:val="center"/>
            <w:hideMark/>
          </w:tcPr>
          <w:p w14:paraId="664C75F6"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0 </w:t>
            </w:r>
          </w:p>
        </w:tc>
      </w:tr>
      <w:tr w:rsidR="00E23F6E" w:rsidRPr="001B6518" w14:paraId="52FEFFE0"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E83063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2.4.1</w:t>
            </w:r>
          </w:p>
        </w:tc>
        <w:tc>
          <w:tcPr>
            <w:tcW w:w="3773" w:type="pct"/>
            <w:tcBorders>
              <w:top w:val="nil"/>
              <w:left w:val="nil"/>
              <w:bottom w:val="single" w:sz="8" w:space="0" w:color="auto"/>
              <w:right w:val="single" w:sz="8" w:space="0" w:color="auto"/>
            </w:tcBorders>
            <w:shd w:val="clear" w:color="000000" w:fill="FFFFFF"/>
            <w:noWrap/>
            <w:vAlign w:val="center"/>
            <w:hideMark/>
          </w:tcPr>
          <w:p w14:paraId="3392FDFF"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Otras Cuotas y Aportaciones para la Seguridad Social</w:t>
            </w:r>
          </w:p>
        </w:tc>
        <w:tc>
          <w:tcPr>
            <w:tcW w:w="745" w:type="pct"/>
            <w:tcBorders>
              <w:top w:val="nil"/>
              <w:left w:val="nil"/>
              <w:bottom w:val="single" w:sz="8" w:space="0" w:color="auto"/>
              <w:right w:val="nil"/>
            </w:tcBorders>
            <w:shd w:val="clear" w:color="000000" w:fill="FFFFFF"/>
            <w:vAlign w:val="center"/>
            <w:hideMark/>
          </w:tcPr>
          <w:p w14:paraId="2926DD2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3993B851"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1BAB24FF"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lastRenderedPageBreak/>
              <w:t>2.5</w:t>
            </w:r>
          </w:p>
        </w:tc>
        <w:tc>
          <w:tcPr>
            <w:tcW w:w="3773" w:type="pct"/>
            <w:tcBorders>
              <w:top w:val="nil"/>
              <w:left w:val="nil"/>
              <w:bottom w:val="single" w:sz="8" w:space="0" w:color="auto"/>
              <w:right w:val="single" w:sz="8" w:space="0" w:color="auto"/>
            </w:tcBorders>
            <w:noWrap/>
            <w:vAlign w:val="center"/>
            <w:hideMark/>
          </w:tcPr>
          <w:p w14:paraId="0FB6FE57"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Accesorios de Cuotas y Aportaciones de Seguridad Social</w:t>
            </w:r>
          </w:p>
        </w:tc>
        <w:tc>
          <w:tcPr>
            <w:tcW w:w="745" w:type="pct"/>
            <w:tcBorders>
              <w:top w:val="nil"/>
              <w:left w:val="nil"/>
              <w:bottom w:val="single" w:sz="8" w:space="0" w:color="auto"/>
              <w:right w:val="nil"/>
            </w:tcBorders>
            <w:vAlign w:val="center"/>
            <w:hideMark/>
          </w:tcPr>
          <w:p w14:paraId="7A480FD1"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0 </w:t>
            </w:r>
          </w:p>
        </w:tc>
      </w:tr>
      <w:tr w:rsidR="00E23F6E" w:rsidRPr="001B6518" w14:paraId="757E6948"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312CAC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2.5.1</w:t>
            </w:r>
          </w:p>
        </w:tc>
        <w:tc>
          <w:tcPr>
            <w:tcW w:w="3773" w:type="pct"/>
            <w:tcBorders>
              <w:top w:val="nil"/>
              <w:left w:val="nil"/>
              <w:bottom w:val="single" w:sz="8" w:space="0" w:color="auto"/>
              <w:right w:val="single" w:sz="8" w:space="0" w:color="auto"/>
            </w:tcBorders>
            <w:shd w:val="clear" w:color="000000" w:fill="FFFFFF"/>
            <w:noWrap/>
            <w:vAlign w:val="center"/>
            <w:hideMark/>
          </w:tcPr>
          <w:p w14:paraId="32F9F57B"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Accesorios de Cuotas y Aportaciones de Seguridad Social</w:t>
            </w:r>
          </w:p>
        </w:tc>
        <w:tc>
          <w:tcPr>
            <w:tcW w:w="745" w:type="pct"/>
            <w:tcBorders>
              <w:top w:val="nil"/>
              <w:left w:val="nil"/>
              <w:bottom w:val="single" w:sz="8" w:space="0" w:color="auto"/>
              <w:right w:val="nil"/>
            </w:tcBorders>
            <w:shd w:val="clear" w:color="000000" w:fill="FFFFFF"/>
            <w:vAlign w:val="center"/>
            <w:hideMark/>
          </w:tcPr>
          <w:p w14:paraId="3A4B4AB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12CC0675" w14:textId="77777777" w:rsidTr="00E23F6E">
        <w:trPr>
          <w:trHeight w:val="20"/>
        </w:trPr>
        <w:tc>
          <w:tcPr>
            <w:tcW w:w="482" w:type="pct"/>
            <w:tcBorders>
              <w:top w:val="nil"/>
              <w:left w:val="nil"/>
              <w:bottom w:val="single" w:sz="8" w:space="0" w:color="auto"/>
              <w:right w:val="single" w:sz="8" w:space="0" w:color="auto"/>
            </w:tcBorders>
            <w:shd w:val="clear" w:color="000000" w:fill="D9D9D9"/>
            <w:noWrap/>
            <w:vAlign w:val="center"/>
            <w:hideMark/>
          </w:tcPr>
          <w:p w14:paraId="0D99D357"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3</w:t>
            </w:r>
          </w:p>
        </w:tc>
        <w:tc>
          <w:tcPr>
            <w:tcW w:w="3773" w:type="pct"/>
            <w:tcBorders>
              <w:top w:val="nil"/>
              <w:left w:val="nil"/>
              <w:bottom w:val="single" w:sz="8" w:space="0" w:color="auto"/>
              <w:right w:val="single" w:sz="8" w:space="0" w:color="auto"/>
            </w:tcBorders>
            <w:shd w:val="clear" w:color="000000" w:fill="D9D9D9"/>
            <w:noWrap/>
            <w:vAlign w:val="center"/>
            <w:hideMark/>
          </w:tcPr>
          <w:p w14:paraId="614D5E89"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Contribuciones de Mejoras</w:t>
            </w:r>
          </w:p>
        </w:tc>
        <w:tc>
          <w:tcPr>
            <w:tcW w:w="745" w:type="pct"/>
            <w:tcBorders>
              <w:top w:val="nil"/>
              <w:left w:val="nil"/>
              <w:bottom w:val="single" w:sz="8" w:space="0" w:color="auto"/>
              <w:right w:val="nil"/>
            </w:tcBorders>
            <w:shd w:val="clear" w:color="000000" w:fill="D9D9D9"/>
            <w:vAlign w:val="center"/>
            <w:hideMark/>
          </w:tcPr>
          <w:p w14:paraId="703094DE"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0 </w:t>
            </w:r>
          </w:p>
        </w:tc>
      </w:tr>
      <w:tr w:rsidR="00E23F6E" w:rsidRPr="001B6518" w14:paraId="37E8A312"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38206915"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3.1</w:t>
            </w:r>
          </w:p>
        </w:tc>
        <w:tc>
          <w:tcPr>
            <w:tcW w:w="3773" w:type="pct"/>
            <w:tcBorders>
              <w:top w:val="nil"/>
              <w:left w:val="nil"/>
              <w:bottom w:val="single" w:sz="8" w:space="0" w:color="auto"/>
              <w:right w:val="single" w:sz="8" w:space="0" w:color="auto"/>
            </w:tcBorders>
            <w:noWrap/>
            <w:vAlign w:val="center"/>
            <w:hideMark/>
          </w:tcPr>
          <w:p w14:paraId="4E6C1568"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Contribuciones de Mejoras por Obras Públicas</w:t>
            </w:r>
          </w:p>
        </w:tc>
        <w:tc>
          <w:tcPr>
            <w:tcW w:w="745" w:type="pct"/>
            <w:tcBorders>
              <w:top w:val="nil"/>
              <w:left w:val="nil"/>
              <w:bottom w:val="single" w:sz="8" w:space="0" w:color="auto"/>
              <w:right w:val="nil"/>
            </w:tcBorders>
            <w:vAlign w:val="center"/>
            <w:hideMark/>
          </w:tcPr>
          <w:p w14:paraId="237E1B43"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0 </w:t>
            </w:r>
          </w:p>
        </w:tc>
      </w:tr>
      <w:tr w:rsidR="00E23F6E" w:rsidRPr="001B6518" w14:paraId="2116F8AA"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2C4B92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3.1.1</w:t>
            </w:r>
          </w:p>
        </w:tc>
        <w:tc>
          <w:tcPr>
            <w:tcW w:w="3773" w:type="pct"/>
            <w:tcBorders>
              <w:top w:val="nil"/>
              <w:left w:val="nil"/>
              <w:bottom w:val="single" w:sz="8" w:space="0" w:color="auto"/>
              <w:right w:val="single" w:sz="8" w:space="0" w:color="auto"/>
            </w:tcBorders>
            <w:shd w:val="clear" w:color="000000" w:fill="FFFFFF"/>
            <w:noWrap/>
            <w:vAlign w:val="center"/>
            <w:hideMark/>
          </w:tcPr>
          <w:p w14:paraId="00014381"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Otras contribuciones de mejoras por obras públicas</w:t>
            </w:r>
          </w:p>
        </w:tc>
        <w:tc>
          <w:tcPr>
            <w:tcW w:w="745" w:type="pct"/>
            <w:tcBorders>
              <w:top w:val="nil"/>
              <w:left w:val="nil"/>
              <w:bottom w:val="single" w:sz="8" w:space="0" w:color="auto"/>
              <w:right w:val="nil"/>
            </w:tcBorders>
            <w:shd w:val="clear" w:color="000000" w:fill="FFFFFF"/>
            <w:vAlign w:val="center"/>
            <w:hideMark/>
          </w:tcPr>
          <w:p w14:paraId="4B87500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487DC125"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094E4F5A"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3.9</w:t>
            </w:r>
          </w:p>
        </w:tc>
        <w:tc>
          <w:tcPr>
            <w:tcW w:w="3773" w:type="pct"/>
            <w:tcBorders>
              <w:top w:val="nil"/>
              <w:left w:val="nil"/>
              <w:bottom w:val="single" w:sz="8" w:space="0" w:color="auto"/>
              <w:right w:val="single" w:sz="8" w:space="0" w:color="auto"/>
            </w:tcBorders>
            <w:noWrap/>
            <w:vAlign w:val="center"/>
            <w:hideMark/>
          </w:tcPr>
          <w:p w14:paraId="1C46EF03"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Contribuciones de Mejoras no comprendidas en la Ley de Ingresos vigente, causadas en ejercicios fiscales anteriores pendientes de liquidación o pago</w:t>
            </w:r>
          </w:p>
        </w:tc>
        <w:tc>
          <w:tcPr>
            <w:tcW w:w="745" w:type="pct"/>
            <w:tcBorders>
              <w:top w:val="nil"/>
              <w:left w:val="nil"/>
              <w:bottom w:val="single" w:sz="8" w:space="0" w:color="auto"/>
              <w:right w:val="nil"/>
            </w:tcBorders>
            <w:vAlign w:val="center"/>
            <w:hideMark/>
          </w:tcPr>
          <w:p w14:paraId="684C0C38"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0 </w:t>
            </w:r>
          </w:p>
        </w:tc>
      </w:tr>
      <w:tr w:rsidR="00E23F6E" w:rsidRPr="001B6518" w14:paraId="13FD8FF3"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B678B8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3.9.1</w:t>
            </w:r>
          </w:p>
        </w:tc>
        <w:tc>
          <w:tcPr>
            <w:tcW w:w="3773" w:type="pct"/>
            <w:tcBorders>
              <w:top w:val="nil"/>
              <w:left w:val="nil"/>
              <w:bottom w:val="single" w:sz="8" w:space="0" w:color="auto"/>
              <w:right w:val="single" w:sz="8" w:space="0" w:color="auto"/>
            </w:tcBorders>
            <w:shd w:val="clear" w:color="000000" w:fill="FFFFFF"/>
            <w:noWrap/>
            <w:vAlign w:val="center"/>
            <w:hideMark/>
          </w:tcPr>
          <w:p w14:paraId="6E5F65EB"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Contribuciones de Mejoras no comprendidas en la Ley de Ingresos vigente, causadas en ejercicios fiscales anteriores pendientes de liquidación o pago</w:t>
            </w:r>
          </w:p>
        </w:tc>
        <w:tc>
          <w:tcPr>
            <w:tcW w:w="745" w:type="pct"/>
            <w:tcBorders>
              <w:top w:val="nil"/>
              <w:left w:val="nil"/>
              <w:bottom w:val="single" w:sz="8" w:space="0" w:color="auto"/>
              <w:right w:val="nil"/>
            </w:tcBorders>
            <w:shd w:val="clear" w:color="000000" w:fill="FFFFFF"/>
            <w:vAlign w:val="center"/>
            <w:hideMark/>
          </w:tcPr>
          <w:p w14:paraId="5CD5DFF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472A3651" w14:textId="77777777" w:rsidTr="00E23F6E">
        <w:trPr>
          <w:trHeight w:val="20"/>
        </w:trPr>
        <w:tc>
          <w:tcPr>
            <w:tcW w:w="482" w:type="pct"/>
            <w:tcBorders>
              <w:top w:val="nil"/>
              <w:left w:val="nil"/>
              <w:bottom w:val="single" w:sz="8" w:space="0" w:color="auto"/>
              <w:right w:val="single" w:sz="8" w:space="0" w:color="auto"/>
            </w:tcBorders>
            <w:shd w:val="clear" w:color="000000" w:fill="D9D9D9"/>
            <w:noWrap/>
            <w:vAlign w:val="center"/>
            <w:hideMark/>
          </w:tcPr>
          <w:p w14:paraId="01881DDF"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4</w:t>
            </w:r>
          </w:p>
        </w:tc>
        <w:tc>
          <w:tcPr>
            <w:tcW w:w="3773" w:type="pct"/>
            <w:tcBorders>
              <w:top w:val="nil"/>
              <w:left w:val="nil"/>
              <w:bottom w:val="single" w:sz="8" w:space="0" w:color="auto"/>
              <w:right w:val="single" w:sz="8" w:space="0" w:color="auto"/>
            </w:tcBorders>
            <w:shd w:val="clear" w:color="000000" w:fill="D9D9D9"/>
            <w:noWrap/>
            <w:vAlign w:val="center"/>
            <w:hideMark/>
          </w:tcPr>
          <w:p w14:paraId="5DEE9727"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Derechos</w:t>
            </w:r>
          </w:p>
        </w:tc>
        <w:tc>
          <w:tcPr>
            <w:tcW w:w="745" w:type="pct"/>
            <w:tcBorders>
              <w:top w:val="nil"/>
              <w:left w:val="nil"/>
              <w:bottom w:val="single" w:sz="8" w:space="0" w:color="auto"/>
              <w:right w:val="nil"/>
            </w:tcBorders>
            <w:shd w:val="clear" w:color="000000" w:fill="D9D9D9"/>
            <w:noWrap/>
            <w:vAlign w:val="center"/>
            <w:hideMark/>
          </w:tcPr>
          <w:p w14:paraId="25299447"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2,401,231,235 </w:t>
            </w:r>
          </w:p>
        </w:tc>
      </w:tr>
      <w:tr w:rsidR="00E23F6E" w:rsidRPr="001B6518" w14:paraId="069D0951"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3972A90D"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4.1</w:t>
            </w:r>
          </w:p>
        </w:tc>
        <w:tc>
          <w:tcPr>
            <w:tcW w:w="3773" w:type="pct"/>
            <w:tcBorders>
              <w:top w:val="nil"/>
              <w:left w:val="nil"/>
              <w:bottom w:val="single" w:sz="8" w:space="0" w:color="auto"/>
              <w:right w:val="single" w:sz="8" w:space="0" w:color="auto"/>
            </w:tcBorders>
            <w:noWrap/>
            <w:vAlign w:val="center"/>
            <w:hideMark/>
          </w:tcPr>
          <w:p w14:paraId="7ECC3993"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Derechos por el Uso, Goce, Aprovechamiento o Explotación de Bienes de Dominio Público</w:t>
            </w:r>
          </w:p>
        </w:tc>
        <w:tc>
          <w:tcPr>
            <w:tcW w:w="745" w:type="pct"/>
            <w:tcBorders>
              <w:top w:val="nil"/>
              <w:left w:val="nil"/>
              <w:bottom w:val="single" w:sz="8" w:space="0" w:color="auto"/>
              <w:right w:val="nil"/>
            </w:tcBorders>
            <w:noWrap/>
            <w:vAlign w:val="center"/>
            <w:hideMark/>
          </w:tcPr>
          <w:p w14:paraId="7BC9C525"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1,016,394,349 </w:t>
            </w:r>
          </w:p>
        </w:tc>
      </w:tr>
      <w:tr w:rsidR="00E23F6E" w:rsidRPr="001B6518" w14:paraId="7172577B"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17B190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4.1.1</w:t>
            </w:r>
          </w:p>
        </w:tc>
        <w:tc>
          <w:tcPr>
            <w:tcW w:w="3773" w:type="pct"/>
            <w:tcBorders>
              <w:top w:val="nil"/>
              <w:left w:val="nil"/>
              <w:bottom w:val="single" w:sz="8" w:space="0" w:color="auto"/>
              <w:right w:val="single" w:sz="8" w:space="0" w:color="auto"/>
            </w:tcBorders>
            <w:shd w:val="clear" w:color="000000" w:fill="FFFFFF"/>
            <w:noWrap/>
            <w:vAlign w:val="center"/>
            <w:hideMark/>
          </w:tcPr>
          <w:p w14:paraId="7A7D0380"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Por el uso, goce o aprovechamiento de bienes de dominio público del Estado</w:t>
            </w:r>
          </w:p>
        </w:tc>
        <w:tc>
          <w:tcPr>
            <w:tcW w:w="745" w:type="pct"/>
            <w:tcBorders>
              <w:top w:val="nil"/>
              <w:left w:val="nil"/>
              <w:bottom w:val="single" w:sz="8" w:space="0" w:color="auto"/>
              <w:right w:val="nil"/>
            </w:tcBorders>
            <w:shd w:val="clear" w:color="000000" w:fill="FFFFFF"/>
            <w:vAlign w:val="center"/>
            <w:hideMark/>
          </w:tcPr>
          <w:p w14:paraId="28FC486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37FFC06E"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A92EF2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4.1.2</w:t>
            </w:r>
          </w:p>
        </w:tc>
        <w:tc>
          <w:tcPr>
            <w:tcW w:w="3773" w:type="pct"/>
            <w:tcBorders>
              <w:top w:val="nil"/>
              <w:left w:val="nil"/>
              <w:bottom w:val="single" w:sz="8" w:space="0" w:color="auto"/>
              <w:right w:val="single" w:sz="8" w:space="0" w:color="auto"/>
            </w:tcBorders>
            <w:shd w:val="clear" w:color="000000" w:fill="FFFFFF"/>
            <w:noWrap/>
            <w:vAlign w:val="center"/>
            <w:hideMark/>
          </w:tcPr>
          <w:p w14:paraId="01ECE976"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Por el uso de cementerios y prestación de servicios conexos</w:t>
            </w:r>
          </w:p>
        </w:tc>
        <w:tc>
          <w:tcPr>
            <w:tcW w:w="745" w:type="pct"/>
            <w:tcBorders>
              <w:top w:val="nil"/>
              <w:left w:val="nil"/>
              <w:bottom w:val="single" w:sz="8" w:space="0" w:color="auto"/>
              <w:right w:val="nil"/>
            </w:tcBorders>
            <w:shd w:val="clear" w:color="000000" w:fill="FFFFFF"/>
            <w:vAlign w:val="center"/>
            <w:hideMark/>
          </w:tcPr>
          <w:p w14:paraId="78C4FBE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625E9309"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98616B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4.1.3</w:t>
            </w:r>
          </w:p>
        </w:tc>
        <w:tc>
          <w:tcPr>
            <w:tcW w:w="3773" w:type="pct"/>
            <w:tcBorders>
              <w:top w:val="nil"/>
              <w:left w:val="nil"/>
              <w:bottom w:val="single" w:sz="8" w:space="0" w:color="auto"/>
              <w:right w:val="single" w:sz="8" w:space="0" w:color="auto"/>
            </w:tcBorders>
            <w:shd w:val="clear" w:color="000000" w:fill="FFFFFF"/>
            <w:noWrap/>
            <w:vAlign w:val="center"/>
            <w:hideMark/>
          </w:tcPr>
          <w:p w14:paraId="5821A997"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Por el Uso de Bienes del Dominio Público del Estado de Yucatán que operen como Paradores Turísticos de Zonas Arqueológicas y Turísticas</w:t>
            </w:r>
          </w:p>
        </w:tc>
        <w:tc>
          <w:tcPr>
            <w:tcW w:w="745" w:type="pct"/>
            <w:tcBorders>
              <w:top w:val="nil"/>
              <w:left w:val="nil"/>
              <w:bottom w:val="single" w:sz="8" w:space="0" w:color="auto"/>
              <w:right w:val="nil"/>
            </w:tcBorders>
            <w:shd w:val="clear" w:color="000000" w:fill="FFFFFF"/>
            <w:vAlign w:val="center"/>
            <w:hideMark/>
          </w:tcPr>
          <w:p w14:paraId="1E73FA8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1,016,394,349 </w:t>
            </w:r>
          </w:p>
        </w:tc>
      </w:tr>
      <w:tr w:rsidR="00E23F6E" w:rsidRPr="001B6518" w14:paraId="22E6554D"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613BAE7D"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4.3</w:t>
            </w:r>
          </w:p>
        </w:tc>
        <w:tc>
          <w:tcPr>
            <w:tcW w:w="3773" w:type="pct"/>
            <w:tcBorders>
              <w:top w:val="nil"/>
              <w:left w:val="nil"/>
              <w:bottom w:val="single" w:sz="8" w:space="0" w:color="auto"/>
              <w:right w:val="single" w:sz="8" w:space="0" w:color="auto"/>
            </w:tcBorders>
            <w:noWrap/>
            <w:vAlign w:val="center"/>
            <w:hideMark/>
          </w:tcPr>
          <w:p w14:paraId="49A1D2AB"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Derechos por prestación de servicios</w:t>
            </w:r>
          </w:p>
        </w:tc>
        <w:tc>
          <w:tcPr>
            <w:tcW w:w="745" w:type="pct"/>
            <w:tcBorders>
              <w:top w:val="nil"/>
              <w:left w:val="nil"/>
              <w:bottom w:val="single" w:sz="8" w:space="0" w:color="auto"/>
              <w:right w:val="nil"/>
            </w:tcBorders>
            <w:noWrap/>
            <w:vAlign w:val="center"/>
            <w:hideMark/>
          </w:tcPr>
          <w:p w14:paraId="601BBB1E"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1,383,305,614 </w:t>
            </w:r>
          </w:p>
        </w:tc>
      </w:tr>
      <w:tr w:rsidR="00E23F6E" w:rsidRPr="001B6518" w14:paraId="030FF09B"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96337E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4.3.1</w:t>
            </w:r>
          </w:p>
        </w:tc>
        <w:tc>
          <w:tcPr>
            <w:tcW w:w="3773" w:type="pct"/>
            <w:tcBorders>
              <w:top w:val="nil"/>
              <w:left w:val="nil"/>
              <w:bottom w:val="single" w:sz="8" w:space="0" w:color="auto"/>
              <w:right w:val="single" w:sz="8" w:space="0" w:color="auto"/>
            </w:tcBorders>
            <w:shd w:val="clear" w:color="000000" w:fill="FFFFFF"/>
            <w:noWrap/>
            <w:vAlign w:val="center"/>
            <w:hideMark/>
          </w:tcPr>
          <w:p w14:paraId="6E65477A"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Servicios que presta la Administración Pública en general</w:t>
            </w:r>
          </w:p>
        </w:tc>
        <w:tc>
          <w:tcPr>
            <w:tcW w:w="745" w:type="pct"/>
            <w:tcBorders>
              <w:top w:val="nil"/>
              <w:left w:val="nil"/>
              <w:bottom w:val="single" w:sz="8" w:space="0" w:color="auto"/>
              <w:right w:val="nil"/>
            </w:tcBorders>
            <w:shd w:val="clear" w:color="000000" w:fill="FFFFFF"/>
            <w:vAlign w:val="center"/>
            <w:hideMark/>
          </w:tcPr>
          <w:p w14:paraId="3E73FF2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9,411,662 </w:t>
            </w:r>
          </w:p>
        </w:tc>
      </w:tr>
      <w:tr w:rsidR="00E23F6E" w:rsidRPr="001B6518" w14:paraId="55A8A92C" w14:textId="77777777" w:rsidTr="00E23F6E">
        <w:trPr>
          <w:trHeight w:val="20"/>
        </w:trPr>
        <w:tc>
          <w:tcPr>
            <w:tcW w:w="482" w:type="pct"/>
            <w:tcBorders>
              <w:top w:val="nil"/>
              <w:left w:val="nil"/>
              <w:bottom w:val="single" w:sz="8" w:space="0" w:color="auto"/>
              <w:right w:val="single" w:sz="8" w:space="0" w:color="auto"/>
            </w:tcBorders>
            <w:vAlign w:val="center"/>
            <w:hideMark/>
          </w:tcPr>
          <w:p w14:paraId="158E2CB3"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4.3.2</w:t>
            </w:r>
          </w:p>
        </w:tc>
        <w:tc>
          <w:tcPr>
            <w:tcW w:w="3773" w:type="pct"/>
            <w:tcBorders>
              <w:top w:val="nil"/>
              <w:left w:val="nil"/>
              <w:bottom w:val="single" w:sz="8" w:space="0" w:color="auto"/>
              <w:right w:val="single" w:sz="8" w:space="0" w:color="auto"/>
            </w:tcBorders>
            <w:noWrap/>
            <w:vAlign w:val="center"/>
            <w:hideMark/>
          </w:tcPr>
          <w:p w14:paraId="0A557FF6"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Servicios que presta la Secretaría de Seguridad Pública</w:t>
            </w:r>
          </w:p>
        </w:tc>
        <w:tc>
          <w:tcPr>
            <w:tcW w:w="745" w:type="pct"/>
            <w:tcBorders>
              <w:top w:val="nil"/>
              <w:left w:val="nil"/>
              <w:bottom w:val="single" w:sz="8" w:space="0" w:color="auto"/>
              <w:right w:val="nil"/>
            </w:tcBorders>
            <w:noWrap/>
            <w:vAlign w:val="center"/>
            <w:hideMark/>
          </w:tcPr>
          <w:p w14:paraId="0D1ABBF0"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378,643,351 </w:t>
            </w:r>
          </w:p>
        </w:tc>
      </w:tr>
      <w:tr w:rsidR="00E23F6E" w:rsidRPr="001B6518" w14:paraId="3B1B4DDF"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26EE5A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4.3.2.1</w:t>
            </w:r>
          </w:p>
        </w:tc>
        <w:tc>
          <w:tcPr>
            <w:tcW w:w="3773" w:type="pct"/>
            <w:tcBorders>
              <w:top w:val="nil"/>
              <w:left w:val="nil"/>
              <w:bottom w:val="single" w:sz="8" w:space="0" w:color="auto"/>
              <w:right w:val="single" w:sz="8" w:space="0" w:color="auto"/>
            </w:tcBorders>
            <w:shd w:val="clear" w:color="000000" w:fill="FFFFFF"/>
            <w:noWrap/>
            <w:vAlign w:val="center"/>
            <w:hideMark/>
          </w:tcPr>
          <w:p w14:paraId="336D54B8"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Dotación, canje, reposición y baja de placas</w:t>
            </w:r>
          </w:p>
        </w:tc>
        <w:tc>
          <w:tcPr>
            <w:tcW w:w="745" w:type="pct"/>
            <w:tcBorders>
              <w:top w:val="nil"/>
              <w:left w:val="nil"/>
              <w:bottom w:val="single" w:sz="8" w:space="0" w:color="auto"/>
              <w:right w:val="nil"/>
            </w:tcBorders>
            <w:shd w:val="clear" w:color="000000" w:fill="FFFFFF"/>
            <w:vAlign w:val="center"/>
            <w:hideMark/>
          </w:tcPr>
          <w:p w14:paraId="0457E5E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135,655,681 </w:t>
            </w:r>
          </w:p>
        </w:tc>
      </w:tr>
      <w:tr w:rsidR="00E23F6E" w:rsidRPr="001B6518" w14:paraId="43F2A87D"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187290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4.3.2.2</w:t>
            </w:r>
          </w:p>
        </w:tc>
        <w:tc>
          <w:tcPr>
            <w:tcW w:w="3773" w:type="pct"/>
            <w:tcBorders>
              <w:top w:val="nil"/>
              <w:left w:val="nil"/>
              <w:bottom w:val="single" w:sz="8" w:space="0" w:color="auto"/>
              <w:right w:val="single" w:sz="8" w:space="0" w:color="auto"/>
            </w:tcBorders>
            <w:shd w:val="clear" w:color="000000" w:fill="FFFFFF"/>
            <w:noWrap/>
            <w:vAlign w:val="center"/>
            <w:hideMark/>
          </w:tcPr>
          <w:p w14:paraId="593D89D2"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Tarjetas de circulación</w:t>
            </w:r>
          </w:p>
        </w:tc>
        <w:tc>
          <w:tcPr>
            <w:tcW w:w="745" w:type="pct"/>
            <w:tcBorders>
              <w:top w:val="nil"/>
              <w:left w:val="nil"/>
              <w:bottom w:val="single" w:sz="8" w:space="0" w:color="auto"/>
              <w:right w:val="nil"/>
            </w:tcBorders>
            <w:shd w:val="clear" w:color="000000" w:fill="FFFFFF"/>
            <w:vAlign w:val="center"/>
            <w:hideMark/>
          </w:tcPr>
          <w:p w14:paraId="28DD116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53,014,902 </w:t>
            </w:r>
          </w:p>
        </w:tc>
      </w:tr>
      <w:tr w:rsidR="00E23F6E" w:rsidRPr="001B6518" w14:paraId="2A18BDBE"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F36A31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4.3.2.3</w:t>
            </w:r>
          </w:p>
        </w:tc>
        <w:tc>
          <w:tcPr>
            <w:tcW w:w="3773" w:type="pct"/>
            <w:tcBorders>
              <w:top w:val="nil"/>
              <w:left w:val="nil"/>
              <w:bottom w:val="single" w:sz="8" w:space="0" w:color="auto"/>
              <w:right w:val="single" w:sz="8" w:space="0" w:color="auto"/>
            </w:tcBorders>
            <w:shd w:val="clear" w:color="000000" w:fill="FFFFFF"/>
            <w:noWrap/>
            <w:vAlign w:val="center"/>
            <w:hideMark/>
          </w:tcPr>
          <w:p w14:paraId="7E1BA7D5"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Expedición de licencias de manejo</w:t>
            </w:r>
          </w:p>
        </w:tc>
        <w:tc>
          <w:tcPr>
            <w:tcW w:w="745" w:type="pct"/>
            <w:tcBorders>
              <w:top w:val="nil"/>
              <w:left w:val="nil"/>
              <w:bottom w:val="single" w:sz="8" w:space="0" w:color="auto"/>
              <w:right w:val="nil"/>
            </w:tcBorders>
            <w:shd w:val="clear" w:color="000000" w:fill="FFFFFF"/>
            <w:vAlign w:val="center"/>
            <w:hideMark/>
          </w:tcPr>
          <w:p w14:paraId="0602879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135,192,419 </w:t>
            </w:r>
          </w:p>
        </w:tc>
      </w:tr>
      <w:tr w:rsidR="00E23F6E" w:rsidRPr="001B6518" w14:paraId="79595B06"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233EE9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4.3.2.4</w:t>
            </w:r>
          </w:p>
        </w:tc>
        <w:tc>
          <w:tcPr>
            <w:tcW w:w="3773" w:type="pct"/>
            <w:tcBorders>
              <w:top w:val="nil"/>
              <w:left w:val="nil"/>
              <w:bottom w:val="single" w:sz="8" w:space="0" w:color="auto"/>
              <w:right w:val="single" w:sz="8" w:space="0" w:color="auto"/>
            </w:tcBorders>
            <w:shd w:val="clear" w:color="000000" w:fill="FFFFFF"/>
            <w:noWrap/>
            <w:vAlign w:val="center"/>
            <w:hideMark/>
          </w:tcPr>
          <w:p w14:paraId="6D5555D8"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Otros servicios</w:t>
            </w:r>
          </w:p>
        </w:tc>
        <w:tc>
          <w:tcPr>
            <w:tcW w:w="745" w:type="pct"/>
            <w:tcBorders>
              <w:top w:val="nil"/>
              <w:left w:val="nil"/>
              <w:bottom w:val="single" w:sz="8" w:space="0" w:color="auto"/>
              <w:right w:val="nil"/>
            </w:tcBorders>
            <w:shd w:val="clear" w:color="000000" w:fill="FFFFFF"/>
            <w:vAlign w:val="center"/>
            <w:hideMark/>
          </w:tcPr>
          <w:p w14:paraId="7DCB3FB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11,402,086 </w:t>
            </w:r>
          </w:p>
        </w:tc>
      </w:tr>
      <w:tr w:rsidR="00E23F6E" w:rsidRPr="001B6518" w14:paraId="422C141C"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405F0E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4.3.2.5</w:t>
            </w:r>
          </w:p>
        </w:tc>
        <w:tc>
          <w:tcPr>
            <w:tcW w:w="3773" w:type="pct"/>
            <w:tcBorders>
              <w:top w:val="nil"/>
              <w:left w:val="nil"/>
              <w:bottom w:val="single" w:sz="8" w:space="0" w:color="auto"/>
              <w:right w:val="single" w:sz="8" w:space="0" w:color="auto"/>
            </w:tcBorders>
            <w:shd w:val="clear" w:color="000000" w:fill="FFFFFF"/>
            <w:noWrap/>
            <w:vAlign w:val="center"/>
            <w:hideMark/>
          </w:tcPr>
          <w:p w14:paraId="22F70A1C"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Relacionados con vialidad de vehículos de carga</w:t>
            </w:r>
          </w:p>
        </w:tc>
        <w:tc>
          <w:tcPr>
            <w:tcW w:w="745" w:type="pct"/>
            <w:tcBorders>
              <w:top w:val="nil"/>
              <w:left w:val="nil"/>
              <w:bottom w:val="single" w:sz="8" w:space="0" w:color="auto"/>
              <w:right w:val="nil"/>
            </w:tcBorders>
            <w:shd w:val="clear" w:color="000000" w:fill="FFFFFF"/>
            <w:vAlign w:val="center"/>
            <w:hideMark/>
          </w:tcPr>
          <w:p w14:paraId="7A4B9F5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38,847,833 </w:t>
            </w:r>
          </w:p>
        </w:tc>
      </w:tr>
      <w:tr w:rsidR="00E23F6E" w:rsidRPr="001B6518" w14:paraId="4A8DA886"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00C51C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4.3.2.6</w:t>
            </w:r>
          </w:p>
        </w:tc>
        <w:tc>
          <w:tcPr>
            <w:tcW w:w="3773" w:type="pct"/>
            <w:tcBorders>
              <w:top w:val="nil"/>
              <w:left w:val="nil"/>
              <w:bottom w:val="single" w:sz="8" w:space="0" w:color="auto"/>
              <w:right w:val="single" w:sz="8" w:space="0" w:color="auto"/>
            </w:tcBorders>
            <w:shd w:val="clear" w:color="000000" w:fill="FFFFFF"/>
            <w:noWrap/>
            <w:vAlign w:val="center"/>
            <w:hideMark/>
          </w:tcPr>
          <w:p w14:paraId="63AB51A8"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Relacionados con la policía auxiliar y la policía bancaria, industrial y comercial</w:t>
            </w:r>
          </w:p>
        </w:tc>
        <w:tc>
          <w:tcPr>
            <w:tcW w:w="745" w:type="pct"/>
            <w:tcBorders>
              <w:top w:val="nil"/>
              <w:left w:val="nil"/>
              <w:bottom w:val="single" w:sz="8" w:space="0" w:color="auto"/>
              <w:right w:val="nil"/>
            </w:tcBorders>
            <w:shd w:val="clear" w:color="000000" w:fill="FFFFFF"/>
            <w:vAlign w:val="center"/>
            <w:hideMark/>
          </w:tcPr>
          <w:p w14:paraId="3E68839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3,460,933 </w:t>
            </w:r>
          </w:p>
        </w:tc>
      </w:tr>
      <w:tr w:rsidR="00E23F6E" w:rsidRPr="001B6518" w14:paraId="1D9BE0CF"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787070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4.3.2.7</w:t>
            </w:r>
          </w:p>
        </w:tc>
        <w:tc>
          <w:tcPr>
            <w:tcW w:w="3773" w:type="pct"/>
            <w:tcBorders>
              <w:top w:val="nil"/>
              <w:left w:val="nil"/>
              <w:bottom w:val="single" w:sz="8" w:space="0" w:color="auto"/>
              <w:right w:val="single" w:sz="8" w:space="0" w:color="auto"/>
            </w:tcBorders>
            <w:shd w:val="clear" w:color="000000" w:fill="FFFFFF"/>
            <w:noWrap/>
            <w:vAlign w:val="center"/>
            <w:hideMark/>
          </w:tcPr>
          <w:p w14:paraId="52248189"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Seguridad externa en las vialidades y espacios públicos adyacentes en los que se lleven a cabo exposiciones, asambleas, espectáculos públicos, eventos artísticos y demás eventos análogos en general, de conformidad con el aforo de cada uno de ellos</w:t>
            </w:r>
          </w:p>
        </w:tc>
        <w:tc>
          <w:tcPr>
            <w:tcW w:w="745" w:type="pct"/>
            <w:tcBorders>
              <w:top w:val="nil"/>
              <w:left w:val="nil"/>
              <w:bottom w:val="single" w:sz="8" w:space="0" w:color="auto"/>
              <w:right w:val="nil"/>
            </w:tcBorders>
            <w:shd w:val="clear" w:color="000000" w:fill="FFFFFF"/>
            <w:vAlign w:val="center"/>
            <w:hideMark/>
          </w:tcPr>
          <w:p w14:paraId="5D8A4C3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622,832 </w:t>
            </w:r>
          </w:p>
        </w:tc>
      </w:tr>
      <w:tr w:rsidR="00E23F6E" w:rsidRPr="001B6518" w14:paraId="1F0E1A1D"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00C297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4.3.2.8</w:t>
            </w:r>
          </w:p>
        </w:tc>
        <w:tc>
          <w:tcPr>
            <w:tcW w:w="3773" w:type="pct"/>
            <w:tcBorders>
              <w:top w:val="nil"/>
              <w:left w:val="nil"/>
              <w:bottom w:val="single" w:sz="8" w:space="0" w:color="auto"/>
              <w:right w:val="single" w:sz="8" w:space="0" w:color="auto"/>
            </w:tcBorders>
            <w:shd w:val="clear" w:color="000000" w:fill="FFFFFF"/>
            <w:noWrap/>
            <w:vAlign w:val="center"/>
            <w:hideMark/>
          </w:tcPr>
          <w:p w14:paraId="6D9F598C"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Seguridad Privada</w:t>
            </w:r>
          </w:p>
        </w:tc>
        <w:tc>
          <w:tcPr>
            <w:tcW w:w="745" w:type="pct"/>
            <w:tcBorders>
              <w:top w:val="nil"/>
              <w:left w:val="nil"/>
              <w:bottom w:val="single" w:sz="8" w:space="0" w:color="auto"/>
              <w:right w:val="nil"/>
            </w:tcBorders>
            <w:shd w:val="clear" w:color="000000" w:fill="FFFFFF"/>
            <w:vAlign w:val="center"/>
            <w:hideMark/>
          </w:tcPr>
          <w:p w14:paraId="153B4D3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446,665 </w:t>
            </w:r>
          </w:p>
        </w:tc>
      </w:tr>
      <w:tr w:rsidR="00E23F6E" w:rsidRPr="001B6518" w14:paraId="0CBFB9C6" w14:textId="77777777" w:rsidTr="00E23F6E">
        <w:trPr>
          <w:trHeight w:val="20"/>
        </w:trPr>
        <w:tc>
          <w:tcPr>
            <w:tcW w:w="482" w:type="pct"/>
            <w:tcBorders>
              <w:top w:val="nil"/>
              <w:left w:val="nil"/>
              <w:bottom w:val="single" w:sz="8" w:space="0" w:color="auto"/>
              <w:right w:val="single" w:sz="8" w:space="0" w:color="auto"/>
            </w:tcBorders>
            <w:vAlign w:val="center"/>
            <w:hideMark/>
          </w:tcPr>
          <w:p w14:paraId="7B0C89EC"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4.3.3</w:t>
            </w:r>
          </w:p>
        </w:tc>
        <w:tc>
          <w:tcPr>
            <w:tcW w:w="3773" w:type="pct"/>
            <w:tcBorders>
              <w:top w:val="nil"/>
              <w:left w:val="nil"/>
              <w:bottom w:val="single" w:sz="8" w:space="0" w:color="auto"/>
              <w:right w:val="single" w:sz="8" w:space="0" w:color="auto"/>
            </w:tcBorders>
            <w:noWrap/>
            <w:vAlign w:val="center"/>
            <w:hideMark/>
          </w:tcPr>
          <w:p w14:paraId="2B141633"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Derechos por los servicios que presta la Consejería Jurídica</w:t>
            </w:r>
          </w:p>
        </w:tc>
        <w:tc>
          <w:tcPr>
            <w:tcW w:w="745" w:type="pct"/>
            <w:tcBorders>
              <w:top w:val="nil"/>
              <w:left w:val="nil"/>
              <w:bottom w:val="single" w:sz="8" w:space="0" w:color="auto"/>
              <w:right w:val="nil"/>
            </w:tcBorders>
            <w:vAlign w:val="center"/>
            <w:hideMark/>
          </w:tcPr>
          <w:p w14:paraId="3CA478EC"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95,902,100 </w:t>
            </w:r>
          </w:p>
        </w:tc>
      </w:tr>
      <w:tr w:rsidR="00E23F6E" w:rsidRPr="001B6518" w14:paraId="307C1A55"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24691B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4.3.3.1</w:t>
            </w:r>
          </w:p>
        </w:tc>
        <w:tc>
          <w:tcPr>
            <w:tcW w:w="3773" w:type="pct"/>
            <w:tcBorders>
              <w:top w:val="nil"/>
              <w:left w:val="nil"/>
              <w:bottom w:val="single" w:sz="8" w:space="0" w:color="auto"/>
              <w:right w:val="single" w:sz="8" w:space="0" w:color="auto"/>
            </w:tcBorders>
            <w:shd w:val="clear" w:color="000000" w:fill="FFFFFF"/>
            <w:noWrap/>
            <w:vAlign w:val="center"/>
            <w:hideMark/>
          </w:tcPr>
          <w:p w14:paraId="5850B01C"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Dirección del Registro Civil</w:t>
            </w:r>
          </w:p>
        </w:tc>
        <w:tc>
          <w:tcPr>
            <w:tcW w:w="745" w:type="pct"/>
            <w:tcBorders>
              <w:top w:val="nil"/>
              <w:left w:val="nil"/>
              <w:bottom w:val="single" w:sz="8" w:space="0" w:color="auto"/>
              <w:right w:val="nil"/>
            </w:tcBorders>
            <w:shd w:val="clear" w:color="000000" w:fill="FFFFFF"/>
            <w:vAlign w:val="center"/>
            <w:hideMark/>
          </w:tcPr>
          <w:p w14:paraId="2A80F67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82,581,049 </w:t>
            </w:r>
          </w:p>
        </w:tc>
      </w:tr>
      <w:tr w:rsidR="00E23F6E" w:rsidRPr="001B6518" w14:paraId="0F5220B5"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40B065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4.3.3.2</w:t>
            </w:r>
          </w:p>
        </w:tc>
        <w:tc>
          <w:tcPr>
            <w:tcW w:w="3773" w:type="pct"/>
            <w:tcBorders>
              <w:top w:val="nil"/>
              <w:left w:val="nil"/>
              <w:bottom w:val="single" w:sz="8" w:space="0" w:color="auto"/>
              <w:right w:val="single" w:sz="8" w:space="0" w:color="auto"/>
            </w:tcBorders>
            <w:shd w:val="clear" w:color="000000" w:fill="FFFFFF"/>
            <w:noWrap/>
            <w:vAlign w:val="center"/>
            <w:hideMark/>
          </w:tcPr>
          <w:p w14:paraId="55FE50A7"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Diario Oficial del Gobierno del Estado de Yucatán</w:t>
            </w:r>
          </w:p>
        </w:tc>
        <w:tc>
          <w:tcPr>
            <w:tcW w:w="745" w:type="pct"/>
            <w:tcBorders>
              <w:top w:val="nil"/>
              <w:left w:val="nil"/>
              <w:bottom w:val="single" w:sz="8" w:space="0" w:color="auto"/>
              <w:right w:val="nil"/>
            </w:tcBorders>
            <w:shd w:val="clear" w:color="000000" w:fill="FFFFFF"/>
            <w:vAlign w:val="center"/>
            <w:hideMark/>
          </w:tcPr>
          <w:p w14:paraId="186900D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2,881,365 </w:t>
            </w:r>
          </w:p>
        </w:tc>
      </w:tr>
      <w:tr w:rsidR="00E23F6E" w:rsidRPr="001B6518" w14:paraId="28930F09"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CBD891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4.3.3.3</w:t>
            </w:r>
          </w:p>
        </w:tc>
        <w:tc>
          <w:tcPr>
            <w:tcW w:w="3773" w:type="pct"/>
            <w:tcBorders>
              <w:top w:val="nil"/>
              <w:left w:val="nil"/>
              <w:bottom w:val="single" w:sz="8" w:space="0" w:color="auto"/>
              <w:right w:val="single" w:sz="8" w:space="0" w:color="auto"/>
            </w:tcBorders>
            <w:shd w:val="clear" w:color="000000" w:fill="FFFFFF"/>
            <w:noWrap/>
            <w:vAlign w:val="center"/>
            <w:hideMark/>
          </w:tcPr>
          <w:p w14:paraId="6E41CA57"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Otros Servicios que presta la Consejería Jurídica</w:t>
            </w:r>
          </w:p>
        </w:tc>
        <w:tc>
          <w:tcPr>
            <w:tcW w:w="745" w:type="pct"/>
            <w:tcBorders>
              <w:top w:val="nil"/>
              <w:left w:val="nil"/>
              <w:bottom w:val="single" w:sz="8" w:space="0" w:color="auto"/>
              <w:right w:val="nil"/>
            </w:tcBorders>
            <w:shd w:val="clear" w:color="000000" w:fill="FFFFFF"/>
            <w:vAlign w:val="center"/>
            <w:hideMark/>
          </w:tcPr>
          <w:p w14:paraId="6CFC5D4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6,956,396 </w:t>
            </w:r>
          </w:p>
        </w:tc>
      </w:tr>
      <w:tr w:rsidR="00E23F6E" w:rsidRPr="001B6518" w14:paraId="24583B5E"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CB4A68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4.3.3.4</w:t>
            </w:r>
          </w:p>
        </w:tc>
        <w:tc>
          <w:tcPr>
            <w:tcW w:w="3773" w:type="pct"/>
            <w:tcBorders>
              <w:top w:val="nil"/>
              <w:left w:val="nil"/>
              <w:bottom w:val="single" w:sz="8" w:space="0" w:color="auto"/>
              <w:right w:val="single" w:sz="8" w:space="0" w:color="auto"/>
            </w:tcBorders>
            <w:shd w:val="clear" w:color="000000" w:fill="FFFFFF"/>
            <w:noWrap/>
            <w:vAlign w:val="center"/>
            <w:hideMark/>
          </w:tcPr>
          <w:p w14:paraId="29669112"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Dirección del Archivo Notarial</w:t>
            </w:r>
          </w:p>
        </w:tc>
        <w:tc>
          <w:tcPr>
            <w:tcW w:w="745" w:type="pct"/>
            <w:tcBorders>
              <w:top w:val="nil"/>
              <w:left w:val="nil"/>
              <w:bottom w:val="single" w:sz="8" w:space="0" w:color="auto"/>
              <w:right w:val="nil"/>
            </w:tcBorders>
            <w:shd w:val="clear" w:color="000000" w:fill="FFFFFF"/>
            <w:vAlign w:val="center"/>
            <w:hideMark/>
          </w:tcPr>
          <w:p w14:paraId="5ED8203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3,483,290 </w:t>
            </w:r>
          </w:p>
        </w:tc>
      </w:tr>
      <w:tr w:rsidR="00E23F6E" w:rsidRPr="001B6518" w14:paraId="10627F3F" w14:textId="77777777" w:rsidTr="00E23F6E">
        <w:trPr>
          <w:trHeight w:val="20"/>
        </w:trPr>
        <w:tc>
          <w:tcPr>
            <w:tcW w:w="482" w:type="pct"/>
            <w:tcBorders>
              <w:top w:val="nil"/>
              <w:left w:val="nil"/>
              <w:bottom w:val="single" w:sz="8" w:space="0" w:color="auto"/>
              <w:right w:val="single" w:sz="8" w:space="0" w:color="auto"/>
            </w:tcBorders>
            <w:vAlign w:val="center"/>
            <w:hideMark/>
          </w:tcPr>
          <w:p w14:paraId="67EA3BC5"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4.3.4</w:t>
            </w:r>
          </w:p>
        </w:tc>
        <w:tc>
          <w:tcPr>
            <w:tcW w:w="3773" w:type="pct"/>
            <w:tcBorders>
              <w:top w:val="nil"/>
              <w:left w:val="nil"/>
              <w:bottom w:val="single" w:sz="8" w:space="0" w:color="auto"/>
              <w:right w:val="single" w:sz="8" w:space="0" w:color="auto"/>
            </w:tcBorders>
            <w:noWrap/>
            <w:vAlign w:val="center"/>
            <w:hideMark/>
          </w:tcPr>
          <w:p w14:paraId="2003DE5E"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Servicios que presta el Instituto de Seguridad Jurídica Patrimonial de Yucatán</w:t>
            </w:r>
          </w:p>
        </w:tc>
        <w:tc>
          <w:tcPr>
            <w:tcW w:w="745" w:type="pct"/>
            <w:tcBorders>
              <w:top w:val="nil"/>
              <w:left w:val="nil"/>
              <w:bottom w:val="single" w:sz="8" w:space="0" w:color="auto"/>
              <w:right w:val="nil"/>
            </w:tcBorders>
            <w:vAlign w:val="center"/>
            <w:hideMark/>
          </w:tcPr>
          <w:p w14:paraId="4F7681E8"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592,430,553 </w:t>
            </w:r>
          </w:p>
        </w:tc>
      </w:tr>
      <w:tr w:rsidR="00E23F6E" w:rsidRPr="001B6518" w14:paraId="6832914D"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DB83ED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4.3.4.1</w:t>
            </w:r>
          </w:p>
        </w:tc>
        <w:tc>
          <w:tcPr>
            <w:tcW w:w="3773" w:type="pct"/>
            <w:tcBorders>
              <w:top w:val="nil"/>
              <w:left w:val="nil"/>
              <w:bottom w:val="single" w:sz="8" w:space="0" w:color="auto"/>
              <w:right w:val="single" w:sz="8" w:space="0" w:color="auto"/>
            </w:tcBorders>
            <w:shd w:val="clear" w:color="000000" w:fill="FFFFFF"/>
            <w:noWrap/>
            <w:vAlign w:val="center"/>
            <w:hideMark/>
          </w:tcPr>
          <w:p w14:paraId="104EDB34"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Dirección del Registro Público de la Propiedad y del Comercio</w:t>
            </w:r>
          </w:p>
        </w:tc>
        <w:tc>
          <w:tcPr>
            <w:tcW w:w="745" w:type="pct"/>
            <w:tcBorders>
              <w:top w:val="nil"/>
              <w:left w:val="nil"/>
              <w:bottom w:val="single" w:sz="8" w:space="0" w:color="auto"/>
              <w:right w:val="nil"/>
            </w:tcBorders>
            <w:shd w:val="clear" w:color="000000" w:fill="FFFFFF"/>
            <w:vAlign w:val="center"/>
            <w:hideMark/>
          </w:tcPr>
          <w:p w14:paraId="3C3C165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356,124,229 </w:t>
            </w:r>
          </w:p>
        </w:tc>
      </w:tr>
      <w:tr w:rsidR="00E23F6E" w:rsidRPr="001B6518" w14:paraId="1E98B9CE"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6FD148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4.3.4.2</w:t>
            </w:r>
          </w:p>
        </w:tc>
        <w:tc>
          <w:tcPr>
            <w:tcW w:w="3773" w:type="pct"/>
            <w:tcBorders>
              <w:top w:val="nil"/>
              <w:left w:val="nil"/>
              <w:bottom w:val="single" w:sz="8" w:space="0" w:color="auto"/>
              <w:right w:val="single" w:sz="8" w:space="0" w:color="auto"/>
            </w:tcBorders>
            <w:shd w:val="clear" w:color="000000" w:fill="FFFFFF"/>
            <w:noWrap/>
            <w:vAlign w:val="center"/>
            <w:hideMark/>
          </w:tcPr>
          <w:p w14:paraId="660A86C4"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Servicios que prestan los Fedatarios a quienes el Estado les haya concedido Fe Pública</w:t>
            </w:r>
          </w:p>
        </w:tc>
        <w:tc>
          <w:tcPr>
            <w:tcW w:w="745" w:type="pct"/>
            <w:tcBorders>
              <w:top w:val="nil"/>
              <w:left w:val="nil"/>
              <w:bottom w:val="single" w:sz="8" w:space="0" w:color="auto"/>
              <w:right w:val="nil"/>
            </w:tcBorders>
            <w:shd w:val="clear" w:color="000000" w:fill="FFFFFF"/>
            <w:vAlign w:val="center"/>
            <w:hideMark/>
          </w:tcPr>
          <w:p w14:paraId="3CE0FEB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193,222,873 </w:t>
            </w:r>
          </w:p>
        </w:tc>
      </w:tr>
      <w:tr w:rsidR="00E23F6E" w:rsidRPr="001B6518" w14:paraId="15F284A0"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41CC8F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4.3.4.3</w:t>
            </w:r>
          </w:p>
        </w:tc>
        <w:tc>
          <w:tcPr>
            <w:tcW w:w="3773" w:type="pct"/>
            <w:tcBorders>
              <w:top w:val="nil"/>
              <w:left w:val="nil"/>
              <w:bottom w:val="single" w:sz="8" w:space="0" w:color="auto"/>
              <w:right w:val="single" w:sz="8" w:space="0" w:color="auto"/>
            </w:tcBorders>
            <w:shd w:val="clear" w:color="000000" w:fill="FFFFFF"/>
            <w:noWrap/>
            <w:vAlign w:val="center"/>
            <w:hideMark/>
          </w:tcPr>
          <w:p w14:paraId="3F5656E4"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Dirección de Catastro</w:t>
            </w:r>
          </w:p>
        </w:tc>
        <w:tc>
          <w:tcPr>
            <w:tcW w:w="745" w:type="pct"/>
            <w:tcBorders>
              <w:top w:val="nil"/>
              <w:left w:val="nil"/>
              <w:bottom w:val="single" w:sz="8" w:space="0" w:color="auto"/>
              <w:right w:val="nil"/>
            </w:tcBorders>
            <w:shd w:val="clear" w:color="000000" w:fill="FFFFFF"/>
            <w:vAlign w:val="center"/>
            <w:hideMark/>
          </w:tcPr>
          <w:p w14:paraId="6E50344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43,083,451 </w:t>
            </w:r>
          </w:p>
        </w:tc>
      </w:tr>
      <w:tr w:rsidR="00E23F6E" w:rsidRPr="001B6518" w14:paraId="63BFB3AE"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3D6B94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4.3.5</w:t>
            </w:r>
          </w:p>
        </w:tc>
        <w:tc>
          <w:tcPr>
            <w:tcW w:w="3773" w:type="pct"/>
            <w:tcBorders>
              <w:top w:val="nil"/>
              <w:left w:val="nil"/>
              <w:bottom w:val="single" w:sz="8" w:space="0" w:color="auto"/>
              <w:right w:val="single" w:sz="8" w:space="0" w:color="auto"/>
            </w:tcBorders>
            <w:shd w:val="clear" w:color="000000" w:fill="FFFFFF"/>
            <w:noWrap/>
            <w:vAlign w:val="center"/>
            <w:hideMark/>
          </w:tcPr>
          <w:p w14:paraId="2F8EB9C0"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Servicios que presta la Fiscalía General del Estado</w:t>
            </w:r>
          </w:p>
        </w:tc>
        <w:tc>
          <w:tcPr>
            <w:tcW w:w="745" w:type="pct"/>
            <w:tcBorders>
              <w:top w:val="nil"/>
              <w:left w:val="nil"/>
              <w:bottom w:val="single" w:sz="8" w:space="0" w:color="auto"/>
              <w:right w:val="nil"/>
            </w:tcBorders>
            <w:shd w:val="clear" w:color="000000" w:fill="FFFFFF"/>
            <w:vAlign w:val="center"/>
            <w:hideMark/>
          </w:tcPr>
          <w:p w14:paraId="1178D63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6,938,988 </w:t>
            </w:r>
          </w:p>
        </w:tc>
      </w:tr>
      <w:tr w:rsidR="00E23F6E" w:rsidRPr="001B6518" w14:paraId="54C368BD"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C5D0C0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4.3.6</w:t>
            </w:r>
          </w:p>
        </w:tc>
        <w:tc>
          <w:tcPr>
            <w:tcW w:w="3773" w:type="pct"/>
            <w:tcBorders>
              <w:top w:val="nil"/>
              <w:left w:val="nil"/>
              <w:bottom w:val="single" w:sz="8" w:space="0" w:color="auto"/>
              <w:right w:val="single" w:sz="8" w:space="0" w:color="auto"/>
            </w:tcBorders>
            <w:shd w:val="clear" w:color="000000" w:fill="FFFFFF"/>
            <w:noWrap/>
            <w:vAlign w:val="center"/>
            <w:hideMark/>
          </w:tcPr>
          <w:p w14:paraId="28A33F03"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Servicios que presta la Secretaría de Educación</w:t>
            </w:r>
          </w:p>
        </w:tc>
        <w:tc>
          <w:tcPr>
            <w:tcW w:w="745" w:type="pct"/>
            <w:tcBorders>
              <w:top w:val="nil"/>
              <w:left w:val="nil"/>
              <w:bottom w:val="single" w:sz="8" w:space="0" w:color="auto"/>
              <w:right w:val="nil"/>
            </w:tcBorders>
            <w:shd w:val="clear" w:color="000000" w:fill="FFFFFF"/>
            <w:vAlign w:val="center"/>
            <w:hideMark/>
          </w:tcPr>
          <w:p w14:paraId="19B5211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8,948,312 </w:t>
            </w:r>
          </w:p>
        </w:tc>
      </w:tr>
      <w:tr w:rsidR="00E23F6E" w:rsidRPr="001B6518" w14:paraId="3BF85CDE"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795FE6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4.3.7</w:t>
            </w:r>
          </w:p>
        </w:tc>
        <w:tc>
          <w:tcPr>
            <w:tcW w:w="3773" w:type="pct"/>
            <w:tcBorders>
              <w:top w:val="nil"/>
              <w:left w:val="nil"/>
              <w:bottom w:val="single" w:sz="8" w:space="0" w:color="auto"/>
              <w:right w:val="single" w:sz="8" w:space="0" w:color="auto"/>
            </w:tcBorders>
            <w:shd w:val="clear" w:color="000000" w:fill="FFFFFF"/>
            <w:noWrap/>
            <w:vAlign w:val="center"/>
            <w:hideMark/>
          </w:tcPr>
          <w:p w14:paraId="004D131B"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Servicios que presta la Secretaría de Desarrollo Sustentable</w:t>
            </w:r>
          </w:p>
        </w:tc>
        <w:tc>
          <w:tcPr>
            <w:tcW w:w="745" w:type="pct"/>
            <w:tcBorders>
              <w:top w:val="nil"/>
              <w:left w:val="nil"/>
              <w:bottom w:val="single" w:sz="8" w:space="0" w:color="auto"/>
              <w:right w:val="nil"/>
            </w:tcBorders>
            <w:shd w:val="clear" w:color="000000" w:fill="FFFFFF"/>
            <w:vAlign w:val="center"/>
            <w:hideMark/>
          </w:tcPr>
          <w:p w14:paraId="27E29EF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101,046,752 </w:t>
            </w:r>
          </w:p>
        </w:tc>
      </w:tr>
      <w:tr w:rsidR="00E23F6E" w:rsidRPr="001B6518" w14:paraId="0D020CB1"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20F864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4.3.8</w:t>
            </w:r>
          </w:p>
        </w:tc>
        <w:tc>
          <w:tcPr>
            <w:tcW w:w="3773" w:type="pct"/>
            <w:tcBorders>
              <w:top w:val="nil"/>
              <w:left w:val="nil"/>
              <w:bottom w:val="single" w:sz="8" w:space="0" w:color="auto"/>
              <w:right w:val="single" w:sz="8" w:space="0" w:color="auto"/>
            </w:tcBorders>
            <w:shd w:val="clear" w:color="000000" w:fill="FFFFFF"/>
            <w:noWrap/>
            <w:vAlign w:val="center"/>
            <w:hideMark/>
          </w:tcPr>
          <w:p w14:paraId="689FB652"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Servicios que presta la Secretaría de Salud</w:t>
            </w:r>
          </w:p>
        </w:tc>
        <w:tc>
          <w:tcPr>
            <w:tcW w:w="745" w:type="pct"/>
            <w:tcBorders>
              <w:top w:val="nil"/>
              <w:left w:val="nil"/>
              <w:bottom w:val="single" w:sz="8" w:space="0" w:color="auto"/>
              <w:right w:val="nil"/>
            </w:tcBorders>
            <w:shd w:val="clear" w:color="000000" w:fill="FFFFFF"/>
            <w:vAlign w:val="center"/>
            <w:hideMark/>
          </w:tcPr>
          <w:p w14:paraId="5222682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81,443,467 </w:t>
            </w:r>
          </w:p>
        </w:tc>
      </w:tr>
      <w:tr w:rsidR="00E23F6E" w:rsidRPr="001B6518" w14:paraId="6905490A"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2AD8D1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4.3.9</w:t>
            </w:r>
          </w:p>
        </w:tc>
        <w:tc>
          <w:tcPr>
            <w:tcW w:w="3773" w:type="pct"/>
            <w:tcBorders>
              <w:top w:val="nil"/>
              <w:left w:val="nil"/>
              <w:bottom w:val="single" w:sz="8" w:space="0" w:color="auto"/>
              <w:right w:val="single" w:sz="8" w:space="0" w:color="auto"/>
            </w:tcBorders>
            <w:shd w:val="clear" w:color="000000" w:fill="FFFFFF"/>
            <w:noWrap/>
            <w:vAlign w:val="center"/>
            <w:hideMark/>
          </w:tcPr>
          <w:p w14:paraId="770A53F7"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Servicios que presta la Coordinación Estatal de Protección Civil</w:t>
            </w:r>
          </w:p>
        </w:tc>
        <w:tc>
          <w:tcPr>
            <w:tcW w:w="745" w:type="pct"/>
            <w:tcBorders>
              <w:top w:val="nil"/>
              <w:left w:val="nil"/>
              <w:bottom w:val="single" w:sz="8" w:space="0" w:color="auto"/>
              <w:right w:val="nil"/>
            </w:tcBorders>
            <w:shd w:val="clear" w:color="000000" w:fill="FFFFFF"/>
            <w:vAlign w:val="center"/>
            <w:hideMark/>
          </w:tcPr>
          <w:p w14:paraId="624415C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2,021,339 </w:t>
            </w:r>
          </w:p>
        </w:tc>
      </w:tr>
      <w:tr w:rsidR="00E23F6E" w:rsidRPr="001B6518" w14:paraId="096C5C06"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ACFF03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4.3.10</w:t>
            </w:r>
          </w:p>
        </w:tc>
        <w:tc>
          <w:tcPr>
            <w:tcW w:w="3773" w:type="pct"/>
            <w:tcBorders>
              <w:top w:val="nil"/>
              <w:left w:val="nil"/>
              <w:bottom w:val="single" w:sz="8" w:space="0" w:color="auto"/>
              <w:right w:val="single" w:sz="8" w:space="0" w:color="auto"/>
            </w:tcBorders>
            <w:shd w:val="clear" w:color="000000" w:fill="FFFFFF"/>
            <w:noWrap/>
            <w:vAlign w:val="center"/>
            <w:hideMark/>
          </w:tcPr>
          <w:p w14:paraId="663FDAFA"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Servicios que presta el Instituto de Movilidad y Desarrollo Urbano Territorial</w:t>
            </w:r>
          </w:p>
        </w:tc>
        <w:tc>
          <w:tcPr>
            <w:tcW w:w="745" w:type="pct"/>
            <w:tcBorders>
              <w:top w:val="nil"/>
              <w:left w:val="nil"/>
              <w:bottom w:val="single" w:sz="8" w:space="0" w:color="auto"/>
              <w:right w:val="nil"/>
            </w:tcBorders>
            <w:shd w:val="clear" w:color="000000" w:fill="FFFFFF"/>
            <w:vAlign w:val="center"/>
            <w:hideMark/>
          </w:tcPr>
          <w:p w14:paraId="3AC096F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3,259,934 </w:t>
            </w:r>
          </w:p>
        </w:tc>
      </w:tr>
      <w:tr w:rsidR="00E23F6E" w:rsidRPr="001B6518" w14:paraId="7DA7DB41"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D1300F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4.3.11</w:t>
            </w:r>
          </w:p>
        </w:tc>
        <w:tc>
          <w:tcPr>
            <w:tcW w:w="3773" w:type="pct"/>
            <w:tcBorders>
              <w:top w:val="nil"/>
              <w:left w:val="nil"/>
              <w:bottom w:val="single" w:sz="8" w:space="0" w:color="auto"/>
              <w:right w:val="single" w:sz="8" w:space="0" w:color="auto"/>
            </w:tcBorders>
            <w:shd w:val="clear" w:color="000000" w:fill="FFFFFF"/>
            <w:noWrap/>
            <w:vAlign w:val="center"/>
            <w:hideMark/>
          </w:tcPr>
          <w:p w14:paraId="7D17B7D9"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Acceso a la información</w:t>
            </w:r>
          </w:p>
        </w:tc>
        <w:tc>
          <w:tcPr>
            <w:tcW w:w="745" w:type="pct"/>
            <w:tcBorders>
              <w:top w:val="nil"/>
              <w:left w:val="nil"/>
              <w:bottom w:val="single" w:sz="8" w:space="0" w:color="auto"/>
              <w:right w:val="nil"/>
            </w:tcBorders>
            <w:shd w:val="clear" w:color="000000" w:fill="FFFFFF"/>
            <w:vAlign w:val="center"/>
            <w:hideMark/>
          </w:tcPr>
          <w:p w14:paraId="11F4F6A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646 </w:t>
            </w:r>
          </w:p>
        </w:tc>
      </w:tr>
      <w:tr w:rsidR="00E23F6E" w:rsidRPr="001B6518" w14:paraId="4831708D"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B93445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4.3.12</w:t>
            </w:r>
          </w:p>
        </w:tc>
        <w:tc>
          <w:tcPr>
            <w:tcW w:w="3773" w:type="pct"/>
            <w:tcBorders>
              <w:top w:val="nil"/>
              <w:left w:val="nil"/>
              <w:bottom w:val="single" w:sz="8" w:space="0" w:color="auto"/>
              <w:right w:val="single" w:sz="8" w:space="0" w:color="auto"/>
            </w:tcBorders>
            <w:shd w:val="clear" w:color="000000" w:fill="FFFFFF"/>
            <w:noWrap/>
            <w:vAlign w:val="center"/>
            <w:hideMark/>
          </w:tcPr>
          <w:p w14:paraId="4BB1EE5C"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Por los servicios de inspección, control y fiscalización que realiza la Secretaría Anticorrupción y Buen Gobierno</w:t>
            </w:r>
          </w:p>
        </w:tc>
        <w:tc>
          <w:tcPr>
            <w:tcW w:w="745" w:type="pct"/>
            <w:tcBorders>
              <w:top w:val="nil"/>
              <w:left w:val="nil"/>
              <w:bottom w:val="single" w:sz="8" w:space="0" w:color="auto"/>
              <w:right w:val="nil"/>
            </w:tcBorders>
            <w:shd w:val="clear" w:color="000000" w:fill="FFFFFF"/>
            <w:vAlign w:val="center"/>
            <w:hideMark/>
          </w:tcPr>
          <w:p w14:paraId="04122C1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8,000,049 </w:t>
            </w:r>
          </w:p>
        </w:tc>
      </w:tr>
      <w:tr w:rsidR="00E23F6E" w:rsidRPr="001B6518" w14:paraId="1778258D"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BB7AC0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4.3.13</w:t>
            </w:r>
          </w:p>
        </w:tc>
        <w:tc>
          <w:tcPr>
            <w:tcW w:w="3773" w:type="pct"/>
            <w:tcBorders>
              <w:top w:val="nil"/>
              <w:left w:val="nil"/>
              <w:bottom w:val="single" w:sz="8" w:space="0" w:color="auto"/>
              <w:right w:val="single" w:sz="8" w:space="0" w:color="auto"/>
            </w:tcBorders>
            <w:shd w:val="clear" w:color="000000" w:fill="FFFFFF"/>
            <w:noWrap/>
            <w:vAlign w:val="center"/>
            <w:hideMark/>
          </w:tcPr>
          <w:p w14:paraId="404FB4CE"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Por los servicios de supervisión, vigilancia y registro de máquinas de juegos y apuestas</w:t>
            </w:r>
          </w:p>
        </w:tc>
        <w:tc>
          <w:tcPr>
            <w:tcW w:w="745" w:type="pct"/>
            <w:tcBorders>
              <w:top w:val="nil"/>
              <w:left w:val="nil"/>
              <w:bottom w:val="single" w:sz="8" w:space="0" w:color="auto"/>
              <w:right w:val="nil"/>
            </w:tcBorders>
            <w:shd w:val="clear" w:color="000000" w:fill="FFFFFF"/>
            <w:vAlign w:val="center"/>
            <w:hideMark/>
          </w:tcPr>
          <w:p w14:paraId="4CD80D0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61,737,642 </w:t>
            </w:r>
          </w:p>
        </w:tc>
      </w:tr>
      <w:tr w:rsidR="00E23F6E" w:rsidRPr="001B6518" w14:paraId="0599CD98"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745568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4.3.14</w:t>
            </w:r>
          </w:p>
        </w:tc>
        <w:tc>
          <w:tcPr>
            <w:tcW w:w="3773" w:type="pct"/>
            <w:tcBorders>
              <w:top w:val="nil"/>
              <w:left w:val="nil"/>
              <w:bottom w:val="single" w:sz="8" w:space="0" w:color="auto"/>
              <w:right w:val="single" w:sz="8" w:space="0" w:color="auto"/>
            </w:tcBorders>
            <w:shd w:val="clear" w:color="000000" w:fill="FFFFFF"/>
            <w:noWrap/>
            <w:vAlign w:val="center"/>
            <w:hideMark/>
          </w:tcPr>
          <w:p w14:paraId="3A16789A"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Por los servicios que presta el Poder Judicial del Estado</w:t>
            </w:r>
          </w:p>
        </w:tc>
        <w:tc>
          <w:tcPr>
            <w:tcW w:w="745" w:type="pct"/>
            <w:tcBorders>
              <w:top w:val="nil"/>
              <w:left w:val="nil"/>
              <w:bottom w:val="single" w:sz="8" w:space="0" w:color="auto"/>
              <w:right w:val="nil"/>
            </w:tcBorders>
            <w:shd w:val="clear" w:color="000000" w:fill="FFFFFF"/>
            <w:vAlign w:val="center"/>
            <w:hideMark/>
          </w:tcPr>
          <w:p w14:paraId="0B1D7EE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 </w:t>
            </w:r>
          </w:p>
        </w:tc>
      </w:tr>
      <w:tr w:rsidR="00E23F6E" w:rsidRPr="001B6518" w14:paraId="48CE60B2"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870EEB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4.3.15</w:t>
            </w:r>
          </w:p>
        </w:tc>
        <w:tc>
          <w:tcPr>
            <w:tcW w:w="3773" w:type="pct"/>
            <w:tcBorders>
              <w:top w:val="nil"/>
              <w:left w:val="nil"/>
              <w:bottom w:val="single" w:sz="8" w:space="0" w:color="auto"/>
              <w:right w:val="single" w:sz="8" w:space="0" w:color="auto"/>
            </w:tcBorders>
            <w:shd w:val="clear" w:color="000000" w:fill="FFFFFF"/>
            <w:noWrap/>
            <w:vAlign w:val="center"/>
            <w:hideMark/>
          </w:tcPr>
          <w:p w14:paraId="1F840DE0"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Por los servicios de permiso, registro y supervisión para la instalación y operación de casas de empeño</w:t>
            </w:r>
          </w:p>
        </w:tc>
        <w:tc>
          <w:tcPr>
            <w:tcW w:w="745" w:type="pct"/>
            <w:tcBorders>
              <w:top w:val="nil"/>
              <w:left w:val="nil"/>
              <w:bottom w:val="single" w:sz="8" w:space="0" w:color="auto"/>
              <w:right w:val="nil"/>
            </w:tcBorders>
            <w:shd w:val="clear" w:color="000000" w:fill="FFFFFF"/>
            <w:vAlign w:val="center"/>
            <w:hideMark/>
          </w:tcPr>
          <w:p w14:paraId="281500D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917,667 </w:t>
            </w:r>
          </w:p>
        </w:tc>
      </w:tr>
      <w:tr w:rsidR="00E23F6E" w:rsidRPr="001B6518" w14:paraId="175D8429"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0605AA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lastRenderedPageBreak/>
              <w:t>4.3.16</w:t>
            </w:r>
          </w:p>
        </w:tc>
        <w:tc>
          <w:tcPr>
            <w:tcW w:w="3773" w:type="pct"/>
            <w:tcBorders>
              <w:top w:val="nil"/>
              <w:left w:val="nil"/>
              <w:bottom w:val="single" w:sz="8" w:space="0" w:color="auto"/>
              <w:right w:val="single" w:sz="8" w:space="0" w:color="auto"/>
            </w:tcBorders>
            <w:shd w:val="clear" w:color="000000" w:fill="FFFFFF"/>
            <w:noWrap/>
            <w:vAlign w:val="center"/>
            <w:hideMark/>
          </w:tcPr>
          <w:p w14:paraId="7B8308F7"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Por los servicios que presta la Subsecretaría de Educación Superior de la Secretaría de Educación</w:t>
            </w:r>
          </w:p>
        </w:tc>
        <w:tc>
          <w:tcPr>
            <w:tcW w:w="745" w:type="pct"/>
            <w:tcBorders>
              <w:top w:val="nil"/>
              <w:left w:val="nil"/>
              <w:bottom w:val="single" w:sz="8" w:space="0" w:color="auto"/>
              <w:right w:val="nil"/>
            </w:tcBorders>
            <w:shd w:val="clear" w:color="000000" w:fill="FFFFFF"/>
            <w:vAlign w:val="center"/>
            <w:hideMark/>
          </w:tcPr>
          <w:p w14:paraId="6CFBEA6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28,545,441 </w:t>
            </w:r>
          </w:p>
        </w:tc>
      </w:tr>
      <w:tr w:rsidR="00E23F6E" w:rsidRPr="001B6518" w14:paraId="31409274"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9A3D8A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4.3.17</w:t>
            </w:r>
          </w:p>
        </w:tc>
        <w:tc>
          <w:tcPr>
            <w:tcW w:w="3773" w:type="pct"/>
            <w:tcBorders>
              <w:top w:val="nil"/>
              <w:left w:val="nil"/>
              <w:bottom w:val="single" w:sz="8" w:space="0" w:color="auto"/>
              <w:right w:val="single" w:sz="8" w:space="0" w:color="auto"/>
            </w:tcBorders>
            <w:shd w:val="clear" w:color="000000" w:fill="FFFFFF"/>
            <w:noWrap/>
            <w:vAlign w:val="center"/>
            <w:hideMark/>
          </w:tcPr>
          <w:p w14:paraId="1DBB94FA"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Por los servicios que presta la Agencia de Transporte de Yucatán</w:t>
            </w:r>
          </w:p>
        </w:tc>
        <w:tc>
          <w:tcPr>
            <w:tcW w:w="745" w:type="pct"/>
            <w:tcBorders>
              <w:top w:val="nil"/>
              <w:left w:val="nil"/>
              <w:bottom w:val="single" w:sz="8" w:space="0" w:color="auto"/>
              <w:right w:val="nil"/>
            </w:tcBorders>
            <w:shd w:val="clear" w:color="000000" w:fill="FFFFFF"/>
            <w:vAlign w:val="center"/>
            <w:hideMark/>
          </w:tcPr>
          <w:p w14:paraId="404EFCA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4,057,710 </w:t>
            </w:r>
          </w:p>
        </w:tc>
      </w:tr>
      <w:tr w:rsidR="00E23F6E" w:rsidRPr="001B6518" w14:paraId="6DC88F66"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153F2D8E"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4.4</w:t>
            </w:r>
          </w:p>
        </w:tc>
        <w:tc>
          <w:tcPr>
            <w:tcW w:w="3773" w:type="pct"/>
            <w:tcBorders>
              <w:top w:val="nil"/>
              <w:left w:val="nil"/>
              <w:bottom w:val="single" w:sz="8" w:space="0" w:color="auto"/>
              <w:right w:val="single" w:sz="8" w:space="0" w:color="auto"/>
            </w:tcBorders>
            <w:noWrap/>
            <w:vAlign w:val="center"/>
            <w:hideMark/>
          </w:tcPr>
          <w:p w14:paraId="33C36A04"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Otros Derechos</w:t>
            </w:r>
          </w:p>
        </w:tc>
        <w:tc>
          <w:tcPr>
            <w:tcW w:w="745" w:type="pct"/>
            <w:tcBorders>
              <w:top w:val="nil"/>
              <w:left w:val="nil"/>
              <w:bottom w:val="single" w:sz="8" w:space="0" w:color="auto"/>
              <w:right w:val="nil"/>
            </w:tcBorders>
            <w:vAlign w:val="center"/>
            <w:hideMark/>
          </w:tcPr>
          <w:p w14:paraId="6AC6F597"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0 </w:t>
            </w:r>
          </w:p>
        </w:tc>
      </w:tr>
      <w:tr w:rsidR="00E23F6E" w:rsidRPr="001B6518" w14:paraId="2E22355D"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2322B7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4.4.1</w:t>
            </w:r>
          </w:p>
        </w:tc>
        <w:tc>
          <w:tcPr>
            <w:tcW w:w="3773" w:type="pct"/>
            <w:tcBorders>
              <w:top w:val="nil"/>
              <w:left w:val="nil"/>
              <w:bottom w:val="single" w:sz="8" w:space="0" w:color="auto"/>
              <w:right w:val="single" w:sz="8" w:space="0" w:color="auto"/>
            </w:tcBorders>
            <w:shd w:val="clear" w:color="000000" w:fill="FFFFFF"/>
            <w:noWrap/>
            <w:vAlign w:val="center"/>
            <w:hideMark/>
          </w:tcPr>
          <w:p w14:paraId="19BA9EB2"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Otros Derechos no contemplados</w:t>
            </w:r>
          </w:p>
        </w:tc>
        <w:tc>
          <w:tcPr>
            <w:tcW w:w="745" w:type="pct"/>
            <w:tcBorders>
              <w:top w:val="nil"/>
              <w:left w:val="nil"/>
              <w:bottom w:val="single" w:sz="8" w:space="0" w:color="auto"/>
              <w:right w:val="nil"/>
            </w:tcBorders>
            <w:shd w:val="clear" w:color="000000" w:fill="FFFFFF"/>
            <w:vAlign w:val="center"/>
            <w:hideMark/>
          </w:tcPr>
          <w:p w14:paraId="2766CF0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4907CE25"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7165EC20"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4.5</w:t>
            </w:r>
          </w:p>
        </w:tc>
        <w:tc>
          <w:tcPr>
            <w:tcW w:w="3773" w:type="pct"/>
            <w:tcBorders>
              <w:top w:val="nil"/>
              <w:left w:val="nil"/>
              <w:bottom w:val="single" w:sz="8" w:space="0" w:color="auto"/>
              <w:right w:val="single" w:sz="8" w:space="0" w:color="auto"/>
            </w:tcBorders>
            <w:noWrap/>
            <w:vAlign w:val="center"/>
            <w:hideMark/>
          </w:tcPr>
          <w:p w14:paraId="6E20826E"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Accesorios de Derechos</w:t>
            </w:r>
          </w:p>
        </w:tc>
        <w:tc>
          <w:tcPr>
            <w:tcW w:w="745" w:type="pct"/>
            <w:tcBorders>
              <w:top w:val="nil"/>
              <w:left w:val="nil"/>
              <w:bottom w:val="single" w:sz="8" w:space="0" w:color="auto"/>
              <w:right w:val="nil"/>
            </w:tcBorders>
            <w:vAlign w:val="center"/>
            <w:hideMark/>
          </w:tcPr>
          <w:p w14:paraId="7038AB12"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1,531,272 </w:t>
            </w:r>
          </w:p>
        </w:tc>
      </w:tr>
      <w:tr w:rsidR="00E23F6E" w:rsidRPr="001B6518" w14:paraId="10FDEB62"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B7C3DF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4.5.1</w:t>
            </w:r>
          </w:p>
        </w:tc>
        <w:tc>
          <w:tcPr>
            <w:tcW w:w="3773" w:type="pct"/>
            <w:tcBorders>
              <w:top w:val="nil"/>
              <w:left w:val="nil"/>
              <w:bottom w:val="single" w:sz="8" w:space="0" w:color="auto"/>
              <w:right w:val="single" w:sz="8" w:space="0" w:color="auto"/>
            </w:tcBorders>
            <w:shd w:val="clear" w:color="000000" w:fill="FFFFFF"/>
            <w:noWrap/>
            <w:vAlign w:val="center"/>
            <w:hideMark/>
          </w:tcPr>
          <w:p w14:paraId="7862862B"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Multas, recargos, gastos extraordinarios y otros accesorios de derechos</w:t>
            </w:r>
          </w:p>
        </w:tc>
        <w:tc>
          <w:tcPr>
            <w:tcW w:w="745" w:type="pct"/>
            <w:tcBorders>
              <w:top w:val="nil"/>
              <w:left w:val="nil"/>
              <w:bottom w:val="single" w:sz="8" w:space="0" w:color="auto"/>
              <w:right w:val="nil"/>
            </w:tcBorders>
            <w:shd w:val="clear" w:color="000000" w:fill="FFFFFF"/>
            <w:vAlign w:val="center"/>
            <w:hideMark/>
          </w:tcPr>
          <w:p w14:paraId="76C2247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1,531,272 </w:t>
            </w:r>
          </w:p>
        </w:tc>
      </w:tr>
      <w:tr w:rsidR="00E23F6E" w:rsidRPr="001B6518" w14:paraId="258DBB1E"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83BD5B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4.5.2</w:t>
            </w:r>
          </w:p>
        </w:tc>
        <w:tc>
          <w:tcPr>
            <w:tcW w:w="3773" w:type="pct"/>
            <w:tcBorders>
              <w:top w:val="nil"/>
              <w:left w:val="nil"/>
              <w:bottom w:val="single" w:sz="8" w:space="0" w:color="auto"/>
              <w:right w:val="single" w:sz="8" w:space="0" w:color="auto"/>
            </w:tcBorders>
            <w:shd w:val="clear" w:color="000000" w:fill="FFFFFF"/>
            <w:noWrap/>
            <w:vAlign w:val="center"/>
            <w:hideMark/>
          </w:tcPr>
          <w:p w14:paraId="2A82690E"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Indemnizaciones de Derechos</w:t>
            </w:r>
          </w:p>
        </w:tc>
        <w:tc>
          <w:tcPr>
            <w:tcW w:w="745" w:type="pct"/>
            <w:tcBorders>
              <w:top w:val="nil"/>
              <w:left w:val="nil"/>
              <w:bottom w:val="single" w:sz="8" w:space="0" w:color="auto"/>
              <w:right w:val="nil"/>
            </w:tcBorders>
            <w:shd w:val="clear" w:color="000000" w:fill="FFFFFF"/>
            <w:vAlign w:val="center"/>
            <w:hideMark/>
          </w:tcPr>
          <w:p w14:paraId="680511E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37C63EE6"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495037B4"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4.9</w:t>
            </w:r>
          </w:p>
        </w:tc>
        <w:tc>
          <w:tcPr>
            <w:tcW w:w="3773" w:type="pct"/>
            <w:tcBorders>
              <w:top w:val="nil"/>
              <w:left w:val="nil"/>
              <w:bottom w:val="single" w:sz="8" w:space="0" w:color="auto"/>
              <w:right w:val="single" w:sz="8" w:space="0" w:color="auto"/>
            </w:tcBorders>
            <w:noWrap/>
            <w:vAlign w:val="center"/>
            <w:hideMark/>
          </w:tcPr>
          <w:p w14:paraId="2575CB02"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Derechos no Comprendidos en la Ley de Ingresos Vigente, Causados en Ejercicios Fiscales Anteriores Pendientes de Liquidación o Pago</w:t>
            </w:r>
          </w:p>
        </w:tc>
        <w:tc>
          <w:tcPr>
            <w:tcW w:w="745" w:type="pct"/>
            <w:tcBorders>
              <w:top w:val="nil"/>
              <w:left w:val="nil"/>
              <w:bottom w:val="single" w:sz="8" w:space="0" w:color="auto"/>
              <w:right w:val="nil"/>
            </w:tcBorders>
            <w:vAlign w:val="center"/>
            <w:hideMark/>
          </w:tcPr>
          <w:p w14:paraId="32F9E4AB"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0 </w:t>
            </w:r>
          </w:p>
        </w:tc>
      </w:tr>
      <w:tr w:rsidR="00E23F6E" w:rsidRPr="001B6518" w14:paraId="080ED572"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B67E20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4.9.1</w:t>
            </w:r>
          </w:p>
        </w:tc>
        <w:tc>
          <w:tcPr>
            <w:tcW w:w="3773" w:type="pct"/>
            <w:tcBorders>
              <w:top w:val="nil"/>
              <w:left w:val="nil"/>
              <w:bottom w:val="single" w:sz="8" w:space="0" w:color="auto"/>
              <w:right w:val="single" w:sz="8" w:space="0" w:color="auto"/>
            </w:tcBorders>
            <w:shd w:val="clear" w:color="000000" w:fill="FFFFFF"/>
            <w:noWrap/>
            <w:vAlign w:val="center"/>
            <w:hideMark/>
          </w:tcPr>
          <w:p w14:paraId="6B573CFF"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Derechos no comprendidos en la Ley de Ingresos Vigente, causadas en ejercicios fiscales anteriores pendientes de liquidación o pago</w:t>
            </w:r>
          </w:p>
        </w:tc>
        <w:tc>
          <w:tcPr>
            <w:tcW w:w="745" w:type="pct"/>
            <w:tcBorders>
              <w:top w:val="nil"/>
              <w:left w:val="nil"/>
              <w:bottom w:val="single" w:sz="8" w:space="0" w:color="auto"/>
              <w:right w:val="nil"/>
            </w:tcBorders>
            <w:shd w:val="clear" w:color="000000" w:fill="FFFFFF"/>
            <w:vAlign w:val="center"/>
            <w:hideMark/>
          </w:tcPr>
          <w:p w14:paraId="0CCBF8A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1DBFC625" w14:textId="77777777" w:rsidTr="00E23F6E">
        <w:trPr>
          <w:trHeight w:val="20"/>
        </w:trPr>
        <w:tc>
          <w:tcPr>
            <w:tcW w:w="482" w:type="pct"/>
            <w:tcBorders>
              <w:top w:val="nil"/>
              <w:left w:val="nil"/>
              <w:bottom w:val="single" w:sz="8" w:space="0" w:color="auto"/>
              <w:right w:val="single" w:sz="8" w:space="0" w:color="auto"/>
            </w:tcBorders>
            <w:shd w:val="clear" w:color="000000" w:fill="D9D9D9"/>
            <w:noWrap/>
            <w:vAlign w:val="center"/>
            <w:hideMark/>
          </w:tcPr>
          <w:p w14:paraId="3C1F216C"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5</w:t>
            </w:r>
          </w:p>
        </w:tc>
        <w:tc>
          <w:tcPr>
            <w:tcW w:w="3773" w:type="pct"/>
            <w:tcBorders>
              <w:top w:val="nil"/>
              <w:left w:val="nil"/>
              <w:bottom w:val="single" w:sz="8" w:space="0" w:color="auto"/>
              <w:right w:val="single" w:sz="8" w:space="0" w:color="auto"/>
            </w:tcBorders>
            <w:shd w:val="clear" w:color="000000" w:fill="D9D9D9"/>
            <w:noWrap/>
            <w:vAlign w:val="center"/>
            <w:hideMark/>
          </w:tcPr>
          <w:p w14:paraId="1152101E"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Productos</w:t>
            </w:r>
          </w:p>
        </w:tc>
        <w:tc>
          <w:tcPr>
            <w:tcW w:w="745" w:type="pct"/>
            <w:tcBorders>
              <w:top w:val="nil"/>
              <w:left w:val="nil"/>
              <w:bottom w:val="single" w:sz="8" w:space="0" w:color="auto"/>
              <w:right w:val="nil"/>
            </w:tcBorders>
            <w:shd w:val="clear" w:color="000000" w:fill="D9D9D9"/>
            <w:vAlign w:val="center"/>
            <w:hideMark/>
          </w:tcPr>
          <w:p w14:paraId="1441073F"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185,605,884 </w:t>
            </w:r>
          </w:p>
        </w:tc>
      </w:tr>
      <w:tr w:rsidR="00E23F6E" w:rsidRPr="001B6518" w14:paraId="3A80A4CD" w14:textId="77777777" w:rsidTr="00E23F6E">
        <w:trPr>
          <w:trHeight w:val="20"/>
        </w:trPr>
        <w:tc>
          <w:tcPr>
            <w:tcW w:w="482" w:type="pct"/>
            <w:tcBorders>
              <w:top w:val="nil"/>
              <w:left w:val="nil"/>
              <w:bottom w:val="single" w:sz="8" w:space="0" w:color="auto"/>
              <w:right w:val="single" w:sz="8" w:space="0" w:color="auto"/>
            </w:tcBorders>
            <w:shd w:val="clear" w:color="000000" w:fill="FFFFFF"/>
            <w:noWrap/>
            <w:vAlign w:val="center"/>
            <w:hideMark/>
          </w:tcPr>
          <w:p w14:paraId="61212D24"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5.1</w:t>
            </w:r>
          </w:p>
        </w:tc>
        <w:tc>
          <w:tcPr>
            <w:tcW w:w="3773" w:type="pct"/>
            <w:tcBorders>
              <w:top w:val="nil"/>
              <w:left w:val="nil"/>
              <w:bottom w:val="single" w:sz="8" w:space="0" w:color="auto"/>
              <w:right w:val="single" w:sz="8" w:space="0" w:color="auto"/>
            </w:tcBorders>
            <w:shd w:val="clear" w:color="000000" w:fill="FFFFFF"/>
            <w:noWrap/>
            <w:vAlign w:val="center"/>
            <w:hideMark/>
          </w:tcPr>
          <w:p w14:paraId="50CDA4A7"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Productos</w:t>
            </w:r>
          </w:p>
        </w:tc>
        <w:tc>
          <w:tcPr>
            <w:tcW w:w="745" w:type="pct"/>
            <w:tcBorders>
              <w:top w:val="nil"/>
              <w:left w:val="nil"/>
              <w:bottom w:val="single" w:sz="8" w:space="0" w:color="auto"/>
              <w:right w:val="nil"/>
            </w:tcBorders>
            <w:shd w:val="clear" w:color="000000" w:fill="FFFFFF"/>
            <w:vAlign w:val="center"/>
            <w:hideMark/>
          </w:tcPr>
          <w:p w14:paraId="7C328E0E"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185,605,884 </w:t>
            </w:r>
          </w:p>
        </w:tc>
      </w:tr>
      <w:tr w:rsidR="00E23F6E" w:rsidRPr="001B6518" w14:paraId="0B867866"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43F0DB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5.1.1</w:t>
            </w:r>
          </w:p>
        </w:tc>
        <w:tc>
          <w:tcPr>
            <w:tcW w:w="3773" w:type="pct"/>
            <w:tcBorders>
              <w:top w:val="nil"/>
              <w:left w:val="nil"/>
              <w:bottom w:val="single" w:sz="8" w:space="0" w:color="auto"/>
              <w:right w:val="single" w:sz="8" w:space="0" w:color="auto"/>
            </w:tcBorders>
            <w:shd w:val="clear" w:color="000000" w:fill="FFFFFF"/>
            <w:noWrap/>
            <w:vAlign w:val="center"/>
            <w:hideMark/>
          </w:tcPr>
          <w:p w14:paraId="31FEC728"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Uso, aprovechamiento o enajenación de bienes de dominio privado del Estado</w:t>
            </w:r>
          </w:p>
        </w:tc>
        <w:tc>
          <w:tcPr>
            <w:tcW w:w="745" w:type="pct"/>
            <w:tcBorders>
              <w:top w:val="nil"/>
              <w:left w:val="nil"/>
              <w:bottom w:val="single" w:sz="8" w:space="0" w:color="auto"/>
              <w:right w:val="nil"/>
            </w:tcBorders>
            <w:shd w:val="clear" w:color="000000" w:fill="FFFFFF"/>
            <w:vAlign w:val="center"/>
            <w:hideMark/>
          </w:tcPr>
          <w:p w14:paraId="162B05B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12,451,297 </w:t>
            </w:r>
          </w:p>
        </w:tc>
      </w:tr>
      <w:tr w:rsidR="00E23F6E" w:rsidRPr="001B6518" w14:paraId="3CA7F914"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0C5A8C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5.1.2</w:t>
            </w:r>
          </w:p>
        </w:tc>
        <w:tc>
          <w:tcPr>
            <w:tcW w:w="3773" w:type="pct"/>
            <w:tcBorders>
              <w:top w:val="nil"/>
              <w:left w:val="nil"/>
              <w:bottom w:val="single" w:sz="8" w:space="0" w:color="auto"/>
              <w:right w:val="single" w:sz="8" w:space="0" w:color="auto"/>
            </w:tcBorders>
            <w:shd w:val="clear" w:color="000000" w:fill="FFFFFF"/>
            <w:noWrap/>
            <w:vAlign w:val="center"/>
            <w:hideMark/>
          </w:tcPr>
          <w:p w14:paraId="79E81428"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Enajenación de bienes muebles no sujetos a ser inventariados</w:t>
            </w:r>
          </w:p>
        </w:tc>
        <w:tc>
          <w:tcPr>
            <w:tcW w:w="745" w:type="pct"/>
            <w:tcBorders>
              <w:top w:val="nil"/>
              <w:left w:val="nil"/>
              <w:bottom w:val="single" w:sz="8" w:space="0" w:color="auto"/>
              <w:right w:val="nil"/>
            </w:tcBorders>
            <w:shd w:val="clear" w:color="000000" w:fill="FFFFFF"/>
            <w:vAlign w:val="center"/>
            <w:hideMark/>
          </w:tcPr>
          <w:p w14:paraId="575A422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60248D2B"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30B4F3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5.1.3</w:t>
            </w:r>
          </w:p>
        </w:tc>
        <w:tc>
          <w:tcPr>
            <w:tcW w:w="3773" w:type="pct"/>
            <w:tcBorders>
              <w:top w:val="nil"/>
              <w:left w:val="nil"/>
              <w:bottom w:val="single" w:sz="8" w:space="0" w:color="auto"/>
              <w:right w:val="single" w:sz="8" w:space="0" w:color="auto"/>
            </w:tcBorders>
            <w:shd w:val="clear" w:color="000000" w:fill="FFFFFF"/>
            <w:noWrap/>
            <w:vAlign w:val="center"/>
            <w:hideMark/>
          </w:tcPr>
          <w:p w14:paraId="33EB518B"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Accesorios de los Productos</w:t>
            </w:r>
          </w:p>
        </w:tc>
        <w:tc>
          <w:tcPr>
            <w:tcW w:w="745" w:type="pct"/>
            <w:tcBorders>
              <w:top w:val="nil"/>
              <w:left w:val="nil"/>
              <w:bottom w:val="single" w:sz="8" w:space="0" w:color="auto"/>
              <w:right w:val="nil"/>
            </w:tcBorders>
            <w:shd w:val="clear" w:color="000000" w:fill="FFFFFF"/>
            <w:vAlign w:val="center"/>
            <w:hideMark/>
          </w:tcPr>
          <w:p w14:paraId="65A4036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2D65EC6A"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5488E46"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5.1.4</w:t>
            </w:r>
          </w:p>
        </w:tc>
        <w:tc>
          <w:tcPr>
            <w:tcW w:w="3773" w:type="pct"/>
            <w:tcBorders>
              <w:top w:val="nil"/>
              <w:left w:val="nil"/>
              <w:bottom w:val="single" w:sz="8" w:space="0" w:color="auto"/>
              <w:right w:val="single" w:sz="8" w:space="0" w:color="auto"/>
            </w:tcBorders>
            <w:shd w:val="clear" w:color="000000" w:fill="FFFFFF"/>
            <w:noWrap/>
            <w:vAlign w:val="center"/>
            <w:hideMark/>
          </w:tcPr>
          <w:p w14:paraId="7B870398"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Rendimientos de capitales y valores del Estado</w:t>
            </w:r>
          </w:p>
        </w:tc>
        <w:tc>
          <w:tcPr>
            <w:tcW w:w="745" w:type="pct"/>
            <w:tcBorders>
              <w:top w:val="nil"/>
              <w:left w:val="nil"/>
              <w:bottom w:val="single" w:sz="8" w:space="0" w:color="auto"/>
              <w:right w:val="nil"/>
            </w:tcBorders>
            <w:shd w:val="clear" w:color="000000" w:fill="FFFFFF"/>
            <w:vAlign w:val="center"/>
            <w:hideMark/>
          </w:tcPr>
          <w:p w14:paraId="05A1DB47"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172,800,000 </w:t>
            </w:r>
          </w:p>
        </w:tc>
      </w:tr>
      <w:tr w:rsidR="00E23F6E" w:rsidRPr="001B6518" w14:paraId="32D00C4A"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A2B6C2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5.1.4.1</w:t>
            </w:r>
          </w:p>
        </w:tc>
        <w:tc>
          <w:tcPr>
            <w:tcW w:w="3773" w:type="pct"/>
            <w:tcBorders>
              <w:top w:val="nil"/>
              <w:left w:val="nil"/>
              <w:bottom w:val="single" w:sz="8" w:space="0" w:color="auto"/>
              <w:right w:val="single" w:sz="8" w:space="0" w:color="auto"/>
            </w:tcBorders>
            <w:shd w:val="clear" w:color="000000" w:fill="FFFFFF"/>
            <w:noWrap/>
            <w:vAlign w:val="center"/>
            <w:hideMark/>
          </w:tcPr>
          <w:p w14:paraId="2EE03516"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Rendimientos Propios</w:t>
            </w:r>
          </w:p>
        </w:tc>
        <w:tc>
          <w:tcPr>
            <w:tcW w:w="745" w:type="pct"/>
            <w:tcBorders>
              <w:top w:val="nil"/>
              <w:left w:val="nil"/>
              <w:bottom w:val="single" w:sz="8" w:space="0" w:color="auto"/>
              <w:right w:val="nil"/>
            </w:tcBorders>
            <w:shd w:val="clear" w:color="000000" w:fill="FFFFFF"/>
            <w:vAlign w:val="center"/>
            <w:hideMark/>
          </w:tcPr>
          <w:p w14:paraId="6A61539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172,800,000 </w:t>
            </w:r>
          </w:p>
        </w:tc>
      </w:tr>
      <w:tr w:rsidR="00E23F6E" w:rsidRPr="001B6518" w14:paraId="2C2C4930"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2743D3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5.1.4.2</w:t>
            </w:r>
          </w:p>
        </w:tc>
        <w:tc>
          <w:tcPr>
            <w:tcW w:w="3773" w:type="pct"/>
            <w:tcBorders>
              <w:top w:val="nil"/>
              <w:left w:val="nil"/>
              <w:bottom w:val="single" w:sz="8" w:space="0" w:color="auto"/>
              <w:right w:val="single" w:sz="8" w:space="0" w:color="auto"/>
            </w:tcBorders>
            <w:shd w:val="clear" w:color="000000" w:fill="FFFFFF"/>
            <w:noWrap/>
            <w:vAlign w:val="center"/>
            <w:hideMark/>
          </w:tcPr>
          <w:p w14:paraId="705D21A6"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Rendimientos Federales</w:t>
            </w:r>
          </w:p>
        </w:tc>
        <w:tc>
          <w:tcPr>
            <w:tcW w:w="745" w:type="pct"/>
            <w:tcBorders>
              <w:top w:val="nil"/>
              <w:left w:val="nil"/>
              <w:bottom w:val="single" w:sz="8" w:space="0" w:color="auto"/>
              <w:right w:val="nil"/>
            </w:tcBorders>
            <w:shd w:val="clear" w:color="000000" w:fill="FFFFFF"/>
            <w:vAlign w:val="center"/>
            <w:hideMark/>
          </w:tcPr>
          <w:p w14:paraId="3FE0BFD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3C01D6C6"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A00851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5.1.9</w:t>
            </w:r>
          </w:p>
        </w:tc>
        <w:tc>
          <w:tcPr>
            <w:tcW w:w="3773" w:type="pct"/>
            <w:tcBorders>
              <w:top w:val="nil"/>
              <w:left w:val="nil"/>
              <w:bottom w:val="single" w:sz="8" w:space="0" w:color="auto"/>
              <w:right w:val="single" w:sz="8" w:space="0" w:color="auto"/>
            </w:tcBorders>
            <w:shd w:val="clear" w:color="000000" w:fill="FFFFFF"/>
            <w:noWrap/>
            <w:vAlign w:val="center"/>
            <w:hideMark/>
          </w:tcPr>
          <w:p w14:paraId="40FF78BC"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Otros productos</w:t>
            </w:r>
          </w:p>
        </w:tc>
        <w:tc>
          <w:tcPr>
            <w:tcW w:w="745" w:type="pct"/>
            <w:tcBorders>
              <w:top w:val="nil"/>
              <w:left w:val="nil"/>
              <w:bottom w:val="single" w:sz="8" w:space="0" w:color="auto"/>
              <w:right w:val="nil"/>
            </w:tcBorders>
            <w:shd w:val="clear" w:color="000000" w:fill="FFFFFF"/>
            <w:vAlign w:val="center"/>
            <w:hideMark/>
          </w:tcPr>
          <w:p w14:paraId="23C79DE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354,587 </w:t>
            </w:r>
          </w:p>
        </w:tc>
      </w:tr>
      <w:tr w:rsidR="00E23F6E" w:rsidRPr="001B6518" w14:paraId="1AE246B1"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2D994FAF"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5.9</w:t>
            </w:r>
          </w:p>
        </w:tc>
        <w:tc>
          <w:tcPr>
            <w:tcW w:w="3773" w:type="pct"/>
            <w:tcBorders>
              <w:top w:val="nil"/>
              <w:left w:val="nil"/>
              <w:bottom w:val="single" w:sz="8" w:space="0" w:color="auto"/>
              <w:right w:val="single" w:sz="8" w:space="0" w:color="auto"/>
            </w:tcBorders>
            <w:noWrap/>
            <w:vAlign w:val="center"/>
            <w:hideMark/>
          </w:tcPr>
          <w:p w14:paraId="6D92B9AC"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Productos no Comprendidos en la Ley de Ingresos Vigente, Causados en Ejercicios Fiscales Anteriores Pendientes de Liquidación o Pago</w:t>
            </w:r>
          </w:p>
        </w:tc>
        <w:tc>
          <w:tcPr>
            <w:tcW w:w="745" w:type="pct"/>
            <w:tcBorders>
              <w:top w:val="nil"/>
              <w:left w:val="nil"/>
              <w:bottom w:val="single" w:sz="8" w:space="0" w:color="auto"/>
              <w:right w:val="nil"/>
            </w:tcBorders>
            <w:vAlign w:val="center"/>
            <w:hideMark/>
          </w:tcPr>
          <w:p w14:paraId="30E9F82B"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0 </w:t>
            </w:r>
          </w:p>
        </w:tc>
      </w:tr>
      <w:tr w:rsidR="00E23F6E" w:rsidRPr="001B6518" w14:paraId="71ABCE35"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5BEA93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5.9.1</w:t>
            </w:r>
          </w:p>
        </w:tc>
        <w:tc>
          <w:tcPr>
            <w:tcW w:w="3773" w:type="pct"/>
            <w:tcBorders>
              <w:top w:val="nil"/>
              <w:left w:val="nil"/>
              <w:bottom w:val="single" w:sz="8" w:space="0" w:color="auto"/>
              <w:right w:val="single" w:sz="8" w:space="0" w:color="auto"/>
            </w:tcBorders>
            <w:shd w:val="clear" w:color="000000" w:fill="FFFFFF"/>
            <w:noWrap/>
            <w:vAlign w:val="center"/>
            <w:hideMark/>
          </w:tcPr>
          <w:p w14:paraId="2E6DEC82"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Productos no comprendidos en la Ley de Ingresos Vigente, causadas en ejercicios fiscales anteriores pendientes de liquidación o pago</w:t>
            </w:r>
          </w:p>
        </w:tc>
        <w:tc>
          <w:tcPr>
            <w:tcW w:w="745" w:type="pct"/>
            <w:tcBorders>
              <w:top w:val="nil"/>
              <w:left w:val="nil"/>
              <w:bottom w:val="single" w:sz="8" w:space="0" w:color="auto"/>
              <w:right w:val="nil"/>
            </w:tcBorders>
            <w:shd w:val="clear" w:color="000000" w:fill="FFFFFF"/>
            <w:vAlign w:val="center"/>
            <w:hideMark/>
          </w:tcPr>
          <w:p w14:paraId="4A170F1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63B0DC10" w14:textId="77777777" w:rsidTr="00E23F6E">
        <w:trPr>
          <w:trHeight w:val="20"/>
        </w:trPr>
        <w:tc>
          <w:tcPr>
            <w:tcW w:w="482" w:type="pct"/>
            <w:tcBorders>
              <w:top w:val="nil"/>
              <w:left w:val="nil"/>
              <w:bottom w:val="single" w:sz="8" w:space="0" w:color="auto"/>
              <w:right w:val="single" w:sz="8" w:space="0" w:color="auto"/>
            </w:tcBorders>
            <w:shd w:val="clear" w:color="000000" w:fill="D9D9D9"/>
            <w:noWrap/>
            <w:vAlign w:val="center"/>
            <w:hideMark/>
          </w:tcPr>
          <w:p w14:paraId="6712BF10"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6</w:t>
            </w:r>
          </w:p>
        </w:tc>
        <w:tc>
          <w:tcPr>
            <w:tcW w:w="3773" w:type="pct"/>
            <w:tcBorders>
              <w:top w:val="nil"/>
              <w:left w:val="nil"/>
              <w:bottom w:val="single" w:sz="8" w:space="0" w:color="auto"/>
              <w:right w:val="single" w:sz="8" w:space="0" w:color="auto"/>
            </w:tcBorders>
            <w:shd w:val="clear" w:color="000000" w:fill="D9D9D9"/>
            <w:noWrap/>
            <w:vAlign w:val="center"/>
            <w:hideMark/>
          </w:tcPr>
          <w:p w14:paraId="5538B3BC"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Aprovechamientos</w:t>
            </w:r>
          </w:p>
        </w:tc>
        <w:tc>
          <w:tcPr>
            <w:tcW w:w="745" w:type="pct"/>
            <w:tcBorders>
              <w:top w:val="nil"/>
              <w:left w:val="nil"/>
              <w:bottom w:val="single" w:sz="8" w:space="0" w:color="auto"/>
              <w:right w:val="nil"/>
            </w:tcBorders>
            <w:shd w:val="clear" w:color="000000" w:fill="D9D9D9"/>
            <w:noWrap/>
            <w:vAlign w:val="center"/>
            <w:hideMark/>
          </w:tcPr>
          <w:p w14:paraId="7B5414DA"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378,556,158 </w:t>
            </w:r>
          </w:p>
        </w:tc>
      </w:tr>
      <w:tr w:rsidR="00E23F6E" w:rsidRPr="001B6518" w14:paraId="390D0DF9"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12F74F2C"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6.1</w:t>
            </w:r>
          </w:p>
        </w:tc>
        <w:tc>
          <w:tcPr>
            <w:tcW w:w="3773" w:type="pct"/>
            <w:tcBorders>
              <w:top w:val="nil"/>
              <w:left w:val="nil"/>
              <w:bottom w:val="single" w:sz="8" w:space="0" w:color="auto"/>
              <w:right w:val="single" w:sz="8" w:space="0" w:color="auto"/>
            </w:tcBorders>
            <w:noWrap/>
            <w:vAlign w:val="center"/>
            <w:hideMark/>
          </w:tcPr>
          <w:p w14:paraId="34A4FA0A"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Aprovechamientos</w:t>
            </w:r>
          </w:p>
        </w:tc>
        <w:tc>
          <w:tcPr>
            <w:tcW w:w="745" w:type="pct"/>
            <w:tcBorders>
              <w:top w:val="nil"/>
              <w:left w:val="nil"/>
              <w:bottom w:val="single" w:sz="8" w:space="0" w:color="auto"/>
              <w:right w:val="nil"/>
            </w:tcBorders>
            <w:noWrap/>
            <w:vAlign w:val="center"/>
            <w:hideMark/>
          </w:tcPr>
          <w:p w14:paraId="38192E2C"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377,655,940 </w:t>
            </w:r>
          </w:p>
        </w:tc>
      </w:tr>
      <w:tr w:rsidR="00E23F6E" w:rsidRPr="001B6518" w14:paraId="3C3578A8"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4DDE7F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6.1.1</w:t>
            </w:r>
          </w:p>
        </w:tc>
        <w:tc>
          <w:tcPr>
            <w:tcW w:w="3773" w:type="pct"/>
            <w:tcBorders>
              <w:top w:val="nil"/>
              <w:left w:val="nil"/>
              <w:bottom w:val="single" w:sz="8" w:space="0" w:color="auto"/>
              <w:right w:val="single" w:sz="8" w:space="0" w:color="auto"/>
            </w:tcBorders>
            <w:shd w:val="clear" w:color="000000" w:fill="FFFFFF"/>
            <w:noWrap/>
            <w:vAlign w:val="center"/>
            <w:hideMark/>
          </w:tcPr>
          <w:p w14:paraId="1017E444"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Recargos</w:t>
            </w:r>
          </w:p>
        </w:tc>
        <w:tc>
          <w:tcPr>
            <w:tcW w:w="745" w:type="pct"/>
            <w:tcBorders>
              <w:top w:val="nil"/>
              <w:left w:val="nil"/>
              <w:bottom w:val="single" w:sz="8" w:space="0" w:color="auto"/>
              <w:right w:val="nil"/>
            </w:tcBorders>
            <w:shd w:val="clear" w:color="000000" w:fill="FFFFFF"/>
            <w:vAlign w:val="center"/>
            <w:hideMark/>
          </w:tcPr>
          <w:p w14:paraId="7F9CC4C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 </w:t>
            </w:r>
          </w:p>
        </w:tc>
      </w:tr>
      <w:tr w:rsidR="00E23F6E" w:rsidRPr="001B6518" w14:paraId="7FACC846"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A629CC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6.1.2</w:t>
            </w:r>
          </w:p>
        </w:tc>
        <w:tc>
          <w:tcPr>
            <w:tcW w:w="3773" w:type="pct"/>
            <w:tcBorders>
              <w:top w:val="nil"/>
              <w:left w:val="nil"/>
              <w:bottom w:val="single" w:sz="8" w:space="0" w:color="auto"/>
              <w:right w:val="single" w:sz="8" w:space="0" w:color="auto"/>
            </w:tcBorders>
            <w:shd w:val="clear" w:color="000000" w:fill="FFFFFF"/>
            <w:noWrap/>
            <w:vAlign w:val="center"/>
            <w:hideMark/>
          </w:tcPr>
          <w:p w14:paraId="6425264E"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Indemnizaciones de Aprovechamientos</w:t>
            </w:r>
          </w:p>
        </w:tc>
        <w:tc>
          <w:tcPr>
            <w:tcW w:w="745" w:type="pct"/>
            <w:tcBorders>
              <w:top w:val="nil"/>
              <w:left w:val="nil"/>
              <w:bottom w:val="single" w:sz="8" w:space="0" w:color="auto"/>
              <w:right w:val="nil"/>
            </w:tcBorders>
            <w:shd w:val="clear" w:color="000000" w:fill="FFFFFF"/>
            <w:vAlign w:val="center"/>
            <w:hideMark/>
          </w:tcPr>
          <w:p w14:paraId="003B580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16ECF1E7"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28C2D6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6.1.3</w:t>
            </w:r>
          </w:p>
        </w:tc>
        <w:tc>
          <w:tcPr>
            <w:tcW w:w="3773" w:type="pct"/>
            <w:tcBorders>
              <w:top w:val="nil"/>
              <w:left w:val="nil"/>
              <w:bottom w:val="single" w:sz="8" w:space="0" w:color="auto"/>
              <w:right w:val="single" w:sz="8" w:space="0" w:color="auto"/>
            </w:tcBorders>
            <w:shd w:val="clear" w:color="000000" w:fill="FFFFFF"/>
            <w:noWrap/>
            <w:vAlign w:val="center"/>
            <w:hideMark/>
          </w:tcPr>
          <w:p w14:paraId="76B78A88"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Multas administrativas y multas impuestas por autoridades judiciales</w:t>
            </w:r>
          </w:p>
        </w:tc>
        <w:tc>
          <w:tcPr>
            <w:tcW w:w="745" w:type="pct"/>
            <w:tcBorders>
              <w:top w:val="nil"/>
              <w:left w:val="nil"/>
              <w:bottom w:val="single" w:sz="8" w:space="0" w:color="auto"/>
              <w:right w:val="nil"/>
            </w:tcBorders>
            <w:shd w:val="clear" w:color="000000" w:fill="FFFFFF"/>
            <w:vAlign w:val="center"/>
            <w:hideMark/>
          </w:tcPr>
          <w:p w14:paraId="7A4A7EB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82,698,394 </w:t>
            </w:r>
          </w:p>
        </w:tc>
      </w:tr>
      <w:tr w:rsidR="00E23F6E" w:rsidRPr="001B6518" w14:paraId="0B9D5E74" w14:textId="77777777" w:rsidTr="00E23F6E">
        <w:trPr>
          <w:trHeight w:val="20"/>
        </w:trPr>
        <w:tc>
          <w:tcPr>
            <w:tcW w:w="482" w:type="pct"/>
            <w:tcBorders>
              <w:top w:val="nil"/>
              <w:left w:val="nil"/>
              <w:bottom w:val="single" w:sz="8" w:space="0" w:color="auto"/>
              <w:right w:val="single" w:sz="8" w:space="0" w:color="auto"/>
            </w:tcBorders>
            <w:vAlign w:val="center"/>
            <w:hideMark/>
          </w:tcPr>
          <w:p w14:paraId="1B08EB49"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6.1.4</w:t>
            </w:r>
          </w:p>
        </w:tc>
        <w:tc>
          <w:tcPr>
            <w:tcW w:w="3773" w:type="pct"/>
            <w:tcBorders>
              <w:top w:val="nil"/>
              <w:left w:val="nil"/>
              <w:bottom w:val="single" w:sz="8" w:space="0" w:color="auto"/>
              <w:right w:val="single" w:sz="8" w:space="0" w:color="auto"/>
            </w:tcBorders>
            <w:noWrap/>
            <w:vAlign w:val="center"/>
            <w:hideMark/>
          </w:tcPr>
          <w:p w14:paraId="4037041F"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Otros aprovechamientos</w:t>
            </w:r>
          </w:p>
        </w:tc>
        <w:tc>
          <w:tcPr>
            <w:tcW w:w="745" w:type="pct"/>
            <w:tcBorders>
              <w:top w:val="nil"/>
              <w:left w:val="nil"/>
              <w:bottom w:val="single" w:sz="8" w:space="0" w:color="auto"/>
              <w:right w:val="nil"/>
            </w:tcBorders>
            <w:noWrap/>
            <w:vAlign w:val="center"/>
            <w:hideMark/>
          </w:tcPr>
          <w:p w14:paraId="19A5E05F"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294,957,545 </w:t>
            </w:r>
          </w:p>
        </w:tc>
      </w:tr>
      <w:tr w:rsidR="00E23F6E" w:rsidRPr="001B6518" w14:paraId="1C53C578"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F3D35A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6.1.4.1</w:t>
            </w:r>
          </w:p>
        </w:tc>
        <w:tc>
          <w:tcPr>
            <w:tcW w:w="3773" w:type="pct"/>
            <w:tcBorders>
              <w:top w:val="nil"/>
              <w:left w:val="nil"/>
              <w:bottom w:val="single" w:sz="8" w:space="0" w:color="auto"/>
              <w:right w:val="single" w:sz="8" w:space="0" w:color="auto"/>
            </w:tcBorders>
            <w:shd w:val="clear" w:color="000000" w:fill="FFFFFF"/>
            <w:noWrap/>
            <w:vAlign w:val="center"/>
            <w:hideMark/>
          </w:tcPr>
          <w:p w14:paraId="5A3EF86A"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Otros</w:t>
            </w:r>
          </w:p>
        </w:tc>
        <w:tc>
          <w:tcPr>
            <w:tcW w:w="745" w:type="pct"/>
            <w:tcBorders>
              <w:top w:val="nil"/>
              <w:left w:val="nil"/>
              <w:bottom w:val="single" w:sz="8" w:space="0" w:color="auto"/>
              <w:right w:val="nil"/>
            </w:tcBorders>
            <w:shd w:val="clear" w:color="000000" w:fill="FFFFFF"/>
            <w:vAlign w:val="center"/>
            <w:hideMark/>
          </w:tcPr>
          <w:p w14:paraId="3CCCEAA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294,957,545 </w:t>
            </w:r>
          </w:p>
        </w:tc>
      </w:tr>
      <w:tr w:rsidR="00E23F6E" w:rsidRPr="001B6518" w14:paraId="4775C985"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54CB3F2B"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6.2</w:t>
            </w:r>
          </w:p>
        </w:tc>
        <w:tc>
          <w:tcPr>
            <w:tcW w:w="3773" w:type="pct"/>
            <w:tcBorders>
              <w:top w:val="nil"/>
              <w:left w:val="nil"/>
              <w:bottom w:val="single" w:sz="8" w:space="0" w:color="auto"/>
              <w:right w:val="single" w:sz="8" w:space="0" w:color="auto"/>
            </w:tcBorders>
            <w:noWrap/>
            <w:vAlign w:val="center"/>
            <w:hideMark/>
          </w:tcPr>
          <w:p w14:paraId="144345C4"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Aprovechamientos Patrimoniales</w:t>
            </w:r>
          </w:p>
        </w:tc>
        <w:tc>
          <w:tcPr>
            <w:tcW w:w="745" w:type="pct"/>
            <w:tcBorders>
              <w:top w:val="nil"/>
              <w:left w:val="nil"/>
              <w:bottom w:val="single" w:sz="8" w:space="0" w:color="auto"/>
              <w:right w:val="nil"/>
            </w:tcBorders>
            <w:vAlign w:val="center"/>
            <w:hideMark/>
          </w:tcPr>
          <w:p w14:paraId="73D82E51"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0 </w:t>
            </w:r>
          </w:p>
        </w:tc>
      </w:tr>
      <w:tr w:rsidR="00E23F6E" w:rsidRPr="001B6518" w14:paraId="6DA5E1CD"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CC0C2F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6.2.1</w:t>
            </w:r>
          </w:p>
        </w:tc>
        <w:tc>
          <w:tcPr>
            <w:tcW w:w="3773" w:type="pct"/>
            <w:tcBorders>
              <w:top w:val="nil"/>
              <w:left w:val="nil"/>
              <w:bottom w:val="single" w:sz="8" w:space="0" w:color="auto"/>
              <w:right w:val="single" w:sz="8" w:space="0" w:color="auto"/>
            </w:tcBorders>
            <w:shd w:val="clear" w:color="000000" w:fill="FFFFFF"/>
            <w:noWrap/>
            <w:vAlign w:val="center"/>
            <w:hideMark/>
          </w:tcPr>
          <w:p w14:paraId="5A045ACA"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Herencias, legados y donaciones que se hagan a favor del estado o instituciones que dependan de él</w:t>
            </w:r>
          </w:p>
        </w:tc>
        <w:tc>
          <w:tcPr>
            <w:tcW w:w="745" w:type="pct"/>
            <w:tcBorders>
              <w:top w:val="nil"/>
              <w:left w:val="nil"/>
              <w:bottom w:val="single" w:sz="8" w:space="0" w:color="auto"/>
              <w:right w:val="nil"/>
            </w:tcBorders>
            <w:shd w:val="clear" w:color="000000" w:fill="FFFFFF"/>
            <w:vAlign w:val="center"/>
            <w:hideMark/>
          </w:tcPr>
          <w:p w14:paraId="741BE82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6F02E608"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0FD47A2D"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6.3</w:t>
            </w:r>
          </w:p>
        </w:tc>
        <w:tc>
          <w:tcPr>
            <w:tcW w:w="3773" w:type="pct"/>
            <w:tcBorders>
              <w:top w:val="nil"/>
              <w:left w:val="nil"/>
              <w:bottom w:val="single" w:sz="8" w:space="0" w:color="auto"/>
              <w:right w:val="single" w:sz="8" w:space="0" w:color="auto"/>
            </w:tcBorders>
            <w:noWrap/>
            <w:vAlign w:val="center"/>
            <w:hideMark/>
          </w:tcPr>
          <w:p w14:paraId="655FB7D5"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Accesorios de Aprovechamientos</w:t>
            </w:r>
          </w:p>
        </w:tc>
        <w:tc>
          <w:tcPr>
            <w:tcW w:w="745" w:type="pct"/>
            <w:tcBorders>
              <w:top w:val="nil"/>
              <w:left w:val="nil"/>
              <w:bottom w:val="single" w:sz="8" w:space="0" w:color="auto"/>
              <w:right w:val="nil"/>
            </w:tcBorders>
            <w:noWrap/>
            <w:vAlign w:val="center"/>
            <w:hideMark/>
          </w:tcPr>
          <w:p w14:paraId="241C5C05"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900,218 </w:t>
            </w:r>
          </w:p>
        </w:tc>
      </w:tr>
      <w:tr w:rsidR="00E23F6E" w:rsidRPr="001B6518" w14:paraId="54EF7F49"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D3FC64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6.3.1</w:t>
            </w:r>
          </w:p>
        </w:tc>
        <w:tc>
          <w:tcPr>
            <w:tcW w:w="3773" w:type="pct"/>
            <w:tcBorders>
              <w:top w:val="nil"/>
              <w:left w:val="nil"/>
              <w:bottom w:val="single" w:sz="8" w:space="0" w:color="auto"/>
              <w:right w:val="single" w:sz="8" w:space="0" w:color="auto"/>
            </w:tcBorders>
            <w:shd w:val="clear" w:color="000000" w:fill="FFFFFF"/>
            <w:noWrap/>
            <w:vAlign w:val="center"/>
            <w:hideMark/>
          </w:tcPr>
          <w:p w14:paraId="72A677EB"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Multas, recargos, gastos extraordinarios y otros accesorios de aprovechamientos</w:t>
            </w:r>
          </w:p>
        </w:tc>
        <w:tc>
          <w:tcPr>
            <w:tcW w:w="745" w:type="pct"/>
            <w:tcBorders>
              <w:top w:val="nil"/>
              <w:left w:val="nil"/>
              <w:bottom w:val="single" w:sz="8" w:space="0" w:color="auto"/>
              <w:right w:val="nil"/>
            </w:tcBorders>
            <w:shd w:val="clear" w:color="000000" w:fill="FFFFFF"/>
            <w:vAlign w:val="center"/>
            <w:hideMark/>
          </w:tcPr>
          <w:p w14:paraId="7753625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900,217 </w:t>
            </w:r>
          </w:p>
        </w:tc>
      </w:tr>
      <w:tr w:rsidR="00E23F6E" w:rsidRPr="001B6518" w14:paraId="028A5A58"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2F306D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6.3.2</w:t>
            </w:r>
          </w:p>
        </w:tc>
        <w:tc>
          <w:tcPr>
            <w:tcW w:w="3773" w:type="pct"/>
            <w:tcBorders>
              <w:top w:val="nil"/>
              <w:left w:val="nil"/>
              <w:bottom w:val="single" w:sz="8" w:space="0" w:color="auto"/>
              <w:right w:val="single" w:sz="8" w:space="0" w:color="auto"/>
            </w:tcBorders>
            <w:shd w:val="clear" w:color="000000" w:fill="FFFFFF"/>
            <w:noWrap/>
            <w:vAlign w:val="center"/>
            <w:hideMark/>
          </w:tcPr>
          <w:p w14:paraId="405A0820"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Indemnizaciones</w:t>
            </w:r>
          </w:p>
        </w:tc>
        <w:tc>
          <w:tcPr>
            <w:tcW w:w="745" w:type="pct"/>
            <w:tcBorders>
              <w:top w:val="nil"/>
              <w:left w:val="nil"/>
              <w:bottom w:val="single" w:sz="8" w:space="0" w:color="auto"/>
              <w:right w:val="nil"/>
            </w:tcBorders>
            <w:shd w:val="clear" w:color="000000" w:fill="FFFFFF"/>
            <w:vAlign w:val="center"/>
            <w:hideMark/>
          </w:tcPr>
          <w:p w14:paraId="58F678E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 </w:t>
            </w:r>
          </w:p>
        </w:tc>
      </w:tr>
      <w:tr w:rsidR="00E23F6E" w:rsidRPr="001B6518" w14:paraId="20437264"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10B89C91"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6.9</w:t>
            </w:r>
          </w:p>
        </w:tc>
        <w:tc>
          <w:tcPr>
            <w:tcW w:w="3773" w:type="pct"/>
            <w:tcBorders>
              <w:top w:val="nil"/>
              <w:left w:val="nil"/>
              <w:bottom w:val="single" w:sz="8" w:space="0" w:color="auto"/>
              <w:right w:val="single" w:sz="8" w:space="0" w:color="auto"/>
            </w:tcBorders>
            <w:noWrap/>
            <w:vAlign w:val="center"/>
            <w:hideMark/>
          </w:tcPr>
          <w:p w14:paraId="155B1BCE"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Aprovechamientos no Comprendidos en la Ley de Ingresos Vigente, Causados en Ejercicios Fiscales Anteriores Pendientes de Liquidación o Pago</w:t>
            </w:r>
          </w:p>
        </w:tc>
        <w:tc>
          <w:tcPr>
            <w:tcW w:w="745" w:type="pct"/>
            <w:tcBorders>
              <w:top w:val="nil"/>
              <w:left w:val="nil"/>
              <w:bottom w:val="single" w:sz="8" w:space="0" w:color="auto"/>
              <w:right w:val="nil"/>
            </w:tcBorders>
            <w:vAlign w:val="center"/>
            <w:hideMark/>
          </w:tcPr>
          <w:p w14:paraId="63466FFF"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0 </w:t>
            </w:r>
          </w:p>
        </w:tc>
      </w:tr>
      <w:tr w:rsidR="00E23F6E" w:rsidRPr="001B6518" w14:paraId="57A605BA"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688174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6.9.1</w:t>
            </w:r>
          </w:p>
        </w:tc>
        <w:tc>
          <w:tcPr>
            <w:tcW w:w="3773" w:type="pct"/>
            <w:tcBorders>
              <w:top w:val="nil"/>
              <w:left w:val="nil"/>
              <w:bottom w:val="single" w:sz="8" w:space="0" w:color="auto"/>
              <w:right w:val="single" w:sz="8" w:space="0" w:color="auto"/>
            </w:tcBorders>
            <w:shd w:val="clear" w:color="000000" w:fill="FFFFFF"/>
            <w:noWrap/>
            <w:vAlign w:val="center"/>
            <w:hideMark/>
          </w:tcPr>
          <w:p w14:paraId="3DF109E8"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Aprovechamientos no comprendidos en las fracciones de la Ley de Ingresos vigente, causadas en ejercicios fiscales anteriores pendientes de liquidación o pago</w:t>
            </w:r>
          </w:p>
        </w:tc>
        <w:tc>
          <w:tcPr>
            <w:tcW w:w="745" w:type="pct"/>
            <w:tcBorders>
              <w:top w:val="nil"/>
              <w:left w:val="nil"/>
              <w:bottom w:val="single" w:sz="8" w:space="0" w:color="auto"/>
              <w:right w:val="nil"/>
            </w:tcBorders>
            <w:shd w:val="clear" w:color="000000" w:fill="FFFFFF"/>
            <w:vAlign w:val="center"/>
            <w:hideMark/>
          </w:tcPr>
          <w:p w14:paraId="6315D55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5FFBE5EB" w14:textId="77777777" w:rsidTr="00E23F6E">
        <w:trPr>
          <w:trHeight w:val="20"/>
        </w:trPr>
        <w:tc>
          <w:tcPr>
            <w:tcW w:w="482" w:type="pct"/>
            <w:tcBorders>
              <w:top w:val="nil"/>
              <w:left w:val="nil"/>
              <w:bottom w:val="single" w:sz="8" w:space="0" w:color="auto"/>
              <w:right w:val="single" w:sz="8" w:space="0" w:color="auto"/>
            </w:tcBorders>
            <w:shd w:val="clear" w:color="000000" w:fill="D9D9D9"/>
            <w:noWrap/>
            <w:vAlign w:val="center"/>
            <w:hideMark/>
          </w:tcPr>
          <w:p w14:paraId="1736A756"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7</w:t>
            </w:r>
          </w:p>
        </w:tc>
        <w:tc>
          <w:tcPr>
            <w:tcW w:w="3773" w:type="pct"/>
            <w:tcBorders>
              <w:top w:val="nil"/>
              <w:left w:val="nil"/>
              <w:bottom w:val="single" w:sz="8" w:space="0" w:color="auto"/>
              <w:right w:val="single" w:sz="8" w:space="0" w:color="auto"/>
            </w:tcBorders>
            <w:shd w:val="clear" w:color="000000" w:fill="D9D9D9"/>
            <w:noWrap/>
            <w:vAlign w:val="center"/>
            <w:hideMark/>
          </w:tcPr>
          <w:p w14:paraId="26BE3DE6"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Ingresos por Venta de Bienes, Prestación de Servicios y Otros Ingresos</w:t>
            </w:r>
          </w:p>
        </w:tc>
        <w:tc>
          <w:tcPr>
            <w:tcW w:w="745" w:type="pct"/>
            <w:tcBorders>
              <w:top w:val="nil"/>
              <w:left w:val="nil"/>
              <w:bottom w:val="single" w:sz="8" w:space="0" w:color="auto"/>
              <w:right w:val="nil"/>
            </w:tcBorders>
            <w:shd w:val="clear" w:color="000000" w:fill="D9D9D9"/>
            <w:vAlign w:val="center"/>
            <w:hideMark/>
          </w:tcPr>
          <w:p w14:paraId="6B59681C"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3,074,349,341 </w:t>
            </w:r>
          </w:p>
        </w:tc>
      </w:tr>
      <w:tr w:rsidR="00E23F6E" w:rsidRPr="001B6518" w14:paraId="4FDB4BBE"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5DB04A00"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7.1</w:t>
            </w:r>
          </w:p>
        </w:tc>
        <w:tc>
          <w:tcPr>
            <w:tcW w:w="3773" w:type="pct"/>
            <w:tcBorders>
              <w:top w:val="nil"/>
              <w:left w:val="nil"/>
              <w:bottom w:val="single" w:sz="8" w:space="0" w:color="auto"/>
              <w:right w:val="single" w:sz="8" w:space="0" w:color="auto"/>
            </w:tcBorders>
            <w:noWrap/>
            <w:vAlign w:val="center"/>
            <w:hideMark/>
          </w:tcPr>
          <w:p w14:paraId="4F13D5D7"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Ingresos por Venta de Bienes y Prestación de Servicios de Instituciones Públicas de Seguridad Social</w:t>
            </w:r>
          </w:p>
        </w:tc>
        <w:tc>
          <w:tcPr>
            <w:tcW w:w="745" w:type="pct"/>
            <w:tcBorders>
              <w:top w:val="nil"/>
              <w:left w:val="nil"/>
              <w:bottom w:val="single" w:sz="8" w:space="0" w:color="auto"/>
              <w:right w:val="nil"/>
            </w:tcBorders>
            <w:vAlign w:val="center"/>
            <w:hideMark/>
          </w:tcPr>
          <w:p w14:paraId="46FF6BE7"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126,505,753 </w:t>
            </w:r>
          </w:p>
        </w:tc>
      </w:tr>
      <w:tr w:rsidR="00E23F6E" w:rsidRPr="001B6518" w14:paraId="2D3285D7"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AF5952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7.1.1</w:t>
            </w:r>
          </w:p>
        </w:tc>
        <w:tc>
          <w:tcPr>
            <w:tcW w:w="3773" w:type="pct"/>
            <w:tcBorders>
              <w:top w:val="nil"/>
              <w:left w:val="nil"/>
              <w:bottom w:val="single" w:sz="8" w:space="0" w:color="auto"/>
              <w:right w:val="single" w:sz="8" w:space="0" w:color="auto"/>
            </w:tcBorders>
            <w:shd w:val="clear" w:color="000000" w:fill="FFFFFF"/>
            <w:noWrap/>
            <w:vAlign w:val="center"/>
            <w:hideMark/>
          </w:tcPr>
          <w:p w14:paraId="2A681745"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Instituto de Seguridad Social de los Trabajadores del Estado de Yucatán</w:t>
            </w:r>
          </w:p>
        </w:tc>
        <w:tc>
          <w:tcPr>
            <w:tcW w:w="745" w:type="pct"/>
            <w:tcBorders>
              <w:top w:val="nil"/>
              <w:left w:val="nil"/>
              <w:bottom w:val="single" w:sz="8" w:space="0" w:color="auto"/>
              <w:right w:val="nil"/>
            </w:tcBorders>
            <w:shd w:val="clear" w:color="000000" w:fill="FFFFFF"/>
            <w:vAlign w:val="center"/>
            <w:hideMark/>
          </w:tcPr>
          <w:p w14:paraId="76516F9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126,505,753 </w:t>
            </w:r>
          </w:p>
        </w:tc>
      </w:tr>
      <w:tr w:rsidR="00E23F6E" w:rsidRPr="001B6518" w14:paraId="624A1026"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645535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7.1.2</w:t>
            </w:r>
          </w:p>
        </w:tc>
        <w:tc>
          <w:tcPr>
            <w:tcW w:w="3773" w:type="pct"/>
            <w:tcBorders>
              <w:top w:val="nil"/>
              <w:left w:val="nil"/>
              <w:bottom w:val="single" w:sz="8" w:space="0" w:color="auto"/>
              <w:right w:val="single" w:sz="8" w:space="0" w:color="auto"/>
            </w:tcBorders>
            <w:shd w:val="clear" w:color="000000" w:fill="FFFFFF"/>
            <w:noWrap/>
            <w:vAlign w:val="center"/>
            <w:hideMark/>
          </w:tcPr>
          <w:p w14:paraId="2C9BCA7D"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Aplicación de reservas del Instituto de Seguridad Social de los Trabajadores del Estado de Yucatán</w:t>
            </w:r>
          </w:p>
        </w:tc>
        <w:tc>
          <w:tcPr>
            <w:tcW w:w="745" w:type="pct"/>
            <w:tcBorders>
              <w:top w:val="nil"/>
              <w:left w:val="nil"/>
              <w:bottom w:val="single" w:sz="8" w:space="0" w:color="auto"/>
              <w:right w:val="nil"/>
            </w:tcBorders>
            <w:shd w:val="clear" w:color="000000" w:fill="FFFFFF"/>
            <w:vAlign w:val="center"/>
            <w:hideMark/>
          </w:tcPr>
          <w:p w14:paraId="6FB3DD9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056D7955"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4E5A7784"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7.2</w:t>
            </w:r>
          </w:p>
        </w:tc>
        <w:tc>
          <w:tcPr>
            <w:tcW w:w="3773" w:type="pct"/>
            <w:tcBorders>
              <w:top w:val="nil"/>
              <w:left w:val="nil"/>
              <w:bottom w:val="single" w:sz="8" w:space="0" w:color="auto"/>
              <w:right w:val="single" w:sz="8" w:space="0" w:color="auto"/>
            </w:tcBorders>
            <w:noWrap/>
            <w:vAlign w:val="center"/>
            <w:hideMark/>
          </w:tcPr>
          <w:p w14:paraId="7FA7EA80"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Ingresos por Venta de Bienes y Prestación de Servicios de Empresas Productivas del Estado</w:t>
            </w:r>
          </w:p>
        </w:tc>
        <w:tc>
          <w:tcPr>
            <w:tcW w:w="745" w:type="pct"/>
            <w:tcBorders>
              <w:top w:val="nil"/>
              <w:left w:val="nil"/>
              <w:bottom w:val="single" w:sz="8" w:space="0" w:color="auto"/>
              <w:right w:val="nil"/>
            </w:tcBorders>
            <w:vAlign w:val="center"/>
            <w:hideMark/>
          </w:tcPr>
          <w:p w14:paraId="67DC31C0"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0 </w:t>
            </w:r>
          </w:p>
        </w:tc>
      </w:tr>
      <w:tr w:rsidR="00E23F6E" w:rsidRPr="001B6518" w14:paraId="0289BBB5"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3D4588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7.2.1</w:t>
            </w:r>
          </w:p>
        </w:tc>
        <w:tc>
          <w:tcPr>
            <w:tcW w:w="3773" w:type="pct"/>
            <w:tcBorders>
              <w:top w:val="nil"/>
              <w:left w:val="nil"/>
              <w:bottom w:val="single" w:sz="8" w:space="0" w:color="auto"/>
              <w:right w:val="single" w:sz="8" w:space="0" w:color="auto"/>
            </w:tcBorders>
            <w:shd w:val="clear" w:color="000000" w:fill="FFFFFF"/>
            <w:noWrap/>
            <w:vAlign w:val="center"/>
            <w:hideMark/>
          </w:tcPr>
          <w:p w14:paraId="14559BD9"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Ingresos por Venta de Bienes de Empresas Productivas del Estado</w:t>
            </w:r>
          </w:p>
        </w:tc>
        <w:tc>
          <w:tcPr>
            <w:tcW w:w="745" w:type="pct"/>
            <w:tcBorders>
              <w:top w:val="nil"/>
              <w:left w:val="nil"/>
              <w:bottom w:val="single" w:sz="8" w:space="0" w:color="auto"/>
              <w:right w:val="nil"/>
            </w:tcBorders>
            <w:shd w:val="clear" w:color="000000" w:fill="FFFFFF"/>
            <w:vAlign w:val="center"/>
            <w:hideMark/>
          </w:tcPr>
          <w:p w14:paraId="3348950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661D8951"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8F2CEE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7.2.2</w:t>
            </w:r>
          </w:p>
        </w:tc>
        <w:tc>
          <w:tcPr>
            <w:tcW w:w="3773" w:type="pct"/>
            <w:tcBorders>
              <w:top w:val="nil"/>
              <w:left w:val="nil"/>
              <w:bottom w:val="single" w:sz="8" w:space="0" w:color="auto"/>
              <w:right w:val="single" w:sz="8" w:space="0" w:color="auto"/>
            </w:tcBorders>
            <w:shd w:val="clear" w:color="000000" w:fill="FFFFFF"/>
            <w:noWrap/>
            <w:vAlign w:val="center"/>
            <w:hideMark/>
          </w:tcPr>
          <w:p w14:paraId="15F7ED41"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Ingresos por Prestación de Servicios de Empresas Productivas del Estado</w:t>
            </w:r>
          </w:p>
        </w:tc>
        <w:tc>
          <w:tcPr>
            <w:tcW w:w="745" w:type="pct"/>
            <w:tcBorders>
              <w:top w:val="nil"/>
              <w:left w:val="nil"/>
              <w:bottom w:val="single" w:sz="8" w:space="0" w:color="auto"/>
              <w:right w:val="nil"/>
            </w:tcBorders>
            <w:shd w:val="clear" w:color="000000" w:fill="FFFFFF"/>
            <w:vAlign w:val="center"/>
            <w:hideMark/>
          </w:tcPr>
          <w:p w14:paraId="63559AB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2045B588"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1629C7AA"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7.3</w:t>
            </w:r>
          </w:p>
        </w:tc>
        <w:tc>
          <w:tcPr>
            <w:tcW w:w="3773" w:type="pct"/>
            <w:tcBorders>
              <w:top w:val="nil"/>
              <w:left w:val="nil"/>
              <w:bottom w:val="single" w:sz="8" w:space="0" w:color="auto"/>
              <w:right w:val="single" w:sz="8" w:space="0" w:color="auto"/>
            </w:tcBorders>
            <w:noWrap/>
            <w:vAlign w:val="center"/>
            <w:hideMark/>
          </w:tcPr>
          <w:p w14:paraId="5BDD7310"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Ingresos por Venta de Bienes y Prestación de Servicios de Entidades Paraestatales y Fideicomisos No Empresariales y No Financieros</w:t>
            </w:r>
          </w:p>
        </w:tc>
        <w:tc>
          <w:tcPr>
            <w:tcW w:w="745" w:type="pct"/>
            <w:tcBorders>
              <w:top w:val="nil"/>
              <w:left w:val="nil"/>
              <w:bottom w:val="single" w:sz="8" w:space="0" w:color="auto"/>
              <w:right w:val="nil"/>
            </w:tcBorders>
            <w:vAlign w:val="center"/>
            <w:hideMark/>
          </w:tcPr>
          <w:p w14:paraId="59941064"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1,289,699,685 </w:t>
            </w:r>
          </w:p>
        </w:tc>
      </w:tr>
      <w:tr w:rsidR="00E23F6E" w:rsidRPr="001B6518" w14:paraId="30B8BB73"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D51D6C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lastRenderedPageBreak/>
              <w:t>7.3.1</w:t>
            </w:r>
          </w:p>
        </w:tc>
        <w:tc>
          <w:tcPr>
            <w:tcW w:w="3773" w:type="pct"/>
            <w:tcBorders>
              <w:top w:val="nil"/>
              <w:left w:val="nil"/>
              <w:bottom w:val="single" w:sz="8" w:space="0" w:color="auto"/>
              <w:right w:val="single" w:sz="8" w:space="0" w:color="auto"/>
            </w:tcBorders>
            <w:shd w:val="clear" w:color="000000" w:fill="FFFFFF"/>
            <w:noWrap/>
            <w:vAlign w:val="center"/>
            <w:hideMark/>
          </w:tcPr>
          <w:p w14:paraId="37A98F39"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Instituto para el Desarrollo de la Cultura Maya del Estado de Yucatán</w:t>
            </w:r>
          </w:p>
        </w:tc>
        <w:tc>
          <w:tcPr>
            <w:tcW w:w="745" w:type="pct"/>
            <w:tcBorders>
              <w:top w:val="nil"/>
              <w:left w:val="nil"/>
              <w:bottom w:val="single" w:sz="8" w:space="0" w:color="auto"/>
              <w:right w:val="nil"/>
            </w:tcBorders>
            <w:shd w:val="clear" w:color="000000" w:fill="FFFFFF"/>
            <w:vAlign w:val="center"/>
            <w:hideMark/>
          </w:tcPr>
          <w:p w14:paraId="7EE84C0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7A639205"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9FBF2A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7.3.2</w:t>
            </w:r>
          </w:p>
        </w:tc>
        <w:tc>
          <w:tcPr>
            <w:tcW w:w="3773" w:type="pct"/>
            <w:tcBorders>
              <w:top w:val="nil"/>
              <w:left w:val="nil"/>
              <w:bottom w:val="single" w:sz="8" w:space="0" w:color="auto"/>
              <w:right w:val="single" w:sz="8" w:space="0" w:color="auto"/>
            </w:tcBorders>
            <w:shd w:val="clear" w:color="000000" w:fill="FFFFFF"/>
            <w:noWrap/>
            <w:vAlign w:val="center"/>
            <w:hideMark/>
          </w:tcPr>
          <w:p w14:paraId="1198121D"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Comisión Ejecutiva Estatal de Atención a Víctimas</w:t>
            </w:r>
          </w:p>
        </w:tc>
        <w:tc>
          <w:tcPr>
            <w:tcW w:w="745" w:type="pct"/>
            <w:tcBorders>
              <w:top w:val="nil"/>
              <w:left w:val="nil"/>
              <w:bottom w:val="single" w:sz="8" w:space="0" w:color="auto"/>
              <w:right w:val="nil"/>
            </w:tcBorders>
            <w:shd w:val="clear" w:color="000000" w:fill="FFFFFF"/>
            <w:vAlign w:val="center"/>
            <w:hideMark/>
          </w:tcPr>
          <w:p w14:paraId="11FB8D2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2,360,000 </w:t>
            </w:r>
          </w:p>
        </w:tc>
      </w:tr>
      <w:tr w:rsidR="00E23F6E" w:rsidRPr="001B6518" w14:paraId="0D9D9CB8"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8E5BD2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7.3.3</w:t>
            </w:r>
          </w:p>
        </w:tc>
        <w:tc>
          <w:tcPr>
            <w:tcW w:w="3773" w:type="pct"/>
            <w:tcBorders>
              <w:top w:val="nil"/>
              <w:left w:val="nil"/>
              <w:bottom w:val="single" w:sz="8" w:space="0" w:color="auto"/>
              <w:right w:val="single" w:sz="8" w:space="0" w:color="auto"/>
            </w:tcBorders>
            <w:shd w:val="clear" w:color="000000" w:fill="FFFFFF"/>
            <w:noWrap/>
            <w:vAlign w:val="center"/>
            <w:hideMark/>
          </w:tcPr>
          <w:p w14:paraId="009589D0"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Instituto para el Desarrollo y Certificación de la Infraestructura Física Educativa y Eléctrica de Yucatán</w:t>
            </w:r>
          </w:p>
        </w:tc>
        <w:tc>
          <w:tcPr>
            <w:tcW w:w="745" w:type="pct"/>
            <w:tcBorders>
              <w:top w:val="nil"/>
              <w:left w:val="nil"/>
              <w:bottom w:val="single" w:sz="8" w:space="0" w:color="auto"/>
              <w:right w:val="nil"/>
            </w:tcBorders>
            <w:shd w:val="clear" w:color="000000" w:fill="FFFFFF"/>
            <w:vAlign w:val="center"/>
            <w:hideMark/>
          </w:tcPr>
          <w:p w14:paraId="03D4967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600,000 </w:t>
            </w:r>
          </w:p>
        </w:tc>
      </w:tr>
      <w:tr w:rsidR="00E23F6E" w:rsidRPr="001B6518" w14:paraId="43204CE5"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291E80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7.3.4</w:t>
            </w:r>
          </w:p>
        </w:tc>
        <w:tc>
          <w:tcPr>
            <w:tcW w:w="3773" w:type="pct"/>
            <w:tcBorders>
              <w:top w:val="nil"/>
              <w:left w:val="nil"/>
              <w:bottom w:val="single" w:sz="8" w:space="0" w:color="auto"/>
              <w:right w:val="single" w:sz="8" w:space="0" w:color="auto"/>
            </w:tcBorders>
            <w:shd w:val="clear" w:color="000000" w:fill="FFFFFF"/>
            <w:noWrap/>
            <w:vAlign w:val="center"/>
            <w:hideMark/>
          </w:tcPr>
          <w:p w14:paraId="627E9941"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Instituto de Infraestructura Carretera de Yucatán</w:t>
            </w:r>
          </w:p>
        </w:tc>
        <w:tc>
          <w:tcPr>
            <w:tcW w:w="745" w:type="pct"/>
            <w:tcBorders>
              <w:top w:val="nil"/>
              <w:left w:val="nil"/>
              <w:bottom w:val="single" w:sz="8" w:space="0" w:color="auto"/>
              <w:right w:val="nil"/>
            </w:tcBorders>
            <w:shd w:val="clear" w:color="000000" w:fill="FFFFFF"/>
            <w:vAlign w:val="center"/>
            <w:hideMark/>
          </w:tcPr>
          <w:p w14:paraId="2DCA40A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14,344,001 </w:t>
            </w:r>
          </w:p>
        </w:tc>
      </w:tr>
      <w:tr w:rsidR="00E23F6E" w:rsidRPr="001B6518" w14:paraId="40DEDD22"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932C66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7.3.5</w:t>
            </w:r>
          </w:p>
        </w:tc>
        <w:tc>
          <w:tcPr>
            <w:tcW w:w="3773" w:type="pct"/>
            <w:tcBorders>
              <w:top w:val="nil"/>
              <w:left w:val="nil"/>
              <w:bottom w:val="single" w:sz="8" w:space="0" w:color="auto"/>
              <w:right w:val="single" w:sz="8" w:space="0" w:color="auto"/>
            </w:tcBorders>
            <w:shd w:val="clear" w:color="000000" w:fill="FFFFFF"/>
            <w:noWrap/>
            <w:vAlign w:val="center"/>
            <w:hideMark/>
          </w:tcPr>
          <w:p w14:paraId="3BF3509D"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Junta de Agua Potable y Alcantarillado de Yucatán</w:t>
            </w:r>
          </w:p>
        </w:tc>
        <w:tc>
          <w:tcPr>
            <w:tcW w:w="745" w:type="pct"/>
            <w:tcBorders>
              <w:top w:val="nil"/>
              <w:left w:val="nil"/>
              <w:bottom w:val="single" w:sz="8" w:space="0" w:color="auto"/>
              <w:right w:val="nil"/>
            </w:tcBorders>
            <w:shd w:val="clear" w:color="000000" w:fill="FFFFFF"/>
            <w:vAlign w:val="center"/>
            <w:hideMark/>
          </w:tcPr>
          <w:p w14:paraId="00686B0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668,722,896 </w:t>
            </w:r>
          </w:p>
        </w:tc>
      </w:tr>
      <w:tr w:rsidR="00E23F6E" w:rsidRPr="001B6518" w14:paraId="2ED7FCC3"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0D6494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7.3.6</w:t>
            </w:r>
          </w:p>
        </w:tc>
        <w:tc>
          <w:tcPr>
            <w:tcW w:w="3773" w:type="pct"/>
            <w:tcBorders>
              <w:top w:val="nil"/>
              <w:left w:val="nil"/>
              <w:bottom w:val="single" w:sz="8" w:space="0" w:color="auto"/>
              <w:right w:val="single" w:sz="8" w:space="0" w:color="auto"/>
            </w:tcBorders>
            <w:shd w:val="clear" w:color="000000" w:fill="FFFFFF"/>
            <w:noWrap/>
            <w:vAlign w:val="center"/>
            <w:hideMark/>
          </w:tcPr>
          <w:p w14:paraId="77C60E8B"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Instituto para la Construcción y Conservación de Obra Pública en Yucatán</w:t>
            </w:r>
          </w:p>
        </w:tc>
        <w:tc>
          <w:tcPr>
            <w:tcW w:w="745" w:type="pct"/>
            <w:tcBorders>
              <w:top w:val="nil"/>
              <w:left w:val="nil"/>
              <w:bottom w:val="single" w:sz="8" w:space="0" w:color="auto"/>
              <w:right w:val="nil"/>
            </w:tcBorders>
            <w:shd w:val="clear" w:color="000000" w:fill="FFFFFF"/>
            <w:vAlign w:val="center"/>
            <w:hideMark/>
          </w:tcPr>
          <w:p w14:paraId="0428DDF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180,000 </w:t>
            </w:r>
          </w:p>
        </w:tc>
      </w:tr>
      <w:tr w:rsidR="00E23F6E" w:rsidRPr="001B6518" w14:paraId="2EFB1A25"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F0888E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7.3.7</w:t>
            </w:r>
          </w:p>
        </w:tc>
        <w:tc>
          <w:tcPr>
            <w:tcW w:w="3773" w:type="pct"/>
            <w:tcBorders>
              <w:top w:val="nil"/>
              <w:left w:val="nil"/>
              <w:bottom w:val="single" w:sz="8" w:space="0" w:color="auto"/>
              <w:right w:val="single" w:sz="8" w:space="0" w:color="auto"/>
            </w:tcBorders>
            <w:shd w:val="clear" w:color="000000" w:fill="FFFFFF"/>
            <w:noWrap/>
            <w:vAlign w:val="center"/>
            <w:hideMark/>
          </w:tcPr>
          <w:p w14:paraId="7577D083"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Instituto de Vivienda del Estado de Yucatán</w:t>
            </w:r>
          </w:p>
        </w:tc>
        <w:tc>
          <w:tcPr>
            <w:tcW w:w="745" w:type="pct"/>
            <w:tcBorders>
              <w:top w:val="nil"/>
              <w:left w:val="nil"/>
              <w:bottom w:val="single" w:sz="8" w:space="0" w:color="auto"/>
              <w:right w:val="nil"/>
            </w:tcBorders>
            <w:shd w:val="clear" w:color="000000" w:fill="FFFFFF"/>
            <w:vAlign w:val="center"/>
            <w:hideMark/>
          </w:tcPr>
          <w:p w14:paraId="10873B5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174,039,346 </w:t>
            </w:r>
          </w:p>
        </w:tc>
      </w:tr>
      <w:tr w:rsidR="00E23F6E" w:rsidRPr="001B6518" w14:paraId="4E0FE1AA"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226CC1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7.3.8</w:t>
            </w:r>
          </w:p>
        </w:tc>
        <w:tc>
          <w:tcPr>
            <w:tcW w:w="3773" w:type="pct"/>
            <w:tcBorders>
              <w:top w:val="nil"/>
              <w:left w:val="nil"/>
              <w:bottom w:val="single" w:sz="8" w:space="0" w:color="auto"/>
              <w:right w:val="single" w:sz="8" w:space="0" w:color="auto"/>
            </w:tcBorders>
            <w:shd w:val="clear" w:color="000000" w:fill="FFFFFF"/>
            <w:noWrap/>
            <w:vAlign w:val="center"/>
            <w:hideMark/>
          </w:tcPr>
          <w:p w14:paraId="55716A19"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Instituto del Deporte del Estado de Yucatán</w:t>
            </w:r>
          </w:p>
        </w:tc>
        <w:tc>
          <w:tcPr>
            <w:tcW w:w="745" w:type="pct"/>
            <w:tcBorders>
              <w:top w:val="nil"/>
              <w:left w:val="nil"/>
              <w:bottom w:val="single" w:sz="8" w:space="0" w:color="auto"/>
              <w:right w:val="nil"/>
            </w:tcBorders>
            <w:shd w:val="clear" w:color="000000" w:fill="FFFFFF"/>
            <w:vAlign w:val="center"/>
            <w:hideMark/>
          </w:tcPr>
          <w:p w14:paraId="7B001AC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16,755,490 </w:t>
            </w:r>
          </w:p>
        </w:tc>
      </w:tr>
      <w:tr w:rsidR="00E23F6E" w:rsidRPr="001B6518" w14:paraId="77D5ABAC"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251186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7.3.9</w:t>
            </w:r>
          </w:p>
        </w:tc>
        <w:tc>
          <w:tcPr>
            <w:tcW w:w="3773" w:type="pct"/>
            <w:tcBorders>
              <w:top w:val="nil"/>
              <w:left w:val="nil"/>
              <w:bottom w:val="single" w:sz="8" w:space="0" w:color="auto"/>
              <w:right w:val="single" w:sz="8" w:space="0" w:color="auto"/>
            </w:tcBorders>
            <w:shd w:val="clear" w:color="000000" w:fill="FFFFFF"/>
            <w:noWrap/>
            <w:vAlign w:val="center"/>
            <w:hideMark/>
          </w:tcPr>
          <w:p w14:paraId="0C2181CF"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Colegio de Bachilleres del Estado de Yucatán</w:t>
            </w:r>
          </w:p>
        </w:tc>
        <w:tc>
          <w:tcPr>
            <w:tcW w:w="745" w:type="pct"/>
            <w:tcBorders>
              <w:top w:val="nil"/>
              <w:left w:val="nil"/>
              <w:bottom w:val="single" w:sz="8" w:space="0" w:color="auto"/>
              <w:right w:val="nil"/>
            </w:tcBorders>
            <w:shd w:val="clear" w:color="000000" w:fill="FFFFFF"/>
            <w:vAlign w:val="center"/>
            <w:hideMark/>
          </w:tcPr>
          <w:p w14:paraId="7C7D8EA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43,298,080 </w:t>
            </w:r>
          </w:p>
        </w:tc>
      </w:tr>
      <w:tr w:rsidR="00E23F6E" w:rsidRPr="001B6518" w14:paraId="58DA6AD9"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B27E8F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7.3.10</w:t>
            </w:r>
          </w:p>
        </w:tc>
        <w:tc>
          <w:tcPr>
            <w:tcW w:w="3773" w:type="pct"/>
            <w:tcBorders>
              <w:top w:val="nil"/>
              <w:left w:val="nil"/>
              <w:bottom w:val="single" w:sz="8" w:space="0" w:color="auto"/>
              <w:right w:val="single" w:sz="8" w:space="0" w:color="auto"/>
            </w:tcBorders>
            <w:shd w:val="clear" w:color="000000" w:fill="FFFFFF"/>
            <w:noWrap/>
            <w:vAlign w:val="center"/>
            <w:hideMark/>
          </w:tcPr>
          <w:p w14:paraId="2521DCFF"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Colegio de Estudios Científicos y Tecnológicos del Estado de Yucatán</w:t>
            </w:r>
          </w:p>
        </w:tc>
        <w:tc>
          <w:tcPr>
            <w:tcW w:w="745" w:type="pct"/>
            <w:tcBorders>
              <w:top w:val="nil"/>
              <w:left w:val="nil"/>
              <w:bottom w:val="single" w:sz="8" w:space="0" w:color="auto"/>
              <w:right w:val="nil"/>
            </w:tcBorders>
            <w:shd w:val="clear" w:color="000000" w:fill="FFFFFF"/>
            <w:vAlign w:val="center"/>
            <w:hideMark/>
          </w:tcPr>
          <w:p w14:paraId="1F27E72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4,435,610 </w:t>
            </w:r>
          </w:p>
        </w:tc>
      </w:tr>
      <w:tr w:rsidR="00E23F6E" w:rsidRPr="001B6518" w14:paraId="0DDDCD9E"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E41F7D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7.3.11</w:t>
            </w:r>
          </w:p>
        </w:tc>
        <w:tc>
          <w:tcPr>
            <w:tcW w:w="3773" w:type="pct"/>
            <w:tcBorders>
              <w:top w:val="nil"/>
              <w:left w:val="nil"/>
              <w:bottom w:val="single" w:sz="8" w:space="0" w:color="auto"/>
              <w:right w:val="single" w:sz="8" w:space="0" w:color="auto"/>
            </w:tcBorders>
            <w:shd w:val="clear" w:color="000000" w:fill="FFFFFF"/>
            <w:noWrap/>
            <w:vAlign w:val="center"/>
            <w:hideMark/>
          </w:tcPr>
          <w:p w14:paraId="53CD3032"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Colegio de Educación Profesional Técnica del Estado de Yucatán</w:t>
            </w:r>
          </w:p>
        </w:tc>
        <w:tc>
          <w:tcPr>
            <w:tcW w:w="745" w:type="pct"/>
            <w:tcBorders>
              <w:top w:val="nil"/>
              <w:left w:val="nil"/>
              <w:bottom w:val="single" w:sz="8" w:space="0" w:color="auto"/>
              <w:right w:val="nil"/>
            </w:tcBorders>
            <w:shd w:val="clear" w:color="000000" w:fill="FFFFFF"/>
            <w:vAlign w:val="center"/>
            <w:hideMark/>
          </w:tcPr>
          <w:p w14:paraId="01BEC02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17,976,000 </w:t>
            </w:r>
          </w:p>
        </w:tc>
      </w:tr>
      <w:tr w:rsidR="00E23F6E" w:rsidRPr="001B6518" w14:paraId="54096543"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125E42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7.3.12</w:t>
            </w:r>
          </w:p>
        </w:tc>
        <w:tc>
          <w:tcPr>
            <w:tcW w:w="3773" w:type="pct"/>
            <w:tcBorders>
              <w:top w:val="nil"/>
              <w:left w:val="nil"/>
              <w:bottom w:val="single" w:sz="8" w:space="0" w:color="auto"/>
              <w:right w:val="single" w:sz="8" w:space="0" w:color="auto"/>
            </w:tcBorders>
            <w:shd w:val="clear" w:color="000000" w:fill="FFFFFF"/>
            <w:noWrap/>
            <w:vAlign w:val="center"/>
            <w:hideMark/>
          </w:tcPr>
          <w:p w14:paraId="75AE1D54"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Instituto de Educación para Adultos del Estado de Yucatán</w:t>
            </w:r>
          </w:p>
        </w:tc>
        <w:tc>
          <w:tcPr>
            <w:tcW w:w="745" w:type="pct"/>
            <w:tcBorders>
              <w:top w:val="nil"/>
              <w:left w:val="nil"/>
              <w:bottom w:val="single" w:sz="8" w:space="0" w:color="auto"/>
              <w:right w:val="nil"/>
            </w:tcBorders>
            <w:shd w:val="clear" w:color="000000" w:fill="FFFFFF"/>
            <w:vAlign w:val="center"/>
            <w:hideMark/>
          </w:tcPr>
          <w:p w14:paraId="33A8211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0C2DFE09"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77E9E4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7.3.13</w:t>
            </w:r>
          </w:p>
        </w:tc>
        <w:tc>
          <w:tcPr>
            <w:tcW w:w="3773" w:type="pct"/>
            <w:tcBorders>
              <w:top w:val="nil"/>
              <w:left w:val="nil"/>
              <w:bottom w:val="single" w:sz="8" w:space="0" w:color="auto"/>
              <w:right w:val="single" w:sz="8" w:space="0" w:color="auto"/>
            </w:tcBorders>
            <w:shd w:val="clear" w:color="000000" w:fill="FFFFFF"/>
            <w:noWrap/>
            <w:vAlign w:val="center"/>
            <w:hideMark/>
          </w:tcPr>
          <w:p w14:paraId="1F89A7BD"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Instituto Yucateco de Emprendedores</w:t>
            </w:r>
          </w:p>
        </w:tc>
        <w:tc>
          <w:tcPr>
            <w:tcW w:w="745" w:type="pct"/>
            <w:tcBorders>
              <w:top w:val="nil"/>
              <w:left w:val="nil"/>
              <w:bottom w:val="single" w:sz="8" w:space="0" w:color="auto"/>
              <w:right w:val="nil"/>
            </w:tcBorders>
            <w:shd w:val="clear" w:color="000000" w:fill="FFFFFF"/>
            <w:vAlign w:val="center"/>
            <w:hideMark/>
          </w:tcPr>
          <w:p w14:paraId="7EF4B0C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4,619,726 </w:t>
            </w:r>
          </w:p>
        </w:tc>
      </w:tr>
      <w:tr w:rsidR="00E23F6E" w:rsidRPr="001B6518" w14:paraId="7A10A813"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B7766F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7.3.14</w:t>
            </w:r>
          </w:p>
        </w:tc>
        <w:tc>
          <w:tcPr>
            <w:tcW w:w="3773" w:type="pct"/>
            <w:tcBorders>
              <w:top w:val="nil"/>
              <w:left w:val="nil"/>
              <w:bottom w:val="single" w:sz="8" w:space="0" w:color="auto"/>
              <w:right w:val="single" w:sz="8" w:space="0" w:color="auto"/>
            </w:tcBorders>
            <w:shd w:val="clear" w:color="000000" w:fill="FFFFFF"/>
            <w:noWrap/>
            <w:vAlign w:val="center"/>
            <w:hideMark/>
          </w:tcPr>
          <w:p w14:paraId="0EB65825"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Instituto Promotor de Ferias de Yucatán</w:t>
            </w:r>
          </w:p>
        </w:tc>
        <w:tc>
          <w:tcPr>
            <w:tcW w:w="745" w:type="pct"/>
            <w:tcBorders>
              <w:top w:val="nil"/>
              <w:left w:val="nil"/>
              <w:bottom w:val="single" w:sz="8" w:space="0" w:color="auto"/>
              <w:right w:val="nil"/>
            </w:tcBorders>
            <w:shd w:val="clear" w:color="000000" w:fill="FFFFFF"/>
            <w:vAlign w:val="center"/>
            <w:hideMark/>
          </w:tcPr>
          <w:p w14:paraId="0460365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91,623,924 </w:t>
            </w:r>
          </w:p>
        </w:tc>
      </w:tr>
      <w:tr w:rsidR="00E23F6E" w:rsidRPr="001B6518" w14:paraId="3C949313"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C0CDB4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7.3.15</w:t>
            </w:r>
          </w:p>
        </w:tc>
        <w:tc>
          <w:tcPr>
            <w:tcW w:w="3773" w:type="pct"/>
            <w:tcBorders>
              <w:top w:val="nil"/>
              <w:left w:val="nil"/>
              <w:bottom w:val="single" w:sz="8" w:space="0" w:color="auto"/>
              <w:right w:val="single" w:sz="8" w:space="0" w:color="auto"/>
            </w:tcBorders>
            <w:shd w:val="clear" w:color="000000" w:fill="FFFFFF"/>
            <w:noWrap/>
            <w:vAlign w:val="center"/>
            <w:hideMark/>
          </w:tcPr>
          <w:p w14:paraId="444464A5"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Patronato de las Unidades de Servicios Culturales y Turísticos del Estado de Yucatán</w:t>
            </w:r>
          </w:p>
        </w:tc>
        <w:tc>
          <w:tcPr>
            <w:tcW w:w="745" w:type="pct"/>
            <w:tcBorders>
              <w:top w:val="nil"/>
              <w:left w:val="nil"/>
              <w:bottom w:val="single" w:sz="8" w:space="0" w:color="auto"/>
              <w:right w:val="nil"/>
            </w:tcBorders>
            <w:shd w:val="clear" w:color="000000" w:fill="FFFFFF"/>
            <w:vAlign w:val="center"/>
            <w:hideMark/>
          </w:tcPr>
          <w:p w14:paraId="0ED5D68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90,746,148 </w:t>
            </w:r>
          </w:p>
        </w:tc>
      </w:tr>
      <w:tr w:rsidR="00E23F6E" w:rsidRPr="001B6518" w14:paraId="75AA4CAD"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ADB0E0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7.3.16</w:t>
            </w:r>
          </w:p>
        </w:tc>
        <w:tc>
          <w:tcPr>
            <w:tcW w:w="3773" w:type="pct"/>
            <w:tcBorders>
              <w:top w:val="nil"/>
              <w:left w:val="nil"/>
              <w:bottom w:val="single" w:sz="8" w:space="0" w:color="auto"/>
              <w:right w:val="single" w:sz="8" w:space="0" w:color="auto"/>
            </w:tcBorders>
            <w:shd w:val="clear" w:color="000000" w:fill="FFFFFF"/>
            <w:noWrap/>
            <w:vAlign w:val="center"/>
            <w:hideMark/>
          </w:tcPr>
          <w:p w14:paraId="30B6F3DF"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Fideicomiso para el Desarrollo del Turismo de Reuniones en Yucatán</w:t>
            </w:r>
          </w:p>
        </w:tc>
        <w:tc>
          <w:tcPr>
            <w:tcW w:w="745" w:type="pct"/>
            <w:tcBorders>
              <w:top w:val="nil"/>
              <w:left w:val="nil"/>
              <w:bottom w:val="single" w:sz="8" w:space="0" w:color="auto"/>
              <w:right w:val="nil"/>
            </w:tcBorders>
            <w:shd w:val="clear" w:color="000000" w:fill="FFFFFF"/>
            <w:vAlign w:val="center"/>
            <w:hideMark/>
          </w:tcPr>
          <w:p w14:paraId="75B6821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37,367,086 </w:t>
            </w:r>
          </w:p>
        </w:tc>
      </w:tr>
      <w:tr w:rsidR="00E23F6E" w:rsidRPr="001B6518" w14:paraId="7893F5E0"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14C874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7.3.17</w:t>
            </w:r>
          </w:p>
        </w:tc>
        <w:tc>
          <w:tcPr>
            <w:tcW w:w="3773" w:type="pct"/>
            <w:tcBorders>
              <w:top w:val="nil"/>
              <w:left w:val="nil"/>
              <w:bottom w:val="single" w:sz="8" w:space="0" w:color="auto"/>
              <w:right w:val="single" w:sz="8" w:space="0" w:color="auto"/>
            </w:tcBorders>
            <w:shd w:val="clear" w:color="000000" w:fill="FFFFFF"/>
            <w:noWrap/>
            <w:vAlign w:val="center"/>
            <w:hideMark/>
          </w:tcPr>
          <w:p w14:paraId="0FED8C94"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Instituto de Movilidad y Desarrollo Urbano Territorial</w:t>
            </w:r>
          </w:p>
        </w:tc>
        <w:tc>
          <w:tcPr>
            <w:tcW w:w="745" w:type="pct"/>
            <w:tcBorders>
              <w:top w:val="nil"/>
              <w:left w:val="nil"/>
              <w:bottom w:val="single" w:sz="8" w:space="0" w:color="auto"/>
              <w:right w:val="nil"/>
            </w:tcBorders>
            <w:shd w:val="clear" w:color="000000" w:fill="FFFFFF"/>
            <w:vAlign w:val="center"/>
            <w:hideMark/>
          </w:tcPr>
          <w:p w14:paraId="2736B39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409EF879"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F4C8CA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7.3.18</w:t>
            </w:r>
          </w:p>
        </w:tc>
        <w:tc>
          <w:tcPr>
            <w:tcW w:w="3773" w:type="pct"/>
            <w:tcBorders>
              <w:top w:val="nil"/>
              <w:left w:val="nil"/>
              <w:bottom w:val="single" w:sz="8" w:space="0" w:color="auto"/>
              <w:right w:val="single" w:sz="8" w:space="0" w:color="auto"/>
            </w:tcBorders>
            <w:shd w:val="clear" w:color="000000" w:fill="FFFFFF"/>
            <w:noWrap/>
            <w:vAlign w:val="center"/>
            <w:hideMark/>
          </w:tcPr>
          <w:p w14:paraId="16BCF3A8"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Sistema para el Desarrollo Integral de la Familia en Yucatán</w:t>
            </w:r>
          </w:p>
        </w:tc>
        <w:tc>
          <w:tcPr>
            <w:tcW w:w="745" w:type="pct"/>
            <w:tcBorders>
              <w:top w:val="nil"/>
              <w:left w:val="nil"/>
              <w:bottom w:val="single" w:sz="8" w:space="0" w:color="auto"/>
              <w:right w:val="nil"/>
            </w:tcBorders>
            <w:shd w:val="clear" w:color="000000" w:fill="FFFFFF"/>
            <w:vAlign w:val="center"/>
            <w:hideMark/>
          </w:tcPr>
          <w:p w14:paraId="69DC39B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9,730,970 </w:t>
            </w:r>
          </w:p>
        </w:tc>
      </w:tr>
      <w:tr w:rsidR="00E23F6E" w:rsidRPr="001B6518" w14:paraId="209D82A0"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DAF0F6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7.3.19</w:t>
            </w:r>
          </w:p>
        </w:tc>
        <w:tc>
          <w:tcPr>
            <w:tcW w:w="3773" w:type="pct"/>
            <w:tcBorders>
              <w:top w:val="nil"/>
              <w:left w:val="nil"/>
              <w:bottom w:val="single" w:sz="8" w:space="0" w:color="auto"/>
              <w:right w:val="single" w:sz="8" w:space="0" w:color="auto"/>
            </w:tcBorders>
            <w:shd w:val="clear" w:color="000000" w:fill="FFFFFF"/>
            <w:noWrap/>
            <w:vAlign w:val="center"/>
            <w:hideMark/>
          </w:tcPr>
          <w:p w14:paraId="2FEDB26A"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Junta de Asistencia Privada del Estado de Yucatán</w:t>
            </w:r>
          </w:p>
        </w:tc>
        <w:tc>
          <w:tcPr>
            <w:tcW w:w="745" w:type="pct"/>
            <w:tcBorders>
              <w:top w:val="nil"/>
              <w:left w:val="nil"/>
              <w:bottom w:val="single" w:sz="8" w:space="0" w:color="auto"/>
              <w:right w:val="nil"/>
            </w:tcBorders>
            <w:shd w:val="clear" w:color="000000" w:fill="FFFFFF"/>
            <w:vAlign w:val="center"/>
            <w:hideMark/>
          </w:tcPr>
          <w:p w14:paraId="4CE24C7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65CBE6AD"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5A8E97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7.3.20</w:t>
            </w:r>
          </w:p>
        </w:tc>
        <w:tc>
          <w:tcPr>
            <w:tcW w:w="3773" w:type="pct"/>
            <w:tcBorders>
              <w:top w:val="nil"/>
              <w:left w:val="nil"/>
              <w:bottom w:val="single" w:sz="8" w:space="0" w:color="auto"/>
              <w:right w:val="single" w:sz="8" w:space="0" w:color="auto"/>
            </w:tcBorders>
            <w:shd w:val="clear" w:color="000000" w:fill="FFFFFF"/>
            <w:noWrap/>
            <w:vAlign w:val="center"/>
            <w:hideMark/>
          </w:tcPr>
          <w:p w14:paraId="4C11AD62"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Servicios de Salud de Yucatán</w:t>
            </w:r>
          </w:p>
        </w:tc>
        <w:tc>
          <w:tcPr>
            <w:tcW w:w="745" w:type="pct"/>
            <w:tcBorders>
              <w:top w:val="nil"/>
              <w:left w:val="nil"/>
              <w:bottom w:val="single" w:sz="8" w:space="0" w:color="auto"/>
              <w:right w:val="nil"/>
            </w:tcBorders>
            <w:shd w:val="clear" w:color="000000" w:fill="FFFFFF"/>
            <w:vAlign w:val="center"/>
            <w:hideMark/>
          </w:tcPr>
          <w:p w14:paraId="5D356E0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18,352,704 </w:t>
            </w:r>
          </w:p>
        </w:tc>
      </w:tr>
      <w:tr w:rsidR="00E23F6E" w:rsidRPr="001B6518" w14:paraId="4BCB961E"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A5D61A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7.3.21</w:t>
            </w:r>
          </w:p>
        </w:tc>
        <w:tc>
          <w:tcPr>
            <w:tcW w:w="3773" w:type="pct"/>
            <w:tcBorders>
              <w:top w:val="nil"/>
              <w:left w:val="nil"/>
              <w:bottom w:val="single" w:sz="8" w:space="0" w:color="auto"/>
              <w:right w:val="single" w:sz="8" w:space="0" w:color="auto"/>
            </w:tcBorders>
            <w:shd w:val="clear" w:color="000000" w:fill="FFFFFF"/>
            <w:noWrap/>
            <w:vAlign w:val="center"/>
            <w:hideMark/>
          </w:tcPr>
          <w:p w14:paraId="4B77FF3C"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Administración del Patrimonio de la Beneficencia Pública del Estado de Yucatán</w:t>
            </w:r>
          </w:p>
        </w:tc>
        <w:tc>
          <w:tcPr>
            <w:tcW w:w="745" w:type="pct"/>
            <w:tcBorders>
              <w:top w:val="nil"/>
              <w:left w:val="nil"/>
              <w:bottom w:val="single" w:sz="8" w:space="0" w:color="auto"/>
              <w:right w:val="nil"/>
            </w:tcBorders>
            <w:shd w:val="clear" w:color="000000" w:fill="FFFFFF"/>
            <w:vAlign w:val="center"/>
            <w:hideMark/>
          </w:tcPr>
          <w:p w14:paraId="55878A2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6,230,960 </w:t>
            </w:r>
          </w:p>
        </w:tc>
      </w:tr>
      <w:tr w:rsidR="00E23F6E" w:rsidRPr="001B6518" w14:paraId="52524B8A"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C4ACD3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7.3.22</w:t>
            </w:r>
          </w:p>
        </w:tc>
        <w:tc>
          <w:tcPr>
            <w:tcW w:w="3773" w:type="pct"/>
            <w:tcBorders>
              <w:top w:val="nil"/>
              <w:left w:val="nil"/>
              <w:bottom w:val="single" w:sz="8" w:space="0" w:color="auto"/>
              <w:right w:val="single" w:sz="8" w:space="0" w:color="auto"/>
            </w:tcBorders>
            <w:shd w:val="clear" w:color="000000" w:fill="FFFFFF"/>
            <w:noWrap/>
            <w:vAlign w:val="center"/>
            <w:hideMark/>
          </w:tcPr>
          <w:p w14:paraId="3CAFD2C2"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Hospital de la Amistad</w:t>
            </w:r>
          </w:p>
        </w:tc>
        <w:tc>
          <w:tcPr>
            <w:tcW w:w="745" w:type="pct"/>
            <w:tcBorders>
              <w:top w:val="nil"/>
              <w:left w:val="nil"/>
              <w:bottom w:val="single" w:sz="8" w:space="0" w:color="auto"/>
              <w:right w:val="nil"/>
            </w:tcBorders>
            <w:shd w:val="clear" w:color="000000" w:fill="FFFFFF"/>
            <w:vAlign w:val="center"/>
            <w:hideMark/>
          </w:tcPr>
          <w:p w14:paraId="4035282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1,200,000 </w:t>
            </w:r>
          </w:p>
        </w:tc>
      </w:tr>
      <w:tr w:rsidR="00E23F6E" w:rsidRPr="001B6518" w14:paraId="6B1154AC"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A28D22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7.3.23</w:t>
            </w:r>
          </w:p>
        </w:tc>
        <w:tc>
          <w:tcPr>
            <w:tcW w:w="3773" w:type="pct"/>
            <w:tcBorders>
              <w:top w:val="nil"/>
              <w:left w:val="nil"/>
              <w:bottom w:val="single" w:sz="8" w:space="0" w:color="auto"/>
              <w:right w:val="single" w:sz="8" w:space="0" w:color="auto"/>
            </w:tcBorders>
            <w:shd w:val="clear" w:color="000000" w:fill="FFFFFF"/>
            <w:noWrap/>
            <w:vAlign w:val="center"/>
            <w:hideMark/>
          </w:tcPr>
          <w:p w14:paraId="4B125CDC"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Hospital Comunitario de Ticul Yucatán</w:t>
            </w:r>
          </w:p>
        </w:tc>
        <w:tc>
          <w:tcPr>
            <w:tcW w:w="745" w:type="pct"/>
            <w:tcBorders>
              <w:top w:val="nil"/>
              <w:left w:val="nil"/>
              <w:bottom w:val="single" w:sz="8" w:space="0" w:color="auto"/>
              <w:right w:val="nil"/>
            </w:tcBorders>
            <w:shd w:val="clear" w:color="000000" w:fill="FFFFFF"/>
            <w:vAlign w:val="center"/>
            <w:hideMark/>
          </w:tcPr>
          <w:p w14:paraId="1A813D1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400,332 </w:t>
            </w:r>
          </w:p>
        </w:tc>
      </w:tr>
      <w:tr w:rsidR="00E23F6E" w:rsidRPr="001B6518" w14:paraId="424EFC60"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2EA48F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7.3.24</w:t>
            </w:r>
          </w:p>
        </w:tc>
        <w:tc>
          <w:tcPr>
            <w:tcW w:w="3773" w:type="pct"/>
            <w:tcBorders>
              <w:top w:val="nil"/>
              <w:left w:val="nil"/>
              <w:bottom w:val="single" w:sz="8" w:space="0" w:color="auto"/>
              <w:right w:val="single" w:sz="8" w:space="0" w:color="auto"/>
            </w:tcBorders>
            <w:shd w:val="clear" w:color="000000" w:fill="FFFFFF"/>
            <w:noWrap/>
            <w:vAlign w:val="center"/>
            <w:hideMark/>
          </w:tcPr>
          <w:p w14:paraId="40FDF696"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Hospital Comunitario de Peto Yucatán</w:t>
            </w:r>
          </w:p>
        </w:tc>
        <w:tc>
          <w:tcPr>
            <w:tcW w:w="745" w:type="pct"/>
            <w:tcBorders>
              <w:top w:val="nil"/>
              <w:left w:val="nil"/>
              <w:bottom w:val="single" w:sz="8" w:space="0" w:color="auto"/>
              <w:right w:val="nil"/>
            </w:tcBorders>
            <w:shd w:val="clear" w:color="000000" w:fill="FFFFFF"/>
            <w:vAlign w:val="center"/>
            <w:hideMark/>
          </w:tcPr>
          <w:p w14:paraId="69E99D9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500,000 </w:t>
            </w:r>
          </w:p>
        </w:tc>
      </w:tr>
      <w:tr w:rsidR="00E23F6E" w:rsidRPr="001B6518" w14:paraId="7DCEF47B"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B34BEE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7.3.25</w:t>
            </w:r>
          </w:p>
        </w:tc>
        <w:tc>
          <w:tcPr>
            <w:tcW w:w="3773" w:type="pct"/>
            <w:tcBorders>
              <w:top w:val="nil"/>
              <w:left w:val="nil"/>
              <w:bottom w:val="single" w:sz="8" w:space="0" w:color="auto"/>
              <w:right w:val="single" w:sz="8" w:space="0" w:color="auto"/>
            </w:tcBorders>
            <w:shd w:val="clear" w:color="000000" w:fill="FFFFFF"/>
            <w:noWrap/>
            <w:vAlign w:val="center"/>
            <w:hideMark/>
          </w:tcPr>
          <w:p w14:paraId="618C5718"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Centro Estatal de Trasplantes de Yucatán</w:t>
            </w:r>
          </w:p>
        </w:tc>
        <w:tc>
          <w:tcPr>
            <w:tcW w:w="745" w:type="pct"/>
            <w:tcBorders>
              <w:top w:val="nil"/>
              <w:left w:val="nil"/>
              <w:bottom w:val="single" w:sz="8" w:space="0" w:color="auto"/>
              <w:right w:val="nil"/>
            </w:tcBorders>
            <w:shd w:val="clear" w:color="000000" w:fill="FFFFFF"/>
            <w:vAlign w:val="center"/>
            <w:hideMark/>
          </w:tcPr>
          <w:p w14:paraId="5FF60FF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675C4D49"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78601A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7.3.26</w:t>
            </w:r>
          </w:p>
        </w:tc>
        <w:tc>
          <w:tcPr>
            <w:tcW w:w="3773" w:type="pct"/>
            <w:tcBorders>
              <w:top w:val="nil"/>
              <w:left w:val="nil"/>
              <w:bottom w:val="single" w:sz="8" w:space="0" w:color="auto"/>
              <w:right w:val="single" w:sz="8" w:space="0" w:color="auto"/>
            </w:tcBorders>
            <w:shd w:val="clear" w:color="000000" w:fill="FFFFFF"/>
            <w:noWrap/>
            <w:vAlign w:val="center"/>
            <w:hideMark/>
          </w:tcPr>
          <w:p w14:paraId="3AFA3DF5"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Instituto de Seguridad Jurídica Patrimonial de Yucatán</w:t>
            </w:r>
          </w:p>
        </w:tc>
        <w:tc>
          <w:tcPr>
            <w:tcW w:w="745" w:type="pct"/>
            <w:tcBorders>
              <w:top w:val="nil"/>
              <w:left w:val="nil"/>
              <w:bottom w:val="single" w:sz="8" w:space="0" w:color="auto"/>
              <w:right w:val="nil"/>
            </w:tcBorders>
            <w:shd w:val="clear" w:color="000000" w:fill="FFFFFF"/>
            <w:vAlign w:val="center"/>
            <w:hideMark/>
          </w:tcPr>
          <w:p w14:paraId="2D27B52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2F432ADE"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B0DE05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7.3.27</w:t>
            </w:r>
          </w:p>
        </w:tc>
        <w:tc>
          <w:tcPr>
            <w:tcW w:w="3773" w:type="pct"/>
            <w:tcBorders>
              <w:top w:val="nil"/>
              <w:left w:val="nil"/>
              <w:bottom w:val="single" w:sz="8" w:space="0" w:color="auto"/>
              <w:right w:val="single" w:sz="8" w:space="0" w:color="auto"/>
            </w:tcBorders>
            <w:shd w:val="clear" w:color="000000" w:fill="FFFFFF"/>
            <w:noWrap/>
            <w:vAlign w:val="center"/>
            <w:hideMark/>
          </w:tcPr>
          <w:p w14:paraId="3E64E00C"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Fideicomiso Garante de la Orquesta Sinfónica de Yucatán</w:t>
            </w:r>
          </w:p>
        </w:tc>
        <w:tc>
          <w:tcPr>
            <w:tcW w:w="745" w:type="pct"/>
            <w:tcBorders>
              <w:top w:val="nil"/>
              <w:left w:val="nil"/>
              <w:bottom w:val="single" w:sz="8" w:space="0" w:color="auto"/>
              <w:right w:val="nil"/>
            </w:tcBorders>
            <w:shd w:val="clear" w:color="000000" w:fill="FFFFFF"/>
            <w:vAlign w:val="center"/>
            <w:hideMark/>
          </w:tcPr>
          <w:p w14:paraId="3EF3EFC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9,550,000 </w:t>
            </w:r>
          </w:p>
        </w:tc>
      </w:tr>
      <w:tr w:rsidR="00E23F6E" w:rsidRPr="001B6518" w14:paraId="740D0131"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ED0649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7.3.28</w:t>
            </w:r>
          </w:p>
        </w:tc>
        <w:tc>
          <w:tcPr>
            <w:tcW w:w="3773" w:type="pct"/>
            <w:tcBorders>
              <w:top w:val="nil"/>
              <w:left w:val="nil"/>
              <w:bottom w:val="single" w:sz="8" w:space="0" w:color="auto"/>
              <w:right w:val="single" w:sz="8" w:space="0" w:color="auto"/>
            </w:tcBorders>
            <w:shd w:val="clear" w:color="000000" w:fill="FFFFFF"/>
            <w:noWrap/>
            <w:vAlign w:val="center"/>
            <w:hideMark/>
          </w:tcPr>
          <w:p w14:paraId="5BB085F8"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Secretaría Técnica de Planeación y Evaluación</w:t>
            </w:r>
          </w:p>
        </w:tc>
        <w:tc>
          <w:tcPr>
            <w:tcW w:w="745" w:type="pct"/>
            <w:tcBorders>
              <w:top w:val="nil"/>
              <w:left w:val="nil"/>
              <w:bottom w:val="single" w:sz="8" w:space="0" w:color="auto"/>
              <w:right w:val="nil"/>
            </w:tcBorders>
            <w:shd w:val="clear" w:color="000000" w:fill="FFFFFF"/>
            <w:vAlign w:val="center"/>
            <w:hideMark/>
          </w:tcPr>
          <w:p w14:paraId="1E10580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0F39A55D"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1F3A50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7.3.29</w:t>
            </w:r>
          </w:p>
        </w:tc>
        <w:tc>
          <w:tcPr>
            <w:tcW w:w="3773" w:type="pct"/>
            <w:tcBorders>
              <w:top w:val="nil"/>
              <w:left w:val="nil"/>
              <w:bottom w:val="single" w:sz="8" w:space="0" w:color="auto"/>
              <w:right w:val="single" w:sz="8" w:space="0" w:color="auto"/>
            </w:tcBorders>
            <w:shd w:val="clear" w:color="000000" w:fill="FFFFFF"/>
            <w:noWrap/>
            <w:vAlign w:val="center"/>
            <w:hideMark/>
          </w:tcPr>
          <w:p w14:paraId="6B0F74BB"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Fideicomiso Público para la Administración de la Reserva Territorial de Ucú</w:t>
            </w:r>
          </w:p>
        </w:tc>
        <w:tc>
          <w:tcPr>
            <w:tcW w:w="745" w:type="pct"/>
            <w:tcBorders>
              <w:top w:val="nil"/>
              <w:left w:val="nil"/>
              <w:bottom w:val="single" w:sz="8" w:space="0" w:color="auto"/>
              <w:right w:val="nil"/>
            </w:tcBorders>
            <w:shd w:val="clear" w:color="000000" w:fill="FFFFFF"/>
            <w:vAlign w:val="center"/>
            <w:hideMark/>
          </w:tcPr>
          <w:p w14:paraId="4AFE0CB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60A9A3E9"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189AA1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7.3.30</w:t>
            </w:r>
          </w:p>
        </w:tc>
        <w:tc>
          <w:tcPr>
            <w:tcW w:w="3773" w:type="pct"/>
            <w:tcBorders>
              <w:top w:val="nil"/>
              <w:left w:val="nil"/>
              <w:bottom w:val="single" w:sz="8" w:space="0" w:color="auto"/>
              <w:right w:val="single" w:sz="8" w:space="0" w:color="auto"/>
            </w:tcBorders>
            <w:shd w:val="clear" w:color="000000" w:fill="FFFFFF"/>
            <w:noWrap/>
            <w:vAlign w:val="center"/>
            <w:hideMark/>
          </w:tcPr>
          <w:p w14:paraId="094E1A62"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Universidad de las Artes de Yucatán</w:t>
            </w:r>
          </w:p>
        </w:tc>
        <w:tc>
          <w:tcPr>
            <w:tcW w:w="745" w:type="pct"/>
            <w:tcBorders>
              <w:top w:val="nil"/>
              <w:left w:val="nil"/>
              <w:bottom w:val="single" w:sz="8" w:space="0" w:color="auto"/>
              <w:right w:val="nil"/>
            </w:tcBorders>
            <w:shd w:val="clear" w:color="000000" w:fill="FFFFFF"/>
            <w:vAlign w:val="center"/>
            <w:hideMark/>
          </w:tcPr>
          <w:p w14:paraId="1456CAA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11,077,415 </w:t>
            </w:r>
          </w:p>
        </w:tc>
      </w:tr>
      <w:tr w:rsidR="00E23F6E" w:rsidRPr="001B6518" w14:paraId="0E4B9487"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7021EC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7.3.31</w:t>
            </w:r>
          </w:p>
        </w:tc>
        <w:tc>
          <w:tcPr>
            <w:tcW w:w="3773" w:type="pct"/>
            <w:tcBorders>
              <w:top w:val="nil"/>
              <w:left w:val="nil"/>
              <w:bottom w:val="single" w:sz="8" w:space="0" w:color="auto"/>
              <w:right w:val="single" w:sz="8" w:space="0" w:color="auto"/>
            </w:tcBorders>
            <w:shd w:val="clear" w:color="000000" w:fill="FFFFFF"/>
            <w:noWrap/>
            <w:vAlign w:val="center"/>
            <w:hideMark/>
          </w:tcPr>
          <w:p w14:paraId="576378CE"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Universidad Tecnológica Metropolitana</w:t>
            </w:r>
          </w:p>
        </w:tc>
        <w:tc>
          <w:tcPr>
            <w:tcW w:w="745" w:type="pct"/>
            <w:tcBorders>
              <w:top w:val="nil"/>
              <w:left w:val="nil"/>
              <w:bottom w:val="single" w:sz="8" w:space="0" w:color="auto"/>
              <w:right w:val="nil"/>
            </w:tcBorders>
            <w:shd w:val="clear" w:color="000000" w:fill="FFFFFF"/>
            <w:vAlign w:val="center"/>
            <w:hideMark/>
          </w:tcPr>
          <w:p w14:paraId="1E1E5FB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18,532,194 </w:t>
            </w:r>
          </w:p>
        </w:tc>
      </w:tr>
      <w:tr w:rsidR="00E23F6E" w:rsidRPr="001B6518" w14:paraId="1D8C395D"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48DC1B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7.3.32</w:t>
            </w:r>
          </w:p>
        </w:tc>
        <w:tc>
          <w:tcPr>
            <w:tcW w:w="3773" w:type="pct"/>
            <w:tcBorders>
              <w:top w:val="nil"/>
              <w:left w:val="nil"/>
              <w:bottom w:val="single" w:sz="8" w:space="0" w:color="auto"/>
              <w:right w:val="single" w:sz="8" w:space="0" w:color="auto"/>
            </w:tcBorders>
            <w:shd w:val="clear" w:color="000000" w:fill="FFFFFF"/>
            <w:noWrap/>
            <w:vAlign w:val="center"/>
            <w:hideMark/>
          </w:tcPr>
          <w:p w14:paraId="4D4DEFBC"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Instituto Tecnológico Superior de Valladolid</w:t>
            </w:r>
          </w:p>
        </w:tc>
        <w:tc>
          <w:tcPr>
            <w:tcW w:w="745" w:type="pct"/>
            <w:tcBorders>
              <w:top w:val="nil"/>
              <w:left w:val="nil"/>
              <w:bottom w:val="single" w:sz="8" w:space="0" w:color="auto"/>
              <w:right w:val="nil"/>
            </w:tcBorders>
            <w:shd w:val="clear" w:color="000000" w:fill="FFFFFF"/>
            <w:vAlign w:val="center"/>
            <w:hideMark/>
          </w:tcPr>
          <w:p w14:paraId="41F2E01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6,600,410 </w:t>
            </w:r>
          </w:p>
        </w:tc>
      </w:tr>
      <w:tr w:rsidR="00E23F6E" w:rsidRPr="001B6518" w14:paraId="0894FCB6"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781583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7.3.33</w:t>
            </w:r>
          </w:p>
        </w:tc>
        <w:tc>
          <w:tcPr>
            <w:tcW w:w="3773" w:type="pct"/>
            <w:tcBorders>
              <w:top w:val="nil"/>
              <w:left w:val="nil"/>
              <w:bottom w:val="single" w:sz="8" w:space="0" w:color="auto"/>
              <w:right w:val="single" w:sz="8" w:space="0" w:color="auto"/>
            </w:tcBorders>
            <w:shd w:val="clear" w:color="000000" w:fill="FFFFFF"/>
            <w:noWrap/>
            <w:vAlign w:val="center"/>
            <w:hideMark/>
          </w:tcPr>
          <w:p w14:paraId="2820F425"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Universidad Tecnológica del Centro</w:t>
            </w:r>
          </w:p>
        </w:tc>
        <w:tc>
          <w:tcPr>
            <w:tcW w:w="745" w:type="pct"/>
            <w:tcBorders>
              <w:top w:val="nil"/>
              <w:left w:val="nil"/>
              <w:bottom w:val="single" w:sz="8" w:space="0" w:color="auto"/>
              <w:right w:val="nil"/>
            </w:tcBorders>
            <w:shd w:val="clear" w:color="000000" w:fill="FFFFFF"/>
            <w:vAlign w:val="center"/>
            <w:hideMark/>
          </w:tcPr>
          <w:p w14:paraId="1342E69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3,072,500 </w:t>
            </w:r>
          </w:p>
        </w:tc>
      </w:tr>
      <w:tr w:rsidR="00E23F6E" w:rsidRPr="001B6518" w14:paraId="13396AFB"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6AF7B0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7.3.34</w:t>
            </w:r>
          </w:p>
        </w:tc>
        <w:tc>
          <w:tcPr>
            <w:tcW w:w="3773" w:type="pct"/>
            <w:tcBorders>
              <w:top w:val="nil"/>
              <w:left w:val="nil"/>
              <w:bottom w:val="single" w:sz="8" w:space="0" w:color="auto"/>
              <w:right w:val="single" w:sz="8" w:space="0" w:color="auto"/>
            </w:tcBorders>
            <w:shd w:val="clear" w:color="000000" w:fill="FFFFFF"/>
            <w:noWrap/>
            <w:vAlign w:val="center"/>
            <w:hideMark/>
          </w:tcPr>
          <w:p w14:paraId="250F9C21"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Universidad Tecnológica del Mayab</w:t>
            </w:r>
          </w:p>
        </w:tc>
        <w:tc>
          <w:tcPr>
            <w:tcW w:w="745" w:type="pct"/>
            <w:tcBorders>
              <w:top w:val="nil"/>
              <w:left w:val="nil"/>
              <w:bottom w:val="single" w:sz="8" w:space="0" w:color="auto"/>
              <w:right w:val="nil"/>
            </w:tcBorders>
            <w:shd w:val="clear" w:color="000000" w:fill="FFFFFF"/>
            <w:vAlign w:val="center"/>
            <w:hideMark/>
          </w:tcPr>
          <w:p w14:paraId="62E556A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1,080,300 </w:t>
            </w:r>
          </w:p>
        </w:tc>
      </w:tr>
      <w:tr w:rsidR="00E23F6E" w:rsidRPr="001B6518" w14:paraId="6CEDCCB7"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CC9E8C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7.3.35</w:t>
            </w:r>
          </w:p>
        </w:tc>
        <w:tc>
          <w:tcPr>
            <w:tcW w:w="3773" w:type="pct"/>
            <w:tcBorders>
              <w:top w:val="nil"/>
              <w:left w:val="nil"/>
              <w:bottom w:val="single" w:sz="8" w:space="0" w:color="auto"/>
              <w:right w:val="single" w:sz="8" w:space="0" w:color="auto"/>
            </w:tcBorders>
            <w:shd w:val="clear" w:color="000000" w:fill="FFFFFF"/>
            <w:noWrap/>
            <w:vAlign w:val="center"/>
            <w:hideMark/>
          </w:tcPr>
          <w:p w14:paraId="08F368EB"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Universidad Tecnológica del Poniente</w:t>
            </w:r>
          </w:p>
        </w:tc>
        <w:tc>
          <w:tcPr>
            <w:tcW w:w="745" w:type="pct"/>
            <w:tcBorders>
              <w:top w:val="nil"/>
              <w:left w:val="nil"/>
              <w:bottom w:val="single" w:sz="8" w:space="0" w:color="auto"/>
              <w:right w:val="nil"/>
            </w:tcBorders>
            <w:shd w:val="clear" w:color="000000" w:fill="FFFFFF"/>
            <w:vAlign w:val="center"/>
            <w:hideMark/>
          </w:tcPr>
          <w:p w14:paraId="7D0CBE4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980,000 </w:t>
            </w:r>
          </w:p>
        </w:tc>
      </w:tr>
      <w:tr w:rsidR="00E23F6E" w:rsidRPr="001B6518" w14:paraId="54A67A8C"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9D3779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7.3.36</w:t>
            </w:r>
          </w:p>
        </w:tc>
        <w:tc>
          <w:tcPr>
            <w:tcW w:w="3773" w:type="pct"/>
            <w:tcBorders>
              <w:top w:val="nil"/>
              <w:left w:val="nil"/>
              <w:bottom w:val="single" w:sz="8" w:space="0" w:color="auto"/>
              <w:right w:val="single" w:sz="8" w:space="0" w:color="auto"/>
            </w:tcBorders>
            <w:shd w:val="clear" w:color="000000" w:fill="FFFFFF"/>
            <w:noWrap/>
            <w:vAlign w:val="center"/>
            <w:hideMark/>
          </w:tcPr>
          <w:p w14:paraId="40A010CF"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Instituto Tecnológico Superior del Sur del Estado de Yucatán</w:t>
            </w:r>
          </w:p>
        </w:tc>
        <w:tc>
          <w:tcPr>
            <w:tcW w:w="745" w:type="pct"/>
            <w:tcBorders>
              <w:top w:val="nil"/>
              <w:left w:val="nil"/>
              <w:bottom w:val="single" w:sz="8" w:space="0" w:color="auto"/>
              <w:right w:val="nil"/>
            </w:tcBorders>
            <w:shd w:val="clear" w:color="000000" w:fill="FFFFFF"/>
            <w:vAlign w:val="center"/>
            <w:hideMark/>
          </w:tcPr>
          <w:p w14:paraId="57B1A22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4,286,500 </w:t>
            </w:r>
          </w:p>
        </w:tc>
      </w:tr>
      <w:tr w:rsidR="00E23F6E" w:rsidRPr="001B6518" w14:paraId="677D655A"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1B8388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7.3.37</w:t>
            </w:r>
          </w:p>
        </w:tc>
        <w:tc>
          <w:tcPr>
            <w:tcW w:w="3773" w:type="pct"/>
            <w:tcBorders>
              <w:top w:val="nil"/>
              <w:left w:val="nil"/>
              <w:bottom w:val="single" w:sz="8" w:space="0" w:color="auto"/>
              <w:right w:val="single" w:sz="8" w:space="0" w:color="auto"/>
            </w:tcBorders>
            <w:shd w:val="clear" w:color="000000" w:fill="FFFFFF"/>
            <w:noWrap/>
            <w:vAlign w:val="center"/>
            <w:hideMark/>
          </w:tcPr>
          <w:p w14:paraId="635D93EB"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Instituto Tecnológico Superior de Motul</w:t>
            </w:r>
          </w:p>
        </w:tc>
        <w:tc>
          <w:tcPr>
            <w:tcW w:w="745" w:type="pct"/>
            <w:tcBorders>
              <w:top w:val="nil"/>
              <w:left w:val="nil"/>
              <w:bottom w:val="single" w:sz="8" w:space="0" w:color="auto"/>
              <w:right w:val="nil"/>
            </w:tcBorders>
            <w:shd w:val="clear" w:color="000000" w:fill="FFFFFF"/>
            <w:vAlign w:val="center"/>
            <w:hideMark/>
          </w:tcPr>
          <w:p w14:paraId="1800886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4,316,062 </w:t>
            </w:r>
          </w:p>
        </w:tc>
      </w:tr>
      <w:tr w:rsidR="00E23F6E" w:rsidRPr="001B6518" w14:paraId="6F0F5AC9"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0A625A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7.3.38</w:t>
            </w:r>
          </w:p>
        </w:tc>
        <w:tc>
          <w:tcPr>
            <w:tcW w:w="3773" w:type="pct"/>
            <w:tcBorders>
              <w:top w:val="nil"/>
              <w:left w:val="nil"/>
              <w:bottom w:val="single" w:sz="8" w:space="0" w:color="auto"/>
              <w:right w:val="single" w:sz="8" w:space="0" w:color="auto"/>
            </w:tcBorders>
            <w:shd w:val="clear" w:color="000000" w:fill="FFFFFF"/>
            <w:noWrap/>
            <w:vAlign w:val="center"/>
            <w:hideMark/>
          </w:tcPr>
          <w:p w14:paraId="10FF7075"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Instituto Tecnológico Superior Progreso</w:t>
            </w:r>
          </w:p>
        </w:tc>
        <w:tc>
          <w:tcPr>
            <w:tcW w:w="745" w:type="pct"/>
            <w:tcBorders>
              <w:top w:val="nil"/>
              <w:left w:val="nil"/>
              <w:bottom w:val="single" w:sz="8" w:space="0" w:color="auto"/>
              <w:right w:val="nil"/>
            </w:tcBorders>
            <w:shd w:val="clear" w:color="000000" w:fill="FFFFFF"/>
            <w:vAlign w:val="center"/>
            <w:hideMark/>
          </w:tcPr>
          <w:p w14:paraId="3289E47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4,898,068 </w:t>
            </w:r>
          </w:p>
        </w:tc>
      </w:tr>
      <w:tr w:rsidR="00E23F6E" w:rsidRPr="001B6518" w14:paraId="364607A0"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B1AC6E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7.3.39</w:t>
            </w:r>
          </w:p>
        </w:tc>
        <w:tc>
          <w:tcPr>
            <w:tcW w:w="3773" w:type="pct"/>
            <w:tcBorders>
              <w:top w:val="nil"/>
              <w:left w:val="nil"/>
              <w:bottom w:val="single" w:sz="8" w:space="0" w:color="auto"/>
              <w:right w:val="single" w:sz="8" w:space="0" w:color="auto"/>
            </w:tcBorders>
            <w:shd w:val="clear" w:color="000000" w:fill="FFFFFF"/>
            <w:noWrap/>
            <w:vAlign w:val="center"/>
            <w:hideMark/>
          </w:tcPr>
          <w:p w14:paraId="0D4C9B4E"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Universidad de Oriente</w:t>
            </w:r>
          </w:p>
        </w:tc>
        <w:tc>
          <w:tcPr>
            <w:tcW w:w="745" w:type="pct"/>
            <w:tcBorders>
              <w:top w:val="nil"/>
              <w:left w:val="nil"/>
              <w:bottom w:val="single" w:sz="8" w:space="0" w:color="auto"/>
              <w:right w:val="nil"/>
            </w:tcBorders>
            <w:shd w:val="clear" w:color="000000" w:fill="FFFFFF"/>
            <w:vAlign w:val="center"/>
            <w:hideMark/>
          </w:tcPr>
          <w:p w14:paraId="4EEEB29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6,900,911 </w:t>
            </w:r>
          </w:p>
        </w:tc>
      </w:tr>
      <w:tr w:rsidR="00E23F6E" w:rsidRPr="001B6518" w14:paraId="3BD576D9"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79F448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7.3.40</w:t>
            </w:r>
          </w:p>
        </w:tc>
        <w:tc>
          <w:tcPr>
            <w:tcW w:w="3773" w:type="pct"/>
            <w:tcBorders>
              <w:top w:val="nil"/>
              <w:left w:val="nil"/>
              <w:bottom w:val="single" w:sz="8" w:space="0" w:color="auto"/>
              <w:right w:val="single" w:sz="8" w:space="0" w:color="auto"/>
            </w:tcBorders>
            <w:shd w:val="clear" w:color="000000" w:fill="FFFFFF"/>
            <w:noWrap/>
            <w:vAlign w:val="center"/>
            <w:hideMark/>
          </w:tcPr>
          <w:p w14:paraId="7414490D"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Universidad Tecnológica Regional del Sur</w:t>
            </w:r>
          </w:p>
        </w:tc>
        <w:tc>
          <w:tcPr>
            <w:tcW w:w="745" w:type="pct"/>
            <w:tcBorders>
              <w:top w:val="nil"/>
              <w:left w:val="nil"/>
              <w:bottom w:val="single" w:sz="8" w:space="0" w:color="auto"/>
              <w:right w:val="nil"/>
            </w:tcBorders>
            <w:shd w:val="clear" w:color="000000" w:fill="FFFFFF"/>
            <w:vAlign w:val="center"/>
            <w:hideMark/>
          </w:tcPr>
          <w:p w14:paraId="4943746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1,200,000 </w:t>
            </w:r>
          </w:p>
        </w:tc>
      </w:tr>
      <w:tr w:rsidR="00E23F6E" w:rsidRPr="001B6518" w14:paraId="2233BED0"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73D3E1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7.3.41</w:t>
            </w:r>
          </w:p>
        </w:tc>
        <w:tc>
          <w:tcPr>
            <w:tcW w:w="3773" w:type="pct"/>
            <w:tcBorders>
              <w:top w:val="nil"/>
              <w:left w:val="nil"/>
              <w:bottom w:val="single" w:sz="8" w:space="0" w:color="auto"/>
              <w:right w:val="single" w:sz="8" w:space="0" w:color="auto"/>
            </w:tcBorders>
            <w:shd w:val="clear" w:color="000000" w:fill="FFFFFF"/>
            <w:noWrap/>
            <w:vAlign w:val="center"/>
            <w:hideMark/>
          </w:tcPr>
          <w:p w14:paraId="538401B3"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Universidad Politécnica de Yucatán</w:t>
            </w:r>
          </w:p>
        </w:tc>
        <w:tc>
          <w:tcPr>
            <w:tcW w:w="745" w:type="pct"/>
            <w:tcBorders>
              <w:top w:val="nil"/>
              <w:left w:val="nil"/>
              <w:bottom w:val="single" w:sz="8" w:space="0" w:color="auto"/>
              <w:right w:val="nil"/>
            </w:tcBorders>
            <w:shd w:val="clear" w:color="000000" w:fill="FFFFFF"/>
            <w:vAlign w:val="center"/>
            <w:hideMark/>
          </w:tcPr>
          <w:p w14:paraId="0A4207D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6,462,676 </w:t>
            </w:r>
          </w:p>
        </w:tc>
      </w:tr>
      <w:tr w:rsidR="00E23F6E" w:rsidRPr="001B6518" w14:paraId="4BD9110E"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62C072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7.3.42</w:t>
            </w:r>
          </w:p>
        </w:tc>
        <w:tc>
          <w:tcPr>
            <w:tcW w:w="3773" w:type="pct"/>
            <w:tcBorders>
              <w:top w:val="nil"/>
              <w:left w:val="nil"/>
              <w:bottom w:val="single" w:sz="8" w:space="0" w:color="auto"/>
              <w:right w:val="single" w:sz="8" w:space="0" w:color="auto"/>
            </w:tcBorders>
            <w:shd w:val="clear" w:color="000000" w:fill="FFFFFF"/>
            <w:noWrap/>
            <w:vAlign w:val="center"/>
            <w:hideMark/>
          </w:tcPr>
          <w:p w14:paraId="521A6776"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Agencia para el Desarrollo de Yucatán</w:t>
            </w:r>
          </w:p>
        </w:tc>
        <w:tc>
          <w:tcPr>
            <w:tcW w:w="745" w:type="pct"/>
            <w:tcBorders>
              <w:top w:val="nil"/>
              <w:left w:val="nil"/>
              <w:bottom w:val="single" w:sz="8" w:space="0" w:color="auto"/>
              <w:right w:val="nil"/>
            </w:tcBorders>
            <w:shd w:val="clear" w:color="000000" w:fill="FFFFFF"/>
            <w:vAlign w:val="center"/>
            <w:hideMark/>
          </w:tcPr>
          <w:p w14:paraId="59FFF7F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5F14653D"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1701AC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7.3.43</w:t>
            </w:r>
          </w:p>
        </w:tc>
        <w:tc>
          <w:tcPr>
            <w:tcW w:w="3773" w:type="pct"/>
            <w:tcBorders>
              <w:top w:val="nil"/>
              <w:left w:val="nil"/>
              <w:bottom w:val="single" w:sz="8" w:space="0" w:color="auto"/>
              <w:right w:val="single" w:sz="8" w:space="0" w:color="auto"/>
            </w:tcBorders>
            <w:shd w:val="clear" w:color="000000" w:fill="FFFFFF"/>
            <w:noWrap/>
            <w:vAlign w:val="center"/>
            <w:hideMark/>
          </w:tcPr>
          <w:p w14:paraId="24BF41B2"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Instituto de Capacitación para el Trabajo del Estado de Yucatán</w:t>
            </w:r>
          </w:p>
        </w:tc>
        <w:tc>
          <w:tcPr>
            <w:tcW w:w="745" w:type="pct"/>
            <w:tcBorders>
              <w:top w:val="nil"/>
              <w:left w:val="nil"/>
              <w:bottom w:val="single" w:sz="8" w:space="0" w:color="auto"/>
              <w:right w:val="nil"/>
            </w:tcBorders>
            <w:shd w:val="clear" w:color="000000" w:fill="FFFFFF"/>
            <w:vAlign w:val="center"/>
            <w:hideMark/>
          </w:tcPr>
          <w:p w14:paraId="58480C8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1,384,525 </w:t>
            </w:r>
          </w:p>
        </w:tc>
      </w:tr>
      <w:tr w:rsidR="00E23F6E" w:rsidRPr="001B6518" w14:paraId="22435328"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C7CADB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7.3.44</w:t>
            </w:r>
          </w:p>
        </w:tc>
        <w:tc>
          <w:tcPr>
            <w:tcW w:w="3773" w:type="pct"/>
            <w:tcBorders>
              <w:top w:val="nil"/>
              <w:left w:val="nil"/>
              <w:bottom w:val="single" w:sz="8" w:space="0" w:color="auto"/>
              <w:right w:val="single" w:sz="8" w:space="0" w:color="auto"/>
            </w:tcBorders>
            <w:shd w:val="clear" w:color="000000" w:fill="FFFFFF"/>
            <w:noWrap/>
            <w:vAlign w:val="center"/>
            <w:hideMark/>
          </w:tcPr>
          <w:p w14:paraId="462186DF"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Fideicomiso Público para la Administración del Palacio de la Música</w:t>
            </w:r>
          </w:p>
        </w:tc>
        <w:tc>
          <w:tcPr>
            <w:tcW w:w="745" w:type="pct"/>
            <w:tcBorders>
              <w:top w:val="nil"/>
              <w:left w:val="nil"/>
              <w:bottom w:val="single" w:sz="8" w:space="0" w:color="auto"/>
              <w:right w:val="nil"/>
            </w:tcBorders>
            <w:shd w:val="clear" w:color="000000" w:fill="FFFFFF"/>
            <w:vAlign w:val="center"/>
            <w:hideMark/>
          </w:tcPr>
          <w:p w14:paraId="0F3FEBB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4,000,000 </w:t>
            </w:r>
          </w:p>
        </w:tc>
      </w:tr>
      <w:tr w:rsidR="00E23F6E" w:rsidRPr="001B6518" w14:paraId="7E210CB6"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BD9E06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7.3.45</w:t>
            </w:r>
          </w:p>
        </w:tc>
        <w:tc>
          <w:tcPr>
            <w:tcW w:w="3773" w:type="pct"/>
            <w:tcBorders>
              <w:top w:val="nil"/>
              <w:left w:val="nil"/>
              <w:bottom w:val="single" w:sz="8" w:space="0" w:color="auto"/>
              <w:right w:val="single" w:sz="8" w:space="0" w:color="auto"/>
            </w:tcBorders>
            <w:shd w:val="clear" w:color="000000" w:fill="FFFFFF"/>
            <w:noWrap/>
            <w:vAlign w:val="center"/>
            <w:hideMark/>
          </w:tcPr>
          <w:p w14:paraId="40838698"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Instituto para la Inclusión de las Personas con Discapacidad del Estado de Yucatán</w:t>
            </w:r>
          </w:p>
        </w:tc>
        <w:tc>
          <w:tcPr>
            <w:tcW w:w="745" w:type="pct"/>
            <w:tcBorders>
              <w:top w:val="nil"/>
              <w:left w:val="nil"/>
              <w:bottom w:val="single" w:sz="8" w:space="0" w:color="auto"/>
              <w:right w:val="nil"/>
            </w:tcBorders>
            <w:shd w:val="clear" w:color="000000" w:fill="FFFFFF"/>
            <w:vAlign w:val="center"/>
            <w:hideMark/>
          </w:tcPr>
          <w:p w14:paraId="10CF5C9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43634BBD"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4F190D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7.3.46</w:t>
            </w:r>
          </w:p>
        </w:tc>
        <w:tc>
          <w:tcPr>
            <w:tcW w:w="3773" w:type="pct"/>
            <w:tcBorders>
              <w:top w:val="nil"/>
              <w:left w:val="nil"/>
              <w:bottom w:val="single" w:sz="8" w:space="0" w:color="auto"/>
              <w:right w:val="single" w:sz="8" w:space="0" w:color="auto"/>
            </w:tcBorders>
            <w:shd w:val="clear" w:color="000000" w:fill="FFFFFF"/>
            <w:noWrap/>
            <w:vAlign w:val="center"/>
            <w:hideMark/>
          </w:tcPr>
          <w:p w14:paraId="524F33BE"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Parque Científico y Tecnológico de Yucatán</w:t>
            </w:r>
          </w:p>
        </w:tc>
        <w:tc>
          <w:tcPr>
            <w:tcW w:w="745" w:type="pct"/>
            <w:tcBorders>
              <w:top w:val="nil"/>
              <w:left w:val="nil"/>
              <w:bottom w:val="single" w:sz="8" w:space="0" w:color="auto"/>
              <w:right w:val="nil"/>
            </w:tcBorders>
            <w:shd w:val="clear" w:color="000000" w:fill="FFFFFF"/>
            <w:vAlign w:val="center"/>
            <w:hideMark/>
          </w:tcPr>
          <w:p w14:paraId="4380E87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1,874,851 </w:t>
            </w:r>
          </w:p>
        </w:tc>
      </w:tr>
      <w:tr w:rsidR="00E23F6E" w:rsidRPr="001B6518" w14:paraId="52BEE95B"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35D6D1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7.3.47</w:t>
            </w:r>
          </w:p>
        </w:tc>
        <w:tc>
          <w:tcPr>
            <w:tcW w:w="3773" w:type="pct"/>
            <w:tcBorders>
              <w:top w:val="nil"/>
              <w:left w:val="nil"/>
              <w:bottom w:val="single" w:sz="8" w:space="0" w:color="auto"/>
              <w:right w:val="single" w:sz="8" w:space="0" w:color="auto"/>
            </w:tcBorders>
            <w:shd w:val="clear" w:color="000000" w:fill="FFFFFF"/>
            <w:noWrap/>
            <w:vAlign w:val="center"/>
            <w:hideMark/>
          </w:tcPr>
          <w:p w14:paraId="422E3C75"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Agencia de Energía de Yucatán</w:t>
            </w:r>
          </w:p>
        </w:tc>
        <w:tc>
          <w:tcPr>
            <w:tcW w:w="745" w:type="pct"/>
            <w:tcBorders>
              <w:top w:val="nil"/>
              <w:left w:val="nil"/>
              <w:bottom w:val="single" w:sz="8" w:space="0" w:color="auto"/>
              <w:right w:val="nil"/>
            </w:tcBorders>
            <w:shd w:val="clear" w:color="000000" w:fill="FFFFFF"/>
            <w:vAlign w:val="center"/>
            <w:hideMark/>
          </w:tcPr>
          <w:p w14:paraId="02D2241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2B80B63A"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10B3CF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7.3.48</w:t>
            </w:r>
          </w:p>
        </w:tc>
        <w:tc>
          <w:tcPr>
            <w:tcW w:w="3773" w:type="pct"/>
            <w:tcBorders>
              <w:top w:val="nil"/>
              <w:left w:val="nil"/>
              <w:bottom w:val="single" w:sz="8" w:space="0" w:color="auto"/>
              <w:right w:val="single" w:sz="8" w:space="0" w:color="auto"/>
            </w:tcBorders>
            <w:shd w:val="clear" w:color="000000" w:fill="FFFFFF"/>
            <w:noWrap/>
            <w:vAlign w:val="center"/>
            <w:hideMark/>
          </w:tcPr>
          <w:p w14:paraId="272E0E8B"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Universidad Tecnológica del Mar</w:t>
            </w:r>
          </w:p>
        </w:tc>
        <w:tc>
          <w:tcPr>
            <w:tcW w:w="745" w:type="pct"/>
            <w:tcBorders>
              <w:top w:val="nil"/>
              <w:left w:val="nil"/>
              <w:bottom w:val="single" w:sz="8" w:space="0" w:color="auto"/>
              <w:right w:val="nil"/>
            </w:tcBorders>
            <w:shd w:val="clear" w:color="000000" w:fill="FFFFFF"/>
            <w:vAlign w:val="center"/>
            <w:hideMark/>
          </w:tcPr>
          <w:p w14:paraId="2CF0C34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14BE5B13"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03DBA415"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7.4</w:t>
            </w:r>
          </w:p>
        </w:tc>
        <w:tc>
          <w:tcPr>
            <w:tcW w:w="3773" w:type="pct"/>
            <w:tcBorders>
              <w:top w:val="nil"/>
              <w:left w:val="nil"/>
              <w:bottom w:val="single" w:sz="8" w:space="0" w:color="auto"/>
              <w:right w:val="single" w:sz="8" w:space="0" w:color="auto"/>
            </w:tcBorders>
            <w:noWrap/>
            <w:vAlign w:val="center"/>
            <w:hideMark/>
          </w:tcPr>
          <w:p w14:paraId="1C325CA9"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Ingresos por Venta de Bienes y Prestación de Servicios de Entidades Paraestatales Empresariales No Financieras con Participación Estatal Mayoritaria</w:t>
            </w:r>
          </w:p>
        </w:tc>
        <w:tc>
          <w:tcPr>
            <w:tcW w:w="745" w:type="pct"/>
            <w:tcBorders>
              <w:top w:val="nil"/>
              <w:left w:val="nil"/>
              <w:bottom w:val="single" w:sz="8" w:space="0" w:color="auto"/>
              <w:right w:val="nil"/>
            </w:tcBorders>
            <w:vAlign w:val="center"/>
            <w:hideMark/>
          </w:tcPr>
          <w:p w14:paraId="531982DE"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23,762,006 </w:t>
            </w:r>
          </w:p>
        </w:tc>
      </w:tr>
      <w:tr w:rsidR="00E23F6E" w:rsidRPr="001B6518" w14:paraId="4E7BB5E1"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5B8B09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7.4.1</w:t>
            </w:r>
          </w:p>
        </w:tc>
        <w:tc>
          <w:tcPr>
            <w:tcW w:w="3773" w:type="pct"/>
            <w:tcBorders>
              <w:top w:val="nil"/>
              <w:left w:val="nil"/>
              <w:bottom w:val="single" w:sz="8" w:space="0" w:color="auto"/>
              <w:right w:val="single" w:sz="8" w:space="0" w:color="auto"/>
            </w:tcBorders>
            <w:shd w:val="clear" w:color="000000" w:fill="FFFFFF"/>
            <w:noWrap/>
            <w:vAlign w:val="center"/>
            <w:hideMark/>
          </w:tcPr>
          <w:p w14:paraId="795B254F"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Sistema Tele Yucatán S.A. de C.V.</w:t>
            </w:r>
          </w:p>
        </w:tc>
        <w:tc>
          <w:tcPr>
            <w:tcW w:w="745" w:type="pct"/>
            <w:tcBorders>
              <w:top w:val="nil"/>
              <w:left w:val="nil"/>
              <w:bottom w:val="single" w:sz="8" w:space="0" w:color="auto"/>
              <w:right w:val="nil"/>
            </w:tcBorders>
            <w:shd w:val="clear" w:color="000000" w:fill="FFFFFF"/>
            <w:vAlign w:val="center"/>
            <w:hideMark/>
          </w:tcPr>
          <w:p w14:paraId="38B3381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21,721,380 </w:t>
            </w:r>
          </w:p>
        </w:tc>
      </w:tr>
      <w:tr w:rsidR="00E23F6E" w:rsidRPr="001B6518" w14:paraId="5DDEE478"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AFD455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7.4.2</w:t>
            </w:r>
          </w:p>
        </w:tc>
        <w:tc>
          <w:tcPr>
            <w:tcW w:w="3773" w:type="pct"/>
            <w:tcBorders>
              <w:top w:val="nil"/>
              <w:left w:val="nil"/>
              <w:bottom w:val="single" w:sz="8" w:space="0" w:color="auto"/>
              <w:right w:val="single" w:sz="8" w:space="0" w:color="auto"/>
            </w:tcBorders>
            <w:shd w:val="clear" w:color="000000" w:fill="FFFFFF"/>
            <w:noWrap/>
            <w:vAlign w:val="center"/>
            <w:hideMark/>
          </w:tcPr>
          <w:p w14:paraId="61590054"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Aeropuerto de Chichén Itzá del Estado de Yucatán S.A. de C.V.</w:t>
            </w:r>
          </w:p>
        </w:tc>
        <w:tc>
          <w:tcPr>
            <w:tcW w:w="745" w:type="pct"/>
            <w:tcBorders>
              <w:top w:val="nil"/>
              <w:left w:val="nil"/>
              <w:bottom w:val="single" w:sz="8" w:space="0" w:color="auto"/>
              <w:right w:val="nil"/>
            </w:tcBorders>
            <w:shd w:val="clear" w:color="000000" w:fill="FFFFFF"/>
            <w:vAlign w:val="center"/>
            <w:hideMark/>
          </w:tcPr>
          <w:p w14:paraId="2E6E708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2,040,625 </w:t>
            </w:r>
          </w:p>
        </w:tc>
      </w:tr>
      <w:tr w:rsidR="00E23F6E" w:rsidRPr="001B6518" w14:paraId="7DC35323"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AEFC71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lastRenderedPageBreak/>
              <w:t>7.4.3</w:t>
            </w:r>
          </w:p>
        </w:tc>
        <w:tc>
          <w:tcPr>
            <w:tcW w:w="3773" w:type="pct"/>
            <w:tcBorders>
              <w:top w:val="nil"/>
              <w:left w:val="nil"/>
              <w:bottom w:val="single" w:sz="8" w:space="0" w:color="auto"/>
              <w:right w:val="single" w:sz="8" w:space="0" w:color="auto"/>
            </w:tcBorders>
            <w:shd w:val="clear" w:color="000000" w:fill="FFFFFF"/>
            <w:noWrap/>
            <w:vAlign w:val="center"/>
            <w:hideMark/>
          </w:tcPr>
          <w:p w14:paraId="6BB625C8"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Empresa Portuaria Yucateca S.A de C.V.</w:t>
            </w:r>
          </w:p>
        </w:tc>
        <w:tc>
          <w:tcPr>
            <w:tcW w:w="745" w:type="pct"/>
            <w:tcBorders>
              <w:top w:val="nil"/>
              <w:left w:val="nil"/>
              <w:bottom w:val="single" w:sz="8" w:space="0" w:color="auto"/>
              <w:right w:val="nil"/>
            </w:tcBorders>
            <w:shd w:val="clear" w:color="000000" w:fill="FFFFFF"/>
            <w:vAlign w:val="center"/>
            <w:hideMark/>
          </w:tcPr>
          <w:p w14:paraId="45D454B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1642A96F"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959515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7.4.4</w:t>
            </w:r>
          </w:p>
        </w:tc>
        <w:tc>
          <w:tcPr>
            <w:tcW w:w="3773" w:type="pct"/>
            <w:tcBorders>
              <w:top w:val="nil"/>
              <w:left w:val="nil"/>
              <w:bottom w:val="single" w:sz="8" w:space="0" w:color="auto"/>
              <w:right w:val="single" w:sz="8" w:space="0" w:color="auto"/>
            </w:tcBorders>
            <w:shd w:val="clear" w:color="000000" w:fill="FFFFFF"/>
            <w:noWrap/>
            <w:vAlign w:val="center"/>
            <w:hideMark/>
          </w:tcPr>
          <w:p w14:paraId="02913D9D"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Operadora Energética y Marítima de Yucatán S.A. de C.V.</w:t>
            </w:r>
          </w:p>
        </w:tc>
        <w:tc>
          <w:tcPr>
            <w:tcW w:w="745" w:type="pct"/>
            <w:tcBorders>
              <w:top w:val="nil"/>
              <w:left w:val="nil"/>
              <w:bottom w:val="single" w:sz="8" w:space="0" w:color="auto"/>
              <w:right w:val="nil"/>
            </w:tcBorders>
            <w:shd w:val="clear" w:color="000000" w:fill="FFFFFF"/>
            <w:vAlign w:val="center"/>
            <w:hideMark/>
          </w:tcPr>
          <w:p w14:paraId="18F5517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 </w:t>
            </w:r>
          </w:p>
        </w:tc>
      </w:tr>
      <w:tr w:rsidR="00E23F6E" w:rsidRPr="001B6518" w14:paraId="5FE67B14"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166ACD16"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7.5</w:t>
            </w:r>
          </w:p>
        </w:tc>
        <w:tc>
          <w:tcPr>
            <w:tcW w:w="3773" w:type="pct"/>
            <w:tcBorders>
              <w:top w:val="nil"/>
              <w:left w:val="nil"/>
              <w:bottom w:val="single" w:sz="8" w:space="0" w:color="auto"/>
              <w:right w:val="single" w:sz="8" w:space="0" w:color="auto"/>
            </w:tcBorders>
            <w:noWrap/>
            <w:vAlign w:val="center"/>
            <w:hideMark/>
          </w:tcPr>
          <w:p w14:paraId="1A4A7C97"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Ingresos por Venta de Bienes y Prestación de Servicios de Entidades Paraestatales Empresariales Financieras Monetarias con Participación Estatal Mayoritaria</w:t>
            </w:r>
          </w:p>
        </w:tc>
        <w:tc>
          <w:tcPr>
            <w:tcW w:w="745" w:type="pct"/>
            <w:tcBorders>
              <w:top w:val="nil"/>
              <w:left w:val="nil"/>
              <w:bottom w:val="single" w:sz="8" w:space="0" w:color="auto"/>
              <w:right w:val="nil"/>
            </w:tcBorders>
            <w:vAlign w:val="center"/>
            <w:hideMark/>
          </w:tcPr>
          <w:p w14:paraId="369A7E27"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0 </w:t>
            </w:r>
          </w:p>
        </w:tc>
      </w:tr>
      <w:tr w:rsidR="00E23F6E" w:rsidRPr="001B6518" w14:paraId="66C79475"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80C911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7.5.1</w:t>
            </w:r>
          </w:p>
        </w:tc>
        <w:tc>
          <w:tcPr>
            <w:tcW w:w="3773" w:type="pct"/>
            <w:tcBorders>
              <w:top w:val="nil"/>
              <w:left w:val="nil"/>
              <w:bottom w:val="single" w:sz="8" w:space="0" w:color="auto"/>
              <w:right w:val="single" w:sz="8" w:space="0" w:color="auto"/>
            </w:tcBorders>
            <w:shd w:val="clear" w:color="000000" w:fill="FFFFFF"/>
            <w:noWrap/>
            <w:vAlign w:val="center"/>
            <w:hideMark/>
          </w:tcPr>
          <w:p w14:paraId="052735F7"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Ingresos por Venta de Bienes de Entidades Paraestatales Empresariales Financieras Monetarias con Participación Estatal Mayoritaria</w:t>
            </w:r>
          </w:p>
        </w:tc>
        <w:tc>
          <w:tcPr>
            <w:tcW w:w="745" w:type="pct"/>
            <w:tcBorders>
              <w:top w:val="nil"/>
              <w:left w:val="nil"/>
              <w:bottom w:val="single" w:sz="8" w:space="0" w:color="auto"/>
              <w:right w:val="nil"/>
            </w:tcBorders>
            <w:shd w:val="clear" w:color="000000" w:fill="FFFFFF"/>
            <w:vAlign w:val="center"/>
            <w:hideMark/>
          </w:tcPr>
          <w:p w14:paraId="4C4DFBF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10D0BB79"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1973E0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7.5.2</w:t>
            </w:r>
          </w:p>
        </w:tc>
        <w:tc>
          <w:tcPr>
            <w:tcW w:w="3773" w:type="pct"/>
            <w:tcBorders>
              <w:top w:val="nil"/>
              <w:left w:val="nil"/>
              <w:bottom w:val="single" w:sz="8" w:space="0" w:color="auto"/>
              <w:right w:val="single" w:sz="8" w:space="0" w:color="auto"/>
            </w:tcBorders>
            <w:shd w:val="clear" w:color="000000" w:fill="FFFFFF"/>
            <w:noWrap/>
            <w:vAlign w:val="center"/>
            <w:hideMark/>
          </w:tcPr>
          <w:p w14:paraId="723326C5"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Ingresos por Prestación de Servicios de Servicios de Entidades Paraestatales Empresariales Financieras Monetarias con Participación Estatal Mayoritaria</w:t>
            </w:r>
          </w:p>
        </w:tc>
        <w:tc>
          <w:tcPr>
            <w:tcW w:w="745" w:type="pct"/>
            <w:tcBorders>
              <w:top w:val="nil"/>
              <w:left w:val="nil"/>
              <w:bottom w:val="single" w:sz="8" w:space="0" w:color="auto"/>
              <w:right w:val="nil"/>
            </w:tcBorders>
            <w:shd w:val="clear" w:color="000000" w:fill="FFFFFF"/>
            <w:vAlign w:val="center"/>
            <w:hideMark/>
          </w:tcPr>
          <w:p w14:paraId="2F63556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6225C5B1"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32B4BD04"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7.6</w:t>
            </w:r>
          </w:p>
        </w:tc>
        <w:tc>
          <w:tcPr>
            <w:tcW w:w="3773" w:type="pct"/>
            <w:tcBorders>
              <w:top w:val="nil"/>
              <w:left w:val="nil"/>
              <w:bottom w:val="single" w:sz="8" w:space="0" w:color="auto"/>
              <w:right w:val="single" w:sz="8" w:space="0" w:color="auto"/>
            </w:tcBorders>
            <w:noWrap/>
            <w:vAlign w:val="center"/>
            <w:hideMark/>
          </w:tcPr>
          <w:p w14:paraId="5AC414CC"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Ingresos por Venta de Bienes y Prestación de Servicios de Entidades Paraestatales Empresariales Financieras No Monetarias con Participación Estatal Mayoritaria</w:t>
            </w:r>
          </w:p>
        </w:tc>
        <w:tc>
          <w:tcPr>
            <w:tcW w:w="745" w:type="pct"/>
            <w:tcBorders>
              <w:top w:val="nil"/>
              <w:left w:val="nil"/>
              <w:bottom w:val="single" w:sz="8" w:space="0" w:color="auto"/>
              <w:right w:val="nil"/>
            </w:tcBorders>
            <w:vAlign w:val="center"/>
            <w:hideMark/>
          </w:tcPr>
          <w:p w14:paraId="2F5EC7DA"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0 </w:t>
            </w:r>
          </w:p>
        </w:tc>
      </w:tr>
      <w:tr w:rsidR="00E23F6E" w:rsidRPr="001B6518" w14:paraId="42D2AC20"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E1E0CC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7.6.1</w:t>
            </w:r>
          </w:p>
        </w:tc>
        <w:tc>
          <w:tcPr>
            <w:tcW w:w="3773" w:type="pct"/>
            <w:tcBorders>
              <w:top w:val="nil"/>
              <w:left w:val="nil"/>
              <w:bottom w:val="single" w:sz="8" w:space="0" w:color="auto"/>
              <w:right w:val="single" w:sz="8" w:space="0" w:color="auto"/>
            </w:tcBorders>
            <w:shd w:val="clear" w:color="000000" w:fill="FFFFFF"/>
            <w:noWrap/>
            <w:vAlign w:val="center"/>
            <w:hideMark/>
          </w:tcPr>
          <w:p w14:paraId="41DD7407"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Ingresos por Venta de Bienes de Entidades Paraestatales Empresariales Financieras No Monetarias con Participación Estatal Mayoritaria</w:t>
            </w:r>
          </w:p>
        </w:tc>
        <w:tc>
          <w:tcPr>
            <w:tcW w:w="745" w:type="pct"/>
            <w:tcBorders>
              <w:top w:val="nil"/>
              <w:left w:val="nil"/>
              <w:bottom w:val="single" w:sz="8" w:space="0" w:color="auto"/>
              <w:right w:val="nil"/>
            </w:tcBorders>
            <w:shd w:val="clear" w:color="000000" w:fill="FFFFFF"/>
            <w:vAlign w:val="center"/>
            <w:hideMark/>
          </w:tcPr>
          <w:p w14:paraId="67B917C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576751FC"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722184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7.6.2</w:t>
            </w:r>
          </w:p>
        </w:tc>
        <w:tc>
          <w:tcPr>
            <w:tcW w:w="3773" w:type="pct"/>
            <w:tcBorders>
              <w:top w:val="nil"/>
              <w:left w:val="nil"/>
              <w:bottom w:val="single" w:sz="8" w:space="0" w:color="auto"/>
              <w:right w:val="single" w:sz="8" w:space="0" w:color="auto"/>
            </w:tcBorders>
            <w:shd w:val="clear" w:color="000000" w:fill="FFFFFF"/>
            <w:noWrap/>
            <w:vAlign w:val="center"/>
            <w:hideMark/>
          </w:tcPr>
          <w:p w14:paraId="620913CF"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Ingresos por Prestación de Servicios de Entidades Paraestatales Empresariales Financieras No Monetarias con Participación Estatal Mayoritaria</w:t>
            </w:r>
          </w:p>
        </w:tc>
        <w:tc>
          <w:tcPr>
            <w:tcW w:w="745" w:type="pct"/>
            <w:tcBorders>
              <w:top w:val="nil"/>
              <w:left w:val="nil"/>
              <w:bottom w:val="single" w:sz="8" w:space="0" w:color="auto"/>
              <w:right w:val="nil"/>
            </w:tcBorders>
            <w:shd w:val="clear" w:color="000000" w:fill="FFFFFF"/>
            <w:vAlign w:val="center"/>
            <w:hideMark/>
          </w:tcPr>
          <w:p w14:paraId="1149CDC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52088FA0"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31C10777"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7.7</w:t>
            </w:r>
          </w:p>
        </w:tc>
        <w:tc>
          <w:tcPr>
            <w:tcW w:w="3773" w:type="pct"/>
            <w:tcBorders>
              <w:top w:val="nil"/>
              <w:left w:val="nil"/>
              <w:bottom w:val="single" w:sz="8" w:space="0" w:color="auto"/>
              <w:right w:val="single" w:sz="8" w:space="0" w:color="auto"/>
            </w:tcBorders>
            <w:noWrap/>
            <w:vAlign w:val="center"/>
            <w:hideMark/>
          </w:tcPr>
          <w:p w14:paraId="55482EAE"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Ingresos por Venta de Bienes y Prestación de Servicios de Fideicomisos Financieros Públicos con Participación Estatal Mayoritaria</w:t>
            </w:r>
          </w:p>
        </w:tc>
        <w:tc>
          <w:tcPr>
            <w:tcW w:w="745" w:type="pct"/>
            <w:tcBorders>
              <w:top w:val="nil"/>
              <w:left w:val="nil"/>
              <w:bottom w:val="single" w:sz="8" w:space="0" w:color="auto"/>
              <w:right w:val="nil"/>
            </w:tcBorders>
            <w:vAlign w:val="center"/>
            <w:hideMark/>
          </w:tcPr>
          <w:p w14:paraId="4D33A9DE"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0 </w:t>
            </w:r>
          </w:p>
        </w:tc>
      </w:tr>
      <w:tr w:rsidR="00E23F6E" w:rsidRPr="001B6518" w14:paraId="1E173C87"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D7ACF2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7.7.1</w:t>
            </w:r>
          </w:p>
        </w:tc>
        <w:tc>
          <w:tcPr>
            <w:tcW w:w="3773" w:type="pct"/>
            <w:tcBorders>
              <w:top w:val="nil"/>
              <w:left w:val="nil"/>
              <w:bottom w:val="single" w:sz="8" w:space="0" w:color="auto"/>
              <w:right w:val="single" w:sz="8" w:space="0" w:color="auto"/>
            </w:tcBorders>
            <w:shd w:val="clear" w:color="000000" w:fill="FFFFFF"/>
            <w:noWrap/>
            <w:vAlign w:val="center"/>
            <w:hideMark/>
          </w:tcPr>
          <w:p w14:paraId="5B69154E"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Ingresos por Prestación de Servicios de Fideicomisos Financieros Públicos con Participación Estatal Mayoritaria</w:t>
            </w:r>
          </w:p>
        </w:tc>
        <w:tc>
          <w:tcPr>
            <w:tcW w:w="745" w:type="pct"/>
            <w:tcBorders>
              <w:top w:val="nil"/>
              <w:left w:val="nil"/>
              <w:bottom w:val="single" w:sz="8" w:space="0" w:color="auto"/>
              <w:right w:val="nil"/>
            </w:tcBorders>
            <w:shd w:val="clear" w:color="000000" w:fill="FFFFFF"/>
            <w:vAlign w:val="center"/>
            <w:hideMark/>
          </w:tcPr>
          <w:p w14:paraId="696335E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78983927"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C79D29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7.7.2</w:t>
            </w:r>
          </w:p>
        </w:tc>
        <w:tc>
          <w:tcPr>
            <w:tcW w:w="3773" w:type="pct"/>
            <w:tcBorders>
              <w:top w:val="nil"/>
              <w:left w:val="nil"/>
              <w:bottom w:val="single" w:sz="8" w:space="0" w:color="auto"/>
              <w:right w:val="single" w:sz="8" w:space="0" w:color="auto"/>
            </w:tcBorders>
            <w:shd w:val="clear" w:color="000000" w:fill="FFFFFF"/>
            <w:noWrap/>
            <w:vAlign w:val="center"/>
            <w:hideMark/>
          </w:tcPr>
          <w:p w14:paraId="68900879"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Ingresos por Venta de Bienes de Fideicomisos Financieros Públicos con Participación Estatal Mayoritaria</w:t>
            </w:r>
          </w:p>
        </w:tc>
        <w:tc>
          <w:tcPr>
            <w:tcW w:w="745" w:type="pct"/>
            <w:tcBorders>
              <w:top w:val="nil"/>
              <w:left w:val="nil"/>
              <w:bottom w:val="single" w:sz="8" w:space="0" w:color="auto"/>
              <w:right w:val="nil"/>
            </w:tcBorders>
            <w:shd w:val="clear" w:color="000000" w:fill="FFFFFF"/>
            <w:vAlign w:val="center"/>
            <w:hideMark/>
          </w:tcPr>
          <w:p w14:paraId="78A1F74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0BE8BDD7"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02D58FC6"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7.8</w:t>
            </w:r>
          </w:p>
        </w:tc>
        <w:tc>
          <w:tcPr>
            <w:tcW w:w="3773" w:type="pct"/>
            <w:tcBorders>
              <w:top w:val="nil"/>
              <w:left w:val="nil"/>
              <w:bottom w:val="single" w:sz="8" w:space="0" w:color="auto"/>
              <w:right w:val="single" w:sz="8" w:space="0" w:color="auto"/>
            </w:tcBorders>
            <w:noWrap/>
            <w:vAlign w:val="center"/>
            <w:hideMark/>
          </w:tcPr>
          <w:p w14:paraId="55F9431E"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Ingresos por Venta de Bienes y Prestación de Servicios de los Poderes Legislativo y Judicial, y de los Órganos Autónomos</w:t>
            </w:r>
          </w:p>
        </w:tc>
        <w:tc>
          <w:tcPr>
            <w:tcW w:w="745" w:type="pct"/>
            <w:tcBorders>
              <w:top w:val="nil"/>
              <w:left w:val="nil"/>
              <w:bottom w:val="single" w:sz="8" w:space="0" w:color="auto"/>
              <w:right w:val="nil"/>
            </w:tcBorders>
            <w:vAlign w:val="center"/>
            <w:hideMark/>
          </w:tcPr>
          <w:p w14:paraId="5690CBD6"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1,634,381,897 </w:t>
            </w:r>
          </w:p>
        </w:tc>
      </w:tr>
      <w:tr w:rsidR="00E23F6E" w:rsidRPr="001B6518" w14:paraId="32877AEB"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AC7A69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7.8.1</w:t>
            </w:r>
          </w:p>
        </w:tc>
        <w:tc>
          <w:tcPr>
            <w:tcW w:w="3773" w:type="pct"/>
            <w:tcBorders>
              <w:top w:val="nil"/>
              <w:left w:val="nil"/>
              <w:bottom w:val="single" w:sz="8" w:space="0" w:color="auto"/>
              <w:right w:val="single" w:sz="8" w:space="0" w:color="auto"/>
            </w:tcBorders>
            <w:shd w:val="clear" w:color="000000" w:fill="FFFFFF"/>
            <w:noWrap/>
            <w:vAlign w:val="center"/>
            <w:hideMark/>
          </w:tcPr>
          <w:p w14:paraId="584DCAC3"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Universidad Autónoma de Yucatán</w:t>
            </w:r>
          </w:p>
        </w:tc>
        <w:tc>
          <w:tcPr>
            <w:tcW w:w="745" w:type="pct"/>
            <w:tcBorders>
              <w:top w:val="nil"/>
              <w:left w:val="nil"/>
              <w:bottom w:val="single" w:sz="8" w:space="0" w:color="auto"/>
              <w:right w:val="nil"/>
            </w:tcBorders>
            <w:shd w:val="clear" w:color="000000" w:fill="FFFFFF"/>
            <w:vAlign w:val="center"/>
            <w:hideMark/>
          </w:tcPr>
          <w:p w14:paraId="3B687CC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350,000,000 </w:t>
            </w:r>
          </w:p>
        </w:tc>
      </w:tr>
      <w:tr w:rsidR="00E23F6E" w:rsidRPr="001B6518" w14:paraId="1A27FBFD"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2834BB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7.8.2</w:t>
            </w:r>
          </w:p>
        </w:tc>
        <w:tc>
          <w:tcPr>
            <w:tcW w:w="3773" w:type="pct"/>
            <w:tcBorders>
              <w:top w:val="nil"/>
              <w:left w:val="nil"/>
              <w:bottom w:val="single" w:sz="8" w:space="0" w:color="auto"/>
              <w:right w:val="single" w:sz="8" w:space="0" w:color="auto"/>
            </w:tcBorders>
            <w:shd w:val="clear" w:color="000000" w:fill="FFFFFF"/>
            <w:noWrap/>
            <w:vAlign w:val="center"/>
            <w:hideMark/>
          </w:tcPr>
          <w:p w14:paraId="51FB48E6"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Tribunal de Justicia Administrativa del Estado de Yucatán</w:t>
            </w:r>
          </w:p>
        </w:tc>
        <w:tc>
          <w:tcPr>
            <w:tcW w:w="745" w:type="pct"/>
            <w:tcBorders>
              <w:top w:val="nil"/>
              <w:left w:val="nil"/>
              <w:bottom w:val="single" w:sz="8" w:space="0" w:color="auto"/>
              <w:right w:val="nil"/>
            </w:tcBorders>
            <w:shd w:val="clear" w:color="000000" w:fill="FFFFFF"/>
            <w:vAlign w:val="center"/>
            <w:hideMark/>
          </w:tcPr>
          <w:p w14:paraId="30286E9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1A1AE0FC"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AFADDE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7.8.3</w:t>
            </w:r>
          </w:p>
        </w:tc>
        <w:tc>
          <w:tcPr>
            <w:tcW w:w="3773" w:type="pct"/>
            <w:tcBorders>
              <w:top w:val="nil"/>
              <w:left w:val="nil"/>
              <w:bottom w:val="single" w:sz="8" w:space="0" w:color="auto"/>
              <w:right w:val="single" w:sz="8" w:space="0" w:color="auto"/>
            </w:tcBorders>
            <w:shd w:val="clear" w:color="000000" w:fill="FFFFFF"/>
            <w:noWrap/>
            <w:vAlign w:val="center"/>
            <w:hideMark/>
          </w:tcPr>
          <w:p w14:paraId="55206560"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Agencia de Transporte de Yucatán</w:t>
            </w:r>
          </w:p>
        </w:tc>
        <w:tc>
          <w:tcPr>
            <w:tcW w:w="745" w:type="pct"/>
            <w:tcBorders>
              <w:top w:val="nil"/>
              <w:left w:val="nil"/>
              <w:bottom w:val="single" w:sz="8" w:space="0" w:color="auto"/>
              <w:right w:val="nil"/>
            </w:tcBorders>
            <w:shd w:val="clear" w:color="000000" w:fill="FFFFFF"/>
            <w:vAlign w:val="center"/>
            <w:hideMark/>
          </w:tcPr>
          <w:p w14:paraId="56DDE80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1,284,381,597 </w:t>
            </w:r>
          </w:p>
        </w:tc>
      </w:tr>
      <w:tr w:rsidR="00E23F6E" w:rsidRPr="001B6518" w14:paraId="4E698E9C"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435DCD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7.8.4</w:t>
            </w:r>
          </w:p>
        </w:tc>
        <w:tc>
          <w:tcPr>
            <w:tcW w:w="3773" w:type="pct"/>
            <w:tcBorders>
              <w:top w:val="nil"/>
              <w:left w:val="nil"/>
              <w:bottom w:val="single" w:sz="8" w:space="0" w:color="auto"/>
              <w:right w:val="single" w:sz="8" w:space="0" w:color="auto"/>
            </w:tcBorders>
            <w:shd w:val="clear" w:color="000000" w:fill="FFFFFF"/>
            <w:noWrap/>
            <w:vAlign w:val="center"/>
            <w:hideMark/>
          </w:tcPr>
          <w:p w14:paraId="716708C3"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Agencia de Inteligencia Patrimonial y Económica del Estado de Yucatán</w:t>
            </w:r>
          </w:p>
        </w:tc>
        <w:tc>
          <w:tcPr>
            <w:tcW w:w="745" w:type="pct"/>
            <w:tcBorders>
              <w:top w:val="nil"/>
              <w:left w:val="nil"/>
              <w:bottom w:val="single" w:sz="8" w:space="0" w:color="auto"/>
              <w:right w:val="nil"/>
            </w:tcBorders>
            <w:shd w:val="clear" w:color="000000" w:fill="FFFFFF"/>
            <w:vAlign w:val="center"/>
            <w:hideMark/>
          </w:tcPr>
          <w:p w14:paraId="18C8120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300 </w:t>
            </w:r>
          </w:p>
        </w:tc>
      </w:tr>
      <w:tr w:rsidR="00E23F6E" w:rsidRPr="001B6518" w14:paraId="7E1D3244" w14:textId="77777777" w:rsidTr="00E23F6E">
        <w:trPr>
          <w:trHeight w:val="20"/>
        </w:trPr>
        <w:tc>
          <w:tcPr>
            <w:tcW w:w="482" w:type="pct"/>
            <w:tcBorders>
              <w:top w:val="nil"/>
              <w:left w:val="nil"/>
              <w:bottom w:val="single" w:sz="8" w:space="0" w:color="auto"/>
              <w:right w:val="single" w:sz="8" w:space="0" w:color="auto"/>
            </w:tcBorders>
            <w:noWrap/>
            <w:vAlign w:val="center"/>
            <w:hideMark/>
          </w:tcPr>
          <w:p w14:paraId="4290C340"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7.9</w:t>
            </w:r>
          </w:p>
        </w:tc>
        <w:tc>
          <w:tcPr>
            <w:tcW w:w="3773" w:type="pct"/>
            <w:tcBorders>
              <w:top w:val="nil"/>
              <w:left w:val="nil"/>
              <w:bottom w:val="single" w:sz="8" w:space="0" w:color="auto"/>
              <w:right w:val="single" w:sz="8" w:space="0" w:color="auto"/>
            </w:tcBorders>
            <w:noWrap/>
            <w:vAlign w:val="center"/>
            <w:hideMark/>
          </w:tcPr>
          <w:p w14:paraId="469F3A27"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Otros Ingresos</w:t>
            </w:r>
          </w:p>
        </w:tc>
        <w:tc>
          <w:tcPr>
            <w:tcW w:w="745" w:type="pct"/>
            <w:tcBorders>
              <w:top w:val="nil"/>
              <w:left w:val="nil"/>
              <w:bottom w:val="single" w:sz="8" w:space="0" w:color="auto"/>
              <w:right w:val="nil"/>
            </w:tcBorders>
            <w:vAlign w:val="center"/>
            <w:hideMark/>
          </w:tcPr>
          <w:p w14:paraId="6586C414"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0 </w:t>
            </w:r>
          </w:p>
        </w:tc>
      </w:tr>
      <w:tr w:rsidR="00E23F6E" w:rsidRPr="001B6518" w14:paraId="335FF98C"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11E565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7.9.1</w:t>
            </w:r>
          </w:p>
        </w:tc>
        <w:tc>
          <w:tcPr>
            <w:tcW w:w="3773" w:type="pct"/>
            <w:tcBorders>
              <w:top w:val="nil"/>
              <w:left w:val="nil"/>
              <w:bottom w:val="single" w:sz="8" w:space="0" w:color="auto"/>
              <w:right w:val="single" w:sz="8" w:space="0" w:color="auto"/>
            </w:tcBorders>
            <w:shd w:val="clear" w:color="000000" w:fill="FFFFFF"/>
            <w:noWrap/>
            <w:vAlign w:val="center"/>
            <w:hideMark/>
          </w:tcPr>
          <w:p w14:paraId="43E2EFFE"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Otros ingresos</w:t>
            </w:r>
          </w:p>
        </w:tc>
        <w:tc>
          <w:tcPr>
            <w:tcW w:w="745" w:type="pct"/>
            <w:tcBorders>
              <w:top w:val="nil"/>
              <w:left w:val="nil"/>
              <w:bottom w:val="single" w:sz="8" w:space="0" w:color="auto"/>
              <w:right w:val="nil"/>
            </w:tcBorders>
            <w:shd w:val="clear" w:color="000000" w:fill="FFFFFF"/>
            <w:vAlign w:val="center"/>
            <w:hideMark/>
          </w:tcPr>
          <w:p w14:paraId="741DB97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4234D6B7" w14:textId="77777777" w:rsidTr="00E23F6E">
        <w:trPr>
          <w:trHeight w:val="20"/>
        </w:trPr>
        <w:tc>
          <w:tcPr>
            <w:tcW w:w="482" w:type="pct"/>
            <w:tcBorders>
              <w:top w:val="nil"/>
              <w:left w:val="nil"/>
              <w:bottom w:val="single" w:sz="8" w:space="0" w:color="auto"/>
              <w:right w:val="single" w:sz="8" w:space="0" w:color="auto"/>
            </w:tcBorders>
            <w:shd w:val="clear" w:color="000000" w:fill="D9D9D9"/>
            <w:noWrap/>
            <w:vAlign w:val="center"/>
            <w:hideMark/>
          </w:tcPr>
          <w:p w14:paraId="03F52D14"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8</w:t>
            </w:r>
          </w:p>
        </w:tc>
        <w:tc>
          <w:tcPr>
            <w:tcW w:w="3773" w:type="pct"/>
            <w:tcBorders>
              <w:top w:val="nil"/>
              <w:left w:val="nil"/>
              <w:bottom w:val="single" w:sz="8" w:space="0" w:color="auto"/>
              <w:right w:val="single" w:sz="8" w:space="0" w:color="auto"/>
            </w:tcBorders>
            <w:shd w:val="clear" w:color="000000" w:fill="D9D9D9"/>
            <w:noWrap/>
            <w:vAlign w:val="center"/>
            <w:hideMark/>
          </w:tcPr>
          <w:p w14:paraId="6FCF1B19"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Participaciones, Aportaciones, Convenios, Incentivos Derivados de la Colaboración Fiscal y Fondos Distintos de Aportaciones</w:t>
            </w:r>
          </w:p>
        </w:tc>
        <w:tc>
          <w:tcPr>
            <w:tcW w:w="745" w:type="pct"/>
            <w:tcBorders>
              <w:top w:val="nil"/>
              <w:left w:val="nil"/>
              <w:bottom w:val="single" w:sz="8" w:space="0" w:color="auto"/>
              <w:right w:val="nil"/>
            </w:tcBorders>
            <w:shd w:val="clear" w:color="000000" w:fill="D9D9D9"/>
            <w:vAlign w:val="center"/>
            <w:hideMark/>
          </w:tcPr>
          <w:p w14:paraId="774F8F2E"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48,671,595,074 </w:t>
            </w:r>
          </w:p>
        </w:tc>
      </w:tr>
      <w:tr w:rsidR="00E23F6E" w:rsidRPr="001B6518" w14:paraId="6BD6A367" w14:textId="77777777" w:rsidTr="00E23F6E">
        <w:trPr>
          <w:trHeight w:val="20"/>
        </w:trPr>
        <w:tc>
          <w:tcPr>
            <w:tcW w:w="482" w:type="pct"/>
            <w:tcBorders>
              <w:top w:val="nil"/>
              <w:left w:val="nil"/>
              <w:bottom w:val="single" w:sz="8" w:space="0" w:color="auto"/>
              <w:right w:val="single" w:sz="8" w:space="0" w:color="auto"/>
            </w:tcBorders>
            <w:shd w:val="clear" w:color="000000" w:fill="ABABAB"/>
            <w:noWrap/>
            <w:vAlign w:val="center"/>
            <w:hideMark/>
          </w:tcPr>
          <w:p w14:paraId="001DFFD4"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8.1</w:t>
            </w:r>
          </w:p>
        </w:tc>
        <w:tc>
          <w:tcPr>
            <w:tcW w:w="3773" w:type="pct"/>
            <w:tcBorders>
              <w:top w:val="nil"/>
              <w:left w:val="nil"/>
              <w:bottom w:val="single" w:sz="8" w:space="0" w:color="auto"/>
              <w:right w:val="single" w:sz="8" w:space="0" w:color="auto"/>
            </w:tcBorders>
            <w:shd w:val="clear" w:color="000000" w:fill="ABABAB"/>
            <w:noWrap/>
            <w:vAlign w:val="center"/>
            <w:hideMark/>
          </w:tcPr>
          <w:p w14:paraId="19EC1739"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Participaciones</w:t>
            </w:r>
          </w:p>
        </w:tc>
        <w:tc>
          <w:tcPr>
            <w:tcW w:w="745" w:type="pct"/>
            <w:tcBorders>
              <w:top w:val="nil"/>
              <w:left w:val="nil"/>
              <w:bottom w:val="single" w:sz="8" w:space="0" w:color="auto"/>
              <w:right w:val="nil"/>
            </w:tcBorders>
            <w:shd w:val="clear" w:color="000000" w:fill="ABABAB"/>
            <w:vAlign w:val="center"/>
            <w:hideMark/>
          </w:tcPr>
          <w:p w14:paraId="1143A9D2"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23,601,278,064 </w:t>
            </w:r>
          </w:p>
        </w:tc>
      </w:tr>
      <w:tr w:rsidR="00E23F6E" w:rsidRPr="001B6518" w14:paraId="13E0A41E"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44788B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8.1.1</w:t>
            </w:r>
          </w:p>
        </w:tc>
        <w:tc>
          <w:tcPr>
            <w:tcW w:w="3773" w:type="pct"/>
            <w:tcBorders>
              <w:top w:val="nil"/>
              <w:left w:val="nil"/>
              <w:bottom w:val="single" w:sz="8" w:space="0" w:color="auto"/>
              <w:right w:val="single" w:sz="8" w:space="0" w:color="auto"/>
            </w:tcBorders>
            <w:shd w:val="clear" w:color="000000" w:fill="FFFFFF"/>
            <w:noWrap/>
            <w:vAlign w:val="center"/>
            <w:hideMark/>
          </w:tcPr>
          <w:p w14:paraId="67544F29"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Fondo General de Participaciones (FOGEN)</w:t>
            </w:r>
          </w:p>
        </w:tc>
        <w:tc>
          <w:tcPr>
            <w:tcW w:w="745" w:type="pct"/>
            <w:tcBorders>
              <w:top w:val="nil"/>
              <w:left w:val="nil"/>
              <w:bottom w:val="single" w:sz="8" w:space="0" w:color="auto"/>
              <w:right w:val="nil"/>
            </w:tcBorders>
            <w:shd w:val="clear" w:color="000000" w:fill="FFFFFF"/>
            <w:vAlign w:val="center"/>
            <w:hideMark/>
          </w:tcPr>
          <w:p w14:paraId="286DB5B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18,271,208,385 </w:t>
            </w:r>
          </w:p>
        </w:tc>
      </w:tr>
      <w:tr w:rsidR="00E23F6E" w:rsidRPr="001B6518" w14:paraId="60636A17"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C04D1B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8.1.2</w:t>
            </w:r>
          </w:p>
        </w:tc>
        <w:tc>
          <w:tcPr>
            <w:tcW w:w="3773" w:type="pct"/>
            <w:tcBorders>
              <w:top w:val="nil"/>
              <w:left w:val="nil"/>
              <w:bottom w:val="single" w:sz="8" w:space="0" w:color="auto"/>
              <w:right w:val="single" w:sz="8" w:space="0" w:color="auto"/>
            </w:tcBorders>
            <w:shd w:val="clear" w:color="000000" w:fill="FFFFFF"/>
            <w:noWrap/>
            <w:vAlign w:val="center"/>
            <w:hideMark/>
          </w:tcPr>
          <w:p w14:paraId="4FED2F05"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Fondo de Fomento Municipal (FOMUN)</w:t>
            </w:r>
          </w:p>
        </w:tc>
        <w:tc>
          <w:tcPr>
            <w:tcW w:w="745" w:type="pct"/>
            <w:tcBorders>
              <w:top w:val="nil"/>
              <w:left w:val="nil"/>
              <w:bottom w:val="single" w:sz="8" w:space="0" w:color="auto"/>
              <w:right w:val="nil"/>
            </w:tcBorders>
            <w:shd w:val="clear" w:color="000000" w:fill="FFFFFF"/>
            <w:vAlign w:val="center"/>
            <w:hideMark/>
          </w:tcPr>
          <w:p w14:paraId="5931A3B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1,109,784,649 </w:t>
            </w:r>
          </w:p>
        </w:tc>
      </w:tr>
      <w:tr w:rsidR="00E23F6E" w:rsidRPr="001B6518" w14:paraId="45CB12AB"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0E9EBC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8.1.3</w:t>
            </w:r>
          </w:p>
        </w:tc>
        <w:tc>
          <w:tcPr>
            <w:tcW w:w="3773" w:type="pct"/>
            <w:tcBorders>
              <w:top w:val="nil"/>
              <w:left w:val="nil"/>
              <w:bottom w:val="single" w:sz="8" w:space="0" w:color="auto"/>
              <w:right w:val="single" w:sz="8" w:space="0" w:color="auto"/>
            </w:tcBorders>
            <w:shd w:val="clear" w:color="000000" w:fill="FFFFFF"/>
            <w:noWrap/>
            <w:vAlign w:val="center"/>
            <w:hideMark/>
          </w:tcPr>
          <w:p w14:paraId="090792C2"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Impuesto Especial sobre Producción y Servicios (IEPS)</w:t>
            </w:r>
          </w:p>
        </w:tc>
        <w:tc>
          <w:tcPr>
            <w:tcW w:w="745" w:type="pct"/>
            <w:tcBorders>
              <w:top w:val="nil"/>
              <w:left w:val="nil"/>
              <w:bottom w:val="single" w:sz="8" w:space="0" w:color="auto"/>
              <w:right w:val="nil"/>
            </w:tcBorders>
            <w:shd w:val="clear" w:color="000000" w:fill="FFFFFF"/>
            <w:vAlign w:val="center"/>
            <w:hideMark/>
          </w:tcPr>
          <w:p w14:paraId="0295BEF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422,221,685 </w:t>
            </w:r>
          </w:p>
        </w:tc>
      </w:tr>
      <w:tr w:rsidR="00E23F6E" w:rsidRPr="001B6518" w14:paraId="1E605292"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A98124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8.1.4</w:t>
            </w:r>
          </w:p>
        </w:tc>
        <w:tc>
          <w:tcPr>
            <w:tcW w:w="3773" w:type="pct"/>
            <w:tcBorders>
              <w:top w:val="nil"/>
              <w:left w:val="nil"/>
              <w:bottom w:val="single" w:sz="8" w:space="0" w:color="auto"/>
              <w:right w:val="single" w:sz="8" w:space="0" w:color="auto"/>
            </w:tcBorders>
            <w:shd w:val="clear" w:color="000000" w:fill="FFFFFF"/>
            <w:noWrap/>
            <w:vAlign w:val="center"/>
            <w:hideMark/>
          </w:tcPr>
          <w:p w14:paraId="5701E457"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Fondo de Fiscalización y Recaudación (FOFIR)</w:t>
            </w:r>
          </w:p>
        </w:tc>
        <w:tc>
          <w:tcPr>
            <w:tcW w:w="745" w:type="pct"/>
            <w:tcBorders>
              <w:top w:val="nil"/>
              <w:left w:val="nil"/>
              <w:bottom w:val="single" w:sz="8" w:space="0" w:color="auto"/>
              <w:right w:val="nil"/>
            </w:tcBorders>
            <w:shd w:val="clear" w:color="000000" w:fill="FFFFFF"/>
            <w:vAlign w:val="center"/>
            <w:hideMark/>
          </w:tcPr>
          <w:p w14:paraId="7EA1C06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1,682,204,690 </w:t>
            </w:r>
          </w:p>
        </w:tc>
      </w:tr>
      <w:tr w:rsidR="00E23F6E" w:rsidRPr="001B6518" w14:paraId="73D43E76"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04C626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8.1.5</w:t>
            </w:r>
          </w:p>
        </w:tc>
        <w:tc>
          <w:tcPr>
            <w:tcW w:w="3773" w:type="pct"/>
            <w:tcBorders>
              <w:top w:val="nil"/>
              <w:left w:val="nil"/>
              <w:bottom w:val="single" w:sz="8" w:space="0" w:color="auto"/>
              <w:right w:val="single" w:sz="8" w:space="0" w:color="auto"/>
            </w:tcBorders>
            <w:shd w:val="clear" w:color="000000" w:fill="FFFFFF"/>
            <w:noWrap/>
            <w:vAlign w:val="center"/>
            <w:hideMark/>
          </w:tcPr>
          <w:p w14:paraId="3D6838E7"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Participaciones a la Venta Final de Gasolina y Diésel</w:t>
            </w:r>
          </w:p>
        </w:tc>
        <w:tc>
          <w:tcPr>
            <w:tcW w:w="745" w:type="pct"/>
            <w:tcBorders>
              <w:top w:val="nil"/>
              <w:left w:val="nil"/>
              <w:bottom w:val="single" w:sz="8" w:space="0" w:color="auto"/>
              <w:right w:val="nil"/>
            </w:tcBorders>
            <w:shd w:val="clear" w:color="000000" w:fill="FFFFFF"/>
            <w:vAlign w:val="center"/>
            <w:hideMark/>
          </w:tcPr>
          <w:p w14:paraId="625BB8F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783,757,874 </w:t>
            </w:r>
          </w:p>
        </w:tc>
      </w:tr>
      <w:tr w:rsidR="00E23F6E" w:rsidRPr="001B6518" w14:paraId="45A0B9F0"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06D276F"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8.1.6</w:t>
            </w:r>
          </w:p>
        </w:tc>
        <w:tc>
          <w:tcPr>
            <w:tcW w:w="3773" w:type="pct"/>
            <w:tcBorders>
              <w:top w:val="nil"/>
              <w:left w:val="nil"/>
              <w:bottom w:val="single" w:sz="8" w:space="0" w:color="auto"/>
              <w:right w:val="single" w:sz="8" w:space="0" w:color="auto"/>
            </w:tcBorders>
            <w:shd w:val="clear" w:color="000000" w:fill="FFFFFF"/>
            <w:noWrap/>
            <w:vAlign w:val="center"/>
            <w:hideMark/>
          </w:tcPr>
          <w:p w14:paraId="668E9CD2"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Fondo ISR</w:t>
            </w:r>
          </w:p>
        </w:tc>
        <w:tc>
          <w:tcPr>
            <w:tcW w:w="745" w:type="pct"/>
            <w:tcBorders>
              <w:top w:val="nil"/>
              <w:left w:val="nil"/>
              <w:bottom w:val="single" w:sz="8" w:space="0" w:color="auto"/>
              <w:right w:val="nil"/>
            </w:tcBorders>
            <w:shd w:val="clear" w:color="000000" w:fill="FFFFFF"/>
            <w:vAlign w:val="center"/>
            <w:hideMark/>
          </w:tcPr>
          <w:p w14:paraId="082319C8"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1,332,100,781 </w:t>
            </w:r>
          </w:p>
        </w:tc>
      </w:tr>
      <w:tr w:rsidR="00E23F6E" w:rsidRPr="001B6518" w14:paraId="0F35E609"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20A137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8.1.6.1</w:t>
            </w:r>
          </w:p>
        </w:tc>
        <w:tc>
          <w:tcPr>
            <w:tcW w:w="3773" w:type="pct"/>
            <w:tcBorders>
              <w:top w:val="nil"/>
              <w:left w:val="nil"/>
              <w:bottom w:val="single" w:sz="8" w:space="0" w:color="auto"/>
              <w:right w:val="single" w:sz="8" w:space="0" w:color="auto"/>
            </w:tcBorders>
            <w:shd w:val="clear" w:color="000000" w:fill="FFFFFF"/>
            <w:noWrap/>
            <w:vAlign w:val="center"/>
            <w:hideMark/>
          </w:tcPr>
          <w:p w14:paraId="17989511"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Fondo ISR Estado</w:t>
            </w:r>
          </w:p>
        </w:tc>
        <w:tc>
          <w:tcPr>
            <w:tcW w:w="745" w:type="pct"/>
            <w:tcBorders>
              <w:top w:val="nil"/>
              <w:left w:val="nil"/>
              <w:bottom w:val="single" w:sz="8" w:space="0" w:color="auto"/>
              <w:right w:val="nil"/>
            </w:tcBorders>
            <w:shd w:val="clear" w:color="000000" w:fill="FFFFFF"/>
            <w:vAlign w:val="center"/>
            <w:hideMark/>
          </w:tcPr>
          <w:p w14:paraId="539B7DC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1,175,351,404 </w:t>
            </w:r>
          </w:p>
        </w:tc>
      </w:tr>
      <w:tr w:rsidR="00E23F6E" w:rsidRPr="001B6518" w14:paraId="7B14BE36"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1C6A27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8.1.6.2</w:t>
            </w:r>
          </w:p>
        </w:tc>
        <w:tc>
          <w:tcPr>
            <w:tcW w:w="3773" w:type="pct"/>
            <w:tcBorders>
              <w:top w:val="nil"/>
              <w:left w:val="nil"/>
              <w:bottom w:val="single" w:sz="8" w:space="0" w:color="auto"/>
              <w:right w:val="single" w:sz="8" w:space="0" w:color="auto"/>
            </w:tcBorders>
            <w:shd w:val="clear" w:color="000000" w:fill="FFFFFF"/>
            <w:noWrap/>
            <w:vAlign w:val="center"/>
            <w:hideMark/>
          </w:tcPr>
          <w:p w14:paraId="5C5375BD"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Fondo ISR Municipios</w:t>
            </w:r>
          </w:p>
        </w:tc>
        <w:tc>
          <w:tcPr>
            <w:tcW w:w="745" w:type="pct"/>
            <w:tcBorders>
              <w:top w:val="nil"/>
              <w:left w:val="nil"/>
              <w:bottom w:val="single" w:sz="8" w:space="0" w:color="auto"/>
              <w:right w:val="nil"/>
            </w:tcBorders>
            <w:shd w:val="clear" w:color="000000" w:fill="FFFFFF"/>
            <w:vAlign w:val="center"/>
            <w:hideMark/>
          </w:tcPr>
          <w:p w14:paraId="08D8AA9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156,749,377 </w:t>
            </w:r>
          </w:p>
        </w:tc>
      </w:tr>
      <w:tr w:rsidR="00E23F6E" w:rsidRPr="001B6518" w14:paraId="6F5736EF"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5D224A3"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8.1.7</w:t>
            </w:r>
          </w:p>
        </w:tc>
        <w:tc>
          <w:tcPr>
            <w:tcW w:w="3773" w:type="pct"/>
            <w:tcBorders>
              <w:top w:val="nil"/>
              <w:left w:val="nil"/>
              <w:bottom w:val="single" w:sz="8" w:space="0" w:color="auto"/>
              <w:right w:val="single" w:sz="8" w:space="0" w:color="auto"/>
            </w:tcBorders>
            <w:shd w:val="clear" w:color="000000" w:fill="FFFFFF"/>
            <w:noWrap/>
            <w:vAlign w:val="center"/>
            <w:hideMark/>
          </w:tcPr>
          <w:p w14:paraId="49D46758"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Fondo de Estabilización de los ingresos de las Entidades Federativas (FEIEF)</w:t>
            </w:r>
          </w:p>
        </w:tc>
        <w:tc>
          <w:tcPr>
            <w:tcW w:w="745" w:type="pct"/>
            <w:tcBorders>
              <w:top w:val="nil"/>
              <w:left w:val="nil"/>
              <w:bottom w:val="single" w:sz="8" w:space="0" w:color="auto"/>
              <w:right w:val="nil"/>
            </w:tcBorders>
            <w:shd w:val="clear" w:color="000000" w:fill="FFFFFF"/>
            <w:vAlign w:val="center"/>
            <w:hideMark/>
          </w:tcPr>
          <w:p w14:paraId="748D648C"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0 </w:t>
            </w:r>
          </w:p>
        </w:tc>
      </w:tr>
      <w:tr w:rsidR="00E23F6E" w:rsidRPr="001B6518" w14:paraId="2CB1FFE9"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FE3543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8.1.7.1</w:t>
            </w:r>
          </w:p>
        </w:tc>
        <w:tc>
          <w:tcPr>
            <w:tcW w:w="3773" w:type="pct"/>
            <w:tcBorders>
              <w:top w:val="nil"/>
              <w:left w:val="nil"/>
              <w:bottom w:val="single" w:sz="8" w:space="0" w:color="auto"/>
              <w:right w:val="single" w:sz="8" w:space="0" w:color="auto"/>
            </w:tcBorders>
            <w:shd w:val="clear" w:color="000000" w:fill="FFFFFF"/>
            <w:noWrap/>
            <w:vAlign w:val="center"/>
            <w:hideMark/>
          </w:tcPr>
          <w:p w14:paraId="4F221F96"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Fondo de Estabilización de los ingresos de las Entidades Federativas por Fondo General (FEIEF FOGEN)</w:t>
            </w:r>
          </w:p>
        </w:tc>
        <w:tc>
          <w:tcPr>
            <w:tcW w:w="745" w:type="pct"/>
            <w:tcBorders>
              <w:top w:val="nil"/>
              <w:left w:val="nil"/>
              <w:bottom w:val="single" w:sz="8" w:space="0" w:color="auto"/>
              <w:right w:val="nil"/>
            </w:tcBorders>
            <w:shd w:val="clear" w:color="000000" w:fill="FFFFFF"/>
            <w:vAlign w:val="center"/>
            <w:hideMark/>
          </w:tcPr>
          <w:p w14:paraId="6B22AF7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74EAA291"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3B3506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8.1.7.2</w:t>
            </w:r>
          </w:p>
        </w:tc>
        <w:tc>
          <w:tcPr>
            <w:tcW w:w="3773" w:type="pct"/>
            <w:tcBorders>
              <w:top w:val="nil"/>
              <w:left w:val="nil"/>
              <w:bottom w:val="single" w:sz="8" w:space="0" w:color="auto"/>
              <w:right w:val="single" w:sz="8" w:space="0" w:color="auto"/>
            </w:tcBorders>
            <w:shd w:val="clear" w:color="000000" w:fill="FFFFFF"/>
            <w:noWrap/>
            <w:vAlign w:val="center"/>
            <w:hideMark/>
          </w:tcPr>
          <w:p w14:paraId="5120798D"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Fondo de Estabilización de los ingresos de las Entidades Federativas por Fondo de Fomento Municipal (FEIEF FOMUN)</w:t>
            </w:r>
          </w:p>
        </w:tc>
        <w:tc>
          <w:tcPr>
            <w:tcW w:w="745" w:type="pct"/>
            <w:tcBorders>
              <w:top w:val="nil"/>
              <w:left w:val="nil"/>
              <w:bottom w:val="single" w:sz="8" w:space="0" w:color="auto"/>
              <w:right w:val="nil"/>
            </w:tcBorders>
            <w:shd w:val="clear" w:color="000000" w:fill="FFFFFF"/>
            <w:vAlign w:val="center"/>
            <w:hideMark/>
          </w:tcPr>
          <w:p w14:paraId="65E3F2E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7E014C27"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86B914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8.1.7.3</w:t>
            </w:r>
          </w:p>
        </w:tc>
        <w:tc>
          <w:tcPr>
            <w:tcW w:w="3773" w:type="pct"/>
            <w:tcBorders>
              <w:top w:val="nil"/>
              <w:left w:val="nil"/>
              <w:bottom w:val="single" w:sz="8" w:space="0" w:color="auto"/>
              <w:right w:val="single" w:sz="8" w:space="0" w:color="auto"/>
            </w:tcBorders>
            <w:shd w:val="clear" w:color="000000" w:fill="FFFFFF"/>
            <w:noWrap/>
            <w:vAlign w:val="center"/>
            <w:hideMark/>
          </w:tcPr>
          <w:p w14:paraId="01B153B2"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Fondo de Estabilización de los ingresos de las Entidades Federativas por Fondo de Fiscalización y Recaudación (FEIEF FOFIR)</w:t>
            </w:r>
          </w:p>
        </w:tc>
        <w:tc>
          <w:tcPr>
            <w:tcW w:w="745" w:type="pct"/>
            <w:tcBorders>
              <w:top w:val="nil"/>
              <w:left w:val="nil"/>
              <w:bottom w:val="single" w:sz="8" w:space="0" w:color="auto"/>
              <w:right w:val="nil"/>
            </w:tcBorders>
            <w:shd w:val="clear" w:color="000000" w:fill="FFFFFF"/>
            <w:vAlign w:val="center"/>
            <w:hideMark/>
          </w:tcPr>
          <w:p w14:paraId="0AE493A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685FCD1D" w14:textId="77777777" w:rsidTr="00E23F6E">
        <w:trPr>
          <w:trHeight w:val="20"/>
        </w:trPr>
        <w:tc>
          <w:tcPr>
            <w:tcW w:w="482" w:type="pct"/>
            <w:tcBorders>
              <w:top w:val="nil"/>
              <w:left w:val="nil"/>
              <w:bottom w:val="single" w:sz="8" w:space="0" w:color="auto"/>
              <w:right w:val="single" w:sz="8" w:space="0" w:color="auto"/>
            </w:tcBorders>
            <w:shd w:val="clear" w:color="000000" w:fill="ABABAB"/>
            <w:noWrap/>
            <w:vAlign w:val="center"/>
            <w:hideMark/>
          </w:tcPr>
          <w:p w14:paraId="12D366E0"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8.2</w:t>
            </w:r>
          </w:p>
        </w:tc>
        <w:tc>
          <w:tcPr>
            <w:tcW w:w="3773" w:type="pct"/>
            <w:tcBorders>
              <w:top w:val="nil"/>
              <w:left w:val="nil"/>
              <w:bottom w:val="single" w:sz="8" w:space="0" w:color="auto"/>
              <w:right w:val="single" w:sz="8" w:space="0" w:color="auto"/>
            </w:tcBorders>
            <w:shd w:val="clear" w:color="000000" w:fill="ABABAB"/>
            <w:noWrap/>
            <w:vAlign w:val="center"/>
            <w:hideMark/>
          </w:tcPr>
          <w:p w14:paraId="531E6D86"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Aportaciones</w:t>
            </w:r>
          </w:p>
        </w:tc>
        <w:tc>
          <w:tcPr>
            <w:tcW w:w="745" w:type="pct"/>
            <w:tcBorders>
              <w:top w:val="nil"/>
              <w:left w:val="nil"/>
              <w:bottom w:val="single" w:sz="8" w:space="0" w:color="auto"/>
              <w:right w:val="nil"/>
            </w:tcBorders>
            <w:shd w:val="clear" w:color="000000" w:fill="ABABAB"/>
            <w:vAlign w:val="center"/>
            <w:hideMark/>
          </w:tcPr>
          <w:p w14:paraId="515C98D4"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20,059,839,165 </w:t>
            </w:r>
          </w:p>
        </w:tc>
      </w:tr>
      <w:tr w:rsidR="00E23F6E" w:rsidRPr="001B6518" w14:paraId="59377685"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E4CB20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8.2.1</w:t>
            </w:r>
          </w:p>
        </w:tc>
        <w:tc>
          <w:tcPr>
            <w:tcW w:w="3773" w:type="pct"/>
            <w:tcBorders>
              <w:top w:val="nil"/>
              <w:left w:val="nil"/>
              <w:bottom w:val="single" w:sz="8" w:space="0" w:color="auto"/>
              <w:right w:val="single" w:sz="8" w:space="0" w:color="auto"/>
            </w:tcBorders>
            <w:shd w:val="clear" w:color="000000" w:fill="FFFFFF"/>
            <w:noWrap/>
            <w:vAlign w:val="center"/>
            <w:hideMark/>
          </w:tcPr>
          <w:p w14:paraId="1F57280A"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Fondo de Aportaciones para la Nómina Educativa y Gasto Operativo (FONE)</w:t>
            </w:r>
          </w:p>
        </w:tc>
        <w:tc>
          <w:tcPr>
            <w:tcW w:w="745" w:type="pct"/>
            <w:tcBorders>
              <w:top w:val="nil"/>
              <w:left w:val="nil"/>
              <w:bottom w:val="single" w:sz="8" w:space="0" w:color="auto"/>
              <w:right w:val="nil"/>
            </w:tcBorders>
            <w:shd w:val="clear" w:color="000000" w:fill="FFFFFF"/>
            <w:vAlign w:val="center"/>
            <w:hideMark/>
          </w:tcPr>
          <w:p w14:paraId="6DA7CB8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9,129,643,579 </w:t>
            </w:r>
          </w:p>
        </w:tc>
      </w:tr>
      <w:tr w:rsidR="00E23F6E" w:rsidRPr="001B6518" w14:paraId="4ADC4AA4"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FCAB7F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8.2.2</w:t>
            </w:r>
          </w:p>
        </w:tc>
        <w:tc>
          <w:tcPr>
            <w:tcW w:w="3773" w:type="pct"/>
            <w:tcBorders>
              <w:top w:val="nil"/>
              <w:left w:val="nil"/>
              <w:bottom w:val="single" w:sz="8" w:space="0" w:color="auto"/>
              <w:right w:val="single" w:sz="8" w:space="0" w:color="auto"/>
            </w:tcBorders>
            <w:shd w:val="clear" w:color="000000" w:fill="FFFFFF"/>
            <w:noWrap/>
            <w:vAlign w:val="center"/>
            <w:hideMark/>
          </w:tcPr>
          <w:p w14:paraId="5F013F6C"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Fondo de Aportaciones para los Servicios de Salud (FASSA)</w:t>
            </w:r>
          </w:p>
        </w:tc>
        <w:tc>
          <w:tcPr>
            <w:tcW w:w="745" w:type="pct"/>
            <w:tcBorders>
              <w:top w:val="nil"/>
              <w:left w:val="nil"/>
              <w:bottom w:val="single" w:sz="8" w:space="0" w:color="auto"/>
              <w:right w:val="nil"/>
            </w:tcBorders>
            <w:shd w:val="clear" w:color="000000" w:fill="FFFFFF"/>
            <w:vAlign w:val="center"/>
            <w:hideMark/>
          </w:tcPr>
          <w:p w14:paraId="4DEAFC4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2,870,083,036 </w:t>
            </w:r>
          </w:p>
        </w:tc>
      </w:tr>
      <w:tr w:rsidR="00E23F6E" w:rsidRPr="001B6518" w14:paraId="6368F8C5" w14:textId="77777777" w:rsidTr="00E23F6E">
        <w:trPr>
          <w:trHeight w:val="20"/>
        </w:trPr>
        <w:tc>
          <w:tcPr>
            <w:tcW w:w="482" w:type="pct"/>
            <w:tcBorders>
              <w:top w:val="nil"/>
              <w:left w:val="nil"/>
              <w:bottom w:val="single" w:sz="8" w:space="0" w:color="auto"/>
              <w:right w:val="single" w:sz="8" w:space="0" w:color="auto"/>
            </w:tcBorders>
            <w:vAlign w:val="center"/>
            <w:hideMark/>
          </w:tcPr>
          <w:p w14:paraId="0028472E"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8.2.3</w:t>
            </w:r>
          </w:p>
        </w:tc>
        <w:tc>
          <w:tcPr>
            <w:tcW w:w="3773" w:type="pct"/>
            <w:tcBorders>
              <w:top w:val="nil"/>
              <w:left w:val="nil"/>
              <w:bottom w:val="single" w:sz="8" w:space="0" w:color="auto"/>
              <w:right w:val="single" w:sz="8" w:space="0" w:color="auto"/>
            </w:tcBorders>
            <w:noWrap/>
            <w:vAlign w:val="center"/>
            <w:hideMark/>
          </w:tcPr>
          <w:p w14:paraId="243F5BC5"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Fondo de Aportaciones para la infraestructura Social (FAIS)</w:t>
            </w:r>
          </w:p>
        </w:tc>
        <w:tc>
          <w:tcPr>
            <w:tcW w:w="745" w:type="pct"/>
            <w:tcBorders>
              <w:top w:val="nil"/>
              <w:left w:val="nil"/>
              <w:bottom w:val="single" w:sz="8" w:space="0" w:color="auto"/>
              <w:right w:val="nil"/>
            </w:tcBorders>
            <w:vAlign w:val="center"/>
            <w:hideMark/>
          </w:tcPr>
          <w:p w14:paraId="2DB066EA"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2,574,625,611 </w:t>
            </w:r>
          </w:p>
        </w:tc>
      </w:tr>
      <w:tr w:rsidR="00E23F6E" w:rsidRPr="001B6518" w14:paraId="5E25EF7D"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D1C8EA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8.2.3.1</w:t>
            </w:r>
          </w:p>
        </w:tc>
        <w:tc>
          <w:tcPr>
            <w:tcW w:w="3773" w:type="pct"/>
            <w:tcBorders>
              <w:top w:val="nil"/>
              <w:left w:val="nil"/>
              <w:bottom w:val="single" w:sz="8" w:space="0" w:color="auto"/>
              <w:right w:val="single" w:sz="8" w:space="0" w:color="auto"/>
            </w:tcBorders>
            <w:shd w:val="clear" w:color="000000" w:fill="FFFFFF"/>
            <w:noWrap/>
            <w:vAlign w:val="center"/>
            <w:hideMark/>
          </w:tcPr>
          <w:p w14:paraId="5B98BA5C"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Fondo de Aportaciones para la Infraestructura Social Municipal y de las Demarcaciones Territoriales del Distrito Federal (FAISMUN)</w:t>
            </w:r>
          </w:p>
        </w:tc>
        <w:tc>
          <w:tcPr>
            <w:tcW w:w="745" w:type="pct"/>
            <w:tcBorders>
              <w:top w:val="nil"/>
              <w:left w:val="nil"/>
              <w:bottom w:val="single" w:sz="8" w:space="0" w:color="auto"/>
              <w:right w:val="nil"/>
            </w:tcBorders>
            <w:shd w:val="clear" w:color="000000" w:fill="FFFFFF"/>
            <w:vAlign w:val="center"/>
            <w:hideMark/>
          </w:tcPr>
          <w:p w14:paraId="0D324FA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2,262,543,610 </w:t>
            </w:r>
          </w:p>
        </w:tc>
      </w:tr>
      <w:tr w:rsidR="00E23F6E" w:rsidRPr="001B6518" w14:paraId="371A771A"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0616EF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8.2.3.2</w:t>
            </w:r>
          </w:p>
        </w:tc>
        <w:tc>
          <w:tcPr>
            <w:tcW w:w="3773" w:type="pct"/>
            <w:tcBorders>
              <w:top w:val="nil"/>
              <w:left w:val="nil"/>
              <w:bottom w:val="single" w:sz="8" w:space="0" w:color="auto"/>
              <w:right w:val="single" w:sz="8" w:space="0" w:color="auto"/>
            </w:tcBorders>
            <w:shd w:val="clear" w:color="000000" w:fill="FFFFFF"/>
            <w:noWrap/>
            <w:vAlign w:val="center"/>
            <w:hideMark/>
          </w:tcPr>
          <w:p w14:paraId="64EBE548"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Fondo de Infraestructura Social para las Entidades (FISE)</w:t>
            </w:r>
          </w:p>
        </w:tc>
        <w:tc>
          <w:tcPr>
            <w:tcW w:w="745" w:type="pct"/>
            <w:tcBorders>
              <w:top w:val="nil"/>
              <w:left w:val="nil"/>
              <w:bottom w:val="single" w:sz="8" w:space="0" w:color="auto"/>
              <w:right w:val="nil"/>
            </w:tcBorders>
            <w:shd w:val="clear" w:color="000000" w:fill="FFFFFF"/>
            <w:vAlign w:val="center"/>
            <w:hideMark/>
          </w:tcPr>
          <w:p w14:paraId="48C7E14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312,082,001 </w:t>
            </w:r>
          </w:p>
        </w:tc>
      </w:tr>
      <w:tr w:rsidR="00E23F6E" w:rsidRPr="001B6518" w14:paraId="649C45CF"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D57E22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8.2.4</w:t>
            </w:r>
          </w:p>
        </w:tc>
        <w:tc>
          <w:tcPr>
            <w:tcW w:w="3773" w:type="pct"/>
            <w:tcBorders>
              <w:top w:val="nil"/>
              <w:left w:val="nil"/>
              <w:bottom w:val="single" w:sz="8" w:space="0" w:color="auto"/>
              <w:right w:val="single" w:sz="8" w:space="0" w:color="auto"/>
            </w:tcBorders>
            <w:shd w:val="clear" w:color="000000" w:fill="FFFFFF"/>
            <w:noWrap/>
            <w:vAlign w:val="center"/>
            <w:hideMark/>
          </w:tcPr>
          <w:p w14:paraId="7F8BFDD5"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Fondo de Aportaciones para el Fortalecimiento de los Municipios (FORTAMUN)</w:t>
            </w:r>
          </w:p>
        </w:tc>
        <w:tc>
          <w:tcPr>
            <w:tcW w:w="745" w:type="pct"/>
            <w:tcBorders>
              <w:top w:val="nil"/>
              <w:left w:val="nil"/>
              <w:bottom w:val="single" w:sz="8" w:space="0" w:color="auto"/>
              <w:right w:val="nil"/>
            </w:tcBorders>
            <w:shd w:val="clear" w:color="000000" w:fill="FFFFFF"/>
            <w:vAlign w:val="center"/>
            <w:hideMark/>
          </w:tcPr>
          <w:p w14:paraId="3895C46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2,473,048,597 </w:t>
            </w:r>
          </w:p>
        </w:tc>
      </w:tr>
      <w:tr w:rsidR="00E23F6E" w:rsidRPr="001B6518" w14:paraId="0ACD9287" w14:textId="77777777" w:rsidTr="00E23F6E">
        <w:trPr>
          <w:trHeight w:val="20"/>
        </w:trPr>
        <w:tc>
          <w:tcPr>
            <w:tcW w:w="482" w:type="pct"/>
            <w:tcBorders>
              <w:top w:val="nil"/>
              <w:left w:val="nil"/>
              <w:bottom w:val="single" w:sz="8" w:space="0" w:color="auto"/>
              <w:right w:val="single" w:sz="8" w:space="0" w:color="auto"/>
            </w:tcBorders>
            <w:vAlign w:val="center"/>
            <w:hideMark/>
          </w:tcPr>
          <w:p w14:paraId="5A2EFE59"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lastRenderedPageBreak/>
              <w:t>8.2.5</w:t>
            </w:r>
          </w:p>
        </w:tc>
        <w:tc>
          <w:tcPr>
            <w:tcW w:w="3773" w:type="pct"/>
            <w:tcBorders>
              <w:top w:val="nil"/>
              <w:left w:val="nil"/>
              <w:bottom w:val="single" w:sz="8" w:space="0" w:color="auto"/>
              <w:right w:val="single" w:sz="8" w:space="0" w:color="auto"/>
            </w:tcBorders>
            <w:noWrap/>
            <w:vAlign w:val="center"/>
            <w:hideMark/>
          </w:tcPr>
          <w:p w14:paraId="57E0889A"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Fondo de Aportaciones Múltiples (FAM)</w:t>
            </w:r>
          </w:p>
        </w:tc>
        <w:tc>
          <w:tcPr>
            <w:tcW w:w="745" w:type="pct"/>
            <w:tcBorders>
              <w:top w:val="nil"/>
              <w:left w:val="nil"/>
              <w:bottom w:val="single" w:sz="8" w:space="0" w:color="auto"/>
              <w:right w:val="nil"/>
            </w:tcBorders>
            <w:vAlign w:val="center"/>
            <w:hideMark/>
          </w:tcPr>
          <w:p w14:paraId="5BE567D7"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1,147,118,727 </w:t>
            </w:r>
          </w:p>
        </w:tc>
      </w:tr>
      <w:tr w:rsidR="00E23F6E" w:rsidRPr="001B6518" w14:paraId="5B8EF88A" w14:textId="77777777" w:rsidTr="00E23F6E">
        <w:trPr>
          <w:trHeight w:val="20"/>
        </w:trPr>
        <w:tc>
          <w:tcPr>
            <w:tcW w:w="482" w:type="pct"/>
            <w:tcBorders>
              <w:top w:val="nil"/>
              <w:left w:val="nil"/>
              <w:bottom w:val="single" w:sz="8" w:space="0" w:color="auto"/>
              <w:right w:val="single" w:sz="8" w:space="0" w:color="auto"/>
            </w:tcBorders>
            <w:vAlign w:val="center"/>
            <w:hideMark/>
          </w:tcPr>
          <w:p w14:paraId="0B7AFC58"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8.2.5.1</w:t>
            </w:r>
          </w:p>
        </w:tc>
        <w:tc>
          <w:tcPr>
            <w:tcW w:w="3773" w:type="pct"/>
            <w:tcBorders>
              <w:top w:val="nil"/>
              <w:left w:val="nil"/>
              <w:bottom w:val="single" w:sz="8" w:space="0" w:color="auto"/>
              <w:right w:val="single" w:sz="8" w:space="0" w:color="auto"/>
            </w:tcBorders>
            <w:noWrap/>
            <w:vAlign w:val="center"/>
            <w:hideMark/>
          </w:tcPr>
          <w:p w14:paraId="082F7165"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Infraestructura Educativa (FAM IE)</w:t>
            </w:r>
          </w:p>
        </w:tc>
        <w:tc>
          <w:tcPr>
            <w:tcW w:w="745" w:type="pct"/>
            <w:tcBorders>
              <w:top w:val="nil"/>
              <w:left w:val="nil"/>
              <w:bottom w:val="single" w:sz="8" w:space="0" w:color="auto"/>
              <w:right w:val="nil"/>
            </w:tcBorders>
            <w:vAlign w:val="center"/>
            <w:hideMark/>
          </w:tcPr>
          <w:p w14:paraId="1F1DF6BA"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703,810,062 </w:t>
            </w:r>
          </w:p>
        </w:tc>
      </w:tr>
      <w:tr w:rsidR="00E23F6E" w:rsidRPr="001B6518" w14:paraId="41570E65"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6E19E1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8.2.5.1.1</w:t>
            </w:r>
          </w:p>
        </w:tc>
        <w:tc>
          <w:tcPr>
            <w:tcW w:w="3773" w:type="pct"/>
            <w:tcBorders>
              <w:top w:val="nil"/>
              <w:left w:val="nil"/>
              <w:bottom w:val="single" w:sz="8" w:space="0" w:color="auto"/>
              <w:right w:val="single" w:sz="8" w:space="0" w:color="auto"/>
            </w:tcBorders>
            <w:shd w:val="clear" w:color="000000" w:fill="FFFFFF"/>
            <w:noWrap/>
            <w:vAlign w:val="center"/>
            <w:hideMark/>
          </w:tcPr>
          <w:p w14:paraId="687B085C"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Infraestructura Educativa Básica (FAM IE Básica)</w:t>
            </w:r>
          </w:p>
        </w:tc>
        <w:tc>
          <w:tcPr>
            <w:tcW w:w="745" w:type="pct"/>
            <w:tcBorders>
              <w:top w:val="nil"/>
              <w:left w:val="nil"/>
              <w:bottom w:val="single" w:sz="8" w:space="0" w:color="auto"/>
              <w:right w:val="nil"/>
            </w:tcBorders>
            <w:shd w:val="clear" w:color="000000" w:fill="FFFFFF"/>
            <w:vAlign w:val="center"/>
            <w:hideMark/>
          </w:tcPr>
          <w:p w14:paraId="52FCA51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346,988,707 </w:t>
            </w:r>
          </w:p>
        </w:tc>
      </w:tr>
      <w:tr w:rsidR="00E23F6E" w:rsidRPr="001B6518" w14:paraId="63C840C1"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3D00FC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8.2.5.1.2</w:t>
            </w:r>
          </w:p>
        </w:tc>
        <w:tc>
          <w:tcPr>
            <w:tcW w:w="3773" w:type="pct"/>
            <w:tcBorders>
              <w:top w:val="nil"/>
              <w:left w:val="nil"/>
              <w:bottom w:val="single" w:sz="8" w:space="0" w:color="auto"/>
              <w:right w:val="single" w:sz="8" w:space="0" w:color="auto"/>
            </w:tcBorders>
            <w:shd w:val="clear" w:color="000000" w:fill="FFFFFF"/>
            <w:noWrap/>
            <w:vAlign w:val="center"/>
            <w:hideMark/>
          </w:tcPr>
          <w:p w14:paraId="1FF961DE"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Infraestructura Educativa Media Superior (FAM IE Media Superior)</w:t>
            </w:r>
          </w:p>
        </w:tc>
        <w:tc>
          <w:tcPr>
            <w:tcW w:w="745" w:type="pct"/>
            <w:tcBorders>
              <w:top w:val="nil"/>
              <w:left w:val="nil"/>
              <w:bottom w:val="single" w:sz="8" w:space="0" w:color="auto"/>
              <w:right w:val="nil"/>
            </w:tcBorders>
            <w:shd w:val="clear" w:color="000000" w:fill="FFFFFF"/>
            <w:vAlign w:val="center"/>
            <w:hideMark/>
          </w:tcPr>
          <w:p w14:paraId="3D2C33B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19,621,371 </w:t>
            </w:r>
          </w:p>
        </w:tc>
      </w:tr>
      <w:tr w:rsidR="00E23F6E" w:rsidRPr="001B6518" w14:paraId="5275AC68"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469071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8.2.5.1.3</w:t>
            </w:r>
          </w:p>
        </w:tc>
        <w:tc>
          <w:tcPr>
            <w:tcW w:w="3773" w:type="pct"/>
            <w:tcBorders>
              <w:top w:val="nil"/>
              <w:left w:val="nil"/>
              <w:bottom w:val="single" w:sz="8" w:space="0" w:color="auto"/>
              <w:right w:val="single" w:sz="8" w:space="0" w:color="auto"/>
            </w:tcBorders>
            <w:shd w:val="clear" w:color="000000" w:fill="FFFFFF"/>
            <w:noWrap/>
            <w:vAlign w:val="center"/>
            <w:hideMark/>
          </w:tcPr>
          <w:p w14:paraId="1C415160"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Infraestructura Educativa Superior (FAM IE Superior)</w:t>
            </w:r>
          </w:p>
        </w:tc>
        <w:tc>
          <w:tcPr>
            <w:tcW w:w="745" w:type="pct"/>
            <w:tcBorders>
              <w:top w:val="nil"/>
              <w:left w:val="nil"/>
              <w:bottom w:val="single" w:sz="8" w:space="0" w:color="auto"/>
              <w:right w:val="nil"/>
            </w:tcBorders>
            <w:shd w:val="clear" w:color="000000" w:fill="FFFFFF"/>
            <w:vAlign w:val="center"/>
            <w:hideMark/>
          </w:tcPr>
          <w:p w14:paraId="10DB91D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337,199,984 </w:t>
            </w:r>
          </w:p>
        </w:tc>
      </w:tr>
      <w:tr w:rsidR="00E23F6E" w:rsidRPr="001B6518" w14:paraId="634F1844"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763F57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8.2.5.2</w:t>
            </w:r>
          </w:p>
        </w:tc>
        <w:tc>
          <w:tcPr>
            <w:tcW w:w="3773" w:type="pct"/>
            <w:tcBorders>
              <w:top w:val="nil"/>
              <w:left w:val="nil"/>
              <w:bottom w:val="single" w:sz="8" w:space="0" w:color="auto"/>
              <w:right w:val="single" w:sz="8" w:space="0" w:color="auto"/>
            </w:tcBorders>
            <w:shd w:val="clear" w:color="000000" w:fill="FFFFFF"/>
            <w:noWrap/>
            <w:vAlign w:val="center"/>
            <w:hideMark/>
          </w:tcPr>
          <w:p w14:paraId="20CB937E"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Asistencia Social (FAM Asistencia Social)</w:t>
            </w:r>
          </w:p>
        </w:tc>
        <w:tc>
          <w:tcPr>
            <w:tcW w:w="745" w:type="pct"/>
            <w:tcBorders>
              <w:top w:val="nil"/>
              <w:left w:val="nil"/>
              <w:bottom w:val="single" w:sz="8" w:space="0" w:color="auto"/>
              <w:right w:val="nil"/>
            </w:tcBorders>
            <w:shd w:val="clear" w:color="000000" w:fill="FFFFFF"/>
            <w:vAlign w:val="center"/>
            <w:hideMark/>
          </w:tcPr>
          <w:p w14:paraId="3CE61F6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443,308,665 </w:t>
            </w:r>
          </w:p>
        </w:tc>
      </w:tr>
      <w:tr w:rsidR="00E23F6E" w:rsidRPr="001B6518" w14:paraId="7A60EF3E" w14:textId="77777777" w:rsidTr="00E23F6E">
        <w:trPr>
          <w:trHeight w:val="20"/>
        </w:trPr>
        <w:tc>
          <w:tcPr>
            <w:tcW w:w="482" w:type="pct"/>
            <w:tcBorders>
              <w:top w:val="nil"/>
              <w:left w:val="nil"/>
              <w:bottom w:val="single" w:sz="8" w:space="0" w:color="auto"/>
              <w:right w:val="single" w:sz="8" w:space="0" w:color="auto"/>
            </w:tcBorders>
            <w:vAlign w:val="center"/>
            <w:hideMark/>
          </w:tcPr>
          <w:p w14:paraId="6C62D9D8"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8.2.6</w:t>
            </w:r>
          </w:p>
        </w:tc>
        <w:tc>
          <w:tcPr>
            <w:tcW w:w="3773" w:type="pct"/>
            <w:tcBorders>
              <w:top w:val="nil"/>
              <w:left w:val="nil"/>
              <w:bottom w:val="single" w:sz="8" w:space="0" w:color="auto"/>
              <w:right w:val="single" w:sz="8" w:space="0" w:color="auto"/>
            </w:tcBorders>
            <w:noWrap/>
            <w:vAlign w:val="center"/>
            <w:hideMark/>
          </w:tcPr>
          <w:p w14:paraId="274C17F3"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Fondo de Aportaciones para la Educación Tecnológica y de Adultos (FAETA)</w:t>
            </w:r>
          </w:p>
        </w:tc>
        <w:tc>
          <w:tcPr>
            <w:tcW w:w="745" w:type="pct"/>
            <w:tcBorders>
              <w:top w:val="nil"/>
              <w:left w:val="nil"/>
              <w:bottom w:val="single" w:sz="8" w:space="0" w:color="auto"/>
              <w:right w:val="nil"/>
            </w:tcBorders>
            <w:vAlign w:val="center"/>
            <w:hideMark/>
          </w:tcPr>
          <w:p w14:paraId="2D3F8F15"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267,405,996 </w:t>
            </w:r>
          </w:p>
        </w:tc>
      </w:tr>
      <w:tr w:rsidR="00E23F6E" w:rsidRPr="001B6518" w14:paraId="274DA790"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3C71CD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8.2.6.1</w:t>
            </w:r>
          </w:p>
        </w:tc>
        <w:tc>
          <w:tcPr>
            <w:tcW w:w="3773" w:type="pct"/>
            <w:tcBorders>
              <w:top w:val="nil"/>
              <w:left w:val="nil"/>
              <w:bottom w:val="single" w:sz="8" w:space="0" w:color="auto"/>
              <w:right w:val="single" w:sz="8" w:space="0" w:color="auto"/>
            </w:tcBorders>
            <w:shd w:val="clear" w:color="000000" w:fill="FFFFFF"/>
            <w:noWrap/>
            <w:vAlign w:val="center"/>
            <w:hideMark/>
          </w:tcPr>
          <w:p w14:paraId="38A9BBDF"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FAETA Educación Tecnológica</w:t>
            </w:r>
          </w:p>
        </w:tc>
        <w:tc>
          <w:tcPr>
            <w:tcW w:w="745" w:type="pct"/>
            <w:tcBorders>
              <w:top w:val="nil"/>
              <w:left w:val="nil"/>
              <w:bottom w:val="single" w:sz="8" w:space="0" w:color="auto"/>
              <w:right w:val="nil"/>
            </w:tcBorders>
            <w:shd w:val="clear" w:color="000000" w:fill="FFFFFF"/>
            <w:vAlign w:val="center"/>
            <w:hideMark/>
          </w:tcPr>
          <w:p w14:paraId="62991F2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154,035,205 </w:t>
            </w:r>
          </w:p>
        </w:tc>
      </w:tr>
      <w:tr w:rsidR="00E23F6E" w:rsidRPr="001B6518" w14:paraId="3130EBA6"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9220B3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8.2.6.2</w:t>
            </w:r>
          </w:p>
        </w:tc>
        <w:tc>
          <w:tcPr>
            <w:tcW w:w="3773" w:type="pct"/>
            <w:tcBorders>
              <w:top w:val="nil"/>
              <w:left w:val="nil"/>
              <w:bottom w:val="single" w:sz="8" w:space="0" w:color="auto"/>
              <w:right w:val="single" w:sz="8" w:space="0" w:color="auto"/>
            </w:tcBorders>
            <w:shd w:val="clear" w:color="000000" w:fill="FFFFFF"/>
            <w:noWrap/>
            <w:vAlign w:val="center"/>
            <w:hideMark/>
          </w:tcPr>
          <w:p w14:paraId="5A1516E5"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FAETA Educación de Adultos</w:t>
            </w:r>
          </w:p>
        </w:tc>
        <w:tc>
          <w:tcPr>
            <w:tcW w:w="745" w:type="pct"/>
            <w:tcBorders>
              <w:top w:val="nil"/>
              <w:left w:val="nil"/>
              <w:bottom w:val="single" w:sz="8" w:space="0" w:color="auto"/>
              <w:right w:val="nil"/>
            </w:tcBorders>
            <w:shd w:val="clear" w:color="000000" w:fill="FFFFFF"/>
            <w:vAlign w:val="center"/>
            <w:hideMark/>
          </w:tcPr>
          <w:p w14:paraId="761C27D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113,370,791 </w:t>
            </w:r>
          </w:p>
        </w:tc>
      </w:tr>
      <w:tr w:rsidR="00E23F6E" w:rsidRPr="001B6518" w14:paraId="4F344350"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CCD0E0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8.2.7</w:t>
            </w:r>
          </w:p>
        </w:tc>
        <w:tc>
          <w:tcPr>
            <w:tcW w:w="3773" w:type="pct"/>
            <w:tcBorders>
              <w:top w:val="nil"/>
              <w:left w:val="nil"/>
              <w:bottom w:val="single" w:sz="8" w:space="0" w:color="auto"/>
              <w:right w:val="single" w:sz="8" w:space="0" w:color="auto"/>
            </w:tcBorders>
            <w:shd w:val="clear" w:color="000000" w:fill="FFFFFF"/>
            <w:noWrap/>
            <w:vAlign w:val="center"/>
            <w:hideMark/>
          </w:tcPr>
          <w:p w14:paraId="21A10541"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Fondo de Aportaciones para la Seguridad Pública (FASP)</w:t>
            </w:r>
          </w:p>
        </w:tc>
        <w:tc>
          <w:tcPr>
            <w:tcW w:w="745" w:type="pct"/>
            <w:tcBorders>
              <w:top w:val="nil"/>
              <w:left w:val="nil"/>
              <w:bottom w:val="single" w:sz="8" w:space="0" w:color="auto"/>
              <w:right w:val="nil"/>
            </w:tcBorders>
            <w:shd w:val="clear" w:color="000000" w:fill="FFFFFF"/>
            <w:vAlign w:val="center"/>
            <w:hideMark/>
          </w:tcPr>
          <w:p w14:paraId="3953641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221,350,744 </w:t>
            </w:r>
          </w:p>
        </w:tc>
      </w:tr>
      <w:tr w:rsidR="00E23F6E" w:rsidRPr="001B6518" w14:paraId="3BF5AFD3"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307364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8.2.8</w:t>
            </w:r>
          </w:p>
        </w:tc>
        <w:tc>
          <w:tcPr>
            <w:tcW w:w="3773" w:type="pct"/>
            <w:tcBorders>
              <w:top w:val="nil"/>
              <w:left w:val="nil"/>
              <w:bottom w:val="single" w:sz="8" w:space="0" w:color="auto"/>
              <w:right w:val="single" w:sz="8" w:space="0" w:color="auto"/>
            </w:tcBorders>
            <w:shd w:val="clear" w:color="000000" w:fill="FFFFFF"/>
            <w:noWrap/>
            <w:vAlign w:val="center"/>
            <w:hideMark/>
          </w:tcPr>
          <w:p w14:paraId="66BABA1A"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Fondo de Aportaciones para el Fortalecimiento de las Entidades Federativas (FAFEF)</w:t>
            </w:r>
          </w:p>
        </w:tc>
        <w:tc>
          <w:tcPr>
            <w:tcW w:w="745" w:type="pct"/>
            <w:tcBorders>
              <w:top w:val="nil"/>
              <w:left w:val="nil"/>
              <w:bottom w:val="single" w:sz="8" w:space="0" w:color="auto"/>
              <w:right w:val="nil"/>
            </w:tcBorders>
            <w:shd w:val="clear" w:color="000000" w:fill="FFFFFF"/>
            <w:vAlign w:val="center"/>
            <w:hideMark/>
          </w:tcPr>
          <w:p w14:paraId="2482760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1,376,562,875 </w:t>
            </w:r>
          </w:p>
        </w:tc>
      </w:tr>
      <w:tr w:rsidR="00E23F6E" w:rsidRPr="001B6518" w14:paraId="3A0CE1BE" w14:textId="77777777" w:rsidTr="00E23F6E">
        <w:trPr>
          <w:trHeight w:val="20"/>
        </w:trPr>
        <w:tc>
          <w:tcPr>
            <w:tcW w:w="482" w:type="pct"/>
            <w:tcBorders>
              <w:top w:val="nil"/>
              <w:left w:val="nil"/>
              <w:bottom w:val="single" w:sz="8" w:space="0" w:color="auto"/>
              <w:right w:val="single" w:sz="8" w:space="0" w:color="auto"/>
            </w:tcBorders>
            <w:shd w:val="clear" w:color="000000" w:fill="ABABAB"/>
            <w:noWrap/>
            <w:vAlign w:val="center"/>
            <w:hideMark/>
          </w:tcPr>
          <w:p w14:paraId="5B66F29D"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8.3</w:t>
            </w:r>
          </w:p>
        </w:tc>
        <w:tc>
          <w:tcPr>
            <w:tcW w:w="3773" w:type="pct"/>
            <w:tcBorders>
              <w:top w:val="nil"/>
              <w:left w:val="nil"/>
              <w:bottom w:val="single" w:sz="8" w:space="0" w:color="auto"/>
              <w:right w:val="single" w:sz="8" w:space="0" w:color="auto"/>
            </w:tcBorders>
            <w:shd w:val="clear" w:color="000000" w:fill="ABABAB"/>
            <w:noWrap/>
            <w:vAlign w:val="center"/>
            <w:hideMark/>
          </w:tcPr>
          <w:p w14:paraId="17765D62"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Convenios</w:t>
            </w:r>
          </w:p>
        </w:tc>
        <w:tc>
          <w:tcPr>
            <w:tcW w:w="745" w:type="pct"/>
            <w:tcBorders>
              <w:top w:val="nil"/>
              <w:left w:val="nil"/>
              <w:bottom w:val="single" w:sz="8" w:space="0" w:color="auto"/>
              <w:right w:val="nil"/>
            </w:tcBorders>
            <w:shd w:val="clear" w:color="000000" w:fill="ABABAB"/>
            <w:vAlign w:val="center"/>
            <w:hideMark/>
          </w:tcPr>
          <w:p w14:paraId="32E9451B"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3,691,435,931 </w:t>
            </w:r>
          </w:p>
        </w:tc>
      </w:tr>
      <w:tr w:rsidR="00E23F6E" w:rsidRPr="001B6518" w14:paraId="3A9BBE46" w14:textId="77777777" w:rsidTr="00E23F6E">
        <w:trPr>
          <w:trHeight w:val="20"/>
        </w:trPr>
        <w:tc>
          <w:tcPr>
            <w:tcW w:w="482" w:type="pct"/>
            <w:tcBorders>
              <w:top w:val="nil"/>
              <w:left w:val="nil"/>
              <w:bottom w:val="single" w:sz="8" w:space="0" w:color="auto"/>
              <w:right w:val="single" w:sz="8" w:space="0" w:color="auto"/>
            </w:tcBorders>
            <w:shd w:val="clear" w:color="000000" w:fill="D9D9D9"/>
            <w:vAlign w:val="center"/>
            <w:hideMark/>
          </w:tcPr>
          <w:p w14:paraId="1B3D1410"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8.3.1</w:t>
            </w:r>
          </w:p>
        </w:tc>
        <w:tc>
          <w:tcPr>
            <w:tcW w:w="3773" w:type="pct"/>
            <w:tcBorders>
              <w:top w:val="nil"/>
              <w:left w:val="nil"/>
              <w:bottom w:val="single" w:sz="8" w:space="0" w:color="auto"/>
              <w:right w:val="single" w:sz="8" w:space="0" w:color="auto"/>
            </w:tcBorders>
            <w:shd w:val="clear" w:color="000000" w:fill="D9D9D9"/>
            <w:noWrap/>
            <w:vAlign w:val="center"/>
            <w:hideMark/>
          </w:tcPr>
          <w:p w14:paraId="11375BB8"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Salud</w:t>
            </w:r>
          </w:p>
        </w:tc>
        <w:tc>
          <w:tcPr>
            <w:tcW w:w="745" w:type="pct"/>
            <w:tcBorders>
              <w:top w:val="nil"/>
              <w:left w:val="nil"/>
              <w:bottom w:val="single" w:sz="8" w:space="0" w:color="auto"/>
              <w:right w:val="nil"/>
            </w:tcBorders>
            <w:shd w:val="clear" w:color="000000" w:fill="D9D9D9"/>
            <w:vAlign w:val="center"/>
            <w:hideMark/>
          </w:tcPr>
          <w:p w14:paraId="13C65446"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974,282,247 </w:t>
            </w:r>
          </w:p>
        </w:tc>
      </w:tr>
      <w:tr w:rsidR="00E23F6E" w:rsidRPr="001B6518" w14:paraId="2CC5813B"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3DF49C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8.3.1.1</w:t>
            </w:r>
          </w:p>
        </w:tc>
        <w:tc>
          <w:tcPr>
            <w:tcW w:w="3773" w:type="pct"/>
            <w:tcBorders>
              <w:top w:val="nil"/>
              <w:left w:val="nil"/>
              <w:bottom w:val="single" w:sz="8" w:space="0" w:color="auto"/>
              <w:right w:val="single" w:sz="8" w:space="0" w:color="auto"/>
            </w:tcBorders>
            <w:shd w:val="clear" w:color="000000" w:fill="FFFFFF"/>
            <w:noWrap/>
            <w:vAlign w:val="center"/>
            <w:hideMark/>
          </w:tcPr>
          <w:p w14:paraId="281E935D"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Protección contra riesgos sanitarios y regulación sanitaria en establecimientos médicos</w:t>
            </w:r>
          </w:p>
        </w:tc>
        <w:tc>
          <w:tcPr>
            <w:tcW w:w="745" w:type="pct"/>
            <w:tcBorders>
              <w:top w:val="nil"/>
              <w:left w:val="nil"/>
              <w:bottom w:val="single" w:sz="8" w:space="0" w:color="auto"/>
              <w:right w:val="nil"/>
            </w:tcBorders>
            <w:shd w:val="clear" w:color="000000" w:fill="FFFFFF"/>
            <w:vAlign w:val="center"/>
            <w:hideMark/>
          </w:tcPr>
          <w:p w14:paraId="38082D7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5,170,455 </w:t>
            </w:r>
          </w:p>
        </w:tc>
      </w:tr>
      <w:tr w:rsidR="00E23F6E" w:rsidRPr="001B6518" w14:paraId="0C9F7F10"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FFB7B1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8.3.1.2</w:t>
            </w:r>
          </w:p>
        </w:tc>
        <w:tc>
          <w:tcPr>
            <w:tcW w:w="3773" w:type="pct"/>
            <w:tcBorders>
              <w:top w:val="nil"/>
              <w:left w:val="nil"/>
              <w:bottom w:val="single" w:sz="8" w:space="0" w:color="auto"/>
              <w:right w:val="single" w:sz="8" w:space="0" w:color="auto"/>
            </w:tcBorders>
            <w:shd w:val="clear" w:color="000000" w:fill="FFFFFF"/>
            <w:noWrap/>
            <w:vAlign w:val="center"/>
            <w:hideMark/>
          </w:tcPr>
          <w:p w14:paraId="5DAE0635"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Servicios de atención a la salud mental y prevención de las adicciones - Comisión Nacional de Salud Mental y Adicciones</w:t>
            </w:r>
          </w:p>
        </w:tc>
        <w:tc>
          <w:tcPr>
            <w:tcW w:w="745" w:type="pct"/>
            <w:tcBorders>
              <w:top w:val="nil"/>
              <w:left w:val="nil"/>
              <w:bottom w:val="single" w:sz="8" w:space="0" w:color="auto"/>
              <w:right w:val="nil"/>
            </w:tcBorders>
            <w:shd w:val="clear" w:color="000000" w:fill="FFFFFF"/>
            <w:vAlign w:val="center"/>
            <w:hideMark/>
          </w:tcPr>
          <w:p w14:paraId="78310BD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3,523,454 </w:t>
            </w:r>
          </w:p>
        </w:tc>
      </w:tr>
      <w:tr w:rsidR="00E23F6E" w:rsidRPr="001B6518" w14:paraId="33CD86D6"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DDA416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8.3.1.3</w:t>
            </w:r>
          </w:p>
        </w:tc>
        <w:tc>
          <w:tcPr>
            <w:tcW w:w="3773" w:type="pct"/>
            <w:tcBorders>
              <w:top w:val="nil"/>
              <w:left w:val="nil"/>
              <w:bottom w:val="single" w:sz="8" w:space="0" w:color="auto"/>
              <w:right w:val="single" w:sz="8" w:space="0" w:color="auto"/>
            </w:tcBorders>
            <w:shd w:val="clear" w:color="000000" w:fill="FFFFFF"/>
            <w:noWrap/>
            <w:vAlign w:val="center"/>
            <w:hideMark/>
          </w:tcPr>
          <w:p w14:paraId="190B2BC3"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Servicios de protección y asistencia social integral</w:t>
            </w:r>
          </w:p>
        </w:tc>
        <w:tc>
          <w:tcPr>
            <w:tcW w:w="745" w:type="pct"/>
            <w:tcBorders>
              <w:top w:val="nil"/>
              <w:left w:val="nil"/>
              <w:bottom w:val="single" w:sz="8" w:space="0" w:color="auto"/>
              <w:right w:val="nil"/>
            </w:tcBorders>
            <w:shd w:val="clear" w:color="000000" w:fill="FFFFFF"/>
            <w:vAlign w:val="center"/>
            <w:hideMark/>
          </w:tcPr>
          <w:p w14:paraId="5C9AA58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46,200,978 </w:t>
            </w:r>
          </w:p>
        </w:tc>
      </w:tr>
      <w:tr w:rsidR="00E23F6E" w:rsidRPr="001B6518" w14:paraId="54A1A3FD"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EBA823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8.3.1.4</w:t>
            </w:r>
          </w:p>
        </w:tc>
        <w:tc>
          <w:tcPr>
            <w:tcW w:w="3773" w:type="pct"/>
            <w:tcBorders>
              <w:top w:val="nil"/>
              <w:left w:val="nil"/>
              <w:bottom w:val="single" w:sz="8" w:space="0" w:color="auto"/>
              <w:right w:val="single" w:sz="8" w:space="0" w:color="auto"/>
            </w:tcBorders>
            <w:shd w:val="clear" w:color="000000" w:fill="FFFFFF"/>
            <w:noWrap/>
            <w:vAlign w:val="center"/>
            <w:hideMark/>
          </w:tcPr>
          <w:p w14:paraId="0421E328"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Programa de Atención a Personas con Discapacidad</w:t>
            </w:r>
          </w:p>
        </w:tc>
        <w:tc>
          <w:tcPr>
            <w:tcW w:w="745" w:type="pct"/>
            <w:tcBorders>
              <w:top w:val="nil"/>
              <w:left w:val="nil"/>
              <w:bottom w:val="single" w:sz="8" w:space="0" w:color="auto"/>
              <w:right w:val="nil"/>
            </w:tcBorders>
            <w:shd w:val="clear" w:color="000000" w:fill="FFFFFF"/>
            <w:vAlign w:val="center"/>
            <w:hideMark/>
          </w:tcPr>
          <w:p w14:paraId="2314162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1,393,805 </w:t>
            </w:r>
          </w:p>
        </w:tc>
      </w:tr>
      <w:tr w:rsidR="00E23F6E" w:rsidRPr="001B6518" w14:paraId="41D58782"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81CFCF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8.3.1.5</w:t>
            </w:r>
          </w:p>
        </w:tc>
        <w:tc>
          <w:tcPr>
            <w:tcW w:w="3773" w:type="pct"/>
            <w:tcBorders>
              <w:top w:val="nil"/>
              <w:left w:val="nil"/>
              <w:bottom w:val="single" w:sz="8" w:space="0" w:color="auto"/>
              <w:right w:val="single" w:sz="8" w:space="0" w:color="auto"/>
            </w:tcBorders>
            <w:shd w:val="clear" w:color="000000" w:fill="FFFFFF"/>
            <w:noWrap/>
            <w:vAlign w:val="center"/>
            <w:hideMark/>
          </w:tcPr>
          <w:p w14:paraId="6B22A58A"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Acciones en materia de Salud Pública en las Entidades Federativas (SANAS)</w:t>
            </w:r>
          </w:p>
        </w:tc>
        <w:tc>
          <w:tcPr>
            <w:tcW w:w="745" w:type="pct"/>
            <w:tcBorders>
              <w:top w:val="nil"/>
              <w:left w:val="nil"/>
              <w:bottom w:val="single" w:sz="8" w:space="0" w:color="auto"/>
              <w:right w:val="nil"/>
            </w:tcBorders>
            <w:shd w:val="clear" w:color="000000" w:fill="FFFFFF"/>
            <w:vAlign w:val="center"/>
            <w:hideMark/>
          </w:tcPr>
          <w:p w14:paraId="2B35965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71,807,232 </w:t>
            </w:r>
          </w:p>
        </w:tc>
      </w:tr>
      <w:tr w:rsidR="00E23F6E" w:rsidRPr="001B6518" w14:paraId="78291A37"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7BC626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8.3.1.6</w:t>
            </w:r>
          </w:p>
        </w:tc>
        <w:tc>
          <w:tcPr>
            <w:tcW w:w="3773" w:type="pct"/>
            <w:tcBorders>
              <w:top w:val="nil"/>
              <w:left w:val="nil"/>
              <w:bottom w:val="single" w:sz="8" w:space="0" w:color="auto"/>
              <w:right w:val="single" w:sz="8" w:space="0" w:color="auto"/>
            </w:tcBorders>
            <w:shd w:val="clear" w:color="000000" w:fill="FFFFFF"/>
            <w:noWrap/>
            <w:vAlign w:val="center"/>
            <w:hideMark/>
          </w:tcPr>
          <w:p w14:paraId="511759D6"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Atención a la salud y medicamentos gratuitos para la población sin seguridad social laboral - IMSS-BIENESTAR</w:t>
            </w:r>
          </w:p>
        </w:tc>
        <w:tc>
          <w:tcPr>
            <w:tcW w:w="745" w:type="pct"/>
            <w:tcBorders>
              <w:top w:val="nil"/>
              <w:left w:val="nil"/>
              <w:bottom w:val="single" w:sz="8" w:space="0" w:color="auto"/>
              <w:right w:val="nil"/>
            </w:tcBorders>
            <w:shd w:val="clear" w:color="000000" w:fill="FFFFFF"/>
            <w:vAlign w:val="center"/>
            <w:hideMark/>
          </w:tcPr>
          <w:p w14:paraId="07DE59D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842,025,071 </w:t>
            </w:r>
          </w:p>
        </w:tc>
      </w:tr>
      <w:tr w:rsidR="00E23F6E" w:rsidRPr="001B6518" w14:paraId="42FC1233"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BDFA80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8.3.1.7</w:t>
            </w:r>
          </w:p>
        </w:tc>
        <w:tc>
          <w:tcPr>
            <w:tcW w:w="3773" w:type="pct"/>
            <w:tcBorders>
              <w:top w:val="nil"/>
              <w:left w:val="nil"/>
              <w:bottom w:val="single" w:sz="8" w:space="0" w:color="auto"/>
              <w:right w:val="single" w:sz="8" w:space="0" w:color="auto"/>
            </w:tcBorders>
            <w:shd w:val="clear" w:color="000000" w:fill="FFFFFF"/>
            <w:noWrap/>
            <w:vAlign w:val="center"/>
            <w:hideMark/>
          </w:tcPr>
          <w:p w14:paraId="2E3D7AFE"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Fortalecimiento a la Atención Médica - Unidades Médicas Móviles (Caravanas)</w:t>
            </w:r>
          </w:p>
        </w:tc>
        <w:tc>
          <w:tcPr>
            <w:tcW w:w="745" w:type="pct"/>
            <w:tcBorders>
              <w:top w:val="nil"/>
              <w:left w:val="nil"/>
              <w:bottom w:val="single" w:sz="8" w:space="0" w:color="auto"/>
              <w:right w:val="nil"/>
            </w:tcBorders>
            <w:shd w:val="clear" w:color="000000" w:fill="FFFFFF"/>
            <w:vAlign w:val="center"/>
            <w:hideMark/>
          </w:tcPr>
          <w:p w14:paraId="07A43E7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4,161,252 </w:t>
            </w:r>
          </w:p>
        </w:tc>
      </w:tr>
      <w:tr w:rsidR="00E23F6E" w:rsidRPr="001B6518" w14:paraId="09A501F5"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B52FB4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8.3.1.8</w:t>
            </w:r>
          </w:p>
        </w:tc>
        <w:tc>
          <w:tcPr>
            <w:tcW w:w="3773" w:type="pct"/>
            <w:tcBorders>
              <w:top w:val="nil"/>
              <w:left w:val="nil"/>
              <w:bottom w:val="single" w:sz="8" w:space="0" w:color="auto"/>
              <w:right w:val="single" w:sz="8" w:space="0" w:color="auto"/>
            </w:tcBorders>
            <w:shd w:val="clear" w:color="000000" w:fill="FFFFFF"/>
            <w:noWrap/>
            <w:vAlign w:val="center"/>
            <w:hideMark/>
          </w:tcPr>
          <w:p w14:paraId="197DC674"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Otros Convenios Salud</w:t>
            </w:r>
          </w:p>
        </w:tc>
        <w:tc>
          <w:tcPr>
            <w:tcW w:w="745" w:type="pct"/>
            <w:tcBorders>
              <w:top w:val="nil"/>
              <w:left w:val="nil"/>
              <w:bottom w:val="single" w:sz="8" w:space="0" w:color="auto"/>
              <w:right w:val="nil"/>
            </w:tcBorders>
            <w:shd w:val="clear" w:color="000000" w:fill="FFFFFF"/>
            <w:vAlign w:val="center"/>
            <w:hideMark/>
          </w:tcPr>
          <w:p w14:paraId="093321D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649DA9B9" w14:textId="77777777" w:rsidTr="00E23F6E">
        <w:trPr>
          <w:trHeight w:val="20"/>
        </w:trPr>
        <w:tc>
          <w:tcPr>
            <w:tcW w:w="482" w:type="pct"/>
            <w:tcBorders>
              <w:top w:val="nil"/>
              <w:left w:val="nil"/>
              <w:bottom w:val="single" w:sz="8" w:space="0" w:color="auto"/>
              <w:right w:val="single" w:sz="8" w:space="0" w:color="auto"/>
            </w:tcBorders>
            <w:shd w:val="clear" w:color="000000" w:fill="D9D9D9"/>
            <w:vAlign w:val="center"/>
            <w:hideMark/>
          </w:tcPr>
          <w:p w14:paraId="1A48BBDE"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8.3.2</w:t>
            </w:r>
          </w:p>
        </w:tc>
        <w:tc>
          <w:tcPr>
            <w:tcW w:w="3773" w:type="pct"/>
            <w:tcBorders>
              <w:top w:val="nil"/>
              <w:left w:val="nil"/>
              <w:bottom w:val="single" w:sz="8" w:space="0" w:color="auto"/>
              <w:right w:val="single" w:sz="8" w:space="0" w:color="auto"/>
            </w:tcBorders>
            <w:shd w:val="clear" w:color="000000" w:fill="D9D9D9"/>
            <w:noWrap/>
            <w:vAlign w:val="center"/>
            <w:hideMark/>
          </w:tcPr>
          <w:p w14:paraId="735BFF66"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Educación</w:t>
            </w:r>
          </w:p>
        </w:tc>
        <w:tc>
          <w:tcPr>
            <w:tcW w:w="745" w:type="pct"/>
            <w:tcBorders>
              <w:top w:val="nil"/>
              <w:left w:val="nil"/>
              <w:bottom w:val="single" w:sz="8" w:space="0" w:color="auto"/>
              <w:right w:val="nil"/>
            </w:tcBorders>
            <w:shd w:val="clear" w:color="000000" w:fill="D9D9D9"/>
            <w:vAlign w:val="center"/>
            <w:hideMark/>
          </w:tcPr>
          <w:p w14:paraId="2B61DE66"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2,458,970,727 </w:t>
            </w:r>
          </w:p>
        </w:tc>
      </w:tr>
      <w:tr w:rsidR="00E23F6E" w:rsidRPr="001B6518" w14:paraId="02BB7B28"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F8500A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8.3.2.1</w:t>
            </w:r>
          </w:p>
        </w:tc>
        <w:tc>
          <w:tcPr>
            <w:tcW w:w="3773" w:type="pct"/>
            <w:tcBorders>
              <w:top w:val="nil"/>
              <w:left w:val="nil"/>
              <w:bottom w:val="single" w:sz="8" w:space="0" w:color="auto"/>
              <w:right w:val="single" w:sz="8" w:space="0" w:color="auto"/>
            </w:tcBorders>
            <w:shd w:val="clear" w:color="000000" w:fill="FFFFFF"/>
            <w:noWrap/>
            <w:vAlign w:val="center"/>
            <w:hideMark/>
          </w:tcPr>
          <w:p w14:paraId="7C774728"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Apoyos a centros y organizaciones de educación (U080)</w:t>
            </w:r>
          </w:p>
        </w:tc>
        <w:tc>
          <w:tcPr>
            <w:tcW w:w="745" w:type="pct"/>
            <w:tcBorders>
              <w:top w:val="nil"/>
              <w:left w:val="nil"/>
              <w:bottom w:val="single" w:sz="8" w:space="0" w:color="auto"/>
              <w:right w:val="nil"/>
            </w:tcBorders>
            <w:shd w:val="clear" w:color="000000" w:fill="FFFFFF"/>
            <w:vAlign w:val="center"/>
            <w:hideMark/>
          </w:tcPr>
          <w:p w14:paraId="06F1BBB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1,350,000,000 </w:t>
            </w:r>
          </w:p>
        </w:tc>
      </w:tr>
      <w:tr w:rsidR="00E23F6E" w:rsidRPr="001B6518" w14:paraId="55E160D8"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D7063E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8.3.2.2</w:t>
            </w:r>
          </w:p>
        </w:tc>
        <w:tc>
          <w:tcPr>
            <w:tcW w:w="3773" w:type="pct"/>
            <w:tcBorders>
              <w:top w:val="nil"/>
              <w:left w:val="nil"/>
              <w:bottom w:val="single" w:sz="8" w:space="0" w:color="auto"/>
              <w:right w:val="single" w:sz="8" w:space="0" w:color="auto"/>
            </w:tcBorders>
            <w:shd w:val="clear" w:color="000000" w:fill="FFFFFF"/>
            <w:noWrap/>
            <w:vAlign w:val="center"/>
            <w:hideMark/>
          </w:tcPr>
          <w:p w14:paraId="0BB6765C"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Subsidios para organismos descentralizados estatales - DGESUI - Universidad de Oriente</w:t>
            </w:r>
          </w:p>
        </w:tc>
        <w:tc>
          <w:tcPr>
            <w:tcW w:w="745" w:type="pct"/>
            <w:tcBorders>
              <w:top w:val="nil"/>
              <w:left w:val="nil"/>
              <w:bottom w:val="single" w:sz="8" w:space="0" w:color="auto"/>
              <w:right w:val="nil"/>
            </w:tcBorders>
            <w:shd w:val="clear" w:color="000000" w:fill="FFFFFF"/>
            <w:vAlign w:val="center"/>
            <w:hideMark/>
          </w:tcPr>
          <w:p w14:paraId="71E76A2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20,056,183 </w:t>
            </w:r>
          </w:p>
        </w:tc>
      </w:tr>
      <w:tr w:rsidR="00E23F6E" w:rsidRPr="001B6518" w14:paraId="1DB5F542"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24D1B4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8.3.2.3</w:t>
            </w:r>
          </w:p>
        </w:tc>
        <w:tc>
          <w:tcPr>
            <w:tcW w:w="3773" w:type="pct"/>
            <w:tcBorders>
              <w:top w:val="nil"/>
              <w:left w:val="nil"/>
              <w:bottom w:val="single" w:sz="8" w:space="0" w:color="auto"/>
              <w:right w:val="single" w:sz="8" w:space="0" w:color="auto"/>
            </w:tcBorders>
            <w:shd w:val="clear" w:color="000000" w:fill="FFFFFF"/>
            <w:noWrap/>
            <w:vAlign w:val="center"/>
            <w:hideMark/>
          </w:tcPr>
          <w:p w14:paraId="231D5B33"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Subsidios para organismos descentralizados estatales - TNM - Institutos tecnológicos</w:t>
            </w:r>
          </w:p>
        </w:tc>
        <w:tc>
          <w:tcPr>
            <w:tcW w:w="745" w:type="pct"/>
            <w:tcBorders>
              <w:top w:val="nil"/>
              <w:left w:val="nil"/>
              <w:bottom w:val="single" w:sz="8" w:space="0" w:color="auto"/>
              <w:right w:val="nil"/>
            </w:tcBorders>
            <w:shd w:val="clear" w:color="000000" w:fill="FFFFFF"/>
            <w:vAlign w:val="center"/>
            <w:hideMark/>
          </w:tcPr>
          <w:p w14:paraId="3840818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139,656,984 </w:t>
            </w:r>
          </w:p>
        </w:tc>
      </w:tr>
      <w:tr w:rsidR="00E23F6E" w:rsidRPr="001B6518" w14:paraId="1DB691D0"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88E96F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8.3.2.4</w:t>
            </w:r>
          </w:p>
        </w:tc>
        <w:tc>
          <w:tcPr>
            <w:tcW w:w="3773" w:type="pct"/>
            <w:tcBorders>
              <w:top w:val="nil"/>
              <w:left w:val="nil"/>
              <w:bottom w:val="single" w:sz="8" w:space="0" w:color="auto"/>
              <w:right w:val="single" w:sz="8" w:space="0" w:color="auto"/>
            </w:tcBorders>
            <w:shd w:val="clear" w:color="000000" w:fill="FFFFFF"/>
            <w:noWrap/>
            <w:vAlign w:val="center"/>
            <w:hideMark/>
          </w:tcPr>
          <w:p w14:paraId="4141EE66"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Subsidios para organismos descentralizados estatales - DGUTP - Universidad Politécnica del Estado de Yucatán</w:t>
            </w:r>
          </w:p>
        </w:tc>
        <w:tc>
          <w:tcPr>
            <w:tcW w:w="745" w:type="pct"/>
            <w:tcBorders>
              <w:top w:val="nil"/>
              <w:left w:val="nil"/>
              <w:bottom w:val="single" w:sz="8" w:space="0" w:color="auto"/>
              <w:right w:val="nil"/>
            </w:tcBorders>
            <w:shd w:val="clear" w:color="000000" w:fill="FFFFFF"/>
            <w:vAlign w:val="center"/>
            <w:hideMark/>
          </w:tcPr>
          <w:p w14:paraId="19639E2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5,887,142 </w:t>
            </w:r>
          </w:p>
        </w:tc>
      </w:tr>
      <w:tr w:rsidR="00E23F6E" w:rsidRPr="001B6518" w14:paraId="5F750652"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0049E0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8.3.2.5</w:t>
            </w:r>
          </w:p>
        </w:tc>
        <w:tc>
          <w:tcPr>
            <w:tcW w:w="3773" w:type="pct"/>
            <w:tcBorders>
              <w:top w:val="nil"/>
              <w:left w:val="nil"/>
              <w:bottom w:val="single" w:sz="8" w:space="0" w:color="auto"/>
              <w:right w:val="single" w:sz="8" w:space="0" w:color="auto"/>
            </w:tcBorders>
            <w:shd w:val="clear" w:color="000000" w:fill="FFFFFF"/>
            <w:noWrap/>
            <w:vAlign w:val="center"/>
            <w:hideMark/>
          </w:tcPr>
          <w:p w14:paraId="4C2F0E44"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Subsidios para organismos descentralizados estatales - DGUTP - Universidad Tecnológica del Centro</w:t>
            </w:r>
          </w:p>
        </w:tc>
        <w:tc>
          <w:tcPr>
            <w:tcW w:w="745" w:type="pct"/>
            <w:tcBorders>
              <w:top w:val="nil"/>
              <w:left w:val="nil"/>
              <w:bottom w:val="single" w:sz="8" w:space="0" w:color="auto"/>
              <w:right w:val="nil"/>
            </w:tcBorders>
            <w:shd w:val="clear" w:color="000000" w:fill="FFFFFF"/>
            <w:vAlign w:val="center"/>
            <w:hideMark/>
          </w:tcPr>
          <w:p w14:paraId="4443287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11,823,952 </w:t>
            </w:r>
          </w:p>
        </w:tc>
      </w:tr>
      <w:tr w:rsidR="00E23F6E" w:rsidRPr="001B6518" w14:paraId="0974810B"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780597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8.3.2.6</w:t>
            </w:r>
          </w:p>
        </w:tc>
        <w:tc>
          <w:tcPr>
            <w:tcW w:w="3773" w:type="pct"/>
            <w:tcBorders>
              <w:top w:val="nil"/>
              <w:left w:val="nil"/>
              <w:bottom w:val="single" w:sz="8" w:space="0" w:color="auto"/>
              <w:right w:val="single" w:sz="8" w:space="0" w:color="auto"/>
            </w:tcBorders>
            <w:shd w:val="clear" w:color="000000" w:fill="FFFFFF"/>
            <w:noWrap/>
            <w:vAlign w:val="center"/>
            <w:hideMark/>
          </w:tcPr>
          <w:p w14:paraId="01F63196"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Subsidios para organismos descentralizados estatales - DGUTP - Universidad Tecnológica del Mayab</w:t>
            </w:r>
          </w:p>
        </w:tc>
        <w:tc>
          <w:tcPr>
            <w:tcW w:w="745" w:type="pct"/>
            <w:tcBorders>
              <w:top w:val="nil"/>
              <w:left w:val="nil"/>
              <w:bottom w:val="single" w:sz="8" w:space="0" w:color="auto"/>
              <w:right w:val="nil"/>
            </w:tcBorders>
            <w:shd w:val="clear" w:color="000000" w:fill="FFFFFF"/>
            <w:vAlign w:val="center"/>
            <w:hideMark/>
          </w:tcPr>
          <w:p w14:paraId="5CD8EFC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13,400,833 </w:t>
            </w:r>
          </w:p>
        </w:tc>
      </w:tr>
      <w:tr w:rsidR="00E23F6E" w:rsidRPr="001B6518" w14:paraId="0819A9CB"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58726E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8.3.2.7</w:t>
            </w:r>
          </w:p>
        </w:tc>
        <w:tc>
          <w:tcPr>
            <w:tcW w:w="3773" w:type="pct"/>
            <w:tcBorders>
              <w:top w:val="nil"/>
              <w:left w:val="nil"/>
              <w:bottom w:val="single" w:sz="8" w:space="0" w:color="auto"/>
              <w:right w:val="single" w:sz="8" w:space="0" w:color="auto"/>
            </w:tcBorders>
            <w:shd w:val="clear" w:color="000000" w:fill="FFFFFF"/>
            <w:noWrap/>
            <w:vAlign w:val="center"/>
            <w:hideMark/>
          </w:tcPr>
          <w:p w14:paraId="3CEBAC87"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Subsidios para organismos descentralizados estatales - DGUTP - Universidad Tecnológica del Poniente</w:t>
            </w:r>
          </w:p>
        </w:tc>
        <w:tc>
          <w:tcPr>
            <w:tcW w:w="745" w:type="pct"/>
            <w:tcBorders>
              <w:top w:val="nil"/>
              <w:left w:val="nil"/>
              <w:bottom w:val="single" w:sz="8" w:space="0" w:color="auto"/>
              <w:right w:val="nil"/>
            </w:tcBorders>
            <w:shd w:val="clear" w:color="000000" w:fill="FFFFFF"/>
            <w:vAlign w:val="center"/>
            <w:hideMark/>
          </w:tcPr>
          <w:p w14:paraId="38469D9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11,822,626 </w:t>
            </w:r>
          </w:p>
        </w:tc>
      </w:tr>
      <w:tr w:rsidR="00E23F6E" w:rsidRPr="001B6518" w14:paraId="389A7C54"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B9379B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8.3.2.8</w:t>
            </w:r>
          </w:p>
        </w:tc>
        <w:tc>
          <w:tcPr>
            <w:tcW w:w="3773" w:type="pct"/>
            <w:tcBorders>
              <w:top w:val="nil"/>
              <w:left w:val="nil"/>
              <w:bottom w:val="single" w:sz="8" w:space="0" w:color="auto"/>
              <w:right w:val="single" w:sz="8" w:space="0" w:color="auto"/>
            </w:tcBorders>
            <w:shd w:val="clear" w:color="000000" w:fill="FFFFFF"/>
            <w:noWrap/>
            <w:vAlign w:val="center"/>
            <w:hideMark/>
          </w:tcPr>
          <w:p w14:paraId="43B1E27C"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Subsidios para organismos descentralizados estatales - DGUTP - Universidad Tecnológica Metropolitana</w:t>
            </w:r>
          </w:p>
        </w:tc>
        <w:tc>
          <w:tcPr>
            <w:tcW w:w="745" w:type="pct"/>
            <w:tcBorders>
              <w:top w:val="nil"/>
              <w:left w:val="nil"/>
              <w:bottom w:val="single" w:sz="8" w:space="0" w:color="auto"/>
              <w:right w:val="nil"/>
            </w:tcBorders>
            <w:shd w:val="clear" w:color="000000" w:fill="FFFFFF"/>
            <w:vAlign w:val="center"/>
            <w:hideMark/>
          </w:tcPr>
          <w:p w14:paraId="1A4A89F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60,229,273 </w:t>
            </w:r>
          </w:p>
        </w:tc>
      </w:tr>
      <w:tr w:rsidR="00E23F6E" w:rsidRPr="001B6518" w14:paraId="13C50BDA"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9A0689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8.3.2.9</w:t>
            </w:r>
          </w:p>
        </w:tc>
        <w:tc>
          <w:tcPr>
            <w:tcW w:w="3773" w:type="pct"/>
            <w:tcBorders>
              <w:top w:val="nil"/>
              <w:left w:val="nil"/>
              <w:bottom w:val="single" w:sz="8" w:space="0" w:color="auto"/>
              <w:right w:val="single" w:sz="8" w:space="0" w:color="auto"/>
            </w:tcBorders>
            <w:shd w:val="clear" w:color="000000" w:fill="FFFFFF"/>
            <w:noWrap/>
            <w:vAlign w:val="center"/>
            <w:hideMark/>
          </w:tcPr>
          <w:p w14:paraId="39D8A2E0"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Subsidios para organismos descentralizados estatales - DGUTP - Universidad Tecnológica Regional del Sur</w:t>
            </w:r>
          </w:p>
        </w:tc>
        <w:tc>
          <w:tcPr>
            <w:tcW w:w="745" w:type="pct"/>
            <w:tcBorders>
              <w:top w:val="nil"/>
              <w:left w:val="nil"/>
              <w:bottom w:val="single" w:sz="8" w:space="0" w:color="auto"/>
              <w:right w:val="nil"/>
            </w:tcBorders>
            <w:shd w:val="clear" w:color="000000" w:fill="FFFFFF"/>
            <w:vAlign w:val="center"/>
            <w:hideMark/>
          </w:tcPr>
          <w:p w14:paraId="46ED2C3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19,587,669 </w:t>
            </w:r>
          </w:p>
        </w:tc>
      </w:tr>
      <w:tr w:rsidR="00E23F6E" w:rsidRPr="001B6518" w14:paraId="52D0222C"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964589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8.3.2.10</w:t>
            </w:r>
          </w:p>
        </w:tc>
        <w:tc>
          <w:tcPr>
            <w:tcW w:w="3773" w:type="pct"/>
            <w:tcBorders>
              <w:top w:val="nil"/>
              <w:left w:val="nil"/>
              <w:bottom w:val="single" w:sz="8" w:space="0" w:color="auto"/>
              <w:right w:val="single" w:sz="8" w:space="0" w:color="auto"/>
            </w:tcBorders>
            <w:shd w:val="clear" w:color="000000" w:fill="FFFFFF"/>
            <w:noWrap/>
            <w:vAlign w:val="center"/>
            <w:hideMark/>
          </w:tcPr>
          <w:p w14:paraId="69A6E9F3"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Subsidios para organismos descentralizados estatales - SEMS - CECYTEY</w:t>
            </w:r>
          </w:p>
        </w:tc>
        <w:tc>
          <w:tcPr>
            <w:tcW w:w="745" w:type="pct"/>
            <w:tcBorders>
              <w:top w:val="nil"/>
              <w:left w:val="nil"/>
              <w:bottom w:val="single" w:sz="8" w:space="0" w:color="auto"/>
              <w:right w:val="nil"/>
            </w:tcBorders>
            <w:shd w:val="clear" w:color="000000" w:fill="FFFFFF"/>
            <w:vAlign w:val="center"/>
            <w:hideMark/>
          </w:tcPr>
          <w:p w14:paraId="4369F45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90,229,713 </w:t>
            </w:r>
          </w:p>
        </w:tc>
      </w:tr>
      <w:tr w:rsidR="00E23F6E" w:rsidRPr="001B6518" w14:paraId="09EA01BF"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5BBC70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8.3.2.11</w:t>
            </w:r>
          </w:p>
        </w:tc>
        <w:tc>
          <w:tcPr>
            <w:tcW w:w="3773" w:type="pct"/>
            <w:tcBorders>
              <w:top w:val="nil"/>
              <w:left w:val="nil"/>
              <w:bottom w:val="single" w:sz="8" w:space="0" w:color="auto"/>
              <w:right w:val="single" w:sz="8" w:space="0" w:color="auto"/>
            </w:tcBorders>
            <w:shd w:val="clear" w:color="000000" w:fill="FFFFFF"/>
            <w:noWrap/>
            <w:vAlign w:val="center"/>
            <w:hideMark/>
          </w:tcPr>
          <w:p w14:paraId="5FCF3799"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Subsidios para organismos descentralizados estatales - SEMS - COBAY</w:t>
            </w:r>
          </w:p>
        </w:tc>
        <w:tc>
          <w:tcPr>
            <w:tcW w:w="745" w:type="pct"/>
            <w:tcBorders>
              <w:top w:val="nil"/>
              <w:left w:val="nil"/>
              <w:bottom w:val="single" w:sz="8" w:space="0" w:color="auto"/>
              <w:right w:val="nil"/>
            </w:tcBorders>
            <w:shd w:val="clear" w:color="000000" w:fill="FFFFFF"/>
            <w:vAlign w:val="center"/>
            <w:hideMark/>
          </w:tcPr>
          <w:p w14:paraId="2B94E38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469,815,749 </w:t>
            </w:r>
          </w:p>
        </w:tc>
      </w:tr>
      <w:tr w:rsidR="00E23F6E" w:rsidRPr="001B6518" w14:paraId="06D88762"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151C35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8.3.2.12</w:t>
            </w:r>
          </w:p>
        </w:tc>
        <w:tc>
          <w:tcPr>
            <w:tcW w:w="3773" w:type="pct"/>
            <w:tcBorders>
              <w:top w:val="nil"/>
              <w:left w:val="nil"/>
              <w:bottom w:val="single" w:sz="8" w:space="0" w:color="auto"/>
              <w:right w:val="single" w:sz="8" w:space="0" w:color="auto"/>
            </w:tcBorders>
            <w:shd w:val="clear" w:color="000000" w:fill="FFFFFF"/>
            <w:noWrap/>
            <w:vAlign w:val="center"/>
            <w:hideMark/>
          </w:tcPr>
          <w:p w14:paraId="68BFE155"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Subsidios para organismos descentralizados estatales - SEMS - ICATEY</w:t>
            </w:r>
          </w:p>
        </w:tc>
        <w:tc>
          <w:tcPr>
            <w:tcW w:w="745" w:type="pct"/>
            <w:tcBorders>
              <w:top w:val="nil"/>
              <w:left w:val="nil"/>
              <w:bottom w:val="single" w:sz="8" w:space="0" w:color="auto"/>
              <w:right w:val="nil"/>
            </w:tcBorders>
            <w:shd w:val="clear" w:color="000000" w:fill="FFFFFF"/>
            <w:vAlign w:val="center"/>
            <w:hideMark/>
          </w:tcPr>
          <w:p w14:paraId="2434561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7,630,447 </w:t>
            </w:r>
          </w:p>
        </w:tc>
      </w:tr>
      <w:tr w:rsidR="00E23F6E" w:rsidRPr="001B6518" w14:paraId="7B20F36D"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BCE5CD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8.3.2.13</w:t>
            </w:r>
          </w:p>
        </w:tc>
        <w:tc>
          <w:tcPr>
            <w:tcW w:w="3773" w:type="pct"/>
            <w:tcBorders>
              <w:top w:val="nil"/>
              <w:left w:val="nil"/>
              <w:bottom w:val="single" w:sz="8" w:space="0" w:color="auto"/>
              <w:right w:val="single" w:sz="8" w:space="0" w:color="auto"/>
            </w:tcBorders>
            <w:shd w:val="clear" w:color="000000" w:fill="FFFFFF"/>
            <w:noWrap/>
            <w:vAlign w:val="center"/>
            <w:hideMark/>
          </w:tcPr>
          <w:p w14:paraId="76CCA4AE"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Subsidios para organismos descentralizados estatales - SEMS - Telebachillerato Comunitario</w:t>
            </w:r>
          </w:p>
        </w:tc>
        <w:tc>
          <w:tcPr>
            <w:tcW w:w="745" w:type="pct"/>
            <w:tcBorders>
              <w:top w:val="nil"/>
              <w:left w:val="nil"/>
              <w:bottom w:val="single" w:sz="8" w:space="0" w:color="auto"/>
              <w:right w:val="nil"/>
            </w:tcBorders>
            <w:shd w:val="clear" w:color="000000" w:fill="FFFFFF"/>
            <w:vAlign w:val="center"/>
            <w:hideMark/>
          </w:tcPr>
          <w:p w14:paraId="23D69BB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75,420,212 </w:t>
            </w:r>
          </w:p>
        </w:tc>
      </w:tr>
      <w:tr w:rsidR="00E23F6E" w:rsidRPr="001B6518" w14:paraId="26EFAFE3"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A279A0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8.3.2.14</w:t>
            </w:r>
          </w:p>
        </w:tc>
        <w:tc>
          <w:tcPr>
            <w:tcW w:w="3773" w:type="pct"/>
            <w:tcBorders>
              <w:top w:val="nil"/>
              <w:left w:val="nil"/>
              <w:bottom w:val="single" w:sz="8" w:space="0" w:color="auto"/>
              <w:right w:val="single" w:sz="8" w:space="0" w:color="auto"/>
            </w:tcBorders>
            <w:shd w:val="clear" w:color="000000" w:fill="FFFFFF"/>
            <w:noWrap/>
            <w:vAlign w:val="center"/>
            <w:hideMark/>
          </w:tcPr>
          <w:p w14:paraId="1C4CDB15"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Expansión de la Educación Inicial</w:t>
            </w:r>
          </w:p>
        </w:tc>
        <w:tc>
          <w:tcPr>
            <w:tcW w:w="745" w:type="pct"/>
            <w:tcBorders>
              <w:top w:val="nil"/>
              <w:left w:val="nil"/>
              <w:bottom w:val="single" w:sz="8" w:space="0" w:color="auto"/>
              <w:right w:val="nil"/>
            </w:tcBorders>
            <w:shd w:val="clear" w:color="000000" w:fill="FFFFFF"/>
            <w:vAlign w:val="center"/>
            <w:hideMark/>
          </w:tcPr>
          <w:p w14:paraId="4B7D749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7,420,050 </w:t>
            </w:r>
          </w:p>
        </w:tc>
      </w:tr>
      <w:tr w:rsidR="00E23F6E" w:rsidRPr="001B6518" w14:paraId="30F8CF61"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43B4CD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8.3.2.15</w:t>
            </w:r>
          </w:p>
        </w:tc>
        <w:tc>
          <w:tcPr>
            <w:tcW w:w="3773" w:type="pct"/>
            <w:tcBorders>
              <w:top w:val="nil"/>
              <w:left w:val="nil"/>
              <w:bottom w:val="single" w:sz="8" w:space="0" w:color="auto"/>
              <w:right w:val="single" w:sz="8" w:space="0" w:color="auto"/>
            </w:tcBorders>
            <w:shd w:val="clear" w:color="000000" w:fill="FFFFFF"/>
            <w:noWrap/>
            <w:vAlign w:val="center"/>
            <w:hideMark/>
          </w:tcPr>
          <w:p w14:paraId="01FEADFE"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Expansión de la Educación Media Superior y Superior</w:t>
            </w:r>
          </w:p>
        </w:tc>
        <w:tc>
          <w:tcPr>
            <w:tcW w:w="745" w:type="pct"/>
            <w:tcBorders>
              <w:top w:val="nil"/>
              <w:left w:val="nil"/>
              <w:bottom w:val="single" w:sz="8" w:space="0" w:color="auto"/>
              <w:right w:val="nil"/>
            </w:tcBorders>
            <w:shd w:val="clear" w:color="000000" w:fill="FFFFFF"/>
            <w:vAlign w:val="center"/>
            <w:hideMark/>
          </w:tcPr>
          <w:p w14:paraId="2265A85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6979C380"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43893A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8.3.2.16</w:t>
            </w:r>
          </w:p>
        </w:tc>
        <w:tc>
          <w:tcPr>
            <w:tcW w:w="3773" w:type="pct"/>
            <w:tcBorders>
              <w:top w:val="nil"/>
              <w:left w:val="nil"/>
              <w:bottom w:val="single" w:sz="8" w:space="0" w:color="auto"/>
              <w:right w:val="single" w:sz="8" w:space="0" w:color="auto"/>
            </w:tcBorders>
            <w:shd w:val="clear" w:color="000000" w:fill="FFFFFF"/>
            <w:noWrap/>
            <w:vAlign w:val="center"/>
            <w:hideMark/>
          </w:tcPr>
          <w:p w14:paraId="19865314"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Atención de Planteles Públicos de Educación Media Superior con estudiantes con discapacidad (PAPPEMS)</w:t>
            </w:r>
          </w:p>
        </w:tc>
        <w:tc>
          <w:tcPr>
            <w:tcW w:w="745" w:type="pct"/>
            <w:tcBorders>
              <w:top w:val="nil"/>
              <w:left w:val="nil"/>
              <w:bottom w:val="single" w:sz="8" w:space="0" w:color="auto"/>
              <w:right w:val="nil"/>
            </w:tcBorders>
            <w:shd w:val="clear" w:color="000000" w:fill="FFFFFF"/>
            <w:vAlign w:val="center"/>
            <w:hideMark/>
          </w:tcPr>
          <w:p w14:paraId="512DEA1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323,861 </w:t>
            </w:r>
          </w:p>
        </w:tc>
      </w:tr>
      <w:tr w:rsidR="00E23F6E" w:rsidRPr="001B6518" w14:paraId="14F4CB54"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F4DF53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8.3.2.17</w:t>
            </w:r>
          </w:p>
        </w:tc>
        <w:tc>
          <w:tcPr>
            <w:tcW w:w="3773" w:type="pct"/>
            <w:tcBorders>
              <w:top w:val="nil"/>
              <w:left w:val="nil"/>
              <w:bottom w:val="single" w:sz="8" w:space="0" w:color="auto"/>
              <w:right w:val="single" w:sz="8" w:space="0" w:color="auto"/>
            </w:tcBorders>
            <w:shd w:val="clear" w:color="000000" w:fill="FFFFFF"/>
            <w:noWrap/>
            <w:vAlign w:val="center"/>
            <w:hideMark/>
          </w:tcPr>
          <w:p w14:paraId="6CC53883"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Fortalecimiento de los Servicios de Educación Especial (PFSEE)</w:t>
            </w:r>
          </w:p>
        </w:tc>
        <w:tc>
          <w:tcPr>
            <w:tcW w:w="745" w:type="pct"/>
            <w:tcBorders>
              <w:top w:val="nil"/>
              <w:left w:val="nil"/>
              <w:bottom w:val="single" w:sz="8" w:space="0" w:color="auto"/>
              <w:right w:val="nil"/>
            </w:tcBorders>
            <w:shd w:val="clear" w:color="000000" w:fill="FFFFFF"/>
            <w:vAlign w:val="center"/>
            <w:hideMark/>
          </w:tcPr>
          <w:p w14:paraId="6515EB6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20,300,160 </w:t>
            </w:r>
          </w:p>
        </w:tc>
      </w:tr>
      <w:tr w:rsidR="00E23F6E" w:rsidRPr="001B6518" w14:paraId="230DF346"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E29012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8.3.2.18</w:t>
            </w:r>
          </w:p>
        </w:tc>
        <w:tc>
          <w:tcPr>
            <w:tcW w:w="3773" w:type="pct"/>
            <w:tcBorders>
              <w:top w:val="nil"/>
              <w:left w:val="nil"/>
              <w:bottom w:val="single" w:sz="8" w:space="0" w:color="auto"/>
              <w:right w:val="single" w:sz="8" w:space="0" w:color="auto"/>
            </w:tcBorders>
            <w:shd w:val="clear" w:color="000000" w:fill="FFFFFF"/>
            <w:noWrap/>
            <w:vAlign w:val="center"/>
            <w:hideMark/>
          </w:tcPr>
          <w:p w14:paraId="561CF786"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La Normal es Nuestra - Fortalecimiento a la Excelencia Educativa</w:t>
            </w:r>
          </w:p>
        </w:tc>
        <w:tc>
          <w:tcPr>
            <w:tcW w:w="745" w:type="pct"/>
            <w:tcBorders>
              <w:top w:val="nil"/>
              <w:left w:val="nil"/>
              <w:bottom w:val="single" w:sz="8" w:space="0" w:color="auto"/>
              <w:right w:val="nil"/>
            </w:tcBorders>
            <w:shd w:val="clear" w:color="000000" w:fill="FFFFFF"/>
            <w:vAlign w:val="center"/>
            <w:hideMark/>
          </w:tcPr>
          <w:p w14:paraId="3050B3C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15,202,150 </w:t>
            </w:r>
          </w:p>
        </w:tc>
      </w:tr>
      <w:tr w:rsidR="00E23F6E" w:rsidRPr="001B6518" w14:paraId="10A65F52"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93A825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8.3.2.19</w:t>
            </w:r>
          </w:p>
        </w:tc>
        <w:tc>
          <w:tcPr>
            <w:tcW w:w="3773" w:type="pct"/>
            <w:tcBorders>
              <w:top w:val="nil"/>
              <w:left w:val="nil"/>
              <w:bottom w:val="single" w:sz="8" w:space="0" w:color="auto"/>
              <w:right w:val="single" w:sz="8" w:space="0" w:color="auto"/>
            </w:tcBorders>
            <w:shd w:val="clear" w:color="000000" w:fill="FFFFFF"/>
            <w:noWrap/>
            <w:vAlign w:val="center"/>
            <w:hideMark/>
          </w:tcPr>
          <w:p w14:paraId="04A65EFB"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Programa de Cultura Física y Deporte (CONADE)</w:t>
            </w:r>
          </w:p>
        </w:tc>
        <w:tc>
          <w:tcPr>
            <w:tcW w:w="745" w:type="pct"/>
            <w:tcBorders>
              <w:top w:val="nil"/>
              <w:left w:val="nil"/>
              <w:bottom w:val="single" w:sz="8" w:space="0" w:color="auto"/>
              <w:right w:val="nil"/>
            </w:tcBorders>
            <w:shd w:val="clear" w:color="000000" w:fill="FFFFFF"/>
            <w:vAlign w:val="center"/>
            <w:hideMark/>
          </w:tcPr>
          <w:p w14:paraId="7D9678D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92,060,000 </w:t>
            </w:r>
          </w:p>
        </w:tc>
      </w:tr>
      <w:tr w:rsidR="00E23F6E" w:rsidRPr="001B6518" w14:paraId="678BD006"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9A37B7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lastRenderedPageBreak/>
              <w:t>8.3.2.20</w:t>
            </w:r>
          </w:p>
        </w:tc>
        <w:tc>
          <w:tcPr>
            <w:tcW w:w="3773" w:type="pct"/>
            <w:tcBorders>
              <w:top w:val="nil"/>
              <w:left w:val="nil"/>
              <w:bottom w:val="single" w:sz="8" w:space="0" w:color="auto"/>
              <w:right w:val="single" w:sz="8" w:space="0" w:color="auto"/>
            </w:tcBorders>
            <w:shd w:val="clear" w:color="000000" w:fill="FFFFFF"/>
            <w:noWrap/>
            <w:vAlign w:val="center"/>
            <w:hideMark/>
          </w:tcPr>
          <w:p w14:paraId="6FC48AA6"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Programa Nacional de Inglés - Educación Básica</w:t>
            </w:r>
          </w:p>
        </w:tc>
        <w:tc>
          <w:tcPr>
            <w:tcW w:w="745" w:type="pct"/>
            <w:tcBorders>
              <w:top w:val="nil"/>
              <w:left w:val="nil"/>
              <w:bottom w:val="single" w:sz="8" w:space="0" w:color="auto"/>
              <w:right w:val="nil"/>
            </w:tcBorders>
            <w:shd w:val="clear" w:color="000000" w:fill="FFFFFF"/>
            <w:vAlign w:val="center"/>
            <w:hideMark/>
          </w:tcPr>
          <w:p w14:paraId="6207FD4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12,249,673 </w:t>
            </w:r>
          </w:p>
        </w:tc>
      </w:tr>
      <w:tr w:rsidR="00E23F6E" w:rsidRPr="001B6518" w14:paraId="71A72B24"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9B86A7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8.3.2.21</w:t>
            </w:r>
          </w:p>
        </w:tc>
        <w:tc>
          <w:tcPr>
            <w:tcW w:w="3773" w:type="pct"/>
            <w:tcBorders>
              <w:top w:val="nil"/>
              <w:left w:val="nil"/>
              <w:bottom w:val="single" w:sz="8" w:space="0" w:color="auto"/>
              <w:right w:val="single" w:sz="8" w:space="0" w:color="auto"/>
            </w:tcBorders>
            <w:shd w:val="clear" w:color="000000" w:fill="FFFFFF"/>
            <w:noWrap/>
            <w:vAlign w:val="center"/>
            <w:hideMark/>
          </w:tcPr>
          <w:p w14:paraId="32D953D6"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Programa para el Desarrollo Profesional Docente (PRODEP) Educación Básica</w:t>
            </w:r>
          </w:p>
        </w:tc>
        <w:tc>
          <w:tcPr>
            <w:tcW w:w="745" w:type="pct"/>
            <w:tcBorders>
              <w:top w:val="nil"/>
              <w:left w:val="nil"/>
              <w:bottom w:val="single" w:sz="8" w:space="0" w:color="auto"/>
              <w:right w:val="nil"/>
            </w:tcBorders>
            <w:shd w:val="clear" w:color="000000" w:fill="FFFFFF"/>
            <w:vAlign w:val="center"/>
            <w:hideMark/>
          </w:tcPr>
          <w:p w14:paraId="5672154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17,746,916 </w:t>
            </w:r>
          </w:p>
        </w:tc>
      </w:tr>
      <w:tr w:rsidR="00E23F6E" w:rsidRPr="001B6518" w14:paraId="3D8A6778"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52F08E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8.3.2.22</w:t>
            </w:r>
          </w:p>
        </w:tc>
        <w:tc>
          <w:tcPr>
            <w:tcW w:w="3773" w:type="pct"/>
            <w:tcBorders>
              <w:top w:val="nil"/>
              <w:left w:val="nil"/>
              <w:bottom w:val="single" w:sz="8" w:space="0" w:color="auto"/>
              <w:right w:val="single" w:sz="8" w:space="0" w:color="auto"/>
            </w:tcBorders>
            <w:shd w:val="clear" w:color="000000" w:fill="FFFFFF"/>
            <w:noWrap/>
            <w:vAlign w:val="center"/>
            <w:hideMark/>
          </w:tcPr>
          <w:p w14:paraId="687647E2"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Programa para el Desarrollo Profesional Docente (PRODEP) Educación Superior</w:t>
            </w:r>
          </w:p>
        </w:tc>
        <w:tc>
          <w:tcPr>
            <w:tcW w:w="745" w:type="pct"/>
            <w:tcBorders>
              <w:top w:val="nil"/>
              <w:left w:val="nil"/>
              <w:bottom w:val="single" w:sz="8" w:space="0" w:color="auto"/>
              <w:right w:val="nil"/>
            </w:tcBorders>
            <w:shd w:val="clear" w:color="000000" w:fill="FFFFFF"/>
            <w:vAlign w:val="center"/>
            <w:hideMark/>
          </w:tcPr>
          <w:p w14:paraId="1CB0968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14,247 </w:t>
            </w:r>
          </w:p>
        </w:tc>
      </w:tr>
      <w:tr w:rsidR="00E23F6E" w:rsidRPr="001B6518" w14:paraId="0DFE77B5"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1B03E9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8.3.2.23</w:t>
            </w:r>
          </w:p>
        </w:tc>
        <w:tc>
          <w:tcPr>
            <w:tcW w:w="3773" w:type="pct"/>
            <w:tcBorders>
              <w:top w:val="nil"/>
              <w:left w:val="nil"/>
              <w:bottom w:val="single" w:sz="8" w:space="0" w:color="auto"/>
              <w:right w:val="single" w:sz="8" w:space="0" w:color="auto"/>
            </w:tcBorders>
            <w:shd w:val="clear" w:color="000000" w:fill="FFFFFF"/>
            <w:noWrap/>
            <w:vAlign w:val="center"/>
            <w:hideMark/>
          </w:tcPr>
          <w:p w14:paraId="615CD73A"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Servicios de educación para Adultos (INEA) - Programa de Atención a la Demanda</w:t>
            </w:r>
          </w:p>
        </w:tc>
        <w:tc>
          <w:tcPr>
            <w:tcW w:w="745" w:type="pct"/>
            <w:tcBorders>
              <w:top w:val="nil"/>
              <w:left w:val="nil"/>
              <w:bottom w:val="single" w:sz="8" w:space="0" w:color="auto"/>
              <w:right w:val="nil"/>
            </w:tcBorders>
            <w:shd w:val="clear" w:color="000000" w:fill="FFFFFF"/>
            <w:vAlign w:val="center"/>
            <w:hideMark/>
          </w:tcPr>
          <w:p w14:paraId="41B9BFC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14,973,340 </w:t>
            </w:r>
          </w:p>
        </w:tc>
      </w:tr>
      <w:tr w:rsidR="00E23F6E" w:rsidRPr="001B6518" w14:paraId="7E221AB6"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643026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8.3.2.24</w:t>
            </w:r>
          </w:p>
        </w:tc>
        <w:tc>
          <w:tcPr>
            <w:tcW w:w="3773" w:type="pct"/>
            <w:tcBorders>
              <w:top w:val="nil"/>
              <w:left w:val="nil"/>
              <w:bottom w:val="single" w:sz="8" w:space="0" w:color="auto"/>
              <w:right w:val="single" w:sz="8" w:space="0" w:color="auto"/>
            </w:tcBorders>
            <w:shd w:val="clear" w:color="000000" w:fill="FFFFFF"/>
            <w:noWrap/>
            <w:vAlign w:val="center"/>
            <w:hideMark/>
          </w:tcPr>
          <w:p w14:paraId="03BF938B" w14:textId="5381E475"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Programas de Apoyos a la Cultura - DG de Culturas Populares, Indígenas y Urbanas - PACMYC</w:t>
            </w:r>
          </w:p>
        </w:tc>
        <w:tc>
          <w:tcPr>
            <w:tcW w:w="745" w:type="pct"/>
            <w:tcBorders>
              <w:top w:val="nil"/>
              <w:left w:val="nil"/>
              <w:bottom w:val="single" w:sz="8" w:space="0" w:color="auto"/>
              <w:right w:val="nil"/>
            </w:tcBorders>
            <w:shd w:val="clear" w:color="000000" w:fill="FFFFFF"/>
            <w:vAlign w:val="center"/>
            <w:hideMark/>
          </w:tcPr>
          <w:p w14:paraId="678BED7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393,074 </w:t>
            </w:r>
          </w:p>
        </w:tc>
      </w:tr>
      <w:tr w:rsidR="00E23F6E" w:rsidRPr="001B6518" w14:paraId="69F11D28"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D67BD9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8.3.2.25</w:t>
            </w:r>
          </w:p>
        </w:tc>
        <w:tc>
          <w:tcPr>
            <w:tcW w:w="3773" w:type="pct"/>
            <w:tcBorders>
              <w:top w:val="nil"/>
              <w:left w:val="nil"/>
              <w:bottom w:val="single" w:sz="8" w:space="0" w:color="auto"/>
              <w:right w:val="single" w:sz="8" w:space="0" w:color="auto"/>
            </w:tcBorders>
            <w:shd w:val="clear" w:color="000000" w:fill="FFFFFF"/>
            <w:noWrap/>
            <w:vAlign w:val="center"/>
            <w:hideMark/>
          </w:tcPr>
          <w:p w14:paraId="0FE02A7C"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Programas de Apoyos a la Cultura - DG de Promoción y Festivales Culturales </w:t>
            </w:r>
          </w:p>
        </w:tc>
        <w:tc>
          <w:tcPr>
            <w:tcW w:w="745" w:type="pct"/>
            <w:tcBorders>
              <w:top w:val="nil"/>
              <w:left w:val="nil"/>
              <w:bottom w:val="single" w:sz="8" w:space="0" w:color="auto"/>
              <w:right w:val="nil"/>
            </w:tcBorders>
            <w:shd w:val="clear" w:color="000000" w:fill="FFFFFF"/>
            <w:vAlign w:val="center"/>
            <w:hideMark/>
          </w:tcPr>
          <w:p w14:paraId="25CAA38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1,138,336 </w:t>
            </w:r>
          </w:p>
        </w:tc>
      </w:tr>
      <w:tr w:rsidR="00E23F6E" w:rsidRPr="001B6518" w14:paraId="3A17E5D0"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1F8659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8.3.2.26</w:t>
            </w:r>
          </w:p>
        </w:tc>
        <w:tc>
          <w:tcPr>
            <w:tcW w:w="3773" w:type="pct"/>
            <w:tcBorders>
              <w:top w:val="nil"/>
              <w:left w:val="nil"/>
              <w:bottom w:val="single" w:sz="8" w:space="0" w:color="auto"/>
              <w:right w:val="single" w:sz="8" w:space="0" w:color="auto"/>
            </w:tcBorders>
            <w:shd w:val="clear" w:color="000000" w:fill="FFFFFF"/>
            <w:noWrap/>
            <w:vAlign w:val="center"/>
            <w:hideMark/>
          </w:tcPr>
          <w:p w14:paraId="115D43F2"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Programas de Apoyos a la Cultura - DG de Vinculación Cultural - Apoyo a Instituciones Estatales de Cultura</w:t>
            </w:r>
          </w:p>
        </w:tc>
        <w:tc>
          <w:tcPr>
            <w:tcW w:w="745" w:type="pct"/>
            <w:tcBorders>
              <w:top w:val="nil"/>
              <w:left w:val="nil"/>
              <w:bottom w:val="single" w:sz="8" w:space="0" w:color="auto"/>
              <w:right w:val="nil"/>
            </w:tcBorders>
            <w:shd w:val="clear" w:color="000000" w:fill="FFFFFF"/>
            <w:vAlign w:val="center"/>
            <w:hideMark/>
          </w:tcPr>
          <w:p w14:paraId="42044D5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1,588,137 </w:t>
            </w:r>
          </w:p>
        </w:tc>
      </w:tr>
      <w:tr w:rsidR="00E23F6E" w:rsidRPr="001B6518" w14:paraId="5B4A4EE4"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1D822E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8.3.2.27</w:t>
            </w:r>
          </w:p>
        </w:tc>
        <w:tc>
          <w:tcPr>
            <w:tcW w:w="3773" w:type="pct"/>
            <w:tcBorders>
              <w:top w:val="nil"/>
              <w:left w:val="nil"/>
              <w:bottom w:val="single" w:sz="8" w:space="0" w:color="auto"/>
              <w:right w:val="single" w:sz="8" w:space="0" w:color="auto"/>
            </w:tcBorders>
            <w:shd w:val="clear" w:color="000000" w:fill="FFFFFF"/>
            <w:noWrap/>
            <w:vAlign w:val="center"/>
            <w:hideMark/>
          </w:tcPr>
          <w:p w14:paraId="1BC080B8"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Programa de Apoyo a la Educación Indígena</w:t>
            </w:r>
          </w:p>
        </w:tc>
        <w:tc>
          <w:tcPr>
            <w:tcW w:w="745" w:type="pct"/>
            <w:tcBorders>
              <w:top w:val="nil"/>
              <w:left w:val="nil"/>
              <w:bottom w:val="single" w:sz="8" w:space="0" w:color="auto"/>
              <w:right w:val="nil"/>
            </w:tcBorders>
            <w:shd w:val="clear" w:color="000000" w:fill="FFFFFF"/>
            <w:vAlign w:val="center"/>
            <w:hideMark/>
          </w:tcPr>
          <w:p w14:paraId="4316C32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700ACCD8"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CC16DD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8.3.2.28</w:t>
            </w:r>
          </w:p>
        </w:tc>
        <w:tc>
          <w:tcPr>
            <w:tcW w:w="3773" w:type="pct"/>
            <w:tcBorders>
              <w:top w:val="nil"/>
              <w:left w:val="nil"/>
              <w:bottom w:val="single" w:sz="8" w:space="0" w:color="auto"/>
              <w:right w:val="single" w:sz="8" w:space="0" w:color="auto"/>
            </w:tcBorders>
            <w:shd w:val="clear" w:color="000000" w:fill="FFFFFF"/>
            <w:noWrap/>
            <w:vAlign w:val="center"/>
            <w:hideMark/>
          </w:tcPr>
          <w:p w14:paraId="33A002B0"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Otros Convenios Educación</w:t>
            </w:r>
          </w:p>
        </w:tc>
        <w:tc>
          <w:tcPr>
            <w:tcW w:w="745" w:type="pct"/>
            <w:tcBorders>
              <w:top w:val="nil"/>
              <w:left w:val="nil"/>
              <w:bottom w:val="single" w:sz="8" w:space="0" w:color="auto"/>
              <w:right w:val="nil"/>
            </w:tcBorders>
            <w:shd w:val="clear" w:color="000000" w:fill="FFFFFF"/>
            <w:vAlign w:val="center"/>
            <w:hideMark/>
          </w:tcPr>
          <w:p w14:paraId="1C93E02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073AB8A4" w14:textId="77777777" w:rsidTr="00E23F6E">
        <w:trPr>
          <w:trHeight w:val="20"/>
        </w:trPr>
        <w:tc>
          <w:tcPr>
            <w:tcW w:w="482" w:type="pct"/>
            <w:tcBorders>
              <w:top w:val="nil"/>
              <w:left w:val="nil"/>
              <w:bottom w:val="single" w:sz="8" w:space="0" w:color="auto"/>
              <w:right w:val="single" w:sz="8" w:space="0" w:color="auto"/>
            </w:tcBorders>
            <w:shd w:val="clear" w:color="000000" w:fill="D9D9D9"/>
            <w:vAlign w:val="center"/>
            <w:hideMark/>
          </w:tcPr>
          <w:p w14:paraId="69617FC4"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8.3.3</w:t>
            </w:r>
          </w:p>
        </w:tc>
        <w:tc>
          <w:tcPr>
            <w:tcW w:w="3773" w:type="pct"/>
            <w:tcBorders>
              <w:top w:val="nil"/>
              <w:left w:val="nil"/>
              <w:bottom w:val="single" w:sz="8" w:space="0" w:color="auto"/>
              <w:right w:val="single" w:sz="8" w:space="0" w:color="auto"/>
            </w:tcBorders>
            <w:shd w:val="clear" w:color="000000" w:fill="D9D9D9"/>
            <w:noWrap/>
            <w:vAlign w:val="center"/>
            <w:hideMark/>
          </w:tcPr>
          <w:p w14:paraId="5C6F6170"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Económico</w:t>
            </w:r>
          </w:p>
        </w:tc>
        <w:tc>
          <w:tcPr>
            <w:tcW w:w="745" w:type="pct"/>
            <w:tcBorders>
              <w:top w:val="nil"/>
              <w:left w:val="nil"/>
              <w:bottom w:val="single" w:sz="8" w:space="0" w:color="auto"/>
              <w:right w:val="nil"/>
            </w:tcBorders>
            <w:shd w:val="clear" w:color="000000" w:fill="D9D9D9"/>
            <w:vAlign w:val="center"/>
            <w:hideMark/>
          </w:tcPr>
          <w:p w14:paraId="37F9DA5B"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4,457,649 </w:t>
            </w:r>
          </w:p>
        </w:tc>
      </w:tr>
      <w:tr w:rsidR="00E23F6E" w:rsidRPr="001B6518" w14:paraId="610BE04F"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2CA2E6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8.3.3.1</w:t>
            </w:r>
          </w:p>
        </w:tc>
        <w:tc>
          <w:tcPr>
            <w:tcW w:w="3773" w:type="pct"/>
            <w:tcBorders>
              <w:top w:val="nil"/>
              <w:left w:val="nil"/>
              <w:bottom w:val="single" w:sz="8" w:space="0" w:color="auto"/>
              <w:right w:val="single" w:sz="8" w:space="0" w:color="auto"/>
            </w:tcBorders>
            <w:shd w:val="clear" w:color="000000" w:fill="FFFFFF"/>
            <w:noWrap/>
            <w:vAlign w:val="center"/>
            <w:hideMark/>
          </w:tcPr>
          <w:p w14:paraId="5163733F"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Programa de Apoyo al Empleo (PAE)</w:t>
            </w:r>
          </w:p>
        </w:tc>
        <w:tc>
          <w:tcPr>
            <w:tcW w:w="745" w:type="pct"/>
            <w:tcBorders>
              <w:top w:val="nil"/>
              <w:left w:val="nil"/>
              <w:bottom w:val="single" w:sz="8" w:space="0" w:color="auto"/>
              <w:right w:val="nil"/>
            </w:tcBorders>
            <w:shd w:val="clear" w:color="000000" w:fill="FFFFFF"/>
            <w:vAlign w:val="center"/>
            <w:hideMark/>
          </w:tcPr>
          <w:p w14:paraId="6F49108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4,457,649 </w:t>
            </w:r>
          </w:p>
        </w:tc>
      </w:tr>
      <w:tr w:rsidR="00E23F6E" w:rsidRPr="001B6518" w14:paraId="53A6681A"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FA92BD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8.3.3.2</w:t>
            </w:r>
          </w:p>
        </w:tc>
        <w:tc>
          <w:tcPr>
            <w:tcW w:w="3773" w:type="pct"/>
            <w:tcBorders>
              <w:top w:val="nil"/>
              <w:left w:val="nil"/>
              <w:bottom w:val="single" w:sz="8" w:space="0" w:color="auto"/>
              <w:right w:val="single" w:sz="8" w:space="0" w:color="auto"/>
            </w:tcBorders>
            <w:shd w:val="clear" w:color="000000" w:fill="FFFFFF"/>
            <w:noWrap/>
            <w:vAlign w:val="center"/>
            <w:hideMark/>
          </w:tcPr>
          <w:p w14:paraId="3802A0BB"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Otros Convenios Económico</w:t>
            </w:r>
          </w:p>
        </w:tc>
        <w:tc>
          <w:tcPr>
            <w:tcW w:w="745" w:type="pct"/>
            <w:tcBorders>
              <w:top w:val="nil"/>
              <w:left w:val="nil"/>
              <w:bottom w:val="single" w:sz="8" w:space="0" w:color="auto"/>
              <w:right w:val="nil"/>
            </w:tcBorders>
            <w:shd w:val="clear" w:color="000000" w:fill="FFFFFF"/>
            <w:vAlign w:val="center"/>
            <w:hideMark/>
          </w:tcPr>
          <w:p w14:paraId="57DCFB6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3832FEBD" w14:textId="77777777" w:rsidTr="00E23F6E">
        <w:trPr>
          <w:trHeight w:val="20"/>
        </w:trPr>
        <w:tc>
          <w:tcPr>
            <w:tcW w:w="482" w:type="pct"/>
            <w:tcBorders>
              <w:top w:val="nil"/>
              <w:left w:val="nil"/>
              <w:bottom w:val="single" w:sz="8" w:space="0" w:color="auto"/>
              <w:right w:val="single" w:sz="8" w:space="0" w:color="auto"/>
            </w:tcBorders>
            <w:shd w:val="clear" w:color="000000" w:fill="D9D9D9"/>
            <w:vAlign w:val="center"/>
            <w:hideMark/>
          </w:tcPr>
          <w:p w14:paraId="31F48FAD"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8.3.4</w:t>
            </w:r>
          </w:p>
        </w:tc>
        <w:tc>
          <w:tcPr>
            <w:tcW w:w="3773" w:type="pct"/>
            <w:tcBorders>
              <w:top w:val="nil"/>
              <w:left w:val="nil"/>
              <w:bottom w:val="single" w:sz="8" w:space="0" w:color="auto"/>
              <w:right w:val="single" w:sz="8" w:space="0" w:color="auto"/>
            </w:tcBorders>
            <w:shd w:val="clear" w:color="000000" w:fill="D9D9D9"/>
            <w:noWrap/>
            <w:vAlign w:val="center"/>
            <w:hideMark/>
          </w:tcPr>
          <w:p w14:paraId="0E38BEB6"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Social y Humano</w:t>
            </w:r>
          </w:p>
        </w:tc>
        <w:tc>
          <w:tcPr>
            <w:tcW w:w="745" w:type="pct"/>
            <w:tcBorders>
              <w:top w:val="nil"/>
              <w:left w:val="nil"/>
              <w:bottom w:val="single" w:sz="8" w:space="0" w:color="auto"/>
              <w:right w:val="nil"/>
            </w:tcBorders>
            <w:shd w:val="clear" w:color="000000" w:fill="D9D9D9"/>
            <w:vAlign w:val="center"/>
            <w:hideMark/>
          </w:tcPr>
          <w:p w14:paraId="31F8FDF2"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61,504,045 </w:t>
            </w:r>
          </w:p>
        </w:tc>
      </w:tr>
      <w:tr w:rsidR="00E23F6E" w:rsidRPr="001B6518" w14:paraId="151A74C9"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76359A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8.3.4.1</w:t>
            </w:r>
          </w:p>
        </w:tc>
        <w:tc>
          <w:tcPr>
            <w:tcW w:w="3773" w:type="pct"/>
            <w:tcBorders>
              <w:top w:val="nil"/>
              <w:left w:val="nil"/>
              <w:bottom w:val="single" w:sz="8" w:space="0" w:color="auto"/>
              <w:right w:val="single" w:sz="8" w:space="0" w:color="auto"/>
            </w:tcBorders>
            <w:shd w:val="clear" w:color="000000" w:fill="FFFFFF"/>
            <w:noWrap/>
            <w:vAlign w:val="center"/>
            <w:hideMark/>
          </w:tcPr>
          <w:p w14:paraId="5972151B"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Agua Potable, Drenaje y Tratamiento - Acciones de Agua Potable en Localidades Rurales (Abastecimiento de Agua)</w:t>
            </w:r>
          </w:p>
        </w:tc>
        <w:tc>
          <w:tcPr>
            <w:tcW w:w="745" w:type="pct"/>
            <w:tcBorders>
              <w:top w:val="nil"/>
              <w:left w:val="nil"/>
              <w:bottom w:val="single" w:sz="8" w:space="0" w:color="auto"/>
              <w:right w:val="nil"/>
            </w:tcBorders>
            <w:shd w:val="clear" w:color="000000" w:fill="FFFFFF"/>
            <w:vAlign w:val="center"/>
            <w:hideMark/>
          </w:tcPr>
          <w:p w14:paraId="08A09FA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29,858,001 </w:t>
            </w:r>
          </w:p>
        </w:tc>
      </w:tr>
      <w:tr w:rsidR="00E23F6E" w:rsidRPr="001B6518" w14:paraId="5D19CF82"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2FEFAB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8.3.4.2</w:t>
            </w:r>
          </w:p>
        </w:tc>
        <w:tc>
          <w:tcPr>
            <w:tcW w:w="3773" w:type="pct"/>
            <w:tcBorders>
              <w:top w:val="nil"/>
              <w:left w:val="nil"/>
              <w:bottom w:val="single" w:sz="8" w:space="0" w:color="auto"/>
              <w:right w:val="single" w:sz="8" w:space="0" w:color="auto"/>
            </w:tcBorders>
            <w:shd w:val="clear" w:color="000000" w:fill="FFFFFF"/>
            <w:noWrap/>
            <w:vAlign w:val="center"/>
            <w:hideMark/>
          </w:tcPr>
          <w:p w14:paraId="7AE43090"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Agua Potable, Drenaje y Tratamiento - Acciones de Agua Potable en Localidades Urbanas (Abastecimiento de Agua)</w:t>
            </w:r>
          </w:p>
        </w:tc>
        <w:tc>
          <w:tcPr>
            <w:tcW w:w="745" w:type="pct"/>
            <w:tcBorders>
              <w:top w:val="nil"/>
              <w:left w:val="nil"/>
              <w:bottom w:val="single" w:sz="8" w:space="0" w:color="auto"/>
              <w:right w:val="nil"/>
            </w:tcBorders>
            <w:shd w:val="clear" w:color="000000" w:fill="FFFFFF"/>
            <w:vAlign w:val="center"/>
            <w:hideMark/>
          </w:tcPr>
          <w:p w14:paraId="1F28037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9,194,761 </w:t>
            </w:r>
          </w:p>
        </w:tc>
      </w:tr>
      <w:tr w:rsidR="00E23F6E" w:rsidRPr="001B6518" w14:paraId="3F7A41E3"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23AA1E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8.3.4.3</w:t>
            </w:r>
          </w:p>
        </w:tc>
        <w:tc>
          <w:tcPr>
            <w:tcW w:w="3773" w:type="pct"/>
            <w:tcBorders>
              <w:top w:val="nil"/>
              <w:left w:val="nil"/>
              <w:bottom w:val="single" w:sz="8" w:space="0" w:color="auto"/>
              <w:right w:val="single" w:sz="8" w:space="0" w:color="auto"/>
            </w:tcBorders>
            <w:shd w:val="clear" w:color="000000" w:fill="FFFFFF"/>
            <w:noWrap/>
            <w:vAlign w:val="center"/>
            <w:hideMark/>
          </w:tcPr>
          <w:p w14:paraId="5E62793B"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Agua Potable, Drenaje y Tratamiento - Acciones de Desinfección del Agua (Abastecimiento de Agua)</w:t>
            </w:r>
          </w:p>
        </w:tc>
        <w:tc>
          <w:tcPr>
            <w:tcW w:w="745" w:type="pct"/>
            <w:tcBorders>
              <w:top w:val="nil"/>
              <w:left w:val="nil"/>
              <w:bottom w:val="single" w:sz="8" w:space="0" w:color="auto"/>
              <w:right w:val="nil"/>
            </w:tcBorders>
            <w:shd w:val="clear" w:color="000000" w:fill="FFFFFF"/>
            <w:vAlign w:val="center"/>
            <w:hideMark/>
          </w:tcPr>
          <w:p w14:paraId="02D1A38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1,505,970 </w:t>
            </w:r>
          </w:p>
        </w:tc>
      </w:tr>
      <w:tr w:rsidR="00E23F6E" w:rsidRPr="001B6518" w14:paraId="00CB9CB5"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03E79E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8.3.4.4</w:t>
            </w:r>
          </w:p>
        </w:tc>
        <w:tc>
          <w:tcPr>
            <w:tcW w:w="3773" w:type="pct"/>
            <w:tcBorders>
              <w:top w:val="nil"/>
              <w:left w:val="nil"/>
              <w:bottom w:val="single" w:sz="8" w:space="0" w:color="auto"/>
              <w:right w:val="single" w:sz="8" w:space="0" w:color="auto"/>
            </w:tcBorders>
            <w:shd w:val="clear" w:color="000000" w:fill="FFFFFF"/>
            <w:noWrap/>
            <w:vAlign w:val="center"/>
            <w:hideMark/>
          </w:tcPr>
          <w:p w14:paraId="07D6AA79"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Agua Potable, Drenaje y Tratamiento - Acciones de Saneamiento en Localidades Rurales (Ordenación de Agua Residuales, Drenaje y Alcantarillado)</w:t>
            </w:r>
          </w:p>
        </w:tc>
        <w:tc>
          <w:tcPr>
            <w:tcW w:w="745" w:type="pct"/>
            <w:tcBorders>
              <w:top w:val="nil"/>
              <w:left w:val="nil"/>
              <w:bottom w:val="single" w:sz="8" w:space="0" w:color="auto"/>
              <w:right w:val="nil"/>
            </w:tcBorders>
            <w:shd w:val="clear" w:color="000000" w:fill="FFFFFF"/>
            <w:vAlign w:val="center"/>
            <w:hideMark/>
          </w:tcPr>
          <w:p w14:paraId="51568F7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16,456,429 </w:t>
            </w:r>
          </w:p>
        </w:tc>
      </w:tr>
      <w:tr w:rsidR="00E23F6E" w:rsidRPr="001B6518" w14:paraId="658F32DE"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E478D9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8.3.4.5</w:t>
            </w:r>
          </w:p>
        </w:tc>
        <w:tc>
          <w:tcPr>
            <w:tcW w:w="3773" w:type="pct"/>
            <w:tcBorders>
              <w:top w:val="nil"/>
              <w:left w:val="nil"/>
              <w:bottom w:val="single" w:sz="8" w:space="0" w:color="auto"/>
              <w:right w:val="single" w:sz="8" w:space="0" w:color="auto"/>
            </w:tcBorders>
            <w:shd w:val="clear" w:color="000000" w:fill="FFFFFF"/>
            <w:noWrap/>
            <w:vAlign w:val="center"/>
            <w:hideMark/>
          </w:tcPr>
          <w:p w14:paraId="3A10B347"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Agua Potable, Drenaje y Tratamiento - Acciones de Saneamiento en Localidades Urbanas (Ordenación de Agua Residuales, Drenaje y Alcantarillado)</w:t>
            </w:r>
          </w:p>
        </w:tc>
        <w:tc>
          <w:tcPr>
            <w:tcW w:w="745" w:type="pct"/>
            <w:tcBorders>
              <w:top w:val="nil"/>
              <w:left w:val="nil"/>
              <w:bottom w:val="single" w:sz="8" w:space="0" w:color="auto"/>
              <w:right w:val="nil"/>
            </w:tcBorders>
            <w:shd w:val="clear" w:color="000000" w:fill="FFFFFF"/>
            <w:vAlign w:val="center"/>
            <w:hideMark/>
          </w:tcPr>
          <w:p w14:paraId="2DBA77B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3,223,652 </w:t>
            </w:r>
          </w:p>
        </w:tc>
      </w:tr>
      <w:tr w:rsidR="00E23F6E" w:rsidRPr="001B6518" w14:paraId="2EF40D4E"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19F5FD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8.3.4.6</w:t>
            </w:r>
          </w:p>
        </w:tc>
        <w:tc>
          <w:tcPr>
            <w:tcW w:w="3773" w:type="pct"/>
            <w:tcBorders>
              <w:top w:val="nil"/>
              <w:left w:val="nil"/>
              <w:bottom w:val="single" w:sz="8" w:space="0" w:color="auto"/>
              <w:right w:val="single" w:sz="8" w:space="0" w:color="auto"/>
            </w:tcBorders>
            <w:shd w:val="clear" w:color="000000" w:fill="FFFFFF"/>
            <w:noWrap/>
            <w:vAlign w:val="center"/>
            <w:hideMark/>
          </w:tcPr>
          <w:p w14:paraId="1A2D8CBC"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Capacitación Ambiental y Desarrollo Sustentable - Programa de Cultura del Agua</w:t>
            </w:r>
          </w:p>
        </w:tc>
        <w:tc>
          <w:tcPr>
            <w:tcW w:w="745" w:type="pct"/>
            <w:tcBorders>
              <w:top w:val="nil"/>
              <w:left w:val="nil"/>
              <w:bottom w:val="single" w:sz="8" w:space="0" w:color="auto"/>
              <w:right w:val="nil"/>
            </w:tcBorders>
            <w:shd w:val="clear" w:color="000000" w:fill="FFFFFF"/>
            <w:vAlign w:val="center"/>
            <w:hideMark/>
          </w:tcPr>
          <w:p w14:paraId="607CCDE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1,265,232 </w:t>
            </w:r>
          </w:p>
        </w:tc>
      </w:tr>
      <w:tr w:rsidR="00E23F6E" w:rsidRPr="001B6518" w14:paraId="21FA72AC"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3AF42E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8.3.4.7</w:t>
            </w:r>
          </w:p>
        </w:tc>
        <w:tc>
          <w:tcPr>
            <w:tcW w:w="3773" w:type="pct"/>
            <w:tcBorders>
              <w:top w:val="nil"/>
              <w:left w:val="nil"/>
              <w:bottom w:val="single" w:sz="8" w:space="0" w:color="auto"/>
              <w:right w:val="single" w:sz="8" w:space="0" w:color="auto"/>
            </w:tcBorders>
            <w:shd w:val="clear" w:color="000000" w:fill="FFFFFF"/>
            <w:noWrap/>
            <w:vAlign w:val="center"/>
            <w:hideMark/>
          </w:tcPr>
          <w:p w14:paraId="55A56789"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Otros Convenios Social y Humano</w:t>
            </w:r>
          </w:p>
        </w:tc>
        <w:tc>
          <w:tcPr>
            <w:tcW w:w="745" w:type="pct"/>
            <w:tcBorders>
              <w:top w:val="nil"/>
              <w:left w:val="nil"/>
              <w:bottom w:val="single" w:sz="8" w:space="0" w:color="auto"/>
              <w:right w:val="nil"/>
            </w:tcBorders>
            <w:shd w:val="clear" w:color="000000" w:fill="FFFFFF"/>
            <w:vAlign w:val="center"/>
            <w:hideMark/>
          </w:tcPr>
          <w:p w14:paraId="4581DCA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3C4CDF68" w14:textId="77777777" w:rsidTr="00E23F6E">
        <w:trPr>
          <w:trHeight w:val="20"/>
        </w:trPr>
        <w:tc>
          <w:tcPr>
            <w:tcW w:w="482" w:type="pct"/>
            <w:tcBorders>
              <w:top w:val="nil"/>
              <w:left w:val="nil"/>
              <w:bottom w:val="single" w:sz="8" w:space="0" w:color="auto"/>
              <w:right w:val="single" w:sz="8" w:space="0" w:color="auto"/>
            </w:tcBorders>
            <w:shd w:val="clear" w:color="000000" w:fill="D9D9D9"/>
            <w:vAlign w:val="center"/>
            <w:hideMark/>
          </w:tcPr>
          <w:p w14:paraId="200DE3F6"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8.3.5</w:t>
            </w:r>
          </w:p>
        </w:tc>
        <w:tc>
          <w:tcPr>
            <w:tcW w:w="3773" w:type="pct"/>
            <w:tcBorders>
              <w:top w:val="nil"/>
              <w:left w:val="nil"/>
              <w:bottom w:val="single" w:sz="8" w:space="0" w:color="auto"/>
              <w:right w:val="single" w:sz="8" w:space="0" w:color="auto"/>
            </w:tcBorders>
            <w:shd w:val="clear" w:color="000000" w:fill="D9D9D9"/>
            <w:noWrap/>
            <w:vAlign w:val="center"/>
            <w:hideMark/>
          </w:tcPr>
          <w:p w14:paraId="4FEF260A"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Seguridad</w:t>
            </w:r>
          </w:p>
        </w:tc>
        <w:tc>
          <w:tcPr>
            <w:tcW w:w="745" w:type="pct"/>
            <w:tcBorders>
              <w:top w:val="nil"/>
              <w:left w:val="nil"/>
              <w:bottom w:val="single" w:sz="8" w:space="0" w:color="auto"/>
              <w:right w:val="nil"/>
            </w:tcBorders>
            <w:shd w:val="clear" w:color="000000" w:fill="D9D9D9"/>
            <w:vAlign w:val="center"/>
            <w:hideMark/>
          </w:tcPr>
          <w:p w14:paraId="24932706"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22,773,095 </w:t>
            </w:r>
          </w:p>
        </w:tc>
      </w:tr>
      <w:tr w:rsidR="00E23F6E" w:rsidRPr="001B6518" w14:paraId="25728A54"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C23648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8.3.5.1</w:t>
            </w:r>
          </w:p>
        </w:tc>
        <w:tc>
          <w:tcPr>
            <w:tcW w:w="3773" w:type="pct"/>
            <w:tcBorders>
              <w:top w:val="nil"/>
              <w:left w:val="nil"/>
              <w:bottom w:val="single" w:sz="8" w:space="0" w:color="auto"/>
              <w:right w:val="single" w:sz="8" w:space="0" w:color="auto"/>
            </w:tcBorders>
            <w:shd w:val="clear" w:color="000000" w:fill="FFFFFF"/>
            <w:noWrap/>
            <w:vAlign w:val="center"/>
            <w:hideMark/>
          </w:tcPr>
          <w:p w14:paraId="24D4A7C0"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Subsidios para las acciones de búsqueda de Personas Desaparecidas y No Localizadas</w:t>
            </w:r>
          </w:p>
        </w:tc>
        <w:tc>
          <w:tcPr>
            <w:tcW w:w="745" w:type="pct"/>
            <w:tcBorders>
              <w:top w:val="nil"/>
              <w:left w:val="nil"/>
              <w:bottom w:val="single" w:sz="8" w:space="0" w:color="auto"/>
              <w:right w:val="nil"/>
            </w:tcBorders>
            <w:shd w:val="clear" w:color="000000" w:fill="FFFFFF"/>
            <w:vAlign w:val="center"/>
            <w:hideMark/>
          </w:tcPr>
          <w:p w14:paraId="0D342B6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55,501 </w:t>
            </w:r>
          </w:p>
        </w:tc>
      </w:tr>
      <w:tr w:rsidR="00E23F6E" w:rsidRPr="001B6518" w14:paraId="61012DB7"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63185E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8.3.5.2</w:t>
            </w:r>
          </w:p>
        </w:tc>
        <w:tc>
          <w:tcPr>
            <w:tcW w:w="3773" w:type="pct"/>
            <w:tcBorders>
              <w:top w:val="nil"/>
              <w:left w:val="nil"/>
              <w:bottom w:val="single" w:sz="8" w:space="0" w:color="auto"/>
              <w:right w:val="single" w:sz="8" w:space="0" w:color="auto"/>
            </w:tcBorders>
            <w:shd w:val="clear" w:color="000000" w:fill="FFFFFF"/>
            <w:noWrap/>
            <w:vAlign w:val="center"/>
            <w:hideMark/>
          </w:tcPr>
          <w:p w14:paraId="24EB5433"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Fondo para el Fortalecimiento de las Instituciones de Seguridad Pública</w:t>
            </w:r>
          </w:p>
        </w:tc>
        <w:tc>
          <w:tcPr>
            <w:tcW w:w="745" w:type="pct"/>
            <w:tcBorders>
              <w:top w:val="nil"/>
              <w:left w:val="nil"/>
              <w:bottom w:val="single" w:sz="8" w:space="0" w:color="auto"/>
              <w:right w:val="nil"/>
            </w:tcBorders>
            <w:shd w:val="clear" w:color="000000" w:fill="FFFFFF"/>
            <w:vAlign w:val="center"/>
            <w:hideMark/>
          </w:tcPr>
          <w:p w14:paraId="7309FB7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22,717,594 </w:t>
            </w:r>
          </w:p>
        </w:tc>
      </w:tr>
      <w:tr w:rsidR="00E23F6E" w:rsidRPr="001B6518" w14:paraId="3319C30B"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543C0E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8.3.5.3</w:t>
            </w:r>
          </w:p>
        </w:tc>
        <w:tc>
          <w:tcPr>
            <w:tcW w:w="3773" w:type="pct"/>
            <w:tcBorders>
              <w:top w:val="nil"/>
              <w:left w:val="nil"/>
              <w:bottom w:val="single" w:sz="8" w:space="0" w:color="auto"/>
              <w:right w:val="single" w:sz="8" w:space="0" w:color="auto"/>
            </w:tcBorders>
            <w:shd w:val="clear" w:color="000000" w:fill="FFFFFF"/>
            <w:noWrap/>
            <w:vAlign w:val="center"/>
            <w:hideMark/>
          </w:tcPr>
          <w:p w14:paraId="134BA487"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Coordinación del Sistema Nacional de Protección Civil</w:t>
            </w:r>
          </w:p>
        </w:tc>
        <w:tc>
          <w:tcPr>
            <w:tcW w:w="745" w:type="pct"/>
            <w:tcBorders>
              <w:top w:val="nil"/>
              <w:left w:val="nil"/>
              <w:bottom w:val="single" w:sz="8" w:space="0" w:color="auto"/>
              <w:right w:val="nil"/>
            </w:tcBorders>
            <w:shd w:val="clear" w:color="000000" w:fill="FFFFFF"/>
            <w:vAlign w:val="center"/>
            <w:hideMark/>
          </w:tcPr>
          <w:p w14:paraId="57F37D4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4D1AEA6C"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E5C43F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8.3.5.4</w:t>
            </w:r>
          </w:p>
        </w:tc>
        <w:tc>
          <w:tcPr>
            <w:tcW w:w="3773" w:type="pct"/>
            <w:tcBorders>
              <w:top w:val="nil"/>
              <w:left w:val="nil"/>
              <w:bottom w:val="single" w:sz="8" w:space="0" w:color="auto"/>
              <w:right w:val="single" w:sz="8" w:space="0" w:color="auto"/>
            </w:tcBorders>
            <w:shd w:val="clear" w:color="000000" w:fill="FFFFFF"/>
            <w:noWrap/>
            <w:vAlign w:val="center"/>
            <w:hideMark/>
          </w:tcPr>
          <w:p w14:paraId="34A7C201"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Otros Convenios Seguridad</w:t>
            </w:r>
          </w:p>
        </w:tc>
        <w:tc>
          <w:tcPr>
            <w:tcW w:w="745" w:type="pct"/>
            <w:tcBorders>
              <w:top w:val="nil"/>
              <w:left w:val="nil"/>
              <w:bottom w:val="single" w:sz="8" w:space="0" w:color="auto"/>
              <w:right w:val="nil"/>
            </w:tcBorders>
            <w:shd w:val="clear" w:color="000000" w:fill="FFFFFF"/>
            <w:vAlign w:val="center"/>
            <w:hideMark/>
          </w:tcPr>
          <w:p w14:paraId="22CA7C9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14ADA428" w14:textId="77777777" w:rsidTr="00E23F6E">
        <w:trPr>
          <w:trHeight w:val="20"/>
        </w:trPr>
        <w:tc>
          <w:tcPr>
            <w:tcW w:w="482" w:type="pct"/>
            <w:tcBorders>
              <w:top w:val="nil"/>
              <w:left w:val="nil"/>
              <w:bottom w:val="single" w:sz="8" w:space="0" w:color="auto"/>
              <w:right w:val="single" w:sz="8" w:space="0" w:color="auto"/>
            </w:tcBorders>
            <w:shd w:val="clear" w:color="000000" w:fill="D9D9D9"/>
            <w:vAlign w:val="center"/>
            <w:hideMark/>
          </w:tcPr>
          <w:p w14:paraId="1CA02035"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8.3.6</w:t>
            </w:r>
          </w:p>
        </w:tc>
        <w:tc>
          <w:tcPr>
            <w:tcW w:w="3773" w:type="pct"/>
            <w:tcBorders>
              <w:top w:val="nil"/>
              <w:left w:val="nil"/>
              <w:bottom w:val="single" w:sz="8" w:space="0" w:color="auto"/>
              <w:right w:val="single" w:sz="8" w:space="0" w:color="auto"/>
            </w:tcBorders>
            <w:shd w:val="clear" w:color="000000" w:fill="D9D9D9"/>
            <w:noWrap/>
            <w:vAlign w:val="center"/>
            <w:hideMark/>
          </w:tcPr>
          <w:p w14:paraId="4600451B"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Buen Gobierno</w:t>
            </w:r>
          </w:p>
        </w:tc>
        <w:tc>
          <w:tcPr>
            <w:tcW w:w="745" w:type="pct"/>
            <w:tcBorders>
              <w:top w:val="nil"/>
              <w:left w:val="nil"/>
              <w:bottom w:val="single" w:sz="8" w:space="0" w:color="auto"/>
              <w:right w:val="nil"/>
            </w:tcBorders>
            <w:shd w:val="clear" w:color="000000" w:fill="D9D9D9"/>
            <w:vAlign w:val="center"/>
            <w:hideMark/>
          </w:tcPr>
          <w:p w14:paraId="1367EAF6"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48,621,273 </w:t>
            </w:r>
          </w:p>
        </w:tc>
      </w:tr>
      <w:tr w:rsidR="00E23F6E" w:rsidRPr="001B6518" w14:paraId="5A406F48"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47F3C4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8.3.6.1</w:t>
            </w:r>
          </w:p>
        </w:tc>
        <w:tc>
          <w:tcPr>
            <w:tcW w:w="3773" w:type="pct"/>
            <w:tcBorders>
              <w:top w:val="nil"/>
              <w:left w:val="nil"/>
              <w:bottom w:val="single" w:sz="8" w:space="0" w:color="auto"/>
              <w:right w:val="single" w:sz="8" w:space="0" w:color="auto"/>
            </w:tcBorders>
            <w:shd w:val="clear" w:color="000000" w:fill="FFFFFF"/>
            <w:noWrap/>
            <w:vAlign w:val="center"/>
            <w:hideMark/>
          </w:tcPr>
          <w:p w14:paraId="0037DD37"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Programa de modernización de los registros públicos de la propiedad y catastros</w:t>
            </w:r>
          </w:p>
        </w:tc>
        <w:tc>
          <w:tcPr>
            <w:tcW w:w="745" w:type="pct"/>
            <w:tcBorders>
              <w:top w:val="nil"/>
              <w:left w:val="nil"/>
              <w:bottom w:val="single" w:sz="8" w:space="0" w:color="auto"/>
              <w:right w:val="nil"/>
            </w:tcBorders>
            <w:shd w:val="clear" w:color="000000" w:fill="FFFFFF"/>
            <w:vAlign w:val="center"/>
            <w:hideMark/>
          </w:tcPr>
          <w:p w14:paraId="7A2E38A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2,002,002 </w:t>
            </w:r>
          </w:p>
        </w:tc>
      </w:tr>
      <w:tr w:rsidR="00E23F6E" w:rsidRPr="001B6518" w14:paraId="0D41E080"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4F9F4B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8.3.6.2</w:t>
            </w:r>
          </w:p>
        </w:tc>
        <w:tc>
          <w:tcPr>
            <w:tcW w:w="3773" w:type="pct"/>
            <w:tcBorders>
              <w:top w:val="nil"/>
              <w:left w:val="nil"/>
              <w:bottom w:val="single" w:sz="8" w:space="0" w:color="auto"/>
              <w:right w:val="single" w:sz="8" w:space="0" w:color="auto"/>
            </w:tcBorders>
            <w:shd w:val="clear" w:color="000000" w:fill="FFFFFF"/>
            <w:noWrap/>
            <w:vAlign w:val="center"/>
            <w:hideMark/>
          </w:tcPr>
          <w:p w14:paraId="342F2A30"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Servicios de Registro e Identificación de Población - Modernización Integral del Registro Civil</w:t>
            </w:r>
          </w:p>
        </w:tc>
        <w:tc>
          <w:tcPr>
            <w:tcW w:w="745" w:type="pct"/>
            <w:tcBorders>
              <w:top w:val="nil"/>
              <w:left w:val="nil"/>
              <w:bottom w:val="single" w:sz="8" w:space="0" w:color="auto"/>
              <w:right w:val="nil"/>
            </w:tcBorders>
            <w:shd w:val="clear" w:color="000000" w:fill="FFFFFF"/>
            <w:vAlign w:val="center"/>
            <w:hideMark/>
          </w:tcPr>
          <w:p w14:paraId="1072555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2,332,860 </w:t>
            </w:r>
          </w:p>
        </w:tc>
      </w:tr>
      <w:tr w:rsidR="00E23F6E" w:rsidRPr="001B6518" w14:paraId="2053DDA2"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34E50D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8.3.6.3</w:t>
            </w:r>
          </w:p>
        </w:tc>
        <w:tc>
          <w:tcPr>
            <w:tcW w:w="3773" w:type="pct"/>
            <w:tcBorders>
              <w:top w:val="nil"/>
              <w:left w:val="nil"/>
              <w:bottom w:val="single" w:sz="8" w:space="0" w:color="auto"/>
              <w:right w:val="single" w:sz="8" w:space="0" w:color="auto"/>
            </w:tcBorders>
            <w:shd w:val="clear" w:color="000000" w:fill="FFFFFF"/>
            <w:noWrap/>
            <w:vAlign w:val="center"/>
            <w:hideMark/>
          </w:tcPr>
          <w:p w14:paraId="5E7F0BE2"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Política de fortalecimiento de la Igualdad Sustantiva entre Mujeres y Hombres</w:t>
            </w:r>
          </w:p>
        </w:tc>
        <w:tc>
          <w:tcPr>
            <w:tcW w:w="745" w:type="pct"/>
            <w:tcBorders>
              <w:top w:val="nil"/>
              <w:left w:val="nil"/>
              <w:bottom w:val="single" w:sz="8" w:space="0" w:color="auto"/>
              <w:right w:val="nil"/>
            </w:tcBorders>
            <w:shd w:val="clear" w:color="000000" w:fill="FFFFFF"/>
            <w:vAlign w:val="center"/>
            <w:hideMark/>
          </w:tcPr>
          <w:p w14:paraId="4AF7D28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150,647 </w:t>
            </w:r>
          </w:p>
        </w:tc>
      </w:tr>
      <w:tr w:rsidR="00E23F6E" w:rsidRPr="001B6518" w14:paraId="4AD77BB0"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C6A54D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8.3.6.4</w:t>
            </w:r>
          </w:p>
        </w:tc>
        <w:tc>
          <w:tcPr>
            <w:tcW w:w="3773" w:type="pct"/>
            <w:tcBorders>
              <w:top w:val="nil"/>
              <w:left w:val="nil"/>
              <w:bottom w:val="single" w:sz="8" w:space="0" w:color="auto"/>
              <w:right w:val="single" w:sz="8" w:space="0" w:color="auto"/>
            </w:tcBorders>
            <w:shd w:val="clear" w:color="000000" w:fill="FFFFFF"/>
            <w:noWrap/>
            <w:vAlign w:val="center"/>
            <w:hideMark/>
          </w:tcPr>
          <w:p w14:paraId="264660ED"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Programa de Atención Integral para el Bienestar de las Mujeres (PAIBIM)</w:t>
            </w:r>
          </w:p>
        </w:tc>
        <w:tc>
          <w:tcPr>
            <w:tcW w:w="745" w:type="pct"/>
            <w:tcBorders>
              <w:top w:val="nil"/>
              <w:left w:val="nil"/>
              <w:bottom w:val="single" w:sz="8" w:space="0" w:color="auto"/>
              <w:right w:val="nil"/>
            </w:tcBorders>
            <w:shd w:val="clear" w:color="000000" w:fill="FFFFFF"/>
            <w:vAlign w:val="center"/>
            <w:hideMark/>
          </w:tcPr>
          <w:p w14:paraId="7501383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13,541,329 </w:t>
            </w:r>
          </w:p>
        </w:tc>
      </w:tr>
      <w:tr w:rsidR="00E23F6E" w:rsidRPr="001B6518" w14:paraId="2A5B4FB6"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7B0EEC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8.3.6.5</w:t>
            </w:r>
          </w:p>
        </w:tc>
        <w:tc>
          <w:tcPr>
            <w:tcW w:w="3773" w:type="pct"/>
            <w:tcBorders>
              <w:top w:val="nil"/>
              <w:left w:val="nil"/>
              <w:bottom w:val="single" w:sz="8" w:space="0" w:color="auto"/>
              <w:right w:val="single" w:sz="8" w:space="0" w:color="auto"/>
            </w:tcBorders>
            <w:shd w:val="clear" w:color="000000" w:fill="FFFFFF"/>
            <w:noWrap/>
            <w:vAlign w:val="center"/>
            <w:hideMark/>
          </w:tcPr>
          <w:p w14:paraId="69C4E19E"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Programa para la Prevención y Detección de las Violencias Feminicidas y la Atención de las Causas</w:t>
            </w:r>
          </w:p>
        </w:tc>
        <w:tc>
          <w:tcPr>
            <w:tcW w:w="745" w:type="pct"/>
            <w:tcBorders>
              <w:top w:val="nil"/>
              <w:left w:val="nil"/>
              <w:bottom w:val="single" w:sz="8" w:space="0" w:color="auto"/>
              <w:right w:val="nil"/>
            </w:tcBorders>
            <w:shd w:val="clear" w:color="000000" w:fill="FFFFFF"/>
            <w:vAlign w:val="center"/>
            <w:hideMark/>
          </w:tcPr>
          <w:p w14:paraId="4110536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28,475,421 </w:t>
            </w:r>
          </w:p>
        </w:tc>
      </w:tr>
      <w:tr w:rsidR="00E23F6E" w:rsidRPr="001B6518" w14:paraId="0AAEB895"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C0DB7B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8.3.6.6</w:t>
            </w:r>
          </w:p>
        </w:tc>
        <w:tc>
          <w:tcPr>
            <w:tcW w:w="3773" w:type="pct"/>
            <w:tcBorders>
              <w:top w:val="nil"/>
              <w:left w:val="nil"/>
              <w:bottom w:val="single" w:sz="8" w:space="0" w:color="auto"/>
              <w:right w:val="single" w:sz="8" w:space="0" w:color="auto"/>
            </w:tcBorders>
            <w:shd w:val="clear" w:color="000000" w:fill="FFFFFF"/>
            <w:noWrap/>
            <w:vAlign w:val="center"/>
            <w:hideMark/>
          </w:tcPr>
          <w:p w14:paraId="054C81C1"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Subsidios a las Entidades Federativas para la implementación de la Reforma al Sistema de Justicia Laboral</w:t>
            </w:r>
          </w:p>
        </w:tc>
        <w:tc>
          <w:tcPr>
            <w:tcW w:w="745" w:type="pct"/>
            <w:tcBorders>
              <w:top w:val="nil"/>
              <w:left w:val="nil"/>
              <w:bottom w:val="single" w:sz="8" w:space="0" w:color="auto"/>
              <w:right w:val="nil"/>
            </w:tcBorders>
            <w:shd w:val="clear" w:color="000000" w:fill="FFFFFF"/>
            <w:vAlign w:val="center"/>
            <w:hideMark/>
          </w:tcPr>
          <w:p w14:paraId="631A800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1867F63D"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BEBE16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8.3.6.7</w:t>
            </w:r>
          </w:p>
        </w:tc>
        <w:tc>
          <w:tcPr>
            <w:tcW w:w="3773" w:type="pct"/>
            <w:tcBorders>
              <w:top w:val="nil"/>
              <w:left w:val="nil"/>
              <w:bottom w:val="single" w:sz="8" w:space="0" w:color="auto"/>
              <w:right w:val="single" w:sz="8" w:space="0" w:color="auto"/>
            </w:tcBorders>
            <w:shd w:val="clear" w:color="000000" w:fill="FFFFFF"/>
            <w:noWrap/>
            <w:vAlign w:val="center"/>
            <w:hideMark/>
          </w:tcPr>
          <w:p w14:paraId="53330BE0"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Provisión para la Armonización Contable - CONAC</w:t>
            </w:r>
          </w:p>
        </w:tc>
        <w:tc>
          <w:tcPr>
            <w:tcW w:w="745" w:type="pct"/>
            <w:tcBorders>
              <w:top w:val="nil"/>
              <w:left w:val="nil"/>
              <w:bottom w:val="single" w:sz="8" w:space="0" w:color="auto"/>
              <w:right w:val="nil"/>
            </w:tcBorders>
            <w:shd w:val="clear" w:color="000000" w:fill="FFFFFF"/>
            <w:vAlign w:val="center"/>
            <w:hideMark/>
          </w:tcPr>
          <w:p w14:paraId="685B7A1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2,119,014 </w:t>
            </w:r>
          </w:p>
        </w:tc>
      </w:tr>
      <w:tr w:rsidR="00E23F6E" w:rsidRPr="001B6518" w14:paraId="390F1617"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75E3DE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8.3.6.8</w:t>
            </w:r>
          </w:p>
        </w:tc>
        <w:tc>
          <w:tcPr>
            <w:tcW w:w="3773" w:type="pct"/>
            <w:tcBorders>
              <w:top w:val="nil"/>
              <w:left w:val="nil"/>
              <w:bottom w:val="single" w:sz="8" w:space="0" w:color="auto"/>
              <w:right w:val="single" w:sz="8" w:space="0" w:color="auto"/>
            </w:tcBorders>
            <w:shd w:val="clear" w:color="000000" w:fill="FFFFFF"/>
            <w:noWrap/>
            <w:vAlign w:val="center"/>
            <w:hideMark/>
          </w:tcPr>
          <w:p w14:paraId="2578B1AA"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Administración y Enajenación de activos - INDEP</w:t>
            </w:r>
          </w:p>
        </w:tc>
        <w:tc>
          <w:tcPr>
            <w:tcW w:w="745" w:type="pct"/>
            <w:tcBorders>
              <w:top w:val="nil"/>
              <w:left w:val="nil"/>
              <w:bottom w:val="single" w:sz="8" w:space="0" w:color="auto"/>
              <w:right w:val="nil"/>
            </w:tcBorders>
            <w:shd w:val="clear" w:color="000000" w:fill="FFFFFF"/>
            <w:vAlign w:val="center"/>
            <w:hideMark/>
          </w:tcPr>
          <w:p w14:paraId="224480D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14742E52"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2CF385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8.3.6.9</w:t>
            </w:r>
          </w:p>
        </w:tc>
        <w:tc>
          <w:tcPr>
            <w:tcW w:w="3773" w:type="pct"/>
            <w:tcBorders>
              <w:top w:val="nil"/>
              <w:left w:val="nil"/>
              <w:bottom w:val="single" w:sz="8" w:space="0" w:color="auto"/>
              <w:right w:val="single" w:sz="8" w:space="0" w:color="auto"/>
            </w:tcBorders>
            <w:shd w:val="clear" w:color="000000" w:fill="FFFFFF"/>
            <w:noWrap/>
            <w:vAlign w:val="center"/>
            <w:hideMark/>
          </w:tcPr>
          <w:p w14:paraId="32B2109E"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Otros Convenios Buen Gobierno</w:t>
            </w:r>
          </w:p>
        </w:tc>
        <w:tc>
          <w:tcPr>
            <w:tcW w:w="745" w:type="pct"/>
            <w:tcBorders>
              <w:top w:val="nil"/>
              <w:left w:val="nil"/>
              <w:bottom w:val="single" w:sz="8" w:space="0" w:color="auto"/>
              <w:right w:val="nil"/>
            </w:tcBorders>
            <w:shd w:val="clear" w:color="000000" w:fill="FFFFFF"/>
            <w:vAlign w:val="center"/>
            <w:hideMark/>
          </w:tcPr>
          <w:p w14:paraId="7434462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35DC8E37" w14:textId="77777777" w:rsidTr="00E23F6E">
        <w:trPr>
          <w:trHeight w:val="20"/>
        </w:trPr>
        <w:tc>
          <w:tcPr>
            <w:tcW w:w="482" w:type="pct"/>
            <w:tcBorders>
              <w:top w:val="nil"/>
              <w:left w:val="nil"/>
              <w:bottom w:val="single" w:sz="8" w:space="0" w:color="auto"/>
              <w:right w:val="single" w:sz="8" w:space="0" w:color="auto"/>
            </w:tcBorders>
            <w:shd w:val="clear" w:color="000000" w:fill="D9D9D9"/>
            <w:vAlign w:val="center"/>
            <w:hideMark/>
          </w:tcPr>
          <w:p w14:paraId="4821C5D9"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8.3.7</w:t>
            </w:r>
          </w:p>
        </w:tc>
        <w:tc>
          <w:tcPr>
            <w:tcW w:w="3773" w:type="pct"/>
            <w:tcBorders>
              <w:top w:val="nil"/>
              <w:left w:val="nil"/>
              <w:bottom w:val="single" w:sz="8" w:space="0" w:color="auto"/>
              <w:right w:val="single" w:sz="8" w:space="0" w:color="auto"/>
            </w:tcBorders>
            <w:shd w:val="clear" w:color="000000" w:fill="D9D9D9"/>
            <w:noWrap/>
            <w:vAlign w:val="center"/>
            <w:hideMark/>
          </w:tcPr>
          <w:p w14:paraId="52AFE94D"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Ramo 23</w:t>
            </w:r>
          </w:p>
        </w:tc>
        <w:tc>
          <w:tcPr>
            <w:tcW w:w="745" w:type="pct"/>
            <w:tcBorders>
              <w:top w:val="nil"/>
              <w:left w:val="nil"/>
              <w:bottom w:val="single" w:sz="8" w:space="0" w:color="auto"/>
              <w:right w:val="nil"/>
            </w:tcBorders>
            <w:shd w:val="clear" w:color="000000" w:fill="D9D9D9"/>
            <w:vAlign w:val="center"/>
            <w:hideMark/>
          </w:tcPr>
          <w:p w14:paraId="41961626"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0 </w:t>
            </w:r>
          </w:p>
        </w:tc>
      </w:tr>
      <w:tr w:rsidR="00E23F6E" w:rsidRPr="001B6518" w14:paraId="683562E9"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948A8B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8.3.7.1</w:t>
            </w:r>
          </w:p>
        </w:tc>
        <w:tc>
          <w:tcPr>
            <w:tcW w:w="3773" w:type="pct"/>
            <w:tcBorders>
              <w:top w:val="nil"/>
              <w:left w:val="nil"/>
              <w:bottom w:val="single" w:sz="8" w:space="0" w:color="auto"/>
              <w:right w:val="single" w:sz="8" w:space="0" w:color="auto"/>
            </w:tcBorders>
            <w:shd w:val="clear" w:color="000000" w:fill="FFFFFF"/>
            <w:noWrap/>
            <w:vAlign w:val="center"/>
            <w:hideMark/>
          </w:tcPr>
          <w:p w14:paraId="237DABC2"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Apoyo a municipios para obras de infraestructura y seguridad de los museos, monumentos y zonas arqueológicas (derecho a museos) - 5% Museos o Zonas Arqueológicas</w:t>
            </w:r>
          </w:p>
        </w:tc>
        <w:tc>
          <w:tcPr>
            <w:tcW w:w="745" w:type="pct"/>
            <w:tcBorders>
              <w:top w:val="nil"/>
              <w:left w:val="nil"/>
              <w:bottom w:val="single" w:sz="8" w:space="0" w:color="auto"/>
              <w:right w:val="nil"/>
            </w:tcBorders>
            <w:shd w:val="clear" w:color="000000" w:fill="FFFFFF"/>
            <w:vAlign w:val="center"/>
            <w:hideMark/>
          </w:tcPr>
          <w:p w14:paraId="2732F03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05604EF1"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320800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8.3.7.2</w:t>
            </w:r>
          </w:p>
        </w:tc>
        <w:tc>
          <w:tcPr>
            <w:tcW w:w="3773" w:type="pct"/>
            <w:tcBorders>
              <w:top w:val="nil"/>
              <w:left w:val="nil"/>
              <w:bottom w:val="single" w:sz="8" w:space="0" w:color="auto"/>
              <w:right w:val="single" w:sz="8" w:space="0" w:color="auto"/>
            </w:tcBorders>
            <w:shd w:val="clear" w:color="000000" w:fill="FFFFFF"/>
            <w:noWrap/>
            <w:vAlign w:val="center"/>
            <w:hideMark/>
          </w:tcPr>
          <w:p w14:paraId="70DD52C7"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Otros Convenios Ramo 23</w:t>
            </w:r>
          </w:p>
        </w:tc>
        <w:tc>
          <w:tcPr>
            <w:tcW w:w="745" w:type="pct"/>
            <w:tcBorders>
              <w:top w:val="nil"/>
              <w:left w:val="nil"/>
              <w:bottom w:val="single" w:sz="8" w:space="0" w:color="auto"/>
              <w:right w:val="nil"/>
            </w:tcBorders>
            <w:shd w:val="clear" w:color="000000" w:fill="FFFFFF"/>
            <w:vAlign w:val="center"/>
            <w:hideMark/>
          </w:tcPr>
          <w:p w14:paraId="75BD973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781BF6B2" w14:textId="77777777" w:rsidTr="00E23F6E">
        <w:trPr>
          <w:trHeight w:val="20"/>
        </w:trPr>
        <w:tc>
          <w:tcPr>
            <w:tcW w:w="482" w:type="pct"/>
            <w:tcBorders>
              <w:top w:val="nil"/>
              <w:left w:val="nil"/>
              <w:bottom w:val="single" w:sz="8" w:space="0" w:color="auto"/>
              <w:right w:val="single" w:sz="8" w:space="0" w:color="auto"/>
            </w:tcBorders>
            <w:shd w:val="clear" w:color="000000" w:fill="D9D9D9"/>
            <w:vAlign w:val="center"/>
            <w:hideMark/>
          </w:tcPr>
          <w:p w14:paraId="5AC11B30"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8.3.8</w:t>
            </w:r>
          </w:p>
        </w:tc>
        <w:tc>
          <w:tcPr>
            <w:tcW w:w="3773" w:type="pct"/>
            <w:tcBorders>
              <w:top w:val="nil"/>
              <w:left w:val="nil"/>
              <w:bottom w:val="single" w:sz="8" w:space="0" w:color="auto"/>
              <w:right w:val="single" w:sz="8" w:space="0" w:color="auto"/>
            </w:tcBorders>
            <w:shd w:val="clear" w:color="000000" w:fill="D9D9D9"/>
            <w:noWrap/>
            <w:vAlign w:val="center"/>
            <w:hideMark/>
          </w:tcPr>
          <w:p w14:paraId="3D3CDDA6"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Comunicación y Transporte</w:t>
            </w:r>
          </w:p>
        </w:tc>
        <w:tc>
          <w:tcPr>
            <w:tcW w:w="745" w:type="pct"/>
            <w:tcBorders>
              <w:top w:val="nil"/>
              <w:left w:val="nil"/>
              <w:bottom w:val="single" w:sz="8" w:space="0" w:color="auto"/>
              <w:right w:val="nil"/>
            </w:tcBorders>
            <w:shd w:val="clear" w:color="000000" w:fill="D9D9D9"/>
            <w:vAlign w:val="center"/>
            <w:hideMark/>
          </w:tcPr>
          <w:p w14:paraId="631001A5"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0 </w:t>
            </w:r>
          </w:p>
        </w:tc>
      </w:tr>
      <w:tr w:rsidR="00E23F6E" w:rsidRPr="001B6518" w14:paraId="23ED3A06"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3D4101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8.3.8.1</w:t>
            </w:r>
          </w:p>
        </w:tc>
        <w:tc>
          <w:tcPr>
            <w:tcW w:w="3773" w:type="pct"/>
            <w:tcBorders>
              <w:top w:val="nil"/>
              <w:left w:val="nil"/>
              <w:bottom w:val="single" w:sz="8" w:space="0" w:color="auto"/>
              <w:right w:val="single" w:sz="8" w:space="0" w:color="auto"/>
            </w:tcBorders>
            <w:shd w:val="clear" w:color="000000" w:fill="FFFFFF"/>
            <w:noWrap/>
            <w:vAlign w:val="center"/>
            <w:hideMark/>
          </w:tcPr>
          <w:p w14:paraId="597AEF57"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Caminos artesanales - Mejora en la conectividad municipal a través de caminos rurales y carreteras alimentadoras</w:t>
            </w:r>
          </w:p>
        </w:tc>
        <w:tc>
          <w:tcPr>
            <w:tcW w:w="745" w:type="pct"/>
            <w:tcBorders>
              <w:top w:val="nil"/>
              <w:left w:val="nil"/>
              <w:bottom w:val="single" w:sz="8" w:space="0" w:color="auto"/>
              <w:right w:val="nil"/>
            </w:tcBorders>
            <w:shd w:val="clear" w:color="000000" w:fill="FFFFFF"/>
            <w:vAlign w:val="center"/>
            <w:hideMark/>
          </w:tcPr>
          <w:p w14:paraId="5C3CCF6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780D9C63"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5ED7B3F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lastRenderedPageBreak/>
              <w:t>8.3.8.2</w:t>
            </w:r>
          </w:p>
        </w:tc>
        <w:tc>
          <w:tcPr>
            <w:tcW w:w="3773" w:type="pct"/>
            <w:tcBorders>
              <w:top w:val="nil"/>
              <w:left w:val="nil"/>
              <w:bottom w:val="single" w:sz="8" w:space="0" w:color="auto"/>
              <w:right w:val="single" w:sz="8" w:space="0" w:color="auto"/>
            </w:tcBorders>
            <w:shd w:val="clear" w:color="000000" w:fill="FFFFFF"/>
            <w:noWrap/>
            <w:vAlign w:val="center"/>
            <w:hideMark/>
          </w:tcPr>
          <w:p w14:paraId="14202F5A"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Otros Convenios Comunicación y Transporte</w:t>
            </w:r>
          </w:p>
        </w:tc>
        <w:tc>
          <w:tcPr>
            <w:tcW w:w="745" w:type="pct"/>
            <w:tcBorders>
              <w:top w:val="nil"/>
              <w:left w:val="nil"/>
              <w:bottom w:val="single" w:sz="8" w:space="0" w:color="auto"/>
              <w:right w:val="nil"/>
            </w:tcBorders>
            <w:shd w:val="clear" w:color="000000" w:fill="FFFFFF"/>
            <w:vAlign w:val="center"/>
            <w:hideMark/>
          </w:tcPr>
          <w:p w14:paraId="31C545A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53F2E86F" w14:textId="77777777" w:rsidTr="00E23F6E">
        <w:trPr>
          <w:trHeight w:val="20"/>
        </w:trPr>
        <w:tc>
          <w:tcPr>
            <w:tcW w:w="482" w:type="pct"/>
            <w:tcBorders>
              <w:top w:val="nil"/>
              <w:left w:val="nil"/>
              <w:bottom w:val="single" w:sz="8" w:space="0" w:color="auto"/>
              <w:right w:val="single" w:sz="8" w:space="0" w:color="auto"/>
            </w:tcBorders>
            <w:shd w:val="clear" w:color="000000" w:fill="D9D9D9"/>
            <w:vAlign w:val="center"/>
            <w:hideMark/>
          </w:tcPr>
          <w:p w14:paraId="3D356CD0"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8.3.9</w:t>
            </w:r>
          </w:p>
        </w:tc>
        <w:tc>
          <w:tcPr>
            <w:tcW w:w="3773" w:type="pct"/>
            <w:tcBorders>
              <w:top w:val="nil"/>
              <w:left w:val="nil"/>
              <w:bottom w:val="single" w:sz="8" w:space="0" w:color="auto"/>
              <w:right w:val="single" w:sz="8" w:space="0" w:color="auto"/>
            </w:tcBorders>
            <w:shd w:val="clear" w:color="000000" w:fill="D9D9D9"/>
            <w:noWrap/>
            <w:vAlign w:val="center"/>
            <w:hideMark/>
          </w:tcPr>
          <w:p w14:paraId="459C424D"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Agricultura, Ganadería, Desarrollo Rural, Pesca y Alimentación</w:t>
            </w:r>
          </w:p>
        </w:tc>
        <w:tc>
          <w:tcPr>
            <w:tcW w:w="745" w:type="pct"/>
            <w:tcBorders>
              <w:top w:val="nil"/>
              <w:left w:val="nil"/>
              <w:bottom w:val="single" w:sz="8" w:space="0" w:color="auto"/>
              <w:right w:val="nil"/>
            </w:tcBorders>
            <w:shd w:val="clear" w:color="000000" w:fill="D9D9D9"/>
            <w:vAlign w:val="center"/>
            <w:hideMark/>
          </w:tcPr>
          <w:p w14:paraId="16A85C8A"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120,826,895 </w:t>
            </w:r>
          </w:p>
        </w:tc>
      </w:tr>
      <w:tr w:rsidR="00E23F6E" w:rsidRPr="001B6518" w14:paraId="40B51D28"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8CBBD0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8.3.9.1</w:t>
            </w:r>
          </w:p>
        </w:tc>
        <w:tc>
          <w:tcPr>
            <w:tcW w:w="3773" w:type="pct"/>
            <w:tcBorders>
              <w:top w:val="nil"/>
              <w:left w:val="nil"/>
              <w:bottom w:val="single" w:sz="8" w:space="0" w:color="auto"/>
              <w:right w:val="single" w:sz="8" w:space="0" w:color="auto"/>
            </w:tcBorders>
            <w:shd w:val="clear" w:color="000000" w:fill="FFFFFF"/>
            <w:noWrap/>
            <w:vAlign w:val="center"/>
            <w:hideMark/>
          </w:tcPr>
          <w:p w14:paraId="2B203D38"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Sanidad e Inocuidad Agroalimentaria</w:t>
            </w:r>
          </w:p>
        </w:tc>
        <w:tc>
          <w:tcPr>
            <w:tcW w:w="745" w:type="pct"/>
            <w:tcBorders>
              <w:top w:val="nil"/>
              <w:left w:val="nil"/>
              <w:bottom w:val="single" w:sz="8" w:space="0" w:color="auto"/>
              <w:right w:val="nil"/>
            </w:tcBorders>
            <w:shd w:val="clear" w:color="000000" w:fill="FFFFFF"/>
            <w:vAlign w:val="center"/>
            <w:hideMark/>
          </w:tcPr>
          <w:p w14:paraId="0ED9483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58,752,451 </w:t>
            </w:r>
          </w:p>
        </w:tc>
      </w:tr>
      <w:tr w:rsidR="00E23F6E" w:rsidRPr="001B6518" w14:paraId="0861EF08"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F2C6EE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8.3.9.2</w:t>
            </w:r>
          </w:p>
        </w:tc>
        <w:tc>
          <w:tcPr>
            <w:tcW w:w="3773" w:type="pct"/>
            <w:tcBorders>
              <w:top w:val="nil"/>
              <w:left w:val="nil"/>
              <w:bottom w:val="single" w:sz="8" w:space="0" w:color="auto"/>
              <w:right w:val="single" w:sz="8" w:space="0" w:color="auto"/>
            </w:tcBorders>
            <w:shd w:val="clear" w:color="000000" w:fill="FFFFFF"/>
            <w:noWrap/>
            <w:vAlign w:val="center"/>
            <w:hideMark/>
          </w:tcPr>
          <w:p w14:paraId="66A893C6"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Programa de Apoyo a la Infraestructura Hidroagrícola - rehabilitación Modernización Tecnificado y Equipamiento de Unidades de Riego</w:t>
            </w:r>
          </w:p>
        </w:tc>
        <w:tc>
          <w:tcPr>
            <w:tcW w:w="745" w:type="pct"/>
            <w:tcBorders>
              <w:top w:val="nil"/>
              <w:left w:val="nil"/>
              <w:bottom w:val="single" w:sz="8" w:space="0" w:color="auto"/>
              <w:right w:val="nil"/>
            </w:tcBorders>
            <w:shd w:val="clear" w:color="000000" w:fill="FFFFFF"/>
            <w:vAlign w:val="center"/>
            <w:hideMark/>
          </w:tcPr>
          <w:p w14:paraId="6C3A01BF"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54,099,102 </w:t>
            </w:r>
          </w:p>
        </w:tc>
      </w:tr>
      <w:tr w:rsidR="00E23F6E" w:rsidRPr="001B6518" w14:paraId="4234A198"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01BB61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8.3.9.3</w:t>
            </w:r>
          </w:p>
        </w:tc>
        <w:tc>
          <w:tcPr>
            <w:tcW w:w="3773" w:type="pct"/>
            <w:tcBorders>
              <w:top w:val="nil"/>
              <w:left w:val="nil"/>
              <w:bottom w:val="single" w:sz="8" w:space="0" w:color="auto"/>
              <w:right w:val="single" w:sz="8" w:space="0" w:color="auto"/>
            </w:tcBorders>
            <w:shd w:val="clear" w:color="000000" w:fill="FFFFFF"/>
            <w:noWrap/>
            <w:vAlign w:val="center"/>
            <w:hideMark/>
          </w:tcPr>
          <w:p w14:paraId="32253BF7"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Desarrollo Forestal Sustentable para el Bienestar - Prevención, Combate y Control de Incendios Forestales - CONAFOR</w:t>
            </w:r>
          </w:p>
        </w:tc>
        <w:tc>
          <w:tcPr>
            <w:tcW w:w="745" w:type="pct"/>
            <w:tcBorders>
              <w:top w:val="nil"/>
              <w:left w:val="nil"/>
              <w:bottom w:val="single" w:sz="8" w:space="0" w:color="auto"/>
              <w:right w:val="nil"/>
            </w:tcBorders>
            <w:shd w:val="clear" w:color="000000" w:fill="FFFFFF"/>
            <w:vAlign w:val="center"/>
            <w:hideMark/>
          </w:tcPr>
          <w:p w14:paraId="597A41A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7,975,342 </w:t>
            </w:r>
          </w:p>
        </w:tc>
      </w:tr>
      <w:tr w:rsidR="00E23F6E" w:rsidRPr="001B6518" w14:paraId="56BFA792"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828117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8.3.9.4</w:t>
            </w:r>
          </w:p>
        </w:tc>
        <w:tc>
          <w:tcPr>
            <w:tcW w:w="3773" w:type="pct"/>
            <w:tcBorders>
              <w:top w:val="nil"/>
              <w:left w:val="nil"/>
              <w:bottom w:val="single" w:sz="8" w:space="0" w:color="auto"/>
              <w:right w:val="single" w:sz="8" w:space="0" w:color="auto"/>
            </w:tcBorders>
            <w:shd w:val="clear" w:color="000000" w:fill="FFFFFF"/>
            <w:noWrap/>
            <w:vAlign w:val="center"/>
            <w:hideMark/>
          </w:tcPr>
          <w:p w14:paraId="34330CD9"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Sembrando vida (S287)</w:t>
            </w:r>
          </w:p>
        </w:tc>
        <w:tc>
          <w:tcPr>
            <w:tcW w:w="745" w:type="pct"/>
            <w:tcBorders>
              <w:top w:val="nil"/>
              <w:left w:val="nil"/>
              <w:bottom w:val="single" w:sz="8" w:space="0" w:color="auto"/>
              <w:right w:val="nil"/>
            </w:tcBorders>
            <w:shd w:val="clear" w:color="000000" w:fill="FFFFFF"/>
            <w:vAlign w:val="center"/>
            <w:hideMark/>
          </w:tcPr>
          <w:p w14:paraId="2580BC2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5384505E"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18C5FB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8.3.9.5</w:t>
            </w:r>
          </w:p>
        </w:tc>
        <w:tc>
          <w:tcPr>
            <w:tcW w:w="3773" w:type="pct"/>
            <w:tcBorders>
              <w:top w:val="nil"/>
              <w:left w:val="nil"/>
              <w:bottom w:val="single" w:sz="8" w:space="0" w:color="auto"/>
              <w:right w:val="single" w:sz="8" w:space="0" w:color="auto"/>
            </w:tcBorders>
            <w:shd w:val="clear" w:color="000000" w:fill="FFFFFF"/>
            <w:noWrap/>
            <w:vAlign w:val="center"/>
            <w:hideMark/>
          </w:tcPr>
          <w:p w14:paraId="51418504"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Otros Convenios AGDRPyA</w:t>
            </w:r>
          </w:p>
        </w:tc>
        <w:tc>
          <w:tcPr>
            <w:tcW w:w="745" w:type="pct"/>
            <w:tcBorders>
              <w:top w:val="nil"/>
              <w:left w:val="nil"/>
              <w:bottom w:val="single" w:sz="8" w:space="0" w:color="auto"/>
              <w:right w:val="nil"/>
            </w:tcBorders>
            <w:shd w:val="clear" w:color="000000" w:fill="FFFFFF"/>
            <w:vAlign w:val="center"/>
            <w:hideMark/>
          </w:tcPr>
          <w:p w14:paraId="5998BC8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0C5F942C" w14:textId="77777777" w:rsidTr="00E23F6E">
        <w:trPr>
          <w:trHeight w:val="20"/>
        </w:trPr>
        <w:tc>
          <w:tcPr>
            <w:tcW w:w="482" w:type="pct"/>
            <w:tcBorders>
              <w:top w:val="nil"/>
              <w:left w:val="nil"/>
              <w:bottom w:val="single" w:sz="8" w:space="0" w:color="auto"/>
              <w:right w:val="single" w:sz="8" w:space="0" w:color="auto"/>
            </w:tcBorders>
            <w:shd w:val="clear" w:color="000000" w:fill="ABABAB"/>
            <w:noWrap/>
            <w:vAlign w:val="center"/>
            <w:hideMark/>
          </w:tcPr>
          <w:p w14:paraId="160C0622"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8.4</w:t>
            </w:r>
          </w:p>
        </w:tc>
        <w:tc>
          <w:tcPr>
            <w:tcW w:w="3773" w:type="pct"/>
            <w:tcBorders>
              <w:top w:val="nil"/>
              <w:left w:val="nil"/>
              <w:bottom w:val="single" w:sz="8" w:space="0" w:color="auto"/>
              <w:right w:val="single" w:sz="8" w:space="0" w:color="auto"/>
            </w:tcBorders>
            <w:shd w:val="clear" w:color="000000" w:fill="ABABAB"/>
            <w:noWrap/>
            <w:vAlign w:val="center"/>
            <w:hideMark/>
          </w:tcPr>
          <w:p w14:paraId="665413FA"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Incentivos Derivados de la Colaboración Fiscal</w:t>
            </w:r>
          </w:p>
        </w:tc>
        <w:tc>
          <w:tcPr>
            <w:tcW w:w="745" w:type="pct"/>
            <w:tcBorders>
              <w:top w:val="nil"/>
              <w:left w:val="nil"/>
              <w:bottom w:val="single" w:sz="8" w:space="0" w:color="auto"/>
              <w:right w:val="nil"/>
            </w:tcBorders>
            <w:shd w:val="clear" w:color="000000" w:fill="ABABAB"/>
            <w:vAlign w:val="center"/>
            <w:hideMark/>
          </w:tcPr>
          <w:p w14:paraId="428F3E8E"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1,319,041,914 </w:t>
            </w:r>
          </w:p>
        </w:tc>
      </w:tr>
      <w:tr w:rsidR="00E23F6E" w:rsidRPr="001B6518" w14:paraId="6B70A3DB" w14:textId="77777777" w:rsidTr="00E23F6E">
        <w:trPr>
          <w:trHeight w:val="20"/>
        </w:trPr>
        <w:tc>
          <w:tcPr>
            <w:tcW w:w="482" w:type="pct"/>
            <w:tcBorders>
              <w:top w:val="nil"/>
              <w:left w:val="nil"/>
              <w:bottom w:val="single" w:sz="8" w:space="0" w:color="auto"/>
              <w:right w:val="single" w:sz="8" w:space="0" w:color="auto"/>
            </w:tcBorders>
            <w:vAlign w:val="center"/>
            <w:hideMark/>
          </w:tcPr>
          <w:p w14:paraId="49C41382"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8.4.1</w:t>
            </w:r>
          </w:p>
        </w:tc>
        <w:tc>
          <w:tcPr>
            <w:tcW w:w="3773" w:type="pct"/>
            <w:tcBorders>
              <w:top w:val="nil"/>
              <w:left w:val="nil"/>
              <w:bottom w:val="single" w:sz="8" w:space="0" w:color="auto"/>
              <w:right w:val="single" w:sz="8" w:space="0" w:color="auto"/>
            </w:tcBorders>
            <w:noWrap/>
            <w:vAlign w:val="center"/>
            <w:hideMark/>
          </w:tcPr>
          <w:p w14:paraId="022D2C8F"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Incentivos por colaboración Administrativa</w:t>
            </w:r>
          </w:p>
        </w:tc>
        <w:tc>
          <w:tcPr>
            <w:tcW w:w="745" w:type="pct"/>
            <w:tcBorders>
              <w:top w:val="nil"/>
              <w:left w:val="nil"/>
              <w:bottom w:val="single" w:sz="8" w:space="0" w:color="auto"/>
              <w:right w:val="nil"/>
            </w:tcBorders>
            <w:vAlign w:val="center"/>
            <w:hideMark/>
          </w:tcPr>
          <w:p w14:paraId="1A13249F"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1,259,904,650 </w:t>
            </w:r>
          </w:p>
        </w:tc>
      </w:tr>
      <w:tr w:rsidR="00E23F6E" w:rsidRPr="001B6518" w14:paraId="529D842E" w14:textId="77777777" w:rsidTr="00E23F6E">
        <w:trPr>
          <w:trHeight w:val="20"/>
        </w:trPr>
        <w:tc>
          <w:tcPr>
            <w:tcW w:w="482" w:type="pct"/>
            <w:tcBorders>
              <w:top w:val="nil"/>
              <w:left w:val="nil"/>
              <w:bottom w:val="single" w:sz="8" w:space="0" w:color="auto"/>
              <w:right w:val="single" w:sz="8" w:space="0" w:color="auto"/>
            </w:tcBorders>
            <w:vAlign w:val="center"/>
            <w:hideMark/>
          </w:tcPr>
          <w:p w14:paraId="5B4AECF6"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8.4.1.1</w:t>
            </w:r>
          </w:p>
        </w:tc>
        <w:tc>
          <w:tcPr>
            <w:tcW w:w="3773" w:type="pct"/>
            <w:tcBorders>
              <w:top w:val="nil"/>
              <w:left w:val="nil"/>
              <w:bottom w:val="single" w:sz="8" w:space="0" w:color="auto"/>
              <w:right w:val="single" w:sz="8" w:space="0" w:color="auto"/>
            </w:tcBorders>
            <w:noWrap/>
            <w:vAlign w:val="center"/>
            <w:hideMark/>
          </w:tcPr>
          <w:p w14:paraId="6471827D"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Impuestos Federales Administrados por el Estado</w:t>
            </w:r>
          </w:p>
        </w:tc>
        <w:tc>
          <w:tcPr>
            <w:tcW w:w="745" w:type="pct"/>
            <w:tcBorders>
              <w:top w:val="nil"/>
              <w:left w:val="nil"/>
              <w:bottom w:val="single" w:sz="8" w:space="0" w:color="auto"/>
              <w:right w:val="nil"/>
            </w:tcBorders>
            <w:vAlign w:val="center"/>
            <w:hideMark/>
          </w:tcPr>
          <w:p w14:paraId="71A7EF8A"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514,901,207 </w:t>
            </w:r>
          </w:p>
        </w:tc>
      </w:tr>
      <w:tr w:rsidR="00E23F6E" w:rsidRPr="001B6518" w14:paraId="56E0C822"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FE4CD1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8.4.1.1.1</w:t>
            </w:r>
          </w:p>
        </w:tc>
        <w:tc>
          <w:tcPr>
            <w:tcW w:w="3773" w:type="pct"/>
            <w:tcBorders>
              <w:top w:val="nil"/>
              <w:left w:val="nil"/>
              <w:bottom w:val="single" w:sz="8" w:space="0" w:color="auto"/>
              <w:right w:val="single" w:sz="8" w:space="0" w:color="auto"/>
            </w:tcBorders>
            <w:shd w:val="clear" w:color="000000" w:fill="FFFFFF"/>
            <w:noWrap/>
            <w:vAlign w:val="center"/>
            <w:hideMark/>
          </w:tcPr>
          <w:p w14:paraId="079C2F1E"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 Impuestos sobre tenencia o uso de vehículos</w:t>
            </w:r>
          </w:p>
        </w:tc>
        <w:tc>
          <w:tcPr>
            <w:tcW w:w="745" w:type="pct"/>
            <w:tcBorders>
              <w:top w:val="nil"/>
              <w:left w:val="nil"/>
              <w:bottom w:val="single" w:sz="8" w:space="0" w:color="auto"/>
              <w:right w:val="nil"/>
            </w:tcBorders>
            <w:shd w:val="clear" w:color="000000" w:fill="FFFFFF"/>
            <w:vAlign w:val="center"/>
            <w:hideMark/>
          </w:tcPr>
          <w:p w14:paraId="0DC843E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11F974D4"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86A9F7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8.4.1.1.2</w:t>
            </w:r>
          </w:p>
        </w:tc>
        <w:tc>
          <w:tcPr>
            <w:tcW w:w="3773" w:type="pct"/>
            <w:tcBorders>
              <w:top w:val="nil"/>
              <w:left w:val="nil"/>
              <w:bottom w:val="single" w:sz="8" w:space="0" w:color="auto"/>
              <w:right w:val="single" w:sz="8" w:space="0" w:color="auto"/>
            </w:tcBorders>
            <w:shd w:val="clear" w:color="000000" w:fill="FFFFFF"/>
            <w:noWrap/>
            <w:vAlign w:val="center"/>
            <w:hideMark/>
          </w:tcPr>
          <w:p w14:paraId="7D73526B"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b) Impuesto sobre automóviles nuevos (ISAN)</w:t>
            </w:r>
          </w:p>
        </w:tc>
        <w:tc>
          <w:tcPr>
            <w:tcW w:w="745" w:type="pct"/>
            <w:tcBorders>
              <w:top w:val="nil"/>
              <w:left w:val="nil"/>
              <w:bottom w:val="single" w:sz="8" w:space="0" w:color="auto"/>
              <w:right w:val="nil"/>
            </w:tcBorders>
            <w:shd w:val="clear" w:color="000000" w:fill="FFFFFF"/>
            <w:vAlign w:val="center"/>
            <w:hideMark/>
          </w:tcPr>
          <w:p w14:paraId="4C2DBEB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280,468,838 </w:t>
            </w:r>
          </w:p>
        </w:tc>
      </w:tr>
      <w:tr w:rsidR="00E23F6E" w:rsidRPr="001B6518" w14:paraId="6EAE1269"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A03AB6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8.4.1.1.3</w:t>
            </w:r>
          </w:p>
        </w:tc>
        <w:tc>
          <w:tcPr>
            <w:tcW w:w="3773" w:type="pct"/>
            <w:tcBorders>
              <w:top w:val="nil"/>
              <w:left w:val="nil"/>
              <w:bottom w:val="single" w:sz="8" w:space="0" w:color="auto"/>
              <w:right w:val="single" w:sz="8" w:space="0" w:color="auto"/>
            </w:tcBorders>
            <w:shd w:val="clear" w:color="000000" w:fill="FFFFFF"/>
            <w:noWrap/>
            <w:vAlign w:val="center"/>
            <w:hideMark/>
          </w:tcPr>
          <w:p w14:paraId="69D365B5"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c) Impuesto Especial Sobre Producción y Servicios a las gasolinas y diésel (IEPS GASOLINAS)</w:t>
            </w:r>
          </w:p>
        </w:tc>
        <w:tc>
          <w:tcPr>
            <w:tcW w:w="745" w:type="pct"/>
            <w:tcBorders>
              <w:top w:val="nil"/>
              <w:left w:val="nil"/>
              <w:bottom w:val="single" w:sz="8" w:space="0" w:color="auto"/>
              <w:right w:val="nil"/>
            </w:tcBorders>
            <w:shd w:val="clear" w:color="000000" w:fill="FFFFFF"/>
            <w:vAlign w:val="center"/>
            <w:hideMark/>
          </w:tcPr>
          <w:p w14:paraId="6DF1C20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21490B89"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7052E1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8.4.1.1.4</w:t>
            </w:r>
          </w:p>
        </w:tc>
        <w:tc>
          <w:tcPr>
            <w:tcW w:w="3773" w:type="pct"/>
            <w:tcBorders>
              <w:top w:val="nil"/>
              <w:left w:val="nil"/>
              <w:bottom w:val="single" w:sz="8" w:space="0" w:color="auto"/>
              <w:right w:val="single" w:sz="8" w:space="0" w:color="auto"/>
            </w:tcBorders>
            <w:shd w:val="clear" w:color="000000" w:fill="FFFFFF"/>
            <w:noWrap/>
            <w:vAlign w:val="center"/>
            <w:hideMark/>
          </w:tcPr>
          <w:p w14:paraId="0CC53FFC"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d) ISR Capítulo IV del Título IV de la Ley del Impuesto Sobre la Renta respecto de la enajenación de terrenos construcciones o terrenos y construcciones</w:t>
            </w:r>
          </w:p>
        </w:tc>
        <w:tc>
          <w:tcPr>
            <w:tcW w:w="745" w:type="pct"/>
            <w:tcBorders>
              <w:top w:val="nil"/>
              <w:left w:val="nil"/>
              <w:bottom w:val="single" w:sz="8" w:space="0" w:color="auto"/>
              <w:right w:val="nil"/>
            </w:tcBorders>
            <w:shd w:val="clear" w:color="000000" w:fill="FFFFFF"/>
            <w:vAlign w:val="center"/>
            <w:hideMark/>
          </w:tcPr>
          <w:p w14:paraId="0634590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234,432,369 </w:t>
            </w:r>
          </w:p>
        </w:tc>
      </w:tr>
      <w:tr w:rsidR="00E23F6E" w:rsidRPr="001B6518" w14:paraId="16D24EC7" w14:textId="77777777" w:rsidTr="00E23F6E">
        <w:trPr>
          <w:trHeight w:val="20"/>
        </w:trPr>
        <w:tc>
          <w:tcPr>
            <w:tcW w:w="482" w:type="pct"/>
            <w:tcBorders>
              <w:top w:val="nil"/>
              <w:left w:val="nil"/>
              <w:bottom w:val="single" w:sz="8" w:space="0" w:color="auto"/>
              <w:right w:val="single" w:sz="8" w:space="0" w:color="auto"/>
            </w:tcBorders>
            <w:vAlign w:val="center"/>
            <w:hideMark/>
          </w:tcPr>
          <w:p w14:paraId="0A4C490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8.4.1.2</w:t>
            </w:r>
          </w:p>
        </w:tc>
        <w:tc>
          <w:tcPr>
            <w:tcW w:w="3773" w:type="pct"/>
            <w:tcBorders>
              <w:top w:val="nil"/>
              <w:left w:val="nil"/>
              <w:bottom w:val="single" w:sz="8" w:space="0" w:color="auto"/>
              <w:right w:val="single" w:sz="8" w:space="0" w:color="auto"/>
            </w:tcBorders>
            <w:noWrap/>
            <w:vAlign w:val="center"/>
            <w:hideMark/>
          </w:tcPr>
          <w:p w14:paraId="2B999B15"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Incentivos y Multas</w:t>
            </w:r>
          </w:p>
        </w:tc>
        <w:tc>
          <w:tcPr>
            <w:tcW w:w="745" w:type="pct"/>
            <w:tcBorders>
              <w:top w:val="nil"/>
              <w:left w:val="nil"/>
              <w:bottom w:val="single" w:sz="8" w:space="0" w:color="auto"/>
              <w:right w:val="nil"/>
            </w:tcBorders>
            <w:shd w:val="clear" w:color="000000" w:fill="FFFFFF"/>
            <w:vAlign w:val="center"/>
            <w:hideMark/>
          </w:tcPr>
          <w:p w14:paraId="3EDF47C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745,003,443 </w:t>
            </w:r>
          </w:p>
        </w:tc>
      </w:tr>
      <w:tr w:rsidR="00E23F6E" w:rsidRPr="001B6518" w14:paraId="4923FB2B" w14:textId="77777777" w:rsidTr="00E23F6E">
        <w:trPr>
          <w:trHeight w:val="20"/>
        </w:trPr>
        <w:tc>
          <w:tcPr>
            <w:tcW w:w="482" w:type="pct"/>
            <w:tcBorders>
              <w:top w:val="nil"/>
              <w:left w:val="nil"/>
              <w:bottom w:val="single" w:sz="8" w:space="0" w:color="auto"/>
              <w:right w:val="single" w:sz="8" w:space="0" w:color="auto"/>
            </w:tcBorders>
            <w:vAlign w:val="center"/>
            <w:hideMark/>
          </w:tcPr>
          <w:p w14:paraId="0E9C1DB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8.4.2</w:t>
            </w:r>
          </w:p>
        </w:tc>
        <w:tc>
          <w:tcPr>
            <w:tcW w:w="3773" w:type="pct"/>
            <w:tcBorders>
              <w:top w:val="nil"/>
              <w:left w:val="nil"/>
              <w:bottom w:val="single" w:sz="8" w:space="0" w:color="auto"/>
              <w:right w:val="single" w:sz="8" w:space="0" w:color="auto"/>
            </w:tcBorders>
            <w:noWrap/>
            <w:vAlign w:val="center"/>
            <w:hideMark/>
          </w:tcPr>
          <w:p w14:paraId="162BA3E9"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Fondos de Compensación</w:t>
            </w:r>
          </w:p>
        </w:tc>
        <w:tc>
          <w:tcPr>
            <w:tcW w:w="745" w:type="pct"/>
            <w:tcBorders>
              <w:top w:val="nil"/>
              <w:left w:val="nil"/>
              <w:bottom w:val="single" w:sz="8" w:space="0" w:color="auto"/>
              <w:right w:val="nil"/>
            </w:tcBorders>
            <w:shd w:val="clear" w:color="000000" w:fill="FFFFFF"/>
            <w:vAlign w:val="center"/>
            <w:hideMark/>
          </w:tcPr>
          <w:p w14:paraId="233BD34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59,137,264 </w:t>
            </w:r>
          </w:p>
        </w:tc>
      </w:tr>
      <w:tr w:rsidR="00E23F6E" w:rsidRPr="001B6518" w14:paraId="14587E0C"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04676DF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8.4.2.1</w:t>
            </w:r>
          </w:p>
        </w:tc>
        <w:tc>
          <w:tcPr>
            <w:tcW w:w="3773" w:type="pct"/>
            <w:tcBorders>
              <w:top w:val="nil"/>
              <w:left w:val="nil"/>
              <w:bottom w:val="single" w:sz="8" w:space="0" w:color="auto"/>
              <w:right w:val="single" w:sz="8" w:space="0" w:color="auto"/>
            </w:tcBorders>
            <w:shd w:val="clear" w:color="000000" w:fill="FFFFFF"/>
            <w:noWrap/>
            <w:vAlign w:val="center"/>
            <w:hideMark/>
          </w:tcPr>
          <w:p w14:paraId="0EF1C824"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Fondo de Compensación de Impuesto sobre Automóviles Nuevos (FOCO ISAN)</w:t>
            </w:r>
          </w:p>
        </w:tc>
        <w:tc>
          <w:tcPr>
            <w:tcW w:w="745" w:type="pct"/>
            <w:tcBorders>
              <w:top w:val="nil"/>
              <w:left w:val="nil"/>
              <w:bottom w:val="single" w:sz="8" w:space="0" w:color="auto"/>
              <w:right w:val="nil"/>
            </w:tcBorders>
            <w:shd w:val="clear" w:color="000000" w:fill="FFFFFF"/>
            <w:vAlign w:val="center"/>
            <w:hideMark/>
          </w:tcPr>
          <w:p w14:paraId="6C97BDC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49,065,618 </w:t>
            </w:r>
          </w:p>
        </w:tc>
      </w:tr>
      <w:tr w:rsidR="00E23F6E" w:rsidRPr="001B6518" w14:paraId="524A2521"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1E8447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8.4.2.2</w:t>
            </w:r>
          </w:p>
        </w:tc>
        <w:tc>
          <w:tcPr>
            <w:tcW w:w="3773" w:type="pct"/>
            <w:tcBorders>
              <w:top w:val="nil"/>
              <w:left w:val="nil"/>
              <w:bottom w:val="single" w:sz="8" w:space="0" w:color="auto"/>
              <w:right w:val="single" w:sz="8" w:space="0" w:color="auto"/>
            </w:tcBorders>
            <w:shd w:val="clear" w:color="000000" w:fill="FFFFFF"/>
            <w:noWrap/>
            <w:vAlign w:val="center"/>
            <w:hideMark/>
          </w:tcPr>
          <w:p w14:paraId="669836BD"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Fondo de Compensación Repecos e Intermedios (FOCO Repecos e Intermedios)</w:t>
            </w:r>
          </w:p>
        </w:tc>
        <w:tc>
          <w:tcPr>
            <w:tcW w:w="745" w:type="pct"/>
            <w:tcBorders>
              <w:top w:val="nil"/>
              <w:left w:val="nil"/>
              <w:bottom w:val="single" w:sz="8" w:space="0" w:color="auto"/>
              <w:right w:val="nil"/>
            </w:tcBorders>
            <w:shd w:val="clear" w:color="000000" w:fill="FFFFFF"/>
            <w:vAlign w:val="center"/>
            <w:hideMark/>
          </w:tcPr>
          <w:p w14:paraId="7878EDDD"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10,071,646 </w:t>
            </w:r>
          </w:p>
        </w:tc>
      </w:tr>
      <w:tr w:rsidR="00E23F6E" w:rsidRPr="001B6518" w14:paraId="40097541" w14:textId="77777777" w:rsidTr="00E23F6E">
        <w:trPr>
          <w:trHeight w:val="20"/>
        </w:trPr>
        <w:tc>
          <w:tcPr>
            <w:tcW w:w="482" w:type="pct"/>
            <w:tcBorders>
              <w:top w:val="nil"/>
              <w:left w:val="nil"/>
              <w:bottom w:val="single" w:sz="8" w:space="0" w:color="auto"/>
              <w:right w:val="single" w:sz="8" w:space="0" w:color="auto"/>
            </w:tcBorders>
            <w:vAlign w:val="center"/>
            <w:hideMark/>
          </w:tcPr>
          <w:p w14:paraId="017F47EC"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8.5</w:t>
            </w:r>
          </w:p>
        </w:tc>
        <w:tc>
          <w:tcPr>
            <w:tcW w:w="3773" w:type="pct"/>
            <w:tcBorders>
              <w:top w:val="nil"/>
              <w:left w:val="nil"/>
              <w:bottom w:val="single" w:sz="8" w:space="0" w:color="auto"/>
              <w:right w:val="single" w:sz="8" w:space="0" w:color="auto"/>
            </w:tcBorders>
            <w:noWrap/>
            <w:vAlign w:val="center"/>
            <w:hideMark/>
          </w:tcPr>
          <w:p w14:paraId="0AF6CF8D"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Fondos Distintos de Aportaciones</w:t>
            </w:r>
          </w:p>
        </w:tc>
        <w:tc>
          <w:tcPr>
            <w:tcW w:w="745" w:type="pct"/>
            <w:tcBorders>
              <w:top w:val="nil"/>
              <w:left w:val="nil"/>
              <w:bottom w:val="single" w:sz="8" w:space="0" w:color="auto"/>
              <w:right w:val="nil"/>
            </w:tcBorders>
            <w:vAlign w:val="center"/>
            <w:hideMark/>
          </w:tcPr>
          <w:p w14:paraId="39850B26"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0 </w:t>
            </w:r>
          </w:p>
        </w:tc>
      </w:tr>
      <w:tr w:rsidR="00E23F6E" w:rsidRPr="001B6518" w14:paraId="38008A75"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5E40280"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8.5.1</w:t>
            </w:r>
          </w:p>
        </w:tc>
        <w:tc>
          <w:tcPr>
            <w:tcW w:w="3773" w:type="pct"/>
            <w:tcBorders>
              <w:top w:val="nil"/>
              <w:left w:val="nil"/>
              <w:bottom w:val="single" w:sz="8" w:space="0" w:color="auto"/>
              <w:right w:val="single" w:sz="8" w:space="0" w:color="auto"/>
            </w:tcBorders>
            <w:shd w:val="clear" w:color="000000" w:fill="FFFFFF"/>
            <w:noWrap/>
            <w:vAlign w:val="center"/>
            <w:hideMark/>
          </w:tcPr>
          <w:p w14:paraId="5740B1B4"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Otros fondos distintos de aportaciones</w:t>
            </w:r>
          </w:p>
        </w:tc>
        <w:tc>
          <w:tcPr>
            <w:tcW w:w="745" w:type="pct"/>
            <w:tcBorders>
              <w:top w:val="nil"/>
              <w:left w:val="nil"/>
              <w:bottom w:val="single" w:sz="8" w:space="0" w:color="auto"/>
              <w:right w:val="nil"/>
            </w:tcBorders>
            <w:shd w:val="clear" w:color="000000" w:fill="FFFFFF"/>
            <w:vAlign w:val="center"/>
            <w:hideMark/>
          </w:tcPr>
          <w:p w14:paraId="67EE31F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5E411073" w14:textId="77777777" w:rsidTr="00E23F6E">
        <w:trPr>
          <w:trHeight w:val="20"/>
        </w:trPr>
        <w:tc>
          <w:tcPr>
            <w:tcW w:w="482" w:type="pct"/>
            <w:tcBorders>
              <w:top w:val="nil"/>
              <w:left w:val="nil"/>
              <w:bottom w:val="single" w:sz="8" w:space="0" w:color="auto"/>
              <w:right w:val="single" w:sz="8" w:space="0" w:color="auto"/>
            </w:tcBorders>
            <w:shd w:val="clear" w:color="000000" w:fill="D9D9D9"/>
            <w:noWrap/>
            <w:vAlign w:val="center"/>
            <w:hideMark/>
          </w:tcPr>
          <w:p w14:paraId="07CC724A"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9</w:t>
            </w:r>
          </w:p>
        </w:tc>
        <w:tc>
          <w:tcPr>
            <w:tcW w:w="3773" w:type="pct"/>
            <w:tcBorders>
              <w:top w:val="nil"/>
              <w:left w:val="nil"/>
              <w:bottom w:val="single" w:sz="8" w:space="0" w:color="auto"/>
              <w:right w:val="single" w:sz="8" w:space="0" w:color="auto"/>
            </w:tcBorders>
            <w:shd w:val="clear" w:color="000000" w:fill="D9D9D9"/>
            <w:noWrap/>
            <w:vAlign w:val="center"/>
            <w:hideMark/>
          </w:tcPr>
          <w:p w14:paraId="494934CF"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Transferencias, Asignaciones, Subsidios y Subvenciones, y Pensiones y Jubilaciones</w:t>
            </w:r>
          </w:p>
        </w:tc>
        <w:tc>
          <w:tcPr>
            <w:tcW w:w="745" w:type="pct"/>
            <w:tcBorders>
              <w:top w:val="nil"/>
              <w:left w:val="nil"/>
              <w:bottom w:val="single" w:sz="8" w:space="0" w:color="auto"/>
              <w:right w:val="nil"/>
            </w:tcBorders>
            <w:shd w:val="clear" w:color="000000" w:fill="D9D9D9"/>
            <w:vAlign w:val="center"/>
            <w:hideMark/>
          </w:tcPr>
          <w:p w14:paraId="187BBE52"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2,524,586,201 </w:t>
            </w:r>
          </w:p>
        </w:tc>
      </w:tr>
      <w:tr w:rsidR="00E23F6E" w:rsidRPr="001B6518" w14:paraId="34CC719F" w14:textId="77777777" w:rsidTr="00E23F6E">
        <w:trPr>
          <w:trHeight w:val="20"/>
        </w:trPr>
        <w:tc>
          <w:tcPr>
            <w:tcW w:w="482" w:type="pct"/>
            <w:tcBorders>
              <w:top w:val="nil"/>
              <w:left w:val="nil"/>
              <w:bottom w:val="single" w:sz="8" w:space="0" w:color="auto"/>
              <w:right w:val="single" w:sz="8" w:space="0" w:color="auto"/>
            </w:tcBorders>
            <w:vAlign w:val="center"/>
            <w:hideMark/>
          </w:tcPr>
          <w:p w14:paraId="0121029E"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9.1</w:t>
            </w:r>
          </w:p>
        </w:tc>
        <w:tc>
          <w:tcPr>
            <w:tcW w:w="3773" w:type="pct"/>
            <w:tcBorders>
              <w:top w:val="nil"/>
              <w:left w:val="nil"/>
              <w:bottom w:val="single" w:sz="8" w:space="0" w:color="auto"/>
              <w:right w:val="single" w:sz="8" w:space="0" w:color="auto"/>
            </w:tcBorders>
            <w:noWrap/>
            <w:vAlign w:val="center"/>
            <w:hideMark/>
          </w:tcPr>
          <w:p w14:paraId="6A6E1E05"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Transferencias y Asignaciones</w:t>
            </w:r>
          </w:p>
        </w:tc>
        <w:tc>
          <w:tcPr>
            <w:tcW w:w="745" w:type="pct"/>
            <w:tcBorders>
              <w:top w:val="nil"/>
              <w:left w:val="nil"/>
              <w:bottom w:val="single" w:sz="8" w:space="0" w:color="auto"/>
              <w:right w:val="nil"/>
            </w:tcBorders>
            <w:vAlign w:val="center"/>
            <w:hideMark/>
          </w:tcPr>
          <w:p w14:paraId="1D828F9E"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0 </w:t>
            </w:r>
          </w:p>
        </w:tc>
      </w:tr>
      <w:tr w:rsidR="00E23F6E" w:rsidRPr="001B6518" w14:paraId="2451E611"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222FB6B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9.1.1</w:t>
            </w:r>
          </w:p>
        </w:tc>
        <w:tc>
          <w:tcPr>
            <w:tcW w:w="3773" w:type="pct"/>
            <w:tcBorders>
              <w:top w:val="nil"/>
              <w:left w:val="nil"/>
              <w:bottom w:val="single" w:sz="8" w:space="0" w:color="auto"/>
              <w:right w:val="single" w:sz="8" w:space="0" w:color="auto"/>
            </w:tcBorders>
            <w:shd w:val="clear" w:color="000000" w:fill="FFFFFF"/>
            <w:noWrap/>
            <w:vAlign w:val="center"/>
            <w:hideMark/>
          </w:tcPr>
          <w:p w14:paraId="1B80FE58"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Transferencias</w:t>
            </w:r>
          </w:p>
        </w:tc>
        <w:tc>
          <w:tcPr>
            <w:tcW w:w="745" w:type="pct"/>
            <w:tcBorders>
              <w:top w:val="nil"/>
              <w:left w:val="nil"/>
              <w:bottom w:val="single" w:sz="8" w:space="0" w:color="auto"/>
              <w:right w:val="nil"/>
            </w:tcBorders>
            <w:shd w:val="clear" w:color="000000" w:fill="FFFFFF"/>
            <w:vAlign w:val="center"/>
            <w:hideMark/>
          </w:tcPr>
          <w:p w14:paraId="3EAA3F7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1A46A1C8"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4F3DD3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9.1.2</w:t>
            </w:r>
          </w:p>
        </w:tc>
        <w:tc>
          <w:tcPr>
            <w:tcW w:w="3773" w:type="pct"/>
            <w:tcBorders>
              <w:top w:val="nil"/>
              <w:left w:val="nil"/>
              <w:bottom w:val="single" w:sz="8" w:space="0" w:color="auto"/>
              <w:right w:val="single" w:sz="8" w:space="0" w:color="auto"/>
            </w:tcBorders>
            <w:shd w:val="clear" w:color="000000" w:fill="FFFFFF"/>
            <w:noWrap/>
            <w:vAlign w:val="center"/>
            <w:hideMark/>
          </w:tcPr>
          <w:p w14:paraId="4A7B3671"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Asignaciones</w:t>
            </w:r>
          </w:p>
        </w:tc>
        <w:tc>
          <w:tcPr>
            <w:tcW w:w="745" w:type="pct"/>
            <w:tcBorders>
              <w:top w:val="nil"/>
              <w:left w:val="nil"/>
              <w:bottom w:val="single" w:sz="8" w:space="0" w:color="auto"/>
              <w:right w:val="nil"/>
            </w:tcBorders>
            <w:shd w:val="clear" w:color="000000" w:fill="FFFFFF"/>
            <w:vAlign w:val="center"/>
            <w:hideMark/>
          </w:tcPr>
          <w:p w14:paraId="73E4596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55083B54" w14:textId="77777777" w:rsidTr="00E23F6E">
        <w:trPr>
          <w:trHeight w:val="20"/>
        </w:trPr>
        <w:tc>
          <w:tcPr>
            <w:tcW w:w="482" w:type="pct"/>
            <w:tcBorders>
              <w:top w:val="nil"/>
              <w:left w:val="nil"/>
              <w:bottom w:val="single" w:sz="8" w:space="0" w:color="auto"/>
              <w:right w:val="single" w:sz="8" w:space="0" w:color="auto"/>
            </w:tcBorders>
            <w:vAlign w:val="center"/>
            <w:hideMark/>
          </w:tcPr>
          <w:p w14:paraId="22B935B9"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9.3</w:t>
            </w:r>
          </w:p>
        </w:tc>
        <w:tc>
          <w:tcPr>
            <w:tcW w:w="3773" w:type="pct"/>
            <w:tcBorders>
              <w:top w:val="nil"/>
              <w:left w:val="nil"/>
              <w:bottom w:val="single" w:sz="8" w:space="0" w:color="auto"/>
              <w:right w:val="single" w:sz="8" w:space="0" w:color="auto"/>
            </w:tcBorders>
            <w:noWrap/>
            <w:vAlign w:val="center"/>
            <w:hideMark/>
          </w:tcPr>
          <w:p w14:paraId="364EB94C"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Subsidios y Subvenciones</w:t>
            </w:r>
          </w:p>
        </w:tc>
        <w:tc>
          <w:tcPr>
            <w:tcW w:w="745" w:type="pct"/>
            <w:tcBorders>
              <w:top w:val="nil"/>
              <w:left w:val="nil"/>
              <w:bottom w:val="single" w:sz="8" w:space="0" w:color="auto"/>
              <w:right w:val="nil"/>
            </w:tcBorders>
            <w:vAlign w:val="center"/>
            <w:hideMark/>
          </w:tcPr>
          <w:p w14:paraId="05277034"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2,524,586,201 </w:t>
            </w:r>
          </w:p>
        </w:tc>
      </w:tr>
      <w:tr w:rsidR="00E23F6E" w:rsidRPr="001B6518" w14:paraId="1C1B8647"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37D8E77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9.3.1</w:t>
            </w:r>
          </w:p>
        </w:tc>
        <w:tc>
          <w:tcPr>
            <w:tcW w:w="3773" w:type="pct"/>
            <w:tcBorders>
              <w:top w:val="nil"/>
              <w:left w:val="nil"/>
              <w:bottom w:val="single" w:sz="8" w:space="0" w:color="auto"/>
              <w:right w:val="single" w:sz="8" w:space="0" w:color="auto"/>
            </w:tcBorders>
            <w:shd w:val="clear" w:color="000000" w:fill="FFFFFF"/>
            <w:noWrap/>
            <w:vAlign w:val="center"/>
            <w:hideMark/>
          </w:tcPr>
          <w:p w14:paraId="1733E9C4"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Subsidios para organismos descentralizados estatales - DGESUI - SUBSIDIO UADY</w:t>
            </w:r>
          </w:p>
        </w:tc>
        <w:tc>
          <w:tcPr>
            <w:tcW w:w="745" w:type="pct"/>
            <w:tcBorders>
              <w:top w:val="nil"/>
              <w:left w:val="nil"/>
              <w:bottom w:val="single" w:sz="8" w:space="0" w:color="auto"/>
              <w:right w:val="nil"/>
            </w:tcBorders>
            <w:shd w:val="clear" w:color="000000" w:fill="FFFFFF"/>
            <w:vAlign w:val="center"/>
            <w:hideMark/>
          </w:tcPr>
          <w:p w14:paraId="3D9BC68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2,524,586,201 </w:t>
            </w:r>
          </w:p>
        </w:tc>
      </w:tr>
      <w:tr w:rsidR="00E23F6E" w:rsidRPr="001B6518" w14:paraId="46C48891" w14:textId="77777777" w:rsidTr="00E23F6E">
        <w:trPr>
          <w:trHeight w:val="20"/>
        </w:trPr>
        <w:tc>
          <w:tcPr>
            <w:tcW w:w="482" w:type="pct"/>
            <w:tcBorders>
              <w:top w:val="nil"/>
              <w:left w:val="nil"/>
              <w:bottom w:val="single" w:sz="8" w:space="0" w:color="auto"/>
              <w:right w:val="single" w:sz="8" w:space="0" w:color="auto"/>
            </w:tcBorders>
            <w:vAlign w:val="center"/>
            <w:hideMark/>
          </w:tcPr>
          <w:p w14:paraId="66FB20D7"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9.5</w:t>
            </w:r>
          </w:p>
        </w:tc>
        <w:tc>
          <w:tcPr>
            <w:tcW w:w="3773" w:type="pct"/>
            <w:tcBorders>
              <w:top w:val="nil"/>
              <w:left w:val="nil"/>
              <w:bottom w:val="single" w:sz="8" w:space="0" w:color="auto"/>
              <w:right w:val="single" w:sz="8" w:space="0" w:color="auto"/>
            </w:tcBorders>
            <w:noWrap/>
            <w:vAlign w:val="center"/>
            <w:hideMark/>
          </w:tcPr>
          <w:p w14:paraId="4B27CA25"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Pensiones y Jubilaciones</w:t>
            </w:r>
          </w:p>
        </w:tc>
        <w:tc>
          <w:tcPr>
            <w:tcW w:w="745" w:type="pct"/>
            <w:tcBorders>
              <w:top w:val="nil"/>
              <w:left w:val="nil"/>
              <w:bottom w:val="single" w:sz="8" w:space="0" w:color="auto"/>
              <w:right w:val="nil"/>
            </w:tcBorders>
            <w:vAlign w:val="center"/>
            <w:hideMark/>
          </w:tcPr>
          <w:p w14:paraId="5082D8D0"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0 </w:t>
            </w:r>
          </w:p>
        </w:tc>
      </w:tr>
      <w:tr w:rsidR="00E23F6E" w:rsidRPr="001B6518" w14:paraId="59363A82"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CB7F6D1"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9.5.1</w:t>
            </w:r>
          </w:p>
        </w:tc>
        <w:tc>
          <w:tcPr>
            <w:tcW w:w="3773" w:type="pct"/>
            <w:tcBorders>
              <w:top w:val="nil"/>
              <w:left w:val="nil"/>
              <w:bottom w:val="single" w:sz="8" w:space="0" w:color="auto"/>
              <w:right w:val="single" w:sz="8" w:space="0" w:color="auto"/>
            </w:tcBorders>
            <w:shd w:val="clear" w:color="000000" w:fill="FFFFFF"/>
            <w:noWrap/>
            <w:vAlign w:val="center"/>
            <w:hideMark/>
          </w:tcPr>
          <w:p w14:paraId="3884AF74"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Pensiones</w:t>
            </w:r>
          </w:p>
        </w:tc>
        <w:tc>
          <w:tcPr>
            <w:tcW w:w="745" w:type="pct"/>
            <w:tcBorders>
              <w:top w:val="nil"/>
              <w:left w:val="nil"/>
              <w:bottom w:val="single" w:sz="8" w:space="0" w:color="auto"/>
              <w:right w:val="nil"/>
            </w:tcBorders>
            <w:shd w:val="clear" w:color="000000" w:fill="FFFFFF"/>
            <w:vAlign w:val="center"/>
            <w:hideMark/>
          </w:tcPr>
          <w:p w14:paraId="554BD4F9"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0A19CFE5"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06F7634"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9.5.2</w:t>
            </w:r>
          </w:p>
        </w:tc>
        <w:tc>
          <w:tcPr>
            <w:tcW w:w="3773" w:type="pct"/>
            <w:tcBorders>
              <w:top w:val="nil"/>
              <w:left w:val="nil"/>
              <w:bottom w:val="single" w:sz="8" w:space="0" w:color="auto"/>
              <w:right w:val="single" w:sz="8" w:space="0" w:color="auto"/>
            </w:tcBorders>
            <w:shd w:val="clear" w:color="000000" w:fill="FFFFFF"/>
            <w:noWrap/>
            <w:vAlign w:val="center"/>
            <w:hideMark/>
          </w:tcPr>
          <w:p w14:paraId="1F166EBA"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Jubilaciones</w:t>
            </w:r>
          </w:p>
        </w:tc>
        <w:tc>
          <w:tcPr>
            <w:tcW w:w="745" w:type="pct"/>
            <w:tcBorders>
              <w:top w:val="nil"/>
              <w:left w:val="nil"/>
              <w:bottom w:val="single" w:sz="8" w:space="0" w:color="auto"/>
              <w:right w:val="nil"/>
            </w:tcBorders>
            <w:shd w:val="clear" w:color="000000" w:fill="FFFFFF"/>
            <w:vAlign w:val="center"/>
            <w:hideMark/>
          </w:tcPr>
          <w:p w14:paraId="3AA29423"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0FC05345" w14:textId="77777777" w:rsidTr="00E23F6E">
        <w:trPr>
          <w:trHeight w:val="20"/>
        </w:trPr>
        <w:tc>
          <w:tcPr>
            <w:tcW w:w="482" w:type="pct"/>
            <w:tcBorders>
              <w:top w:val="nil"/>
              <w:left w:val="nil"/>
              <w:bottom w:val="single" w:sz="8" w:space="0" w:color="auto"/>
              <w:right w:val="single" w:sz="8" w:space="0" w:color="auto"/>
            </w:tcBorders>
            <w:vAlign w:val="center"/>
            <w:hideMark/>
          </w:tcPr>
          <w:p w14:paraId="1B493B1E"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9.7</w:t>
            </w:r>
          </w:p>
        </w:tc>
        <w:tc>
          <w:tcPr>
            <w:tcW w:w="3773" w:type="pct"/>
            <w:tcBorders>
              <w:top w:val="nil"/>
              <w:left w:val="nil"/>
              <w:bottom w:val="single" w:sz="8" w:space="0" w:color="auto"/>
              <w:right w:val="single" w:sz="8" w:space="0" w:color="auto"/>
            </w:tcBorders>
            <w:noWrap/>
            <w:vAlign w:val="center"/>
            <w:hideMark/>
          </w:tcPr>
          <w:p w14:paraId="636DA6D8"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Transferencias del Fondo Mexicano del Petróleo para la Estabilización y el Desarrollo</w:t>
            </w:r>
          </w:p>
        </w:tc>
        <w:tc>
          <w:tcPr>
            <w:tcW w:w="745" w:type="pct"/>
            <w:tcBorders>
              <w:top w:val="nil"/>
              <w:left w:val="nil"/>
              <w:bottom w:val="single" w:sz="8" w:space="0" w:color="auto"/>
              <w:right w:val="nil"/>
            </w:tcBorders>
            <w:vAlign w:val="center"/>
            <w:hideMark/>
          </w:tcPr>
          <w:p w14:paraId="00A6881C"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0 </w:t>
            </w:r>
          </w:p>
        </w:tc>
      </w:tr>
      <w:tr w:rsidR="00E23F6E" w:rsidRPr="001B6518" w14:paraId="03A7A42E"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6047414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9.7.1</w:t>
            </w:r>
          </w:p>
        </w:tc>
        <w:tc>
          <w:tcPr>
            <w:tcW w:w="3773" w:type="pct"/>
            <w:tcBorders>
              <w:top w:val="nil"/>
              <w:left w:val="nil"/>
              <w:bottom w:val="single" w:sz="8" w:space="0" w:color="auto"/>
              <w:right w:val="single" w:sz="8" w:space="0" w:color="auto"/>
            </w:tcBorders>
            <w:shd w:val="clear" w:color="000000" w:fill="FFFFFF"/>
            <w:noWrap/>
            <w:vAlign w:val="center"/>
            <w:hideMark/>
          </w:tcPr>
          <w:p w14:paraId="28A02383"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Transferencias del Fondo Mexicano del Petróleo para la Estabilización y el Desarrollo</w:t>
            </w:r>
          </w:p>
        </w:tc>
        <w:tc>
          <w:tcPr>
            <w:tcW w:w="745" w:type="pct"/>
            <w:tcBorders>
              <w:top w:val="nil"/>
              <w:left w:val="nil"/>
              <w:bottom w:val="single" w:sz="8" w:space="0" w:color="auto"/>
              <w:right w:val="nil"/>
            </w:tcBorders>
            <w:shd w:val="clear" w:color="000000" w:fill="FFFFFF"/>
            <w:vAlign w:val="center"/>
            <w:hideMark/>
          </w:tcPr>
          <w:p w14:paraId="227F2B2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7C2B12EA" w14:textId="77777777" w:rsidTr="00E23F6E">
        <w:trPr>
          <w:trHeight w:val="20"/>
        </w:trPr>
        <w:tc>
          <w:tcPr>
            <w:tcW w:w="482" w:type="pct"/>
            <w:tcBorders>
              <w:top w:val="nil"/>
              <w:left w:val="nil"/>
              <w:bottom w:val="single" w:sz="8" w:space="0" w:color="auto"/>
              <w:right w:val="single" w:sz="8" w:space="0" w:color="auto"/>
            </w:tcBorders>
            <w:shd w:val="clear" w:color="000000" w:fill="D9D9D9"/>
            <w:noWrap/>
            <w:vAlign w:val="center"/>
            <w:hideMark/>
          </w:tcPr>
          <w:p w14:paraId="51523BD9"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0</w:t>
            </w:r>
          </w:p>
        </w:tc>
        <w:tc>
          <w:tcPr>
            <w:tcW w:w="3773" w:type="pct"/>
            <w:tcBorders>
              <w:top w:val="nil"/>
              <w:left w:val="nil"/>
              <w:bottom w:val="single" w:sz="8" w:space="0" w:color="auto"/>
              <w:right w:val="single" w:sz="8" w:space="0" w:color="auto"/>
            </w:tcBorders>
            <w:shd w:val="clear" w:color="000000" w:fill="D9D9D9"/>
            <w:noWrap/>
            <w:vAlign w:val="center"/>
            <w:hideMark/>
          </w:tcPr>
          <w:p w14:paraId="5ACEC414"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Ingresos Derivados de Financiamientos</w:t>
            </w:r>
          </w:p>
        </w:tc>
        <w:tc>
          <w:tcPr>
            <w:tcW w:w="745" w:type="pct"/>
            <w:tcBorders>
              <w:top w:val="nil"/>
              <w:left w:val="nil"/>
              <w:bottom w:val="single" w:sz="8" w:space="0" w:color="auto"/>
              <w:right w:val="nil"/>
            </w:tcBorders>
            <w:shd w:val="clear" w:color="000000" w:fill="D9D9D9"/>
            <w:vAlign w:val="center"/>
            <w:hideMark/>
          </w:tcPr>
          <w:p w14:paraId="494521B6" w14:textId="77777777" w:rsidR="00E23F6E" w:rsidRPr="001B6518" w:rsidRDefault="00E23F6E" w:rsidP="00E23F6E">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 xml:space="preserve">1,530,000,000 </w:t>
            </w:r>
          </w:p>
        </w:tc>
      </w:tr>
      <w:tr w:rsidR="00E23F6E" w:rsidRPr="001B6518" w14:paraId="711CCA45" w14:textId="77777777" w:rsidTr="00E23F6E">
        <w:trPr>
          <w:trHeight w:val="20"/>
        </w:trPr>
        <w:tc>
          <w:tcPr>
            <w:tcW w:w="482" w:type="pct"/>
            <w:tcBorders>
              <w:top w:val="nil"/>
              <w:left w:val="nil"/>
              <w:bottom w:val="single" w:sz="8" w:space="0" w:color="auto"/>
              <w:right w:val="single" w:sz="8" w:space="0" w:color="auto"/>
            </w:tcBorders>
            <w:vAlign w:val="center"/>
            <w:hideMark/>
          </w:tcPr>
          <w:p w14:paraId="1B818602"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0.1</w:t>
            </w:r>
          </w:p>
        </w:tc>
        <w:tc>
          <w:tcPr>
            <w:tcW w:w="3773" w:type="pct"/>
            <w:tcBorders>
              <w:top w:val="nil"/>
              <w:left w:val="nil"/>
              <w:bottom w:val="single" w:sz="8" w:space="0" w:color="auto"/>
              <w:right w:val="single" w:sz="8" w:space="0" w:color="auto"/>
            </w:tcBorders>
            <w:noWrap/>
            <w:vAlign w:val="center"/>
            <w:hideMark/>
          </w:tcPr>
          <w:p w14:paraId="52FEBCE3"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Endeudamiento Interno</w:t>
            </w:r>
          </w:p>
        </w:tc>
        <w:tc>
          <w:tcPr>
            <w:tcW w:w="745" w:type="pct"/>
            <w:tcBorders>
              <w:top w:val="nil"/>
              <w:left w:val="nil"/>
              <w:bottom w:val="single" w:sz="8" w:space="0" w:color="auto"/>
              <w:right w:val="nil"/>
            </w:tcBorders>
            <w:vAlign w:val="center"/>
            <w:hideMark/>
          </w:tcPr>
          <w:p w14:paraId="11A13938"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1,530,000,000 </w:t>
            </w:r>
          </w:p>
        </w:tc>
      </w:tr>
      <w:tr w:rsidR="00E23F6E" w:rsidRPr="001B6518" w14:paraId="61264977"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888AA5B"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0.1.1</w:t>
            </w:r>
          </w:p>
        </w:tc>
        <w:tc>
          <w:tcPr>
            <w:tcW w:w="3773" w:type="pct"/>
            <w:tcBorders>
              <w:top w:val="nil"/>
              <w:left w:val="nil"/>
              <w:bottom w:val="single" w:sz="8" w:space="0" w:color="auto"/>
              <w:right w:val="single" w:sz="8" w:space="0" w:color="auto"/>
            </w:tcBorders>
            <w:shd w:val="clear" w:color="000000" w:fill="FFFFFF"/>
            <w:noWrap/>
            <w:vAlign w:val="center"/>
            <w:hideMark/>
          </w:tcPr>
          <w:p w14:paraId="2DFC577A"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Empréstitos con Fuente de Pago de Participaciones</w:t>
            </w:r>
          </w:p>
        </w:tc>
        <w:tc>
          <w:tcPr>
            <w:tcW w:w="745" w:type="pct"/>
            <w:tcBorders>
              <w:top w:val="nil"/>
              <w:left w:val="nil"/>
              <w:bottom w:val="single" w:sz="8" w:space="0" w:color="auto"/>
              <w:right w:val="nil"/>
            </w:tcBorders>
            <w:shd w:val="clear" w:color="000000" w:fill="FFFFFF"/>
            <w:vAlign w:val="center"/>
            <w:hideMark/>
          </w:tcPr>
          <w:p w14:paraId="44B4A4E2"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1,530,000,000 </w:t>
            </w:r>
          </w:p>
        </w:tc>
      </w:tr>
      <w:tr w:rsidR="00E23F6E" w:rsidRPr="001B6518" w14:paraId="0D0A8247"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4DD527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0.1.2</w:t>
            </w:r>
          </w:p>
        </w:tc>
        <w:tc>
          <w:tcPr>
            <w:tcW w:w="3773" w:type="pct"/>
            <w:tcBorders>
              <w:top w:val="nil"/>
              <w:left w:val="nil"/>
              <w:bottom w:val="single" w:sz="8" w:space="0" w:color="auto"/>
              <w:right w:val="single" w:sz="8" w:space="0" w:color="auto"/>
            </w:tcBorders>
            <w:shd w:val="clear" w:color="000000" w:fill="FFFFFF"/>
            <w:noWrap/>
            <w:vAlign w:val="center"/>
            <w:hideMark/>
          </w:tcPr>
          <w:p w14:paraId="09B273B5"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Empréstitos con Fuente de Pago de Aportaciones</w:t>
            </w:r>
          </w:p>
        </w:tc>
        <w:tc>
          <w:tcPr>
            <w:tcW w:w="745" w:type="pct"/>
            <w:tcBorders>
              <w:top w:val="nil"/>
              <w:left w:val="nil"/>
              <w:bottom w:val="single" w:sz="8" w:space="0" w:color="auto"/>
              <w:right w:val="nil"/>
            </w:tcBorders>
            <w:shd w:val="clear" w:color="000000" w:fill="FFFFFF"/>
            <w:vAlign w:val="center"/>
            <w:hideMark/>
          </w:tcPr>
          <w:p w14:paraId="1E0DA89E"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49033FAA" w14:textId="77777777" w:rsidTr="00E23F6E">
        <w:trPr>
          <w:trHeight w:val="20"/>
        </w:trPr>
        <w:tc>
          <w:tcPr>
            <w:tcW w:w="482" w:type="pct"/>
            <w:tcBorders>
              <w:top w:val="nil"/>
              <w:left w:val="nil"/>
              <w:bottom w:val="single" w:sz="8" w:space="0" w:color="auto"/>
              <w:right w:val="single" w:sz="8" w:space="0" w:color="auto"/>
            </w:tcBorders>
            <w:vAlign w:val="center"/>
            <w:hideMark/>
          </w:tcPr>
          <w:p w14:paraId="67349F34"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0.2</w:t>
            </w:r>
          </w:p>
        </w:tc>
        <w:tc>
          <w:tcPr>
            <w:tcW w:w="3773" w:type="pct"/>
            <w:tcBorders>
              <w:top w:val="nil"/>
              <w:left w:val="nil"/>
              <w:bottom w:val="single" w:sz="8" w:space="0" w:color="auto"/>
              <w:right w:val="single" w:sz="8" w:space="0" w:color="auto"/>
            </w:tcBorders>
            <w:noWrap/>
            <w:vAlign w:val="center"/>
            <w:hideMark/>
          </w:tcPr>
          <w:p w14:paraId="68CC7DAE"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Endeudamiento Externo</w:t>
            </w:r>
          </w:p>
        </w:tc>
        <w:tc>
          <w:tcPr>
            <w:tcW w:w="745" w:type="pct"/>
            <w:tcBorders>
              <w:top w:val="nil"/>
              <w:left w:val="nil"/>
              <w:bottom w:val="single" w:sz="8" w:space="0" w:color="auto"/>
              <w:right w:val="nil"/>
            </w:tcBorders>
            <w:vAlign w:val="center"/>
            <w:hideMark/>
          </w:tcPr>
          <w:p w14:paraId="07FE7CB7"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0 </w:t>
            </w:r>
          </w:p>
        </w:tc>
      </w:tr>
      <w:tr w:rsidR="00E23F6E" w:rsidRPr="001B6518" w14:paraId="42F806C3"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CAE25AA"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0.2.1</w:t>
            </w:r>
          </w:p>
        </w:tc>
        <w:tc>
          <w:tcPr>
            <w:tcW w:w="3773" w:type="pct"/>
            <w:tcBorders>
              <w:top w:val="nil"/>
              <w:left w:val="nil"/>
              <w:bottom w:val="single" w:sz="8" w:space="0" w:color="auto"/>
              <w:right w:val="single" w:sz="8" w:space="0" w:color="auto"/>
            </w:tcBorders>
            <w:shd w:val="clear" w:color="000000" w:fill="FFFFFF"/>
            <w:noWrap/>
            <w:vAlign w:val="center"/>
            <w:hideMark/>
          </w:tcPr>
          <w:p w14:paraId="5FE7BA7B"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Empréstitos con Fuente de Pago de Participaciones</w:t>
            </w:r>
          </w:p>
        </w:tc>
        <w:tc>
          <w:tcPr>
            <w:tcW w:w="745" w:type="pct"/>
            <w:tcBorders>
              <w:top w:val="nil"/>
              <w:left w:val="nil"/>
              <w:bottom w:val="single" w:sz="8" w:space="0" w:color="auto"/>
              <w:right w:val="nil"/>
            </w:tcBorders>
            <w:shd w:val="clear" w:color="000000" w:fill="FFFFFF"/>
            <w:vAlign w:val="center"/>
            <w:hideMark/>
          </w:tcPr>
          <w:p w14:paraId="57E9E4B6"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00BD3657"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40284F37"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0.2.2</w:t>
            </w:r>
          </w:p>
        </w:tc>
        <w:tc>
          <w:tcPr>
            <w:tcW w:w="3773" w:type="pct"/>
            <w:tcBorders>
              <w:top w:val="nil"/>
              <w:left w:val="nil"/>
              <w:bottom w:val="single" w:sz="8" w:space="0" w:color="auto"/>
              <w:right w:val="single" w:sz="8" w:space="0" w:color="auto"/>
            </w:tcBorders>
            <w:shd w:val="clear" w:color="000000" w:fill="FFFFFF"/>
            <w:noWrap/>
            <w:vAlign w:val="center"/>
            <w:hideMark/>
          </w:tcPr>
          <w:p w14:paraId="6573CBCB"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Empréstitos con Fuente de Pago de Aportaciones</w:t>
            </w:r>
          </w:p>
        </w:tc>
        <w:tc>
          <w:tcPr>
            <w:tcW w:w="745" w:type="pct"/>
            <w:tcBorders>
              <w:top w:val="nil"/>
              <w:left w:val="nil"/>
              <w:bottom w:val="single" w:sz="8" w:space="0" w:color="auto"/>
              <w:right w:val="nil"/>
            </w:tcBorders>
            <w:shd w:val="clear" w:color="000000" w:fill="FFFFFF"/>
            <w:vAlign w:val="center"/>
            <w:hideMark/>
          </w:tcPr>
          <w:p w14:paraId="265E0A4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21CEE4D9" w14:textId="77777777" w:rsidTr="00E23F6E">
        <w:trPr>
          <w:trHeight w:val="20"/>
        </w:trPr>
        <w:tc>
          <w:tcPr>
            <w:tcW w:w="482" w:type="pct"/>
            <w:tcBorders>
              <w:top w:val="nil"/>
              <w:left w:val="nil"/>
              <w:bottom w:val="single" w:sz="8" w:space="0" w:color="auto"/>
              <w:right w:val="single" w:sz="8" w:space="0" w:color="auto"/>
            </w:tcBorders>
            <w:vAlign w:val="center"/>
            <w:hideMark/>
          </w:tcPr>
          <w:p w14:paraId="75DA5456"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0.3</w:t>
            </w:r>
          </w:p>
        </w:tc>
        <w:tc>
          <w:tcPr>
            <w:tcW w:w="3773" w:type="pct"/>
            <w:tcBorders>
              <w:top w:val="nil"/>
              <w:left w:val="nil"/>
              <w:bottom w:val="single" w:sz="8" w:space="0" w:color="auto"/>
              <w:right w:val="single" w:sz="8" w:space="0" w:color="auto"/>
            </w:tcBorders>
            <w:noWrap/>
            <w:vAlign w:val="center"/>
            <w:hideMark/>
          </w:tcPr>
          <w:p w14:paraId="53E251F1" w14:textId="77777777" w:rsidR="00E23F6E" w:rsidRPr="001B6518" w:rsidRDefault="00E23F6E" w:rsidP="00E23F6E">
            <w:pPr>
              <w:spacing w:after="0" w:line="240" w:lineRule="auto"/>
              <w:rPr>
                <w:rFonts w:ascii="Arial" w:hAnsi="Arial" w:cs="Arial"/>
                <w:b/>
                <w:bCs/>
                <w:color w:val="000000"/>
                <w:sz w:val="16"/>
                <w:szCs w:val="16"/>
              </w:rPr>
            </w:pPr>
            <w:r w:rsidRPr="001B6518">
              <w:rPr>
                <w:rFonts w:ascii="Arial" w:hAnsi="Arial" w:cs="Arial"/>
                <w:b/>
                <w:bCs/>
                <w:color w:val="000000"/>
                <w:sz w:val="16"/>
                <w:szCs w:val="16"/>
              </w:rPr>
              <w:t>Financiamiento Interno</w:t>
            </w:r>
          </w:p>
        </w:tc>
        <w:tc>
          <w:tcPr>
            <w:tcW w:w="745" w:type="pct"/>
            <w:tcBorders>
              <w:top w:val="nil"/>
              <w:left w:val="nil"/>
              <w:bottom w:val="single" w:sz="8" w:space="0" w:color="auto"/>
              <w:right w:val="nil"/>
            </w:tcBorders>
            <w:vAlign w:val="center"/>
            <w:hideMark/>
          </w:tcPr>
          <w:p w14:paraId="2C6E62BE" w14:textId="77777777" w:rsidR="00E23F6E" w:rsidRPr="001B6518" w:rsidRDefault="00E23F6E" w:rsidP="00E23F6E">
            <w:pPr>
              <w:spacing w:after="0" w:line="240" w:lineRule="auto"/>
              <w:jc w:val="right"/>
              <w:rPr>
                <w:rFonts w:ascii="Arial" w:hAnsi="Arial" w:cs="Arial"/>
                <w:color w:val="000000"/>
                <w:sz w:val="16"/>
                <w:szCs w:val="16"/>
              </w:rPr>
            </w:pPr>
            <w:r w:rsidRPr="001B6518">
              <w:rPr>
                <w:rFonts w:ascii="Arial" w:hAnsi="Arial" w:cs="Arial"/>
                <w:color w:val="000000"/>
                <w:sz w:val="16"/>
                <w:szCs w:val="16"/>
              </w:rPr>
              <w:t xml:space="preserve">0 </w:t>
            </w:r>
          </w:p>
        </w:tc>
      </w:tr>
      <w:tr w:rsidR="00E23F6E" w:rsidRPr="001B6518" w14:paraId="787695A3"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192E19C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0.3.1</w:t>
            </w:r>
          </w:p>
        </w:tc>
        <w:tc>
          <w:tcPr>
            <w:tcW w:w="3773" w:type="pct"/>
            <w:tcBorders>
              <w:top w:val="nil"/>
              <w:left w:val="nil"/>
              <w:bottom w:val="single" w:sz="8" w:space="0" w:color="auto"/>
              <w:right w:val="single" w:sz="8" w:space="0" w:color="auto"/>
            </w:tcBorders>
            <w:shd w:val="clear" w:color="000000" w:fill="FFFFFF"/>
            <w:noWrap/>
            <w:vAlign w:val="center"/>
            <w:hideMark/>
          </w:tcPr>
          <w:p w14:paraId="18A06D18"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Empréstitos con Fuente de Pago de Participaciones</w:t>
            </w:r>
          </w:p>
        </w:tc>
        <w:tc>
          <w:tcPr>
            <w:tcW w:w="745" w:type="pct"/>
            <w:tcBorders>
              <w:top w:val="nil"/>
              <w:left w:val="nil"/>
              <w:bottom w:val="single" w:sz="8" w:space="0" w:color="auto"/>
              <w:right w:val="nil"/>
            </w:tcBorders>
            <w:shd w:val="clear" w:color="000000" w:fill="FFFFFF"/>
            <w:vAlign w:val="center"/>
            <w:hideMark/>
          </w:tcPr>
          <w:p w14:paraId="5D85FE38"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r w:rsidR="00E23F6E" w:rsidRPr="001B6518" w14:paraId="245270CF" w14:textId="77777777" w:rsidTr="00E23F6E">
        <w:trPr>
          <w:trHeight w:val="20"/>
        </w:trPr>
        <w:tc>
          <w:tcPr>
            <w:tcW w:w="482" w:type="pct"/>
            <w:tcBorders>
              <w:top w:val="nil"/>
              <w:left w:val="nil"/>
              <w:bottom w:val="single" w:sz="8" w:space="0" w:color="auto"/>
              <w:right w:val="single" w:sz="8" w:space="0" w:color="auto"/>
            </w:tcBorders>
            <w:shd w:val="clear" w:color="000000" w:fill="FFFFFF"/>
            <w:vAlign w:val="center"/>
            <w:hideMark/>
          </w:tcPr>
          <w:p w14:paraId="7857929C"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0.3.2</w:t>
            </w:r>
          </w:p>
        </w:tc>
        <w:tc>
          <w:tcPr>
            <w:tcW w:w="3773" w:type="pct"/>
            <w:tcBorders>
              <w:top w:val="nil"/>
              <w:left w:val="nil"/>
              <w:bottom w:val="single" w:sz="8" w:space="0" w:color="auto"/>
              <w:right w:val="single" w:sz="8" w:space="0" w:color="auto"/>
            </w:tcBorders>
            <w:shd w:val="clear" w:color="000000" w:fill="FFFFFF"/>
            <w:noWrap/>
            <w:vAlign w:val="center"/>
            <w:hideMark/>
          </w:tcPr>
          <w:p w14:paraId="52A06960" w14:textId="77777777" w:rsidR="00E23F6E" w:rsidRPr="001B6518" w:rsidRDefault="00E23F6E" w:rsidP="00E23F6E">
            <w:pPr>
              <w:spacing w:after="0" w:line="240" w:lineRule="auto"/>
              <w:rPr>
                <w:rFonts w:ascii="Arial" w:hAnsi="Arial" w:cs="Arial"/>
                <w:b/>
                <w:bCs/>
                <w:i/>
                <w:iCs/>
                <w:color w:val="000000"/>
                <w:sz w:val="16"/>
                <w:szCs w:val="16"/>
              </w:rPr>
            </w:pPr>
            <w:r w:rsidRPr="001B6518">
              <w:rPr>
                <w:rFonts w:ascii="Arial" w:hAnsi="Arial" w:cs="Arial"/>
                <w:b/>
                <w:bCs/>
                <w:i/>
                <w:iCs/>
                <w:color w:val="000000"/>
                <w:sz w:val="16"/>
                <w:szCs w:val="16"/>
              </w:rPr>
              <w:t>Empréstitos con Fuente de Pago de Aportaciones</w:t>
            </w:r>
          </w:p>
        </w:tc>
        <w:tc>
          <w:tcPr>
            <w:tcW w:w="745" w:type="pct"/>
            <w:tcBorders>
              <w:top w:val="nil"/>
              <w:left w:val="nil"/>
              <w:bottom w:val="single" w:sz="8" w:space="0" w:color="auto"/>
              <w:right w:val="nil"/>
            </w:tcBorders>
            <w:shd w:val="clear" w:color="000000" w:fill="FFFFFF"/>
            <w:vAlign w:val="center"/>
            <w:hideMark/>
          </w:tcPr>
          <w:p w14:paraId="6EF767B5" w14:textId="77777777" w:rsidR="00E23F6E" w:rsidRPr="001B6518" w:rsidRDefault="00E23F6E" w:rsidP="00E23F6E">
            <w:pPr>
              <w:spacing w:after="0" w:line="240" w:lineRule="auto"/>
              <w:jc w:val="right"/>
              <w:rPr>
                <w:rFonts w:ascii="Arial" w:hAnsi="Arial" w:cs="Arial"/>
                <w:i/>
                <w:iCs/>
                <w:color w:val="000000"/>
                <w:sz w:val="16"/>
                <w:szCs w:val="16"/>
              </w:rPr>
            </w:pPr>
            <w:r w:rsidRPr="001B6518">
              <w:rPr>
                <w:rFonts w:ascii="Arial" w:hAnsi="Arial" w:cs="Arial"/>
                <w:i/>
                <w:iCs/>
                <w:color w:val="000000"/>
                <w:sz w:val="16"/>
                <w:szCs w:val="16"/>
              </w:rPr>
              <w:t xml:space="preserve">0 </w:t>
            </w:r>
          </w:p>
        </w:tc>
      </w:tr>
    </w:tbl>
    <w:p w14:paraId="00000462" w14:textId="6D69499A" w:rsidR="006B6C42" w:rsidRPr="001B6518" w:rsidRDefault="00AB3014">
      <w:pPr>
        <w:spacing w:before="280" w:after="280" w:line="240" w:lineRule="auto"/>
        <w:jc w:val="both"/>
        <w:rPr>
          <w:rFonts w:ascii="Arial" w:eastAsia="Arial" w:hAnsi="Arial" w:cs="Arial"/>
        </w:rPr>
      </w:pPr>
      <w:r w:rsidRPr="001B6518">
        <w:rPr>
          <w:rFonts w:ascii="Arial" w:eastAsia="Arial" w:hAnsi="Arial" w:cs="Arial"/>
        </w:rPr>
        <w:t>Cuando una ley establezca alguno de los ingresos previstos en este artículo y, además, contenga disposiciones sobre otros ingresos, estos últimos se considerarán incluidos en el rubro, tipo o clase correspondiente a los ingresos señalados en la primera disposición</w:t>
      </w:r>
      <w:r w:rsidR="00DA2020" w:rsidRPr="001B6518">
        <w:rPr>
          <w:rFonts w:ascii="Arial" w:eastAsia="Arial" w:hAnsi="Arial" w:cs="Arial"/>
        </w:rPr>
        <w:t>.</w:t>
      </w:r>
    </w:p>
    <w:p w14:paraId="00000463" w14:textId="77777777"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lastRenderedPageBreak/>
        <w:t xml:space="preserve">Artículo 3. Calendario de ingresos </w:t>
      </w:r>
    </w:p>
    <w:p w14:paraId="00000464" w14:textId="5E927A82"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 xml:space="preserve">La Secretaría de Administración y Finanzas publicará, a más tardar </w:t>
      </w:r>
      <w:sdt>
        <w:sdtPr>
          <w:rPr>
            <w:rFonts w:ascii="Arial" w:hAnsi="Arial" w:cs="Arial"/>
          </w:rPr>
          <w:tag w:val="goog_rdk_16"/>
          <w:id w:val="-734686916"/>
        </w:sdtPr>
        <w:sdtEndPr/>
        <w:sdtContent/>
      </w:sdt>
      <w:r w:rsidRPr="001B6518">
        <w:rPr>
          <w:rFonts w:ascii="Arial" w:eastAsia="Arial" w:hAnsi="Arial" w:cs="Arial"/>
        </w:rPr>
        <w:t xml:space="preserve">el último día de enero en su sitio web, los calendarios de ingresos con base mensual que reciba, en los formatos que, para tal efecto, determine el Consejo Nacional de Armonización Contable, de conformidad con el párrafo segundo del </w:t>
      </w:r>
      <w:sdt>
        <w:sdtPr>
          <w:rPr>
            <w:rFonts w:ascii="Arial" w:hAnsi="Arial" w:cs="Arial"/>
          </w:rPr>
          <w:tag w:val="goog_rdk_17"/>
          <w:id w:val="75822808"/>
        </w:sdtPr>
        <w:sdtEndPr/>
        <w:sdtContent>
          <w:r w:rsidRPr="001B6518">
            <w:rPr>
              <w:rFonts w:ascii="Arial" w:eastAsia="Arial" w:hAnsi="Arial" w:cs="Arial"/>
            </w:rPr>
            <w:t>artículo 66 de la Ley General de Contabilidad Gubernamental</w:t>
          </w:r>
        </w:sdtContent>
      </w:sdt>
      <w:r w:rsidRPr="001B6518">
        <w:rPr>
          <w:rFonts w:ascii="Arial" w:eastAsia="Arial" w:hAnsi="Arial" w:cs="Arial"/>
        </w:rPr>
        <w:t>, dicha calendarización tiene carácter de estimación y no representa un compromiso de plazo recaudatorio.</w:t>
      </w:r>
    </w:p>
    <w:p w14:paraId="00000465" w14:textId="77777777"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Artículo 4. Ingresos por remanentes</w:t>
      </w:r>
    </w:p>
    <w:p w14:paraId="00000466" w14:textId="7CD9C863"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Los ingresos por recursos remanentes de ejercicios anteriores a los que refiere el artículo 93 de la Ley del Presupuesto y Contabilidad Gubernamental del Estado de Yucatán, se considerarán en la presente Ley de Ingresos para cumplir con el principio de sostenibilidad del Balance presupuestario y del Balance presupuestario de recursos disponibles establecido en la Ley de Disciplina Financiera de las Entidades Federativas y los Municipios, a partir del momento de su aplicación en el gasto y se presentarán en los informes trimestrales correspondientes.</w:t>
      </w:r>
    </w:p>
    <w:p w14:paraId="00000467" w14:textId="77777777"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 xml:space="preserve">Artículo 5. Ingresos acumulados excedentes </w:t>
      </w:r>
    </w:p>
    <w:p w14:paraId="00000468" w14:textId="7C213241"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 xml:space="preserve">Los ingresos acumulados de las dependencias y entidades del Poder Ejecutivo del </w:t>
      </w:r>
      <w:r w:rsidR="00520834" w:rsidRPr="001B6518">
        <w:rPr>
          <w:rFonts w:ascii="Arial" w:eastAsia="Arial" w:hAnsi="Arial" w:cs="Arial"/>
        </w:rPr>
        <w:t>E</w:t>
      </w:r>
      <w:r w:rsidRPr="001B6518">
        <w:rPr>
          <w:rFonts w:ascii="Arial" w:eastAsia="Arial" w:hAnsi="Arial" w:cs="Arial"/>
        </w:rPr>
        <w:t>stado</w:t>
      </w:r>
      <w:r w:rsidR="00520834" w:rsidRPr="001B6518">
        <w:rPr>
          <w:rFonts w:ascii="Arial" w:eastAsia="Arial" w:hAnsi="Arial" w:cs="Arial"/>
        </w:rPr>
        <w:t xml:space="preserve"> de Yucatán</w:t>
      </w:r>
      <w:r w:rsidRPr="001B6518">
        <w:rPr>
          <w:rFonts w:ascii="Arial" w:eastAsia="Arial" w:hAnsi="Arial" w:cs="Arial"/>
        </w:rPr>
        <w:t xml:space="preserve">, los poderes </w:t>
      </w:r>
      <w:r w:rsidR="00520834" w:rsidRPr="001B6518">
        <w:rPr>
          <w:rFonts w:ascii="Arial" w:eastAsia="Arial" w:hAnsi="Arial" w:cs="Arial"/>
        </w:rPr>
        <w:t>L</w:t>
      </w:r>
      <w:r w:rsidRPr="001B6518">
        <w:rPr>
          <w:rFonts w:ascii="Arial" w:eastAsia="Arial" w:hAnsi="Arial" w:cs="Arial"/>
        </w:rPr>
        <w:t xml:space="preserve">egislativo y </w:t>
      </w:r>
      <w:r w:rsidR="00520834" w:rsidRPr="001B6518">
        <w:rPr>
          <w:rFonts w:ascii="Arial" w:eastAsia="Arial" w:hAnsi="Arial" w:cs="Arial"/>
        </w:rPr>
        <w:t>J</w:t>
      </w:r>
      <w:r w:rsidRPr="001B6518">
        <w:rPr>
          <w:rFonts w:ascii="Arial" w:eastAsia="Arial" w:hAnsi="Arial" w:cs="Arial"/>
        </w:rPr>
        <w:t>udicial, y los órganos autónomos por disposición constitucional que, durante el ejercicio fiscal 2026, se obtengan en exceso de los aprobados en esta ley, deberán ser aplicados en los términos de la Ley del Presupuesto y Contabilidad Gubernamental del Estado de Yucatán, su reglamento, y la Ley de Disciplina Financiera de las Entidades Federativas y los Municipios</w:t>
      </w:r>
      <w:r w:rsidRPr="001B6518">
        <w:rPr>
          <w:rFonts w:ascii="Arial" w:eastAsia="Arial" w:hAnsi="Arial" w:cs="Arial"/>
          <w:b/>
        </w:rPr>
        <w:t>.</w:t>
      </w:r>
    </w:p>
    <w:p w14:paraId="00000469"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En el caso de los ingresos de libre disposición que se encuentren destinados a un fin específico, en términos de las leyes, no resultarán aplicables las disposiciones establecidas en el artículo 14 de la Ley de Disciplina Financiera de las Entidades Federativas y los Municipios.</w:t>
      </w:r>
    </w:p>
    <w:p w14:paraId="0000046A"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Asimismo, los ingresos excedentes que provengan de los fondos de aportaciones federales para el estado o los municipios y de recursos federales reasignados o federalizados, se destinarán a los fines legalmente establecidos o convenidos, conforme a la normativa federal aplicable.</w:t>
      </w:r>
    </w:p>
    <w:p w14:paraId="30E9D795" w14:textId="77777777" w:rsidR="00D125F9" w:rsidRPr="001B6518" w:rsidRDefault="00D125F9" w:rsidP="00D125F9">
      <w:pPr>
        <w:spacing w:before="280" w:after="280" w:line="240" w:lineRule="auto"/>
        <w:jc w:val="both"/>
        <w:rPr>
          <w:rFonts w:ascii="Arial" w:hAnsi="Arial" w:cs="Arial"/>
          <w:b/>
        </w:rPr>
      </w:pPr>
      <w:r w:rsidRPr="001B6518">
        <w:rPr>
          <w:rFonts w:ascii="Arial" w:hAnsi="Arial" w:cs="Arial"/>
          <w:b/>
        </w:rPr>
        <w:t>Artículo 6. Adeudos de ejercicios fiscales anteriores</w:t>
      </w:r>
    </w:p>
    <w:p w14:paraId="12986694" w14:textId="77777777" w:rsidR="00D76C79" w:rsidRPr="001B6518" w:rsidRDefault="00D76C79" w:rsidP="00D76C79">
      <w:pPr>
        <w:spacing w:before="100" w:beforeAutospacing="1" w:after="100" w:afterAutospacing="1" w:line="240" w:lineRule="auto"/>
        <w:jc w:val="both"/>
        <w:rPr>
          <w:rFonts w:ascii="Arial" w:hAnsi="Arial" w:cs="Arial"/>
        </w:rPr>
      </w:pPr>
      <w:r w:rsidRPr="001B6518">
        <w:rPr>
          <w:rFonts w:ascii="Arial" w:hAnsi="Arial" w:cs="Arial"/>
        </w:rPr>
        <w:lastRenderedPageBreak/>
        <w:t>Durante el ejercicio fiscal 2026, se considerarán adeudos del ejercicio fiscal 2025 hasta por el monto necesario, dentro del porcentaje establecido en el artículo 12 de la Ley de Disciplina Financiera de las Entidades Federativas y los Municipios, siempre que se cumpla con los requisitos establecidos en los capítulos VII y VIII del título tercero del Reglamento de la Ley del Presupuesto y Contabilidad Gubernamental del Estado de Yucatán.</w:t>
      </w:r>
    </w:p>
    <w:p w14:paraId="0000046D" w14:textId="77777777"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Artículo 7. Aprovechamientos</w:t>
      </w:r>
    </w:p>
    <w:p w14:paraId="0000046E" w14:textId="2091CF2B"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 xml:space="preserve">El Poder Ejecutivo del </w:t>
      </w:r>
      <w:r w:rsidR="00520834" w:rsidRPr="001B6518">
        <w:rPr>
          <w:rFonts w:ascii="Arial" w:eastAsia="Arial" w:hAnsi="Arial" w:cs="Arial"/>
        </w:rPr>
        <w:t>E</w:t>
      </w:r>
      <w:r w:rsidRPr="001B6518">
        <w:rPr>
          <w:rFonts w:ascii="Arial" w:eastAsia="Arial" w:hAnsi="Arial" w:cs="Arial"/>
        </w:rPr>
        <w:t>stado</w:t>
      </w:r>
      <w:r w:rsidR="00520834" w:rsidRPr="001B6518">
        <w:rPr>
          <w:rFonts w:ascii="Arial" w:eastAsia="Arial" w:hAnsi="Arial" w:cs="Arial"/>
        </w:rPr>
        <w:t xml:space="preserve"> de Yucatán</w:t>
      </w:r>
      <w:r w:rsidRPr="001B6518">
        <w:rPr>
          <w:rFonts w:ascii="Arial" w:eastAsia="Arial" w:hAnsi="Arial" w:cs="Arial"/>
        </w:rPr>
        <w:t xml:space="preserve">, por conducto de la Secretaría de Administración y Finanzas, queda autorizado para fijar o modificar los aprovechamientos que cobren las dependencias durante el ejercicio fiscal 2026, por el uso, goce, aprovechamiento o explotación de bienes sujetos al régimen de dominio público del estado, o por la prestación de servicios en el ejercicio de las funciones de derecho público por los que no se establecen derechos o que, por cualquier causa legal, no se paguen. </w:t>
      </w:r>
    </w:p>
    <w:p w14:paraId="0000046F" w14:textId="14C5594C"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 xml:space="preserve">La Secretaría de Administración y Finanzas, mediante resoluciones de carácter particular, aprobará los montos de los aprovechamientos que cobren las dependencias de la Administración Pública estatal, salvo cuando su determinación y cobro se encuentren previstos en otras leyes. Los aprovechamientos que cobren las entidades se sujetarán a la aprobación del órgano de gobierno correspondiente, de conformidad con la normatividad aplicable, con excepción de aquellos que se determinen por acuerdo del Poder Ejecutivo del </w:t>
      </w:r>
      <w:r w:rsidR="00520834" w:rsidRPr="001B6518">
        <w:rPr>
          <w:rFonts w:ascii="Arial" w:eastAsia="Arial" w:hAnsi="Arial" w:cs="Arial"/>
        </w:rPr>
        <w:t>E</w:t>
      </w:r>
      <w:r w:rsidRPr="001B6518">
        <w:rPr>
          <w:rFonts w:ascii="Arial" w:eastAsia="Arial" w:hAnsi="Arial" w:cs="Arial"/>
        </w:rPr>
        <w:t>stado</w:t>
      </w:r>
      <w:r w:rsidR="00520834" w:rsidRPr="001B6518">
        <w:rPr>
          <w:rFonts w:ascii="Arial" w:eastAsia="Arial" w:hAnsi="Arial" w:cs="Arial"/>
        </w:rPr>
        <w:t xml:space="preserve"> de Yucatán</w:t>
      </w:r>
      <w:r w:rsidRPr="001B6518">
        <w:rPr>
          <w:rFonts w:ascii="Arial" w:eastAsia="Arial" w:hAnsi="Arial" w:cs="Arial"/>
        </w:rPr>
        <w:t>.</w:t>
      </w:r>
    </w:p>
    <w:p w14:paraId="00000470"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Los aprovechamientos por concepto de multas, sanciones, penas convencionales, cuotas compensatorias, o análogos establecidos en la normativa correspondiente de los organismos autónomos constitucionales, así como los accesorios de los aprovechamientos, no requieren de autorización por parte de la Secretaría de Administración y Finanzas para su cobro.</w:t>
      </w:r>
    </w:p>
    <w:p w14:paraId="00000471"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Las autorizaciones otorgadas para fijar o modificar las cuotas de los aprovechamientos durante el ejercicio fiscal 2025 solo surtirán sus efectos para ese año. En tanto no sean autorizados los aprovechamientos a que se refiere este artículo para el ejercicio fiscal 2026, se aplicarán los vigentes al 31 de diciembre de 2025.</w:t>
      </w:r>
    </w:p>
    <w:p w14:paraId="00000472"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 xml:space="preserve">Los aprovechamientos fijados en porcentaje que se encuentren vigentes al 31 de diciembre de 2025 se continuarán aplicando durante el ejercicio fiscal 2026, hasta </w:t>
      </w:r>
      <w:r w:rsidRPr="001B6518">
        <w:rPr>
          <w:rFonts w:ascii="Arial" w:eastAsia="Arial" w:hAnsi="Arial" w:cs="Arial"/>
        </w:rPr>
        <w:lastRenderedPageBreak/>
        <w:t>en tanto la Secretaría de Administración y Finanzas o el órgano de gobierno correspondiente emita autorización distinta para este último ejercicio fiscal.</w:t>
      </w:r>
    </w:p>
    <w:p w14:paraId="00000473" w14:textId="59E002B5"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 xml:space="preserve">En cuanto a los aprovechamientos </w:t>
      </w:r>
      <w:r w:rsidR="00A80C51" w:rsidRPr="001B6518">
        <w:rPr>
          <w:rFonts w:ascii="Arial" w:eastAsia="Arial" w:hAnsi="Arial" w:cs="Arial"/>
        </w:rPr>
        <w:t>que por su naturaleza no hayan sido cobrados en ejercicios fiscales anteriores</w:t>
      </w:r>
      <w:r w:rsidR="00510780" w:rsidRPr="001B6518">
        <w:rPr>
          <w:rFonts w:ascii="Arial" w:eastAsia="Arial" w:hAnsi="Arial" w:cs="Arial"/>
        </w:rPr>
        <w:t xml:space="preserve"> ni hayan sido considerado</w:t>
      </w:r>
      <w:r w:rsidR="00D72F07" w:rsidRPr="001B6518">
        <w:rPr>
          <w:rFonts w:ascii="Arial" w:eastAsia="Arial" w:hAnsi="Arial" w:cs="Arial"/>
        </w:rPr>
        <w:t>s</w:t>
      </w:r>
      <w:r w:rsidR="00510780" w:rsidRPr="001B6518">
        <w:rPr>
          <w:rFonts w:ascii="Arial" w:eastAsia="Arial" w:hAnsi="Arial" w:cs="Arial"/>
        </w:rPr>
        <w:t xml:space="preserve"> en la presente Ley</w:t>
      </w:r>
      <w:r w:rsidR="00475203" w:rsidRPr="001B6518">
        <w:rPr>
          <w:rFonts w:ascii="Arial" w:eastAsia="Arial" w:hAnsi="Arial" w:cs="Arial"/>
        </w:rPr>
        <w:t xml:space="preserve">, </w:t>
      </w:r>
      <w:r w:rsidRPr="001B6518">
        <w:rPr>
          <w:rFonts w:ascii="Arial" w:eastAsia="Arial" w:hAnsi="Arial" w:cs="Arial"/>
        </w:rPr>
        <w:t>las dependencias o entidades interesadas deberán someter, para su autorización, el</w:t>
      </w:r>
      <w:r w:rsidR="00475203" w:rsidRPr="001B6518">
        <w:rPr>
          <w:rFonts w:ascii="Arial" w:eastAsia="Arial" w:hAnsi="Arial" w:cs="Arial"/>
        </w:rPr>
        <w:t xml:space="preserve"> concepto </w:t>
      </w:r>
      <w:r w:rsidRPr="001B6518">
        <w:rPr>
          <w:rFonts w:ascii="Arial" w:eastAsia="Arial" w:hAnsi="Arial" w:cs="Arial"/>
        </w:rPr>
        <w:t xml:space="preserve">de los aprovechamientos que pretendan cobrar, en un plazo no menor a diez días hábiles anteriores a la fecha de </w:t>
      </w:r>
      <w:r w:rsidR="00746908" w:rsidRPr="001B6518">
        <w:rPr>
          <w:rFonts w:ascii="Arial" w:eastAsia="Arial" w:hAnsi="Arial" w:cs="Arial"/>
        </w:rPr>
        <w:t>la</w:t>
      </w:r>
      <w:r w:rsidRPr="001B6518">
        <w:rPr>
          <w:rFonts w:ascii="Arial" w:eastAsia="Arial" w:hAnsi="Arial" w:cs="Arial"/>
        </w:rPr>
        <w:t xml:space="preserve"> entrada en vigor</w:t>
      </w:r>
      <w:r w:rsidR="00795487" w:rsidRPr="001B6518">
        <w:rPr>
          <w:rFonts w:ascii="Arial" w:eastAsia="Arial" w:hAnsi="Arial" w:cs="Arial"/>
        </w:rPr>
        <w:t xml:space="preserve"> de dicho aprovechamiento</w:t>
      </w:r>
      <w:r w:rsidRPr="001B6518">
        <w:rPr>
          <w:rFonts w:ascii="Arial" w:eastAsia="Arial" w:hAnsi="Arial" w:cs="Arial"/>
        </w:rPr>
        <w:t xml:space="preserve">. </w:t>
      </w:r>
    </w:p>
    <w:p w14:paraId="00000474" w14:textId="77777777"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Artículo 8. Productos</w:t>
      </w:r>
    </w:p>
    <w:p w14:paraId="00000475" w14:textId="71FF86AF"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 xml:space="preserve">El Poder Ejecutivo del </w:t>
      </w:r>
      <w:r w:rsidR="00520834" w:rsidRPr="001B6518">
        <w:rPr>
          <w:rFonts w:ascii="Arial" w:eastAsia="Arial" w:hAnsi="Arial" w:cs="Arial"/>
        </w:rPr>
        <w:t>E</w:t>
      </w:r>
      <w:r w:rsidRPr="001B6518">
        <w:rPr>
          <w:rFonts w:ascii="Arial" w:eastAsia="Arial" w:hAnsi="Arial" w:cs="Arial"/>
        </w:rPr>
        <w:t>stado</w:t>
      </w:r>
      <w:r w:rsidR="00520834" w:rsidRPr="001B6518">
        <w:rPr>
          <w:rFonts w:ascii="Arial" w:eastAsia="Arial" w:hAnsi="Arial" w:cs="Arial"/>
        </w:rPr>
        <w:t xml:space="preserve"> de Yucatán</w:t>
      </w:r>
      <w:r w:rsidRPr="001B6518">
        <w:rPr>
          <w:rFonts w:ascii="Arial" w:eastAsia="Arial" w:hAnsi="Arial" w:cs="Arial"/>
        </w:rPr>
        <w:t>, por conducto de la Secretaría de Administración y Finanzas, queda autorizado para fijar o modificar, mediante resoluciones de carácter particular, las cuotas de los productos que pretendan cobrar las dependencias durante el ejercicio fiscal 2026, aun cuando su cobro se encuentre previsto en otras leyes.</w:t>
      </w:r>
    </w:p>
    <w:p w14:paraId="00000476"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Las autorizaciones para fijar o modificar las cuotas de los productos que otorgue la Secretaría de Administración y Finanzas durante el ejercicio fiscal 2026, solo surtirán sus efectos para este año. En tanto no sean autorizados los productos a que se refiere este artículo para el ejercicio fiscal 2026, se aplicarán los vigentes al 31 de diciembre de 2025.</w:t>
      </w:r>
    </w:p>
    <w:p w14:paraId="00000477"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Los productos fijados en porcentaje que se encuentren vigentes al 31 de diciembre de 2025 se continuarán aplicando durante el ejercicio fiscal 2026, hasta en tanto la secretaría o el órgano de gobierno correspondiente emita autorización nueva para este último ejercicio fiscal.</w:t>
      </w:r>
    </w:p>
    <w:p w14:paraId="00000478"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En cuanto a los productos que no hayan sido cobrados en el ejercicio inmediato anterior o que no se cobren de manera regular, las dependencias interesadas deberán someter para su aprobación a la Secretaría de Administración y Finanzas el monto de los productos que pretendan cobrar, en un plazo no menor a diez días hábiles anteriores a la fecha de su entrada en vigor.</w:t>
      </w:r>
    </w:p>
    <w:p w14:paraId="0000047A" w14:textId="01BE842B" w:rsidR="006B6C42" w:rsidRPr="001B6518" w:rsidRDefault="00DA2020">
      <w:pPr>
        <w:spacing w:after="0" w:line="240" w:lineRule="auto"/>
        <w:jc w:val="center"/>
        <w:rPr>
          <w:rFonts w:ascii="Arial" w:eastAsia="Arial" w:hAnsi="Arial" w:cs="Arial"/>
          <w:b/>
        </w:rPr>
      </w:pPr>
      <w:r w:rsidRPr="001B6518">
        <w:rPr>
          <w:rFonts w:ascii="Arial" w:eastAsia="Arial" w:hAnsi="Arial" w:cs="Arial"/>
          <w:b/>
        </w:rPr>
        <w:t>Capítulo II</w:t>
      </w:r>
      <w:r w:rsidR="00D17EFB">
        <w:rPr>
          <w:rFonts w:ascii="Arial" w:eastAsia="Arial" w:hAnsi="Arial" w:cs="Arial"/>
          <w:b/>
        </w:rPr>
        <w:br/>
      </w:r>
      <w:r w:rsidRPr="001B6518">
        <w:rPr>
          <w:rFonts w:ascii="Arial" w:eastAsia="Arial" w:hAnsi="Arial" w:cs="Arial"/>
          <w:b/>
        </w:rPr>
        <w:t>Disciplina presupuestal en el ingreso</w:t>
      </w:r>
    </w:p>
    <w:p w14:paraId="0000047B" w14:textId="77777777"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Artículo 9. Formatos de disciplina financiera</w:t>
      </w:r>
    </w:p>
    <w:p w14:paraId="0000047C"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lastRenderedPageBreak/>
        <w:t xml:space="preserve">La proyección de ingresos de los próximos cinco años, es decir, de 2026 a 2031, se encuentra desglosada en el anexo I de esta ley. </w:t>
      </w:r>
    </w:p>
    <w:p w14:paraId="7813C20A" w14:textId="04C1A39F" w:rsidR="005E278E" w:rsidRPr="001B6518" w:rsidRDefault="00DA2020" w:rsidP="00555504">
      <w:pPr>
        <w:spacing w:before="280" w:after="280" w:line="240" w:lineRule="auto"/>
        <w:jc w:val="both"/>
        <w:rPr>
          <w:rFonts w:ascii="Arial" w:eastAsia="Arial" w:hAnsi="Arial" w:cs="Arial"/>
        </w:rPr>
      </w:pPr>
      <w:r w:rsidRPr="001B6518">
        <w:rPr>
          <w:rFonts w:ascii="Arial" w:eastAsia="Arial" w:hAnsi="Arial" w:cs="Arial"/>
        </w:rPr>
        <w:t>El resultado de los ingresos durante el periodo de los últimos cinco años, es decir, de 2020 a 2025, se presenta en el anexo II de esta ley.</w:t>
      </w:r>
    </w:p>
    <w:p w14:paraId="32347A42" w14:textId="77777777" w:rsidR="00555504" w:rsidRPr="001B6518" w:rsidRDefault="00555504" w:rsidP="00555504">
      <w:pPr>
        <w:spacing w:before="280" w:after="280" w:line="240" w:lineRule="auto"/>
        <w:jc w:val="both"/>
        <w:rPr>
          <w:rFonts w:ascii="Arial" w:eastAsia="Arial" w:hAnsi="Arial" w:cs="Arial"/>
        </w:rPr>
      </w:pPr>
      <w:r w:rsidRPr="001B6518">
        <w:rPr>
          <w:rFonts w:ascii="Arial" w:eastAsia="Arial" w:hAnsi="Arial" w:cs="Arial"/>
          <w:b/>
          <w:bCs/>
        </w:rPr>
        <w:t>Artículo 10. Programa de financiamiento anual</w:t>
      </w:r>
    </w:p>
    <w:p w14:paraId="26FF558A" w14:textId="683B7F68" w:rsidR="0056290C" w:rsidRPr="001B6518" w:rsidRDefault="0056290C" w:rsidP="00D17EFB">
      <w:pPr>
        <w:spacing w:before="100" w:beforeAutospacing="1" w:after="100" w:afterAutospacing="1" w:line="240" w:lineRule="auto"/>
        <w:jc w:val="both"/>
        <w:rPr>
          <w:rFonts w:ascii="Arial" w:eastAsia="Arial" w:hAnsi="Arial" w:cs="Arial"/>
        </w:rPr>
      </w:pPr>
      <w:r w:rsidRPr="001B6518">
        <w:rPr>
          <w:rFonts w:ascii="Arial" w:eastAsia="Arial" w:hAnsi="Arial" w:cs="Arial"/>
        </w:rPr>
        <w:t xml:space="preserve">De conformidad con lo establecido en el artículo 52, fracción V, de la Ley del Presupuesto y Contabilidad Gubernamental del Estado de Yucatán, para el programa anual de financiamiento 2026, la estimación de las amortizaciones y el costo del servicio de la deuda de largo plazo contratada al 31 de diciembre de 2025 y que se cubrirán durante este ejercicio </w:t>
      </w:r>
      <w:r w:rsidRPr="009C3C5A">
        <w:rPr>
          <w:rFonts w:ascii="Arial" w:eastAsia="Arial" w:hAnsi="Arial" w:cs="Arial"/>
        </w:rPr>
        <w:t>fiscal es de $165,811,540.00 y de $816,972,871.00, respectivamente.</w:t>
      </w:r>
    </w:p>
    <w:p w14:paraId="5FF6F228" w14:textId="77777777" w:rsidR="004C5465" w:rsidRPr="001B6518" w:rsidRDefault="004C5465" w:rsidP="00D17EFB">
      <w:pPr>
        <w:spacing w:before="100" w:beforeAutospacing="1" w:after="100" w:afterAutospacing="1" w:line="240" w:lineRule="auto"/>
        <w:jc w:val="both"/>
        <w:rPr>
          <w:rFonts w:ascii="Arial" w:eastAsia="Arial" w:hAnsi="Arial" w:cs="Arial"/>
        </w:rPr>
      </w:pPr>
      <w:r w:rsidRPr="001B6518">
        <w:rPr>
          <w:rFonts w:ascii="Arial" w:eastAsia="Arial" w:hAnsi="Arial" w:cs="Arial"/>
        </w:rPr>
        <w:t>Las cifras señaladas corresponden a los financiamientos de largo plazo vigentes y se estima que serán aplicados de la siguiente manera:</w:t>
      </w:r>
    </w:p>
    <w:p w14:paraId="4BB0EA66" w14:textId="6E0FF765" w:rsidR="00FA02D0" w:rsidRPr="001B6518" w:rsidRDefault="00CB5737" w:rsidP="00E73864">
      <w:pPr>
        <w:spacing w:before="280" w:after="280" w:line="240" w:lineRule="auto"/>
        <w:jc w:val="center"/>
        <w:rPr>
          <w:rFonts w:ascii="Arial" w:eastAsia="Arial" w:hAnsi="Arial" w:cs="Arial"/>
          <w:b/>
          <w:sz w:val="20"/>
          <w:szCs w:val="20"/>
        </w:rPr>
      </w:pPr>
      <w:r w:rsidRPr="001B6518">
        <w:rPr>
          <w:rFonts w:ascii="Arial" w:eastAsia="Arial" w:hAnsi="Arial" w:cs="Arial"/>
          <w:b/>
          <w:sz w:val="20"/>
          <w:szCs w:val="20"/>
        </w:rPr>
        <w:t xml:space="preserve">Tabla 2: </w:t>
      </w:r>
      <w:r w:rsidR="00CC50F1" w:rsidRPr="001B6518">
        <w:rPr>
          <w:rFonts w:ascii="Arial" w:eastAsia="Arial" w:hAnsi="Arial" w:cs="Arial"/>
          <w:b/>
          <w:sz w:val="20"/>
          <w:szCs w:val="20"/>
        </w:rPr>
        <w:t>Saldo</w:t>
      </w:r>
      <w:r w:rsidR="00E73864" w:rsidRPr="001B6518">
        <w:rPr>
          <w:rFonts w:ascii="Arial" w:eastAsia="Arial" w:hAnsi="Arial" w:cs="Arial"/>
          <w:b/>
          <w:sz w:val="20"/>
          <w:szCs w:val="20"/>
        </w:rPr>
        <w:t xml:space="preserve"> de la deuda pública de largo plazo</w:t>
      </w:r>
    </w:p>
    <w:tbl>
      <w:tblPr>
        <w:tblW w:w="0" w:type="auto"/>
        <w:tblCellMar>
          <w:left w:w="70" w:type="dxa"/>
          <w:right w:w="70" w:type="dxa"/>
        </w:tblCellMar>
        <w:tblLook w:val="04A0" w:firstRow="1" w:lastRow="0" w:firstColumn="1" w:lastColumn="0" w:noHBand="0" w:noVBand="1"/>
      </w:tblPr>
      <w:tblGrid>
        <w:gridCol w:w="1769"/>
        <w:gridCol w:w="3777"/>
        <w:gridCol w:w="1793"/>
        <w:gridCol w:w="1489"/>
      </w:tblGrid>
      <w:tr w:rsidR="006C0716" w:rsidRPr="001B6518" w14:paraId="5900D2AC" w14:textId="77777777" w:rsidTr="008A0393">
        <w:trPr>
          <w:trHeight w:val="640"/>
        </w:trPr>
        <w:tc>
          <w:tcPr>
            <w:tcW w:w="0" w:type="auto"/>
            <w:tcBorders>
              <w:top w:val="nil"/>
              <w:left w:val="single" w:sz="4" w:space="0" w:color="auto"/>
              <w:bottom w:val="single" w:sz="4" w:space="0" w:color="auto"/>
              <w:right w:val="single" w:sz="4" w:space="0" w:color="auto"/>
            </w:tcBorders>
            <w:shd w:val="clear" w:color="000000" w:fill="000000"/>
            <w:vAlign w:val="center"/>
            <w:hideMark/>
          </w:tcPr>
          <w:p w14:paraId="54FBFDD0" w14:textId="77777777" w:rsidR="006C0716" w:rsidRPr="001B6518" w:rsidRDefault="006C0716" w:rsidP="008A0393">
            <w:pPr>
              <w:spacing w:after="0" w:line="240" w:lineRule="auto"/>
              <w:jc w:val="center"/>
              <w:rPr>
                <w:rFonts w:ascii="Arial" w:hAnsi="Arial" w:cs="Arial"/>
                <w:b/>
                <w:bCs/>
                <w:color w:val="FFFFFF"/>
                <w:sz w:val="17"/>
                <w:szCs w:val="17"/>
              </w:rPr>
            </w:pPr>
            <w:r w:rsidRPr="001B6518">
              <w:rPr>
                <w:rFonts w:ascii="Arial" w:hAnsi="Arial" w:cs="Arial"/>
                <w:b/>
                <w:bCs/>
                <w:color w:val="FFFFFF"/>
                <w:sz w:val="17"/>
                <w:szCs w:val="17"/>
              </w:rPr>
              <w:t xml:space="preserve">Clasificación deuda </w:t>
            </w:r>
          </w:p>
        </w:tc>
        <w:tc>
          <w:tcPr>
            <w:tcW w:w="0" w:type="auto"/>
            <w:tcBorders>
              <w:top w:val="nil"/>
              <w:left w:val="nil"/>
              <w:bottom w:val="single" w:sz="4" w:space="0" w:color="auto"/>
              <w:right w:val="single" w:sz="4" w:space="0" w:color="auto"/>
            </w:tcBorders>
            <w:shd w:val="clear" w:color="000000" w:fill="000000"/>
            <w:vAlign w:val="center"/>
            <w:hideMark/>
          </w:tcPr>
          <w:p w14:paraId="6244E52F" w14:textId="77777777" w:rsidR="006C0716" w:rsidRPr="001B6518" w:rsidRDefault="006C0716" w:rsidP="008A0393">
            <w:pPr>
              <w:spacing w:after="0" w:line="240" w:lineRule="auto"/>
              <w:jc w:val="center"/>
              <w:rPr>
                <w:rFonts w:ascii="Arial" w:hAnsi="Arial" w:cs="Arial"/>
                <w:b/>
                <w:bCs/>
                <w:color w:val="FFFFFF"/>
                <w:sz w:val="17"/>
                <w:szCs w:val="17"/>
              </w:rPr>
            </w:pPr>
            <w:r w:rsidRPr="001B6518">
              <w:rPr>
                <w:rFonts w:ascii="Arial" w:hAnsi="Arial" w:cs="Arial"/>
                <w:b/>
                <w:bCs/>
                <w:color w:val="FFFFFF"/>
                <w:sz w:val="17"/>
                <w:szCs w:val="17"/>
              </w:rPr>
              <w:t xml:space="preserve">Financiamiento </w:t>
            </w:r>
          </w:p>
        </w:tc>
        <w:tc>
          <w:tcPr>
            <w:tcW w:w="0" w:type="auto"/>
            <w:tcBorders>
              <w:top w:val="nil"/>
              <w:left w:val="nil"/>
              <w:bottom w:val="single" w:sz="4" w:space="0" w:color="auto"/>
              <w:right w:val="single" w:sz="4" w:space="0" w:color="auto"/>
            </w:tcBorders>
            <w:shd w:val="clear" w:color="000000" w:fill="000000"/>
            <w:vAlign w:val="center"/>
            <w:hideMark/>
          </w:tcPr>
          <w:p w14:paraId="08192700" w14:textId="77777777" w:rsidR="006C0716" w:rsidRPr="001B6518" w:rsidRDefault="006C0716" w:rsidP="008A0393">
            <w:pPr>
              <w:spacing w:after="0" w:line="240" w:lineRule="auto"/>
              <w:jc w:val="center"/>
              <w:rPr>
                <w:rFonts w:ascii="Arial" w:hAnsi="Arial" w:cs="Arial"/>
                <w:b/>
                <w:bCs/>
                <w:color w:val="FFFFFF"/>
                <w:sz w:val="17"/>
                <w:szCs w:val="17"/>
              </w:rPr>
            </w:pPr>
            <w:r w:rsidRPr="001B6518">
              <w:rPr>
                <w:rFonts w:ascii="Arial" w:hAnsi="Arial" w:cs="Arial"/>
                <w:b/>
                <w:bCs/>
                <w:color w:val="FFFFFF"/>
                <w:sz w:val="17"/>
                <w:szCs w:val="17"/>
              </w:rPr>
              <w:t>Clave Inscripción RPU- SHCP</w:t>
            </w:r>
          </w:p>
        </w:tc>
        <w:tc>
          <w:tcPr>
            <w:tcW w:w="0" w:type="auto"/>
            <w:tcBorders>
              <w:top w:val="nil"/>
              <w:left w:val="nil"/>
              <w:bottom w:val="single" w:sz="4" w:space="0" w:color="auto"/>
              <w:right w:val="single" w:sz="4" w:space="0" w:color="auto"/>
            </w:tcBorders>
            <w:shd w:val="clear" w:color="000000" w:fill="000000"/>
            <w:vAlign w:val="center"/>
            <w:hideMark/>
          </w:tcPr>
          <w:p w14:paraId="47F9E631" w14:textId="77777777" w:rsidR="006C0716" w:rsidRPr="001B6518" w:rsidRDefault="006C0716" w:rsidP="008A0393">
            <w:pPr>
              <w:spacing w:after="0" w:line="240" w:lineRule="auto"/>
              <w:jc w:val="center"/>
              <w:rPr>
                <w:rFonts w:ascii="Arial" w:hAnsi="Arial" w:cs="Arial"/>
                <w:b/>
                <w:bCs/>
                <w:color w:val="FFFFFF"/>
                <w:sz w:val="17"/>
                <w:szCs w:val="17"/>
              </w:rPr>
            </w:pPr>
            <w:r w:rsidRPr="001B6518">
              <w:rPr>
                <w:rFonts w:ascii="Arial" w:hAnsi="Arial" w:cs="Arial"/>
                <w:b/>
                <w:bCs/>
                <w:color w:val="FFFFFF"/>
                <w:sz w:val="17"/>
                <w:szCs w:val="17"/>
              </w:rPr>
              <w:t xml:space="preserve">Saldo al 31/dic/2025 </w:t>
            </w:r>
          </w:p>
        </w:tc>
      </w:tr>
      <w:tr w:rsidR="006C0716" w:rsidRPr="001B6518" w14:paraId="0AB83213" w14:textId="77777777" w:rsidTr="008A0393">
        <w:trPr>
          <w:trHeight w:val="535"/>
        </w:trPr>
        <w:tc>
          <w:tcPr>
            <w:tcW w:w="0" w:type="auto"/>
            <w:tcBorders>
              <w:top w:val="nil"/>
              <w:left w:val="single" w:sz="4" w:space="0" w:color="auto"/>
              <w:bottom w:val="single" w:sz="4" w:space="0" w:color="auto"/>
              <w:right w:val="single" w:sz="4" w:space="0" w:color="auto"/>
            </w:tcBorders>
            <w:vAlign w:val="center"/>
            <w:hideMark/>
          </w:tcPr>
          <w:p w14:paraId="0F9EE768" w14:textId="77777777" w:rsidR="006C0716" w:rsidRPr="001B6518" w:rsidRDefault="006C0716" w:rsidP="008A0393">
            <w:pPr>
              <w:spacing w:after="0" w:line="240" w:lineRule="auto"/>
              <w:rPr>
                <w:rFonts w:ascii="Arial" w:hAnsi="Arial" w:cs="Arial"/>
                <w:color w:val="000000"/>
                <w:sz w:val="17"/>
                <w:szCs w:val="17"/>
              </w:rPr>
            </w:pPr>
            <w:r w:rsidRPr="001B6518">
              <w:rPr>
                <w:rFonts w:ascii="Arial" w:hAnsi="Arial" w:cs="Arial"/>
                <w:color w:val="000000"/>
                <w:sz w:val="17"/>
                <w:szCs w:val="17"/>
              </w:rPr>
              <w:t xml:space="preserve">Deuda pública de largo plazo </w:t>
            </w:r>
          </w:p>
        </w:tc>
        <w:tc>
          <w:tcPr>
            <w:tcW w:w="0" w:type="auto"/>
            <w:tcBorders>
              <w:top w:val="nil"/>
              <w:left w:val="nil"/>
              <w:bottom w:val="single" w:sz="4" w:space="0" w:color="auto"/>
              <w:right w:val="single" w:sz="4" w:space="0" w:color="auto"/>
            </w:tcBorders>
            <w:vAlign w:val="center"/>
            <w:hideMark/>
          </w:tcPr>
          <w:p w14:paraId="5E2028DE" w14:textId="77777777" w:rsidR="006C0716" w:rsidRPr="001B6518" w:rsidRDefault="006C0716" w:rsidP="008A0393">
            <w:pPr>
              <w:spacing w:after="0" w:line="240" w:lineRule="auto"/>
              <w:rPr>
                <w:rFonts w:ascii="Arial" w:hAnsi="Arial" w:cs="Arial"/>
                <w:color w:val="000000"/>
                <w:sz w:val="17"/>
                <w:szCs w:val="17"/>
              </w:rPr>
            </w:pPr>
            <w:r w:rsidRPr="001B6518">
              <w:rPr>
                <w:rFonts w:ascii="Arial" w:hAnsi="Arial" w:cs="Arial"/>
                <w:color w:val="000000"/>
                <w:sz w:val="17"/>
                <w:szCs w:val="17"/>
              </w:rPr>
              <w:t xml:space="preserve">Banco Nacional de México, S.A. por 2,620 mdp </w:t>
            </w:r>
          </w:p>
        </w:tc>
        <w:tc>
          <w:tcPr>
            <w:tcW w:w="0" w:type="auto"/>
            <w:tcBorders>
              <w:top w:val="nil"/>
              <w:left w:val="nil"/>
              <w:bottom w:val="single" w:sz="4" w:space="0" w:color="auto"/>
              <w:right w:val="single" w:sz="4" w:space="0" w:color="auto"/>
            </w:tcBorders>
            <w:vAlign w:val="center"/>
            <w:hideMark/>
          </w:tcPr>
          <w:p w14:paraId="12CCAD4F" w14:textId="77777777" w:rsidR="006C0716" w:rsidRPr="001B6518" w:rsidRDefault="006C0716" w:rsidP="008A0393">
            <w:pPr>
              <w:spacing w:after="0" w:line="240" w:lineRule="auto"/>
              <w:jc w:val="center"/>
              <w:rPr>
                <w:rFonts w:ascii="Arial" w:hAnsi="Arial" w:cs="Arial"/>
                <w:color w:val="000000"/>
                <w:sz w:val="17"/>
                <w:szCs w:val="17"/>
              </w:rPr>
            </w:pPr>
            <w:r w:rsidRPr="001B6518">
              <w:rPr>
                <w:rFonts w:ascii="Arial" w:hAnsi="Arial" w:cs="Arial"/>
                <w:color w:val="000000"/>
                <w:sz w:val="17"/>
                <w:szCs w:val="17"/>
              </w:rPr>
              <w:t>P31-1119054</w:t>
            </w:r>
          </w:p>
        </w:tc>
        <w:tc>
          <w:tcPr>
            <w:tcW w:w="0" w:type="auto"/>
            <w:tcBorders>
              <w:top w:val="nil"/>
              <w:left w:val="nil"/>
              <w:bottom w:val="single" w:sz="4" w:space="0" w:color="auto"/>
              <w:right w:val="single" w:sz="4" w:space="0" w:color="auto"/>
            </w:tcBorders>
            <w:vAlign w:val="center"/>
            <w:hideMark/>
          </w:tcPr>
          <w:p w14:paraId="51216F50" w14:textId="77777777" w:rsidR="006C0716" w:rsidRPr="001B6518" w:rsidRDefault="006C0716" w:rsidP="008A0393">
            <w:pPr>
              <w:spacing w:after="0" w:line="240" w:lineRule="auto"/>
              <w:jc w:val="right"/>
              <w:rPr>
                <w:rFonts w:ascii="Arial" w:hAnsi="Arial" w:cs="Arial"/>
                <w:color w:val="000000"/>
                <w:sz w:val="17"/>
                <w:szCs w:val="17"/>
              </w:rPr>
            </w:pPr>
            <w:r w:rsidRPr="001B6518">
              <w:rPr>
                <w:rFonts w:ascii="Arial" w:hAnsi="Arial" w:cs="Arial"/>
                <w:color w:val="000000"/>
                <w:sz w:val="17"/>
                <w:szCs w:val="17"/>
              </w:rPr>
              <w:t>2,434,170,357</w:t>
            </w:r>
          </w:p>
        </w:tc>
      </w:tr>
      <w:tr w:rsidR="006C0716" w:rsidRPr="001B6518" w14:paraId="7E2FC088" w14:textId="77777777" w:rsidTr="008A0393">
        <w:trPr>
          <w:trHeight w:val="660"/>
        </w:trPr>
        <w:tc>
          <w:tcPr>
            <w:tcW w:w="0" w:type="auto"/>
            <w:tcBorders>
              <w:top w:val="nil"/>
              <w:left w:val="single" w:sz="4" w:space="0" w:color="auto"/>
              <w:bottom w:val="single" w:sz="4" w:space="0" w:color="auto"/>
              <w:right w:val="single" w:sz="4" w:space="0" w:color="auto"/>
            </w:tcBorders>
            <w:vAlign w:val="center"/>
            <w:hideMark/>
          </w:tcPr>
          <w:p w14:paraId="5765A67E" w14:textId="6897258C" w:rsidR="006C0716" w:rsidRPr="001B6518" w:rsidRDefault="000677D9" w:rsidP="008A0393">
            <w:pPr>
              <w:spacing w:after="0" w:line="240" w:lineRule="auto"/>
              <w:rPr>
                <w:rFonts w:ascii="Arial" w:hAnsi="Arial" w:cs="Arial"/>
                <w:color w:val="000000"/>
                <w:sz w:val="17"/>
                <w:szCs w:val="17"/>
              </w:rPr>
            </w:pPr>
            <w:r w:rsidRPr="001B6518">
              <w:rPr>
                <w:rFonts w:ascii="Arial" w:hAnsi="Arial" w:cs="Arial"/>
                <w:color w:val="000000"/>
                <w:sz w:val="17"/>
                <w:szCs w:val="17"/>
              </w:rPr>
              <w:t xml:space="preserve"> </w:t>
            </w:r>
          </w:p>
        </w:tc>
        <w:tc>
          <w:tcPr>
            <w:tcW w:w="0" w:type="auto"/>
            <w:tcBorders>
              <w:top w:val="nil"/>
              <w:left w:val="nil"/>
              <w:bottom w:val="single" w:sz="4" w:space="0" w:color="auto"/>
              <w:right w:val="single" w:sz="4" w:space="0" w:color="auto"/>
            </w:tcBorders>
            <w:vAlign w:val="center"/>
            <w:hideMark/>
          </w:tcPr>
          <w:p w14:paraId="71B11453" w14:textId="77777777" w:rsidR="006C0716" w:rsidRPr="001B6518" w:rsidRDefault="006C0716" w:rsidP="008A0393">
            <w:pPr>
              <w:spacing w:after="0" w:line="240" w:lineRule="auto"/>
              <w:rPr>
                <w:rFonts w:ascii="Arial" w:hAnsi="Arial" w:cs="Arial"/>
                <w:color w:val="000000"/>
                <w:sz w:val="17"/>
                <w:szCs w:val="17"/>
              </w:rPr>
            </w:pPr>
            <w:r w:rsidRPr="001B6518">
              <w:rPr>
                <w:rFonts w:ascii="Arial" w:hAnsi="Arial" w:cs="Arial"/>
                <w:color w:val="000000"/>
                <w:sz w:val="17"/>
                <w:szCs w:val="17"/>
              </w:rPr>
              <w:t xml:space="preserve">Banco Nacional de Obras y Servicios Públicos, S.N.C. por 800 mdp </w:t>
            </w:r>
          </w:p>
        </w:tc>
        <w:tc>
          <w:tcPr>
            <w:tcW w:w="0" w:type="auto"/>
            <w:tcBorders>
              <w:top w:val="nil"/>
              <w:left w:val="nil"/>
              <w:bottom w:val="single" w:sz="4" w:space="0" w:color="auto"/>
              <w:right w:val="single" w:sz="4" w:space="0" w:color="auto"/>
            </w:tcBorders>
            <w:vAlign w:val="center"/>
            <w:hideMark/>
          </w:tcPr>
          <w:p w14:paraId="3165AB37" w14:textId="77777777" w:rsidR="006C0716" w:rsidRPr="001B6518" w:rsidRDefault="006C0716" w:rsidP="008A0393">
            <w:pPr>
              <w:spacing w:after="0" w:line="240" w:lineRule="auto"/>
              <w:jc w:val="center"/>
              <w:rPr>
                <w:rFonts w:ascii="Arial" w:hAnsi="Arial" w:cs="Arial"/>
                <w:color w:val="000000"/>
                <w:sz w:val="17"/>
                <w:szCs w:val="17"/>
              </w:rPr>
            </w:pPr>
            <w:r w:rsidRPr="001B6518">
              <w:rPr>
                <w:rFonts w:ascii="Arial" w:hAnsi="Arial" w:cs="Arial"/>
                <w:color w:val="000000"/>
                <w:sz w:val="17"/>
                <w:szCs w:val="17"/>
              </w:rPr>
              <w:t>P31-1020086</w:t>
            </w:r>
          </w:p>
        </w:tc>
        <w:tc>
          <w:tcPr>
            <w:tcW w:w="0" w:type="auto"/>
            <w:tcBorders>
              <w:top w:val="nil"/>
              <w:left w:val="nil"/>
              <w:bottom w:val="single" w:sz="4" w:space="0" w:color="auto"/>
              <w:right w:val="single" w:sz="4" w:space="0" w:color="auto"/>
            </w:tcBorders>
            <w:vAlign w:val="center"/>
            <w:hideMark/>
          </w:tcPr>
          <w:p w14:paraId="24662896" w14:textId="77777777" w:rsidR="006C0716" w:rsidRPr="001B6518" w:rsidRDefault="006C0716" w:rsidP="008A0393">
            <w:pPr>
              <w:spacing w:after="0" w:line="240" w:lineRule="auto"/>
              <w:jc w:val="right"/>
              <w:rPr>
                <w:rFonts w:ascii="Arial" w:hAnsi="Arial" w:cs="Arial"/>
                <w:color w:val="000000"/>
                <w:sz w:val="17"/>
                <w:szCs w:val="17"/>
              </w:rPr>
            </w:pPr>
            <w:r w:rsidRPr="001B6518">
              <w:rPr>
                <w:rFonts w:ascii="Arial" w:hAnsi="Arial" w:cs="Arial"/>
                <w:color w:val="000000"/>
                <w:sz w:val="17"/>
                <w:szCs w:val="17"/>
              </w:rPr>
              <w:t>749,787,375</w:t>
            </w:r>
          </w:p>
        </w:tc>
      </w:tr>
      <w:tr w:rsidR="006C0716" w:rsidRPr="001B6518" w14:paraId="435E756D" w14:textId="77777777" w:rsidTr="008A0393">
        <w:trPr>
          <w:trHeight w:val="610"/>
        </w:trPr>
        <w:tc>
          <w:tcPr>
            <w:tcW w:w="0" w:type="auto"/>
            <w:tcBorders>
              <w:top w:val="nil"/>
              <w:left w:val="single" w:sz="4" w:space="0" w:color="auto"/>
              <w:bottom w:val="single" w:sz="4" w:space="0" w:color="auto"/>
              <w:right w:val="single" w:sz="4" w:space="0" w:color="auto"/>
            </w:tcBorders>
            <w:vAlign w:val="center"/>
            <w:hideMark/>
          </w:tcPr>
          <w:p w14:paraId="08FA0A89" w14:textId="515BB6D9" w:rsidR="006C0716" w:rsidRPr="001B6518" w:rsidRDefault="000677D9" w:rsidP="008A0393">
            <w:pPr>
              <w:spacing w:after="0" w:line="240" w:lineRule="auto"/>
              <w:rPr>
                <w:rFonts w:ascii="Arial" w:hAnsi="Arial" w:cs="Arial"/>
                <w:color w:val="000000"/>
                <w:sz w:val="17"/>
                <w:szCs w:val="17"/>
              </w:rPr>
            </w:pPr>
            <w:r w:rsidRPr="001B6518">
              <w:rPr>
                <w:rFonts w:ascii="Arial" w:hAnsi="Arial" w:cs="Arial"/>
                <w:color w:val="000000"/>
                <w:sz w:val="17"/>
                <w:szCs w:val="17"/>
              </w:rPr>
              <w:t xml:space="preserve"> </w:t>
            </w:r>
          </w:p>
        </w:tc>
        <w:tc>
          <w:tcPr>
            <w:tcW w:w="0" w:type="auto"/>
            <w:tcBorders>
              <w:top w:val="nil"/>
              <w:left w:val="nil"/>
              <w:bottom w:val="single" w:sz="4" w:space="0" w:color="auto"/>
              <w:right w:val="single" w:sz="4" w:space="0" w:color="auto"/>
            </w:tcBorders>
            <w:vAlign w:val="center"/>
            <w:hideMark/>
          </w:tcPr>
          <w:p w14:paraId="7B72D73F" w14:textId="77777777" w:rsidR="006C0716" w:rsidRPr="001B6518" w:rsidRDefault="006C0716" w:rsidP="008A0393">
            <w:pPr>
              <w:spacing w:after="0" w:line="240" w:lineRule="auto"/>
              <w:rPr>
                <w:rFonts w:ascii="Arial" w:hAnsi="Arial" w:cs="Arial"/>
                <w:color w:val="000000"/>
                <w:sz w:val="17"/>
                <w:szCs w:val="17"/>
              </w:rPr>
            </w:pPr>
            <w:r w:rsidRPr="001B6518">
              <w:rPr>
                <w:rFonts w:ascii="Arial" w:hAnsi="Arial" w:cs="Arial"/>
                <w:color w:val="000000"/>
                <w:sz w:val="17"/>
                <w:szCs w:val="17"/>
              </w:rPr>
              <w:t xml:space="preserve">Banco Nacional de Obras y Servicios Públicos, S.N.C. por 1,200 mdp </w:t>
            </w:r>
          </w:p>
        </w:tc>
        <w:tc>
          <w:tcPr>
            <w:tcW w:w="0" w:type="auto"/>
            <w:tcBorders>
              <w:top w:val="nil"/>
              <w:left w:val="nil"/>
              <w:bottom w:val="single" w:sz="4" w:space="0" w:color="auto"/>
              <w:right w:val="single" w:sz="4" w:space="0" w:color="auto"/>
            </w:tcBorders>
            <w:vAlign w:val="center"/>
            <w:hideMark/>
          </w:tcPr>
          <w:p w14:paraId="7FB895E7" w14:textId="77777777" w:rsidR="006C0716" w:rsidRPr="001B6518" w:rsidRDefault="006C0716" w:rsidP="008A0393">
            <w:pPr>
              <w:spacing w:after="0" w:line="240" w:lineRule="auto"/>
              <w:jc w:val="center"/>
              <w:rPr>
                <w:rFonts w:ascii="Arial" w:hAnsi="Arial" w:cs="Arial"/>
                <w:color w:val="000000"/>
                <w:sz w:val="17"/>
                <w:szCs w:val="17"/>
              </w:rPr>
            </w:pPr>
            <w:r w:rsidRPr="001B6518">
              <w:rPr>
                <w:rFonts w:ascii="Arial" w:hAnsi="Arial" w:cs="Arial"/>
                <w:color w:val="000000"/>
                <w:sz w:val="17"/>
                <w:szCs w:val="17"/>
              </w:rPr>
              <w:t>P31-1020087</w:t>
            </w:r>
          </w:p>
        </w:tc>
        <w:tc>
          <w:tcPr>
            <w:tcW w:w="0" w:type="auto"/>
            <w:tcBorders>
              <w:top w:val="nil"/>
              <w:left w:val="nil"/>
              <w:bottom w:val="single" w:sz="4" w:space="0" w:color="auto"/>
              <w:right w:val="single" w:sz="4" w:space="0" w:color="auto"/>
            </w:tcBorders>
            <w:vAlign w:val="center"/>
            <w:hideMark/>
          </w:tcPr>
          <w:p w14:paraId="675BAF3C" w14:textId="77777777" w:rsidR="006C0716" w:rsidRPr="001B6518" w:rsidRDefault="006C0716" w:rsidP="008A0393">
            <w:pPr>
              <w:spacing w:after="0" w:line="240" w:lineRule="auto"/>
              <w:jc w:val="right"/>
              <w:rPr>
                <w:rFonts w:ascii="Arial" w:hAnsi="Arial" w:cs="Arial"/>
                <w:color w:val="000000"/>
                <w:sz w:val="17"/>
                <w:szCs w:val="17"/>
              </w:rPr>
            </w:pPr>
            <w:r w:rsidRPr="001B6518">
              <w:rPr>
                <w:rFonts w:ascii="Arial" w:hAnsi="Arial" w:cs="Arial"/>
                <w:color w:val="000000"/>
                <w:sz w:val="17"/>
                <w:szCs w:val="17"/>
              </w:rPr>
              <w:t>1,125,045,829</w:t>
            </w:r>
          </w:p>
        </w:tc>
      </w:tr>
      <w:tr w:rsidR="006C0716" w:rsidRPr="001B6518" w14:paraId="29640470" w14:textId="77777777" w:rsidTr="008A0393">
        <w:trPr>
          <w:trHeight w:val="660"/>
        </w:trPr>
        <w:tc>
          <w:tcPr>
            <w:tcW w:w="0" w:type="auto"/>
            <w:tcBorders>
              <w:top w:val="nil"/>
              <w:left w:val="single" w:sz="4" w:space="0" w:color="auto"/>
              <w:bottom w:val="single" w:sz="4" w:space="0" w:color="auto"/>
              <w:right w:val="single" w:sz="4" w:space="0" w:color="auto"/>
            </w:tcBorders>
            <w:vAlign w:val="center"/>
            <w:hideMark/>
          </w:tcPr>
          <w:p w14:paraId="19CBAE44" w14:textId="15B3B2A5" w:rsidR="006C0716" w:rsidRPr="001B6518" w:rsidRDefault="000677D9" w:rsidP="008A0393">
            <w:pPr>
              <w:spacing w:after="0" w:line="240" w:lineRule="auto"/>
              <w:rPr>
                <w:rFonts w:ascii="Arial" w:hAnsi="Arial" w:cs="Arial"/>
                <w:color w:val="000000"/>
                <w:sz w:val="17"/>
                <w:szCs w:val="17"/>
              </w:rPr>
            </w:pPr>
            <w:r w:rsidRPr="001B6518">
              <w:rPr>
                <w:rFonts w:ascii="Arial" w:hAnsi="Arial" w:cs="Arial"/>
                <w:color w:val="000000"/>
                <w:sz w:val="17"/>
                <w:szCs w:val="17"/>
              </w:rPr>
              <w:t xml:space="preserve"> </w:t>
            </w:r>
          </w:p>
        </w:tc>
        <w:tc>
          <w:tcPr>
            <w:tcW w:w="0" w:type="auto"/>
            <w:tcBorders>
              <w:top w:val="nil"/>
              <w:left w:val="nil"/>
              <w:bottom w:val="single" w:sz="4" w:space="0" w:color="auto"/>
              <w:right w:val="single" w:sz="4" w:space="0" w:color="auto"/>
            </w:tcBorders>
            <w:vAlign w:val="center"/>
            <w:hideMark/>
          </w:tcPr>
          <w:p w14:paraId="35E92E1C" w14:textId="77777777" w:rsidR="006C0716" w:rsidRPr="001B6518" w:rsidRDefault="006C0716" w:rsidP="008A0393">
            <w:pPr>
              <w:spacing w:after="0" w:line="240" w:lineRule="auto"/>
              <w:rPr>
                <w:rFonts w:ascii="Arial" w:hAnsi="Arial" w:cs="Arial"/>
                <w:color w:val="000000"/>
                <w:sz w:val="17"/>
                <w:szCs w:val="17"/>
              </w:rPr>
            </w:pPr>
            <w:r w:rsidRPr="001B6518">
              <w:rPr>
                <w:rFonts w:ascii="Arial" w:hAnsi="Arial" w:cs="Arial"/>
                <w:color w:val="000000"/>
                <w:sz w:val="17"/>
                <w:szCs w:val="17"/>
              </w:rPr>
              <w:t xml:space="preserve">Banco Nacional de Obras y Servicios Públicos, S.N.C. por 1,420 mdp </w:t>
            </w:r>
          </w:p>
        </w:tc>
        <w:tc>
          <w:tcPr>
            <w:tcW w:w="0" w:type="auto"/>
            <w:tcBorders>
              <w:top w:val="nil"/>
              <w:left w:val="nil"/>
              <w:bottom w:val="single" w:sz="4" w:space="0" w:color="auto"/>
              <w:right w:val="single" w:sz="4" w:space="0" w:color="auto"/>
            </w:tcBorders>
            <w:vAlign w:val="center"/>
            <w:hideMark/>
          </w:tcPr>
          <w:p w14:paraId="4D9AC5FB" w14:textId="77777777" w:rsidR="006C0716" w:rsidRPr="001B6518" w:rsidRDefault="006C0716" w:rsidP="008A0393">
            <w:pPr>
              <w:spacing w:after="0" w:line="240" w:lineRule="auto"/>
              <w:jc w:val="center"/>
              <w:rPr>
                <w:rFonts w:ascii="Arial" w:hAnsi="Arial" w:cs="Arial"/>
                <w:color w:val="000000"/>
                <w:sz w:val="17"/>
                <w:szCs w:val="17"/>
              </w:rPr>
            </w:pPr>
            <w:r w:rsidRPr="001B6518">
              <w:rPr>
                <w:rFonts w:ascii="Arial" w:hAnsi="Arial" w:cs="Arial"/>
                <w:color w:val="000000"/>
                <w:sz w:val="17"/>
                <w:szCs w:val="17"/>
              </w:rPr>
              <w:t>P31-1020088</w:t>
            </w:r>
          </w:p>
        </w:tc>
        <w:tc>
          <w:tcPr>
            <w:tcW w:w="0" w:type="auto"/>
            <w:tcBorders>
              <w:top w:val="nil"/>
              <w:left w:val="nil"/>
              <w:bottom w:val="single" w:sz="4" w:space="0" w:color="auto"/>
              <w:right w:val="single" w:sz="4" w:space="0" w:color="auto"/>
            </w:tcBorders>
            <w:vAlign w:val="center"/>
            <w:hideMark/>
          </w:tcPr>
          <w:p w14:paraId="45AA17E8" w14:textId="77777777" w:rsidR="006C0716" w:rsidRPr="001B6518" w:rsidRDefault="006C0716" w:rsidP="008A0393">
            <w:pPr>
              <w:spacing w:after="0" w:line="240" w:lineRule="auto"/>
              <w:jc w:val="right"/>
              <w:rPr>
                <w:rFonts w:ascii="Arial" w:hAnsi="Arial" w:cs="Arial"/>
                <w:color w:val="000000"/>
                <w:sz w:val="17"/>
                <w:szCs w:val="17"/>
              </w:rPr>
            </w:pPr>
            <w:r w:rsidRPr="001B6518">
              <w:rPr>
                <w:rFonts w:ascii="Arial" w:hAnsi="Arial" w:cs="Arial"/>
                <w:color w:val="000000"/>
                <w:sz w:val="17"/>
                <w:szCs w:val="17"/>
              </w:rPr>
              <w:t>1,294,016,936</w:t>
            </w:r>
          </w:p>
        </w:tc>
      </w:tr>
      <w:tr w:rsidR="006C0716" w:rsidRPr="001B6518" w14:paraId="003FD1BB" w14:textId="77777777" w:rsidTr="008A0393">
        <w:trPr>
          <w:trHeight w:val="440"/>
        </w:trPr>
        <w:tc>
          <w:tcPr>
            <w:tcW w:w="0" w:type="auto"/>
            <w:tcBorders>
              <w:top w:val="nil"/>
              <w:left w:val="single" w:sz="4" w:space="0" w:color="auto"/>
              <w:bottom w:val="single" w:sz="4" w:space="0" w:color="auto"/>
              <w:right w:val="single" w:sz="4" w:space="0" w:color="auto"/>
            </w:tcBorders>
            <w:vAlign w:val="center"/>
            <w:hideMark/>
          </w:tcPr>
          <w:p w14:paraId="7D0AF867" w14:textId="0880F441" w:rsidR="006C0716" w:rsidRPr="001B6518" w:rsidRDefault="000677D9" w:rsidP="008A0393">
            <w:pPr>
              <w:spacing w:after="0" w:line="240" w:lineRule="auto"/>
              <w:rPr>
                <w:rFonts w:ascii="Arial" w:hAnsi="Arial" w:cs="Arial"/>
                <w:color w:val="000000"/>
                <w:sz w:val="17"/>
                <w:szCs w:val="17"/>
              </w:rPr>
            </w:pPr>
            <w:r w:rsidRPr="001B6518">
              <w:rPr>
                <w:rFonts w:ascii="Arial" w:hAnsi="Arial" w:cs="Arial"/>
                <w:color w:val="000000"/>
                <w:sz w:val="17"/>
                <w:szCs w:val="17"/>
              </w:rPr>
              <w:t xml:space="preserve"> </w:t>
            </w:r>
          </w:p>
        </w:tc>
        <w:tc>
          <w:tcPr>
            <w:tcW w:w="0" w:type="auto"/>
            <w:tcBorders>
              <w:top w:val="nil"/>
              <w:left w:val="nil"/>
              <w:bottom w:val="single" w:sz="4" w:space="0" w:color="auto"/>
              <w:right w:val="single" w:sz="4" w:space="0" w:color="auto"/>
            </w:tcBorders>
            <w:vAlign w:val="center"/>
            <w:hideMark/>
          </w:tcPr>
          <w:p w14:paraId="28E87EB5" w14:textId="77777777" w:rsidR="006C0716" w:rsidRPr="001B6518" w:rsidRDefault="006C0716" w:rsidP="008A0393">
            <w:pPr>
              <w:spacing w:after="0" w:line="240" w:lineRule="auto"/>
              <w:rPr>
                <w:rFonts w:ascii="Arial" w:hAnsi="Arial" w:cs="Arial"/>
                <w:color w:val="000000"/>
                <w:sz w:val="17"/>
                <w:szCs w:val="17"/>
              </w:rPr>
            </w:pPr>
            <w:r w:rsidRPr="001B6518">
              <w:rPr>
                <w:rFonts w:ascii="Arial" w:hAnsi="Arial" w:cs="Arial"/>
                <w:color w:val="000000"/>
                <w:sz w:val="17"/>
                <w:szCs w:val="17"/>
              </w:rPr>
              <w:t xml:space="preserve">BBVA México, S.A. por 1,735 mdp </w:t>
            </w:r>
          </w:p>
        </w:tc>
        <w:tc>
          <w:tcPr>
            <w:tcW w:w="0" w:type="auto"/>
            <w:tcBorders>
              <w:top w:val="nil"/>
              <w:left w:val="nil"/>
              <w:bottom w:val="single" w:sz="4" w:space="0" w:color="auto"/>
              <w:right w:val="single" w:sz="4" w:space="0" w:color="auto"/>
            </w:tcBorders>
            <w:vAlign w:val="center"/>
            <w:hideMark/>
          </w:tcPr>
          <w:p w14:paraId="7A519FD2" w14:textId="77777777" w:rsidR="006C0716" w:rsidRPr="001B6518" w:rsidRDefault="006C0716" w:rsidP="008A0393">
            <w:pPr>
              <w:spacing w:after="0" w:line="240" w:lineRule="auto"/>
              <w:jc w:val="center"/>
              <w:rPr>
                <w:rFonts w:ascii="Arial" w:hAnsi="Arial" w:cs="Arial"/>
                <w:color w:val="000000"/>
                <w:sz w:val="17"/>
                <w:szCs w:val="17"/>
              </w:rPr>
            </w:pPr>
            <w:r w:rsidRPr="001B6518">
              <w:rPr>
                <w:rFonts w:ascii="Arial" w:hAnsi="Arial" w:cs="Arial"/>
                <w:color w:val="000000"/>
                <w:sz w:val="17"/>
                <w:szCs w:val="17"/>
              </w:rPr>
              <w:t>P31-0922035</w:t>
            </w:r>
          </w:p>
        </w:tc>
        <w:tc>
          <w:tcPr>
            <w:tcW w:w="0" w:type="auto"/>
            <w:tcBorders>
              <w:top w:val="nil"/>
              <w:left w:val="nil"/>
              <w:bottom w:val="single" w:sz="4" w:space="0" w:color="auto"/>
              <w:right w:val="single" w:sz="4" w:space="0" w:color="auto"/>
            </w:tcBorders>
            <w:vAlign w:val="center"/>
            <w:hideMark/>
          </w:tcPr>
          <w:p w14:paraId="286D32BA" w14:textId="77777777" w:rsidR="006C0716" w:rsidRPr="001B6518" w:rsidRDefault="006C0716" w:rsidP="008A0393">
            <w:pPr>
              <w:spacing w:after="0" w:line="240" w:lineRule="auto"/>
              <w:jc w:val="right"/>
              <w:rPr>
                <w:rFonts w:ascii="Arial" w:hAnsi="Arial" w:cs="Arial"/>
                <w:color w:val="000000"/>
                <w:sz w:val="17"/>
                <w:szCs w:val="17"/>
              </w:rPr>
            </w:pPr>
            <w:r w:rsidRPr="001B6518">
              <w:rPr>
                <w:rFonts w:ascii="Arial" w:hAnsi="Arial" w:cs="Arial"/>
                <w:color w:val="000000"/>
                <w:sz w:val="17"/>
                <w:szCs w:val="17"/>
              </w:rPr>
              <w:t>1,689,771,034</w:t>
            </w:r>
          </w:p>
        </w:tc>
      </w:tr>
      <w:tr w:rsidR="006C0716" w:rsidRPr="001B6518" w14:paraId="346A564D" w14:textId="77777777" w:rsidTr="008A0393">
        <w:trPr>
          <w:trHeight w:val="440"/>
        </w:trPr>
        <w:tc>
          <w:tcPr>
            <w:tcW w:w="0" w:type="auto"/>
            <w:tcBorders>
              <w:top w:val="nil"/>
              <w:left w:val="single" w:sz="4" w:space="0" w:color="auto"/>
              <w:bottom w:val="single" w:sz="4" w:space="0" w:color="auto"/>
              <w:right w:val="single" w:sz="4" w:space="0" w:color="auto"/>
            </w:tcBorders>
            <w:vAlign w:val="center"/>
            <w:hideMark/>
          </w:tcPr>
          <w:p w14:paraId="2B5DA357" w14:textId="33E26AB8" w:rsidR="006C0716" w:rsidRPr="001B6518" w:rsidRDefault="000677D9" w:rsidP="008A0393">
            <w:pPr>
              <w:spacing w:after="0" w:line="240" w:lineRule="auto"/>
              <w:rPr>
                <w:rFonts w:ascii="Arial" w:hAnsi="Arial" w:cs="Arial"/>
                <w:color w:val="000000"/>
                <w:sz w:val="17"/>
                <w:szCs w:val="17"/>
              </w:rPr>
            </w:pPr>
            <w:r w:rsidRPr="001B6518">
              <w:rPr>
                <w:rFonts w:ascii="Arial" w:hAnsi="Arial" w:cs="Arial"/>
                <w:color w:val="000000"/>
                <w:sz w:val="17"/>
                <w:szCs w:val="17"/>
              </w:rPr>
              <w:t xml:space="preserve"> </w:t>
            </w:r>
          </w:p>
        </w:tc>
        <w:tc>
          <w:tcPr>
            <w:tcW w:w="0" w:type="auto"/>
            <w:tcBorders>
              <w:top w:val="nil"/>
              <w:left w:val="nil"/>
              <w:bottom w:val="single" w:sz="4" w:space="0" w:color="auto"/>
              <w:right w:val="single" w:sz="4" w:space="0" w:color="auto"/>
            </w:tcBorders>
            <w:vAlign w:val="center"/>
            <w:hideMark/>
          </w:tcPr>
          <w:p w14:paraId="4250011F" w14:textId="77777777" w:rsidR="006C0716" w:rsidRPr="001B6518" w:rsidRDefault="006C0716" w:rsidP="008A0393">
            <w:pPr>
              <w:spacing w:after="0" w:line="240" w:lineRule="auto"/>
              <w:rPr>
                <w:rFonts w:ascii="Arial" w:hAnsi="Arial" w:cs="Arial"/>
                <w:color w:val="000000"/>
                <w:sz w:val="17"/>
                <w:szCs w:val="17"/>
              </w:rPr>
            </w:pPr>
            <w:r w:rsidRPr="001B6518">
              <w:rPr>
                <w:rFonts w:ascii="Arial" w:hAnsi="Arial" w:cs="Arial"/>
                <w:color w:val="000000"/>
                <w:sz w:val="17"/>
                <w:szCs w:val="17"/>
              </w:rPr>
              <w:t xml:space="preserve">BBVA México, S.A. por 1,765 mdp </w:t>
            </w:r>
          </w:p>
        </w:tc>
        <w:tc>
          <w:tcPr>
            <w:tcW w:w="0" w:type="auto"/>
            <w:tcBorders>
              <w:top w:val="nil"/>
              <w:left w:val="nil"/>
              <w:bottom w:val="single" w:sz="4" w:space="0" w:color="auto"/>
              <w:right w:val="single" w:sz="4" w:space="0" w:color="auto"/>
            </w:tcBorders>
            <w:vAlign w:val="center"/>
            <w:hideMark/>
          </w:tcPr>
          <w:p w14:paraId="1247D330" w14:textId="77777777" w:rsidR="006C0716" w:rsidRPr="001B6518" w:rsidRDefault="006C0716" w:rsidP="008A0393">
            <w:pPr>
              <w:spacing w:after="0" w:line="240" w:lineRule="auto"/>
              <w:jc w:val="center"/>
              <w:rPr>
                <w:rFonts w:ascii="Arial" w:hAnsi="Arial" w:cs="Arial"/>
                <w:color w:val="000000"/>
                <w:sz w:val="17"/>
                <w:szCs w:val="17"/>
              </w:rPr>
            </w:pPr>
            <w:r w:rsidRPr="001B6518">
              <w:rPr>
                <w:rFonts w:ascii="Arial" w:hAnsi="Arial" w:cs="Arial"/>
                <w:color w:val="000000"/>
                <w:sz w:val="17"/>
                <w:szCs w:val="17"/>
              </w:rPr>
              <w:t>P31-1123060</w:t>
            </w:r>
          </w:p>
        </w:tc>
        <w:tc>
          <w:tcPr>
            <w:tcW w:w="0" w:type="auto"/>
            <w:tcBorders>
              <w:top w:val="nil"/>
              <w:left w:val="nil"/>
              <w:bottom w:val="single" w:sz="4" w:space="0" w:color="auto"/>
              <w:right w:val="single" w:sz="4" w:space="0" w:color="auto"/>
            </w:tcBorders>
            <w:vAlign w:val="center"/>
            <w:hideMark/>
          </w:tcPr>
          <w:p w14:paraId="687D9281" w14:textId="77777777" w:rsidR="006C0716" w:rsidRPr="001B6518" w:rsidRDefault="006C0716" w:rsidP="008A0393">
            <w:pPr>
              <w:spacing w:after="0" w:line="240" w:lineRule="auto"/>
              <w:jc w:val="right"/>
              <w:rPr>
                <w:rFonts w:ascii="Arial" w:hAnsi="Arial" w:cs="Arial"/>
                <w:color w:val="000000"/>
                <w:sz w:val="17"/>
                <w:szCs w:val="17"/>
              </w:rPr>
            </w:pPr>
            <w:r w:rsidRPr="001B6518">
              <w:rPr>
                <w:rFonts w:ascii="Arial" w:hAnsi="Arial" w:cs="Arial"/>
                <w:color w:val="000000"/>
                <w:sz w:val="17"/>
                <w:szCs w:val="17"/>
              </w:rPr>
              <w:t>1,747,949,302</w:t>
            </w:r>
          </w:p>
        </w:tc>
      </w:tr>
      <w:tr w:rsidR="006C0716" w:rsidRPr="001B6518" w14:paraId="5977DFB0" w14:textId="77777777" w:rsidTr="008A0393">
        <w:trPr>
          <w:trHeight w:val="440"/>
        </w:trPr>
        <w:tc>
          <w:tcPr>
            <w:tcW w:w="0" w:type="auto"/>
            <w:tcBorders>
              <w:top w:val="nil"/>
              <w:left w:val="single" w:sz="4" w:space="0" w:color="auto"/>
              <w:bottom w:val="single" w:sz="4" w:space="0" w:color="auto"/>
              <w:right w:val="single" w:sz="4" w:space="0" w:color="auto"/>
            </w:tcBorders>
            <w:vAlign w:val="center"/>
            <w:hideMark/>
          </w:tcPr>
          <w:p w14:paraId="6E7D8FFA" w14:textId="7241D420" w:rsidR="006C0716" w:rsidRPr="001B6518" w:rsidRDefault="000677D9" w:rsidP="008A0393">
            <w:pPr>
              <w:spacing w:after="0" w:line="240" w:lineRule="auto"/>
              <w:rPr>
                <w:rFonts w:ascii="Arial" w:hAnsi="Arial" w:cs="Arial"/>
                <w:color w:val="000000"/>
                <w:sz w:val="17"/>
                <w:szCs w:val="17"/>
              </w:rPr>
            </w:pPr>
            <w:r w:rsidRPr="001B6518">
              <w:rPr>
                <w:rFonts w:ascii="Arial" w:hAnsi="Arial" w:cs="Arial"/>
                <w:color w:val="000000"/>
                <w:sz w:val="17"/>
                <w:szCs w:val="17"/>
              </w:rPr>
              <w:t xml:space="preserve"> </w:t>
            </w:r>
          </w:p>
        </w:tc>
        <w:tc>
          <w:tcPr>
            <w:tcW w:w="0" w:type="auto"/>
            <w:tcBorders>
              <w:top w:val="nil"/>
              <w:left w:val="nil"/>
              <w:bottom w:val="single" w:sz="4" w:space="0" w:color="auto"/>
              <w:right w:val="single" w:sz="4" w:space="0" w:color="auto"/>
            </w:tcBorders>
            <w:vAlign w:val="center"/>
            <w:hideMark/>
          </w:tcPr>
          <w:p w14:paraId="62095903" w14:textId="77777777" w:rsidR="006C0716" w:rsidRPr="001B6518" w:rsidRDefault="006C0716" w:rsidP="008A0393">
            <w:pPr>
              <w:spacing w:after="0" w:line="240" w:lineRule="auto"/>
              <w:rPr>
                <w:rFonts w:ascii="Arial" w:hAnsi="Arial" w:cs="Arial"/>
                <w:color w:val="000000"/>
                <w:sz w:val="17"/>
                <w:szCs w:val="17"/>
              </w:rPr>
            </w:pPr>
            <w:r w:rsidRPr="001B6518">
              <w:rPr>
                <w:rFonts w:ascii="Arial" w:hAnsi="Arial" w:cs="Arial"/>
                <w:color w:val="000000"/>
                <w:sz w:val="17"/>
                <w:szCs w:val="17"/>
              </w:rPr>
              <w:t xml:space="preserve">Total deuda pública de largo plazo </w:t>
            </w:r>
          </w:p>
        </w:tc>
        <w:tc>
          <w:tcPr>
            <w:tcW w:w="0" w:type="auto"/>
            <w:tcBorders>
              <w:top w:val="nil"/>
              <w:left w:val="nil"/>
              <w:bottom w:val="single" w:sz="4" w:space="0" w:color="auto"/>
              <w:right w:val="single" w:sz="4" w:space="0" w:color="auto"/>
            </w:tcBorders>
            <w:vAlign w:val="center"/>
            <w:hideMark/>
          </w:tcPr>
          <w:p w14:paraId="1BA8B736" w14:textId="77777777" w:rsidR="006C0716" w:rsidRPr="001B6518" w:rsidRDefault="006C0716" w:rsidP="008A0393">
            <w:pPr>
              <w:spacing w:after="0" w:line="240" w:lineRule="auto"/>
              <w:jc w:val="center"/>
              <w:rPr>
                <w:rFonts w:ascii="Arial" w:hAnsi="Arial" w:cs="Arial"/>
                <w:color w:val="000000"/>
                <w:sz w:val="17"/>
                <w:szCs w:val="17"/>
              </w:rPr>
            </w:pPr>
            <w:r w:rsidRPr="001B6518">
              <w:rPr>
                <w:rFonts w:ascii="Arial" w:hAnsi="Arial" w:cs="Arial"/>
                <w:color w:val="000000"/>
                <w:sz w:val="17"/>
                <w:szCs w:val="17"/>
              </w:rPr>
              <w:t> </w:t>
            </w:r>
          </w:p>
        </w:tc>
        <w:tc>
          <w:tcPr>
            <w:tcW w:w="0" w:type="auto"/>
            <w:tcBorders>
              <w:top w:val="nil"/>
              <w:left w:val="nil"/>
              <w:bottom w:val="single" w:sz="4" w:space="0" w:color="auto"/>
              <w:right w:val="single" w:sz="4" w:space="0" w:color="auto"/>
            </w:tcBorders>
            <w:vAlign w:val="center"/>
            <w:hideMark/>
          </w:tcPr>
          <w:p w14:paraId="32895468" w14:textId="77777777" w:rsidR="006C0716" w:rsidRPr="001B6518" w:rsidRDefault="006C0716" w:rsidP="008A0393">
            <w:pPr>
              <w:spacing w:after="0" w:line="240" w:lineRule="auto"/>
              <w:jc w:val="right"/>
              <w:rPr>
                <w:rFonts w:ascii="Arial" w:hAnsi="Arial" w:cs="Arial"/>
                <w:color w:val="000000"/>
                <w:sz w:val="17"/>
                <w:szCs w:val="17"/>
              </w:rPr>
            </w:pPr>
            <w:r w:rsidRPr="001B6518">
              <w:rPr>
                <w:rFonts w:ascii="Arial" w:hAnsi="Arial" w:cs="Arial"/>
                <w:color w:val="000000"/>
                <w:sz w:val="17"/>
                <w:szCs w:val="17"/>
              </w:rPr>
              <w:t>9,040,740,832</w:t>
            </w:r>
          </w:p>
        </w:tc>
      </w:tr>
      <w:tr w:rsidR="006C0716" w:rsidRPr="001B6518" w14:paraId="03277DD6" w14:textId="77777777" w:rsidTr="008A0393">
        <w:trPr>
          <w:trHeight w:val="880"/>
        </w:trPr>
        <w:tc>
          <w:tcPr>
            <w:tcW w:w="0" w:type="auto"/>
            <w:tcBorders>
              <w:top w:val="nil"/>
              <w:left w:val="single" w:sz="4" w:space="0" w:color="auto"/>
              <w:bottom w:val="single" w:sz="4" w:space="0" w:color="auto"/>
              <w:right w:val="single" w:sz="4" w:space="0" w:color="auto"/>
            </w:tcBorders>
            <w:vAlign w:val="center"/>
            <w:hideMark/>
          </w:tcPr>
          <w:p w14:paraId="66CD4ED5" w14:textId="77777777" w:rsidR="006C0716" w:rsidRPr="001B6518" w:rsidRDefault="006C0716" w:rsidP="008A0393">
            <w:pPr>
              <w:spacing w:after="0" w:line="240" w:lineRule="auto"/>
              <w:rPr>
                <w:rFonts w:ascii="Arial" w:hAnsi="Arial" w:cs="Arial"/>
                <w:color w:val="000000"/>
                <w:sz w:val="17"/>
                <w:szCs w:val="17"/>
              </w:rPr>
            </w:pPr>
            <w:r w:rsidRPr="001B6518">
              <w:rPr>
                <w:rFonts w:ascii="Arial" w:hAnsi="Arial" w:cs="Arial"/>
                <w:color w:val="000000"/>
                <w:sz w:val="17"/>
                <w:szCs w:val="17"/>
              </w:rPr>
              <w:t xml:space="preserve">Deuda pública con garantía </w:t>
            </w:r>
          </w:p>
        </w:tc>
        <w:tc>
          <w:tcPr>
            <w:tcW w:w="0" w:type="auto"/>
            <w:tcBorders>
              <w:top w:val="nil"/>
              <w:left w:val="nil"/>
              <w:bottom w:val="single" w:sz="4" w:space="0" w:color="auto"/>
              <w:right w:val="single" w:sz="4" w:space="0" w:color="auto"/>
            </w:tcBorders>
            <w:vAlign w:val="center"/>
            <w:hideMark/>
          </w:tcPr>
          <w:p w14:paraId="6D5630CB" w14:textId="77777777" w:rsidR="006C0716" w:rsidRPr="001B6518" w:rsidRDefault="006C0716" w:rsidP="008A0393">
            <w:pPr>
              <w:spacing w:after="0" w:line="240" w:lineRule="auto"/>
              <w:rPr>
                <w:rFonts w:ascii="Arial" w:hAnsi="Arial" w:cs="Arial"/>
                <w:color w:val="000000"/>
                <w:sz w:val="17"/>
                <w:szCs w:val="17"/>
              </w:rPr>
            </w:pPr>
            <w:r w:rsidRPr="001B6518">
              <w:rPr>
                <w:rFonts w:ascii="Arial" w:hAnsi="Arial" w:cs="Arial"/>
                <w:color w:val="000000"/>
                <w:sz w:val="17"/>
                <w:szCs w:val="17"/>
              </w:rPr>
              <w:t xml:space="preserve">Banco Nacional de Obras y Servicios Públicos, S.N.C. (PROFISE) por 317 mdp </w:t>
            </w:r>
          </w:p>
        </w:tc>
        <w:tc>
          <w:tcPr>
            <w:tcW w:w="0" w:type="auto"/>
            <w:tcBorders>
              <w:top w:val="nil"/>
              <w:left w:val="nil"/>
              <w:bottom w:val="single" w:sz="4" w:space="0" w:color="auto"/>
              <w:right w:val="single" w:sz="4" w:space="0" w:color="auto"/>
            </w:tcBorders>
            <w:vAlign w:val="center"/>
            <w:hideMark/>
          </w:tcPr>
          <w:p w14:paraId="1E9ADFC6" w14:textId="77777777" w:rsidR="006C0716" w:rsidRPr="001B6518" w:rsidRDefault="006C0716" w:rsidP="008A0393">
            <w:pPr>
              <w:spacing w:after="0" w:line="240" w:lineRule="auto"/>
              <w:jc w:val="center"/>
              <w:rPr>
                <w:rFonts w:ascii="Arial" w:hAnsi="Arial" w:cs="Arial"/>
                <w:color w:val="000000"/>
                <w:sz w:val="17"/>
                <w:szCs w:val="17"/>
              </w:rPr>
            </w:pPr>
            <w:r w:rsidRPr="001B6518">
              <w:rPr>
                <w:rFonts w:ascii="Arial" w:hAnsi="Arial" w:cs="Arial"/>
                <w:color w:val="000000"/>
                <w:sz w:val="17"/>
                <w:szCs w:val="17"/>
              </w:rPr>
              <w:t>P31-0413037</w:t>
            </w:r>
          </w:p>
        </w:tc>
        <w:tc>
          <w:tcPr>
            <w:tcW w:w="0" w:type="auto"/>
            <w:tcBorders>
              <w:top w:val="nil"/>
              <w:left w:val="nil"/>
              <w:bottom w:val="single" w:sz="4" w:space="0" w:color="auto"/>
              <w:right w:val="single" w:sz="4" w:space="0" w:color="auto"/>
            </w:tcBorders>
            <w:vAlign w:val="center"/>
            <w:hideMark/>
          </w:tcPr>
          <w:p w14:paraId="36876481" w14:textId="77777777" w:rsidR="006C0716" w:rsidRPr="001B6518" w:rsidRDefault="006C0716" w:rsidP="008A0393">
            <w:pPr>
              <w:spacing w:after="0" w:line="240" w:lineRule="auto"/>
              <w:jc w:val="right"/>
              <w:rPr>
                <w:rFonts w:ascii="Arial" w:hAnsi="Arial" w:cs="Arial"/>
                <w:color w:val="000000"/>
                <w:sz w:val="17"/>
                <w:szCs w:val="17"/>
              </w:rPr>
            </w:pPr>
            <w:r w:rsidRPr="001B6518">
              <w:rPr>
                <w:rFonts w:ascii="Arial" w:hAnsi="Arial" w:cs="Arial"/>
                <w:color w:val="000000"/>
                <w:sz w:val="17"/>
                <w:szCs w:val="17"/>
              </w:rPr>
              <w:t>306,931,762</w:t>
            </w:r>
          </w:p>
        </w:tc>
      </w:tr>
      <w:tr w:rsidR="006C0716" w:rsidRPr="001B6518" w14:paraId="33BE2529" w14:textId="77777777" w:rsidTr="008A0393">
        <w:trPr>
          <w:trHeight w:val="440"/>
        </w:trPr>
        <w:tc>
          <w:tcPr>
            <w:tcW w:w="0" w:type="auto"/>
            <w:tcBorders>
              <w:top w:val="nil"/>
              <w:left w:val="single" w:sz="4" w:space="0" w:color="auto"/>
              <w:bottom w:val="single" w:sz="4" w:space="0" w:color="auto"/>
              <w:right w:val="single" w:sz="4" w:space="0" w:color="auto"/>
            </w:tcBorders>
            <w:vAlign w:val="center"/>
            <w:hideMark/>
          </w:tcPr>
          <w:p w14:paraId="1D132D79" w14:textId="0E15DF7E" w:rsidR="006C0716" w:rsidRPr="001B6518" w:rsidRDefault="000677D9" w:rsidP="008A0393">
            <w:pPr>
              <w:spacing w:after="0" w:line="240" w:lineRule="auto"/>
              <w:rPr>
                <w:rFonts w:ascii="Arial" w:hAnsi="Arial" w:cs="Arial"/>
                <w:color w:val="000000"/>
                <w:sz w:val="17"/>
                <w:szCs w:val="17"/>
              </w:rPr>
            </w:pPr>
            <w:r w:rsidRPr="001B6518">
              <w:rPr>
                <w:rFonts w:ascii="Arial" w:hAnsi="Arial" w:cs="Arial"/>
                <w:color w:val="000000"/>
                <w:sz w:val="17"/>
                <w:szCs w:val="17"/>
              </w:rPr>
              <w:lastRenderedPageBreak/>
              <w:t xml:space="preserve"> </w:t>
            </w:r>
          </w:p>
        </w:tc>
        <w:tc>
          <w:tcPr>
            <w:tcW w:w="0" w:type="auto"/>
            <w:tcBorders>
              <w:top w:val="nil"/>
              <w:left w:val="nil"/>
              <w:bottom w:val="single" w:sz="4" w:space="0" w:color="auto"/>
              <w:right w:val="single" w:sz="4" w:space="0" w:color="auto"/>
            </w:tcBorders>
            <w:vAlign w:val="center"/>
            <w:hideMark/>
          </w:tcPr>
          <w:p w14:paraId="03C42D51" w14:textId="77777777" w:rsidR="006C0716" w:rsidRPr="001B6518" w:rsidRDefault="006C0716" w:rsidP="008A0393">
            <w:pPr>
              <w:spacing w:after="0" w:line="240" w:lineRule="auto"/>
              <w:rPr>
                <w:rFonts w:ascii="Arial" w:hAnsi="Arial" w:cs="Arial"/>
                <w:color w:val="000000"/>
                <w:sz w:val="17"/>
                <w:szCs w:val="17"/>
              </w:rPr>
            </w:pPr>
            <w:r w:rsidRPr="001B6518">
              <w:rPr>
                <w:rFonts w:ascii="Arial" w:hAnsi="Arial" w:cs="Arial"/>
                <w:color w:val="000000"/>
                <w:sz w:val="17"/>
                <w:szCs w:val="17"/>
              </w:rPr>
              <w:t xml:space="preserve">Total deuda pública con garantía </w:t>
            </w:r>
          </w:p>
        </w:tc>
        <w:tc>
          <w:tcPr>
            <w:tcW w:w="0" w:type="auto"/>
            <w:tcBorders>
              <w:top w:val="nil"/>
              <w:left w:val="nil"/>
              <w:bottom w:val="single" w:sz="4" w:space="0" w:color="auto"/>
              <w:right w:val="single" w:sz="4" w:space="0" w:color="auto"/>
            </w:tcBorders>
            <w:vAlign w:val="center"/>
            <w:hideMark/>
          </w:tcPr>
          <w:p w14:paraId="180B22F1" w14:textId="77777777" w:rsidR="006C0716" w:rsidRPr="001B6518" w:rsidRDefault="006C0716" w:rsidP="008A0393">
            <w:pPr>
              <w:spacing w:after="0" w:line="240" w:lineRule="auto"/>
              <w:jc w:val="center"/>
              <w:rPr>
                <w:rFonts w:ascii="Arial" w:hAnsi="Arial" w:cs="Arial"/>
                <w:color w:val="000000"/>
                <w:sz w:val="17"/>
                <w:szCs w:val="17"/>
              </w:rPr>
            </w:pPr>
            <w:r w:rsidRPr="001B6518">
              <w:rPr>
                <w:rFonts w:ascii="Arial" w:hAnsi="Arial" w:cs="Arial"/>
                <w:color w:val="000000"/>
                <w:sz w:val="17"/>
                <w:szCs w:val="17"/>
              </w:rPr>
              <w:t> </w:t>
            </w:r>
          </w:p>
        </w:tc>
        <w:tc>
          <w:tcPr>
            <w:tcW w:w="0" w:type="auto"/>
            <w:tcBorders>
              <w:top w:val="nil"/>
              <w:left w:val="nil"/>
              <w:bottom w:val="single" w:sz="4" w:space="0" w:color="auto"/>
              <w:right w:val="single" w:sz="4" w:space="0" w:color="auto"/>
            </w:tcBorders>
            <w:vAlign w:val="center"/>
            <w:hideMark/>
          </w:tcPr>
          <w:p w14:paraId="7E4838F6" w14:textId="77777777" w:rsidR="006C0716" w:rsidRPr="001B6518" w:rsidRDefault="006C0716" w:rsidP="008A0393">
            <w:pPr>
              <w:spacing w:after="0" w:line="240" w:lineRule="auto"/>
              <w:jc w:val="right"/>
              <w:rPr>
                <w:rFonts w:ascii="Arial" w:hAnsi="Arial" w:cs="Arial"/>
                <w:color w:val="000000"/>
                <w:sz w:val="17"/>
                <w:szCs w:val="17"/>
              </w:rPr>
            </w:pPr>
            <w:r w:rsidRPr="001B6518">
              <w:rPr>
                <w:rFonts w:ascii="Arial" w:hAnsi="Arial" w:cs="Arial"/>
                <w:color w:val="000000"/>
                <w:sz w:val="17"/>
                <w:szCs w:val="17"/>
              </w:rPr>
              <w:t>306,931,762</w:t>
            </w:r>
          </w:p>
        </w:tc>
      </w:tr>
      <w:tr w:rsidR="006C0716" w:rsidRPr="001B6518" w14:paraId="7F8B88A8" w14:textId="77777777" w:rsidTr="008A0393">
        <w:trPr>
          <w:trHeight w:val="280"/>
        </w:trPr>
        <w:tc>
          <w:tcPr>
            <w:tcW w:w="0" w:type="auto"/>
            <w:tcBorders>
              <w:top w:val="nil"/>
              <w:left w:val="single" w:sz="4" w:space="0" w:color="auto"/>
              <w:bottom w:val="single" w:sz="4" w:space="0" w:color="auto"/>
              <w:right w:val="single" w:sz="4" w:space="0" w:color="auto"/>
            </w:tcBorders>
            <w:shd w:val="clear" w:color="000000" w:fill="CCCCCC"/>
            <w:vAlign w:val="center"/>
            <w:hideMark/>
          </w:tcPr>
          <w:p w14:paraId="20A47009" w14:textId="77777777" w:rsidR="006C0716" w:rsidRPr="001B6518" w:rsidRDefault="006C0716" w:rsidP="008A0393">
            <w:pPr>
              <w:spacing w:after="0" w:line="240" w:lineRule="auto"/>
              <w:rPr>
                <w:rFonts w:ascii="Arial" w:hAnsi="Arial" w:cs="Arial"/>
                <w:color w:val="000000"/>
                <w:sz w:val="17"/>
                <w:szCs w:val="17"/>
              </w:rPr>
            </w:pPr>
            <w:r w:rsidRPr="001B6518">
              <w:rPr>
                <w:rFonts w:ascii="Arial" w:hAnsi="Arial" w:cs="Arial"/>
                <w:color w:val="000000"/>
                <w:sz w:val="17"/>
                <w:szCs w:val="17"/>
              </w:rPr>
              <w:t xml:space="preserve">Total </w:t>
            </w:r>
          </w:p>
        </w:tc>
        <w:tc>
          <w:tcPr>
            <w:tcW w:w="0" w:type="auto"/>
            <w:tcBorders>
              <w:top w:val="nil"/>
              <w:left w:val="nil"/>
              <w:bottom w:val="single" w:sz="4" w:space="0" w:color="auto"/>
              <w:right w:val="single" w:sz="4" w:space="0" w:color="auto"/>
            </w:tcBorders>
            <w:shd w:val="clear" w:color="000000" w:fill="CCCCCC"/>
            <w:vAlign w:val="center"/>
            <w:hideMark/>
          </w:tcPr>
          <w:p w14:paraId="5F6AD073" w14:textId="3CBBB291" w:rsidR="006C0716" w:rsidRPr="001B6518" w:rsidRDefault="000677D9" w:rsidP="008A0393">
            <w:pPr>
              <w:spacing w:after="0" w:line="240" w:lineRule="auto"/>
              <w:rPr>
                <w:rFonts w:ascii="Arial" w:hAnsi="Arial" w:cs="Arial"/>
                <w:color w:val="000000"/>
                <w:sz w:val="17"/>
                <w:szCs w:val="17"/>
              </w:rPr>
            </w:pPr>
            <w:r w:rsidRPr="001B6518">
              <w:rPr>
                <w:rFonts w:ascii="Arial" w:hAnsi="Arial" w:cs="Arial"/>
                <w:color w:val="000000"/>
                <w:sz w:val="17"/>
                <w:szCs w:val="17"/>
              </w:rPr>
              <w:t xml:space="preserve"> </w:t>
            </w:r>
          </w:p>
        </w:tc>
        <w:tc>
          <w:tcPr>
            <w:tcW w:w="0" w:type="auto"/>
            <w:tcBorders>
              <w:top w:val="nil"/>
              <w:left w:val="nil"/>
              <w:bottom w:val="single" w:sz="4" w:space="0" w:color="auto"/>
              <w:right w:val="single" w:sz="4" w:space="0" w:color="auto"/>
            </w:tcBorders>
            <w:shd w:val="clear" w:color="000000" w:fill="CCCCCC"/>
            <w:vAlign w:val="center"/>
            <w:hideMark/>
          </w:tcPr>
          <w:p w14:paraId="1FCBBB0C" w14:textId="77777777" w:rsidR="006C0716" w:rsidRPr="001B6518" w:rsidRDefault="006C0716" w:rsidP="008A0393">
            <w:pPr>
              <w:spacing w:after="0" w:line="240" w:lineRule="auto"/>
              <w:jc w:val="center"/>
              <w:rPr>
                <w:rFonts w:ascii="Arial" w:hAnsi="Arial" w:cs="Arial"/>
                <w:color w:val="000000"/>
                <w:sz w:val="17"/>
                <w:szCs w:val="17"/>
              </w:rPr>
            </w:pPr>
            <w:r w:rsidRPr="001B6518">
              <w:rPr>
                <w:rFonts w:ascii="Arial" w:hAnsi="Arial" w:cs="Arial"/>
                <w:color w:val="000000"/>
                <w:sz w:val="17"/>
                <w:szCs w:val="17"/>
              </w:rPr>
              <w:t> </w:t>
            </w:r>
          </w:p>
        </w:tc>
        <w:tc>
          <w:tcPr>
            <w:tcW w:w="0" w:type="auto"/>
            <w:tcBorders>
              <w:top w:val="nil"/>
              <w:left w:val="nil"/>
              <w:bottom w:val="single" w:sz="4" w:space="0" w:color="auto"/>
              <w:right w:val="single" w:sz="4" w:space="0" w:color="auto"/>
            </w:tcBorders>
            <w:shd w:val="clear" w:color="000000" w:fill="CCCCCC"/>
            <w:vAlign w:val="center"/>
            <w:hideMark/>
          </w:tcPr>
          <w:p w14:paraId="65D38B15" w14:textId="77777777" w:rsidR="006C0716" w:rsidRPr="001B6518" w:rsidRDefault="006C0716" w:rsidP="008A0393">
            <w:pPr>
              <w:spacing w:after="0" w:line="240" w:lineRule="auto"/>
              <w:jc w:val="right"/>
              <w:rPr>
                <w:rFonts w:ascii="Arial" w:hAnsi="Arial" w:cs="Arial"/>
                <w:color w:val="000000"/>
                <w:sz w:val="17"/>
                <w:szCs w:val="17"/>
              </w:rPr>
            </w:pPr>
            <w:r w:rsidRPr="001B6518">
              <w:rPr>
                <w:rFonts w:ascii="Arial" w:hAnsi="Arial" w:cs="Arial"/>
                <w:color w:val="000000"/>
                <w:sz w:val="17"/>
                <w:szCs w:val="17"/>
              </w:rPr>
              <w:t>9,347,672,594</w:t>
            </w:r>
          </w:p>
        </w:tc>
      </w:tr>
      <w:tr w:rsidR="006C0716" w:rsidRPr="001B6518" w14:paraId="3FA9B25F" w14:textId="77777777" w:rsidTr="00301917">
        <w:trPr>
          <w:trHeight w:val="290"/>
        </w:trPr>
        <w:tc>
          <w:tcPr>
            <w:tcW w:w="0" w:type="auto"/>
            <w:gridSpan w:val="4"/>
            <w:tcBorders>
              <w:top w:val="nil"/>
              <w:left w:val="nil"/>
              <w:bottom w:val="nil"/>
              <w:right w:val="nil"/>
            </w:tcBorders>
            <w:vAlign w:val="center"/>
          </w:tcPr>
          <w:p w14:paraId="270681AE" w14:textId="2CFF47A9" w:rsidR="006C0716" w:rsidRPr="001B6518" w:rsidRDefault="006C0716" w:rsidP="008A0393">
            <w:pPr>
              <w:spacing w:after="0" w:line="240" w:lineRule="auto"/>
              <w:rPr>
                <w:rFonts w:ascii="Arial" w:hAnsi="Arial" w:cs="Arial"/>
                <w:color w:val="000000"/>
                <w:sz w:val="16"/>
                <w:szCs w:val="16"/>
              </w:rPr>
            </w:pPr>
          </w:p>
        </w:tc>
      </w:tr>
    </w:tbl>
    <w:p w14:paraId="6F63690F" w14:textId="77777777" w:rsidR="00016EC1" w:rsidRPr="001B6518" w:rsidRDefault="00016EC1" w:rsidP="00016EC1">
      <w:pPr>
        <w:spacing w:before="240" w:line="240" w:lineRule="auto"/>
        <w:jc w:val="both"/>
        <w:rPr>
          <w:rFonts w:ascii="Arial" w:eastAsia="Arial" w:hAnsi="Arial" w:cs="Arial"/>
        </w:rPr>
      </w:pPr>
      <w:r w:rsidRPr="001B6518">
        <w:rPr>
          <w:rFonts w:ascii="Arial" w:eastAsia="Arial" w:hAnsi="Arial" w:cs="Arial"/>
        </w:rPr>
        <w:t>El calendario de amortizaciones estimadas en los siguientes ejercicios fiscales se presenta en el anexo III de esta ley, en el cual se incluye el servicio de la deuda estimado derivado de la adquisición de un financiamiento neto adicional de $1,530,000,000.00.</w:t>
      </w:r>
    </w:p>
    <w:p w14:paraId="42B1000A" w14:textId="283ED676" w:rsidR="00D20C4B" w:rsidRPr="001B6518" w:rsidRDefault="00D20C4B" w:rsidP="00D20C4B">
      <w:pPr>
        <w:spacing w:after="0" w:line="240" w:lineRule="auto"/>
        <w:jc w:val="both"/>
        <w:rPr>
          <w:rFonts w:ascii="Arial" w:eastAsia="Arial" w:hAnsi="Arial" w:cs="Arial"/>
        </w:rPr>
      </w:pPr>
      <w:r w:rsidRPr="009C3C5A">
        <w:rPr>
          <w:rFonts w:ascii="Arial" w:eastAsia="Arial" w:hAnsi="Arial" w:cs="Arial"/>
        </w:rPr>
        <w:t>El monto de las amortizaciones y el costo del servicio de la deuda correspondiente al nuevo financiamiento que se cubrirán durante este ejercicio fiscal es de $60,000.00 y $66,307,967.00, respectivamente.</w:t>
      </w:r>
    </w:p>
    <w:p w14:paraId="33A53832" w14:textId="77777777" w:rsidR="00061872" w:rsidRPr="001B6518" w:rsidRDefault="00061872" w:rsidP="00061872">
      <w:pPr>
        <w:spacing w:before="240" w:line="240" w:lineRule="auto"/>
        <w:jc w:val="both"/>
        <w:rPr>
          <w:rFonts w:ascii="Arial" w:eastAsia="Arial" w:hAnsi="Arial" w:cs="Arial"/>
        </w:rPr>
      </w:pPr>
      <w:r w:rsidRPr="001B6518">
        <w:rPr>
          <w:rFonts w:ascii="Arial" w:eastAsia="Arial" w:hAnsi="Arial" w:cs="Arial"/>
        </w:rPr>
        <w:t>Con base en el resultado de la evaluación del Sistema de Alertas de la Secretaría de Hacienda y Crédito Público publicada el 30 de junio de 2025, el Estado de Yucatán se encuentra clasificado con un nivel de endeudamiento sostenible y con acceso a un techo de financiamiento neto equivalente al quince por ciento de sus ingresos de libre disposición.</w:t>
      </w:r>
    </w:p>
    <w:p w14:paraId="6469AF40" w14:textId="285B1A95" w:rsidR="00061872" w:rsidRPr="001B6518" w:rsidRDefault="00061872" w:rsidP="00061872">
      <w:pPr>
        <w:spacing w:before="240" w:line="240" w:lineRule="auto"/>
        <w:jc w:val="both"/>
        <w:rPr>
          <w:rFonts w:ascii="Arial" w:eastAsia="Arial" w:hAnsi="Arial" w:cs="Arial"/>
        </w:rPr>
      </w:pPr>
      <w:r w:rsidRPr="001B6518">
        <w:rPr>
          <w:rFonts w:ascii="Arial" w:eastAsia="Arial" w:hAnsi="Arial" w:cs="Arial"/>
        </w:rPr>
        <w:t xml:space="preserve">Si durante el ejercicio fiscal de 2026, se actualiza alguno de los supuestos previstos por el artículo 7 de la Ley de Disciplina Financiera de las Entidades Federativas y los Municipios, con base en el cual se proyectase incurrir al cierre del ejercicio en un balance presupuestario de recursos disponibles negativo, se autoriza al Poder Ejecutivo del </w:t>
      </w:r>
      <w:r w:rsidR="00520834" w:rsidRPr="001B6518">
        <w:rPr>
          <w:rFonts w:ascii="Arial" w:eastAsia="Arial" w:hAnsi="Arial" w:cs="Arial"/>
        </w:rPr>
        <w:t>e</w:t>
      </w:r>
      <w:r w:rsidRPr="001B6518">
        <w:rPr>
          <w:rFonts w:ascii="Arial" w:eastAsia="Arial" w:hAnsi="Arial" w:cs="Arial"/>
        </w:rPr>
        <w:t xml:space="preserve">stado, conforme al artículo 46, párrafo segundo, de la misma ley, para ampliar el techo de financiamiento neto hasta por el monto necesario para solventar las causas que generaron el balance presupuestario de recursos disponibles negativo. </w:t>
      </w:r>
    </w:p>
    <w:p w14:paraId="45752954" w14:textId="77777777" w:rsidR="00061872" w:rsidRPr="001B6518" w:rsidRDefault="00061872" w:rsidP="00061872">
      <w:pPr>
        <w:spacing w:before="240" w:line="240" w:lineRule="auto"/>
        <w:jc w:val="both"/>
        <w:rPr>
          <w:rFonts w:ascii="Arial" w:eastAsia="Arial" w:hAnsi="Arial" w:cs="Arial"/>
        </w:rPr>
      </w:pPr>
      <w:r w:rsidRPr="001B6518">
        <w:rPr>
          <w:rFonts w:ascii="Arial" w:eastAsia="Arial" w:hAnsi="Arial" w:cs="Arial"/>
          <w:b/>
          <w:bCs/>
        </w:rPr>
        <w:t>Artículo 11. Financiamiento Largo Plazo</w:t>
      </w:r>
    </w:p>
    <w:p w14:paraId="3ABF57C1" w14:textId="06B3D2F2" w:rsidR="00061872" w:rsidRPr="001B6518" w:rsidRDefault="00061872" w:rsidP="00061872">
      <w:pPr>
        <w:pBdr>
          <w:top w:val="nil"/>
          <w:left w:val="nil"/>
          <w:bottom w:val="nil"/>
          <w:right w:val="nil"/>
          <w:between w:val="nil"/>
        </w:pBdr>
        <w:spacing w:before="240" w:line="240" w:lineRule="auto"/>
        <w:ind w:hanging="2"/>
        <w:jc w:val="both"/>
        <w:rPr>
          <w:rFonts w:ascii="Arial" w:eastAsia="Arial" w:hAnsi="Arial" w:cs="Arial"/>
        </w:rPr>
      </w:pPr>
      <w:r w:rsidRPr="001B6518">
        <w:rPr>
          <w:rFonts w:ascii="Arial" w:eastAsia="Arial" w:hAnsi="Arial" w:cs="Arial"/>
        </w:rPr>
        <w:t>Con base en el análisis de la capacidad de pago del Estado de Yucatán, así como del destino de los recursos a obtenerse y de los recursos a otorgarse como fuente de pago, se autoriza al Poder Ejecutivo del Estado de Yucatán para que, por conducto de la Secretaría de Administración y Finanzas, durante el ejercicio fiscal 2026 contrate con una o más instituciones financieras autorizadas para operar en México, uno o varios financiamientos hasta por la cantidad de $1,530,000,000.00 (mil quinientos treinta millones de pesos 00/100 M.N.) para destinarlo a inversiones públicas productivas, con un plazo máximo de pago de hasta veinte años, equivalentes a 7,30</w:t>
      </w:r>
      <w:r w:rsidR="0069525C">
        <w:rPr>
          <w:rFonts w:ascii="Arial" w:eastAsia="Arial" w:hAnsi="Arial" w:cs="Arial"/>
        </w:rPr>
        <w:t>5</w:t>
      </w:r>
      <w:r w:rsidRPr="001B6518">
        <w:rPr>
          <w:rFonts w:ascii="Arial" w:eastAsia="Arial" w:hAnsi="Arial" w:cs="Arial"/>
        </w:rPr>
        <w:t xml:space="preserve"> días. </w:t>
      </w:r>
    </w:p>
    <w:p w14:paraId="59965197" w14:textId="2541D4C2" w:rsidR="00061872" w:rsidRPr="001B6518" w:rsidRDefault="00061872" w:rsidP="00061872">
      <w:pPr>
        <w:pBdr>
          <w:top w:val="nil"/>
          <w:left w:val="nil"/>
          <w:bottom w:val="nil"/>
          <w:right w:val="nil"/>
          <w:between w:val="nil"/>
        </w:pBdr>
        <w:spacing w:before="240" w:line="240" w:lineRule="auto"/>
        <w:ind w:hanging="2"/>
        <w:jc w:val="both"/>
        <w:rPr>
          <w:rFonts w:ascii="Arial" w:eastAsia="Arial" w:hAnsi="Arial" w:cs="Arial"/>
        </w:rPr>
      </w:pPr>
      <w:r w:rsidRPr="001B6518">
        <w:rPr>
          <w:rFonts w:ascii="Arial" w:eastAsia="Arial" w:hAnsi="Arial" w:cs="Arial"/>
        </w:rPr>
        <w:lastRenderedPageBreak/>
        <w:t>El o los financiamientos que, de conformidad con esta autorización, contrate el Poder Ejecutivo del Estado</w:t>
      </w:r>
      <w:r w:rsidR="00520834" w:rsidRPr="001B6518">
        <w:rPr>
          <w:rFonts w:ascii="Arial" w:eastAsia="Arial" w:hAnsi="Arial" w:cs="Arial"/>
        </w:rPr>
        <w:t xml:space="preserve"> de Yucatán</w:t>
      </w:r>
      <w:r w:rsidRPr="001B6518">
        <w:rPr>
          <w:rFonts w:ascii="Arial" w:eastAsia="Arial" w:hAnsi="Arial" w:cs="Arial"/>
        </w:rPr>
        <w:t>, por conducto de la Secretaría de Administración y Finanzas, se destinarán a inversiones público productivas, específicamente en los rubros de inversión, contenidos en los Capítulos, Conceptos y Partidas del Clasificador por Objeto del Gasto emitido por el Consejo Nacional de Armonización Contable,</w:t>
      </w:r>
      <w:r w:rsidR="000677D9" w:rsidRPr="001B6518">
        <w:rPr>
          <w:rFonts w:ascii="Arial" w:eastAsia="Arial" w:hAnsi="Arial" w:cs="Arial"/>
        </w:rPr>
        <w:t xml:space="preserve"> </w:t>
      </w:r>
      <w:r w:rsidRPr="001B6518">
        <w:rPr>
          <w:rFonts w:ascii="Arial" w:eastAsia="Arial" w:hAnsi="Arial" w:cs="Arial"/>
        </w:rPr>
        <w:t>siguientes:</w:t>
      </w:r>
      <w:r w:rsidR="000677D9" w:rsidRPr="001B6518">
        <w:rPr>
          <w:rFonts w:ascii="Arial" w:eastAsia="Arial" w:hAnsi="Arial" w:cs="Arial"/>
        </w:rPr>
        <w:t xml:space="preserve"> </w:t>
      </w:r>
      <w:r w:rsidRPr="001B6518">
        <w:rPr>
          <w:rFonts w:ascii="Arial" w:eastAsia="Arial" w:hAnsi="Arial" w:cs="Arial"/>
        </w:rPr>
        <w:t>5000 BIENES MUEBLES, INMUEBLES E INTANGIBLES, 5100 MOBILIARIO Y EQUIPO DE ADMINISTRACIÓN, 511 Muebles de oficina y estantería, 515 Equipo de cómputo y de tecnologías de la información, 519 Otros mobiliarios y equipos de administración; 5200 MOBILIARIO Y EQUIPO EDUCACIONAL Y RECREATIVO, 521 Equipos y aparatos audiovisuales, 522 Aparatos deportivos, 523 Cámaras fotográficas y de video, 529 Otro mobiliario y equipo educacional, 5300 EQUIPO E INSTRUMENTAL MÉDICO Y DE LABORATORIO, 531 Equipo médico y de laboratorio, 532 Instrumental médico y de laboratorio, 5400 VEHÍCULOS Y EQUIPO DE TRANSPORTE, 541 Vehículos y equipo terrestre, 544 Equipo ferroviario, 549 Otros equipos de transporte, 5500 EQUIPO DE DEFENSA Y SEGURIDAD, 551 Equipo de defensa y seguridad; 5600 MAQUINARIA, OTROS EQUIPOS Y HERRAMIENTAS, 561 Maquinaria y equipo agropecuario, 563 Maquinaria y equipo de construcción, 564 Sistemas de aire acondicionado, calefacción y de refrigeración industrial y comercial, 565 Equipo de comunicación y telecomunicación, 566 Equipos de generación eléctrica, aparatos y accesorios eléctricos, 569 Otros equipos; 5800 BIENES INMUEBLES, 581 Terrenos, 583 Edificios no residenciales; y 6000 INVERSIÓN PÚBLICA, 6100 OBRA PÚBLICA EN BIENES DE DOMINIO PÚBLICO, 611 Edificación habitacional, 612 Edificación no habitacional, 613 Construcción de obras para el abastecimiento de agua, petróleo, gas, electricidad y telecomunicaciones, 614 División de terrenos y construcción de obras de urbanización, 615 Construcción de vías de comunicación, 616 Otras construcciones de ingeniería civil u obra pesada, 617 Instalaciones y equipamiento en construcciones, 619</w:t>
      </w:r>
      <w:r w:rsidR="00D94503" w:rsidRPr="001B6518">
        <w:rPr>
          <w:rFonts w:ascii="Arial" w:eastAsia="Arial" w:hAnsi="Arial" w:cs="Arial"/>
        </w:rPr>
        <w:t xml:space="preserve"> </w:t>
      </w:r>
      <w:r w:rsidRPr="001B6518">
        <w:rPr>
          <w:rFonts w:ascii="Arial" w:eastAsia="Arial" w:hAnsi="Arial" w:cs="Arial"/>
        </w:rPr>
        <w:t>Trabajos de acabados en edificaciones y otros trabajos especializados.</w:t>
      </w:r>
    </w:p>
    <w:p w14:paraId="76C4FCD2" w14:textId="77777777" w:rsidR="00061872" w:rsidRPr="001B6518" w:rsidRDefault="00061872" w:rsidP="00061872">
      <w:pPr>
        <w:pBdr>
          <w:top w:val="nil"/>
          <w:left w:val="nil"/>
          <w:bottom w:val="nil"/>
          <w:right w:val="nil"/>
          <w:between w:val="nil"/>
        </w:pBdr>
        <w:spacing w:before="240" w:line="240" w:lineRule="auto"/>
        <w:ind w:hanging="2"/>
        <w:jc w:val="both"/>
        <w:rPr>
          <w:rFonts w:ascii="Arial" w:eastAsia="Arial" w:hAnsi="Arial" w:cs="Arial"/>
        </w:rPr>
      </w:pPr>
      <w:r w:rsidRPr="001B6518">
        <w:rPr>
          <w:rFonts w:ascii="Arial" w:eastAsia="Arial" w:hAnsi="Arial" w:cs="Arial"/>
        </w:rPr>
        <w:t>Asimismo, se autoriza a destinar del monto de financiamiento autorizado, las cantidades que resulten necesarias para constituir los fondos de reserva conforme a la estructura del o los créditos y hasta el 0.15% (cero punto quince por ciento) del o los financiamientos para cubrir los gastos y costos, tales como calificación crediticia de la estructura y primas de cobertura, relacionados con la contratación del o los financiamientos de conformidad con lo establecido en el párrafo segundo del artículo 22 de la Ley de Disciplina Financiera de las Entidades Federativas y los Municipios.</w:t>
      </w:r>
    </w:p>
    <w:p w14:paraId="7E2404DD" w14:textId="4A7D9221" w:rsidR="00061872" w:rsidRPr="001B6518" w:rsidRDefault="00061872" w:rsidP="00061872">
      <w:pPr>
        <w:pBdr>
          <w:top w:val="nil"/>
          <w:left w:val="nil"/>
          <w:bottom w:val="nil"/>
          <w:right w:val="nil"/>
          <w:between w:val="nil"/>
        </w:pBdr>
        <w:spacing w:before="240" w:line="240" w:lineRule="auto"/>
        <w:ind w:hanging="2"/>
        <w:jc w:val="both"/>
        <w:rPr>
          <w:rFonts w:ascii="Arial" w:eastAsia="Arial" w:hAnsi="Arial" w:cs="Arial"/>
        </w:rPr>
      </w:pPr>
      <w:r w:rsidRPr="001B6518">
        <w:rPr>
          <w:rFonts w:ascii="Arial" w:eastAsia="Arial" w:hAnsi="Arial" w:cs="Arial"/>
        </w:rPr>
        <w:lastRenderedPageBreak/>
        <w:t xml:space="preserve">Como fuente de pago de las operaciones de financiamiento anteriores, se autoriza al Poder Ejecutivo del Estado de Yucatán para que, por conducto de la Secretaría de Administración y Finanzas, </w:t>
      </w:r>
      <w:r w:rsidR="005C16F0" w:rsidRPr="001B6518">
        <w:rPr>
          <w:rFonts w:ascii="Arial" w:eastAsia="Arial" w:hAnsi="Arial" w:cs="Arial"/>
        </w:rPr>
        <w:t xml:space="preserve">afecte </w:t>
      </w:r>
      <w:r w:rsidRPr="001B6518">
        <w:rPr>
          <w:rFonts w:ascii="Arial" w:eastAsia="Arial" w:hAnsi="Arial" w:cs="Arial"/>
        </w:rPr>
        <w:t>un porcentaje necesario y suficiente del Fondo General de Participaciones (parte del Ramo 28) o hasta el 25% de las aportaciones federales del Fondo de Aportaciones para el Fortalecimiento de las Entidades Federativas (FAFEF), que le correspondan al Estado; afectación en que quedará comprendida el derecho y los ingresos a percibir los ingresos señalados. Para tal efecto, la Secretaría de Administración y Finanzas podrá constituir o emplear como mecanismo de pago de la o las operaciones de financiamiento que se celebren, uno o varios fideicomisos irrevocables de administración o fuente de pago o bien inscribirlas en alguno de los fideicomisos previamente constituidos como mecanismo de pago de financiamientos a cargo del Estado.</w:t>
      </w:r>
    </w:p>
    <w:p w14:paraId="46DB86CC" w14:textId="1464EE40" w:rsidR="00061872" w:rsidRPr="001B6518" w:rsidRDefault="00061872" w:rsidP="00061872">
      <w:pPr>
        <w:spacing w:before="240" w:line="240" w:lineRule="auto"/>
        <w:ind w:hanging="2"/>
        <w:jc w:val="both"/>
        <w:rPr>
          <w:rFonts w:ascii="Arial" w:eastAsia="Arial" w:hAnsi="Arial" w:cs="Arial"/>
        </w:rPr>
      </w:pPr>
      <w:r w:rsidRPr="001B6518">
        <w:rPr>
          <w:rFonts w:ascii="Arial" w:eastAsia="Arial" w:hAnsi="Arial" w:cs="Arial"/>
        </w:rPr>
        <w:t>En el supuesto que se opte por afectar como fuente de pago las aportaciones federales del Fondo de Aportaciones para el Fortalecimiento de las Entidades Federativas (FAFEF) respecto a todo o una parte del financiamiento autorizado, la afectación se realizará en términos de lo previsto en el artículo 50 de la Ley de Coordinación Fiscal y el destino de dichos instrumentos corresponderá a inversiones público productivas, específicamente en los rubros de inversión, contenidos en los Capítulos, Conceptos y Partidas del Clasificador por Objeto del Gasto emitido por el Consejo Nacional de Armonización Contable,</w:t>
      </w:r>
      <w:r w:rsidR="000677D9" w:rsidRPr="001B6518">
        <w:rPr>
          <w:rFonts w:ascii="Arial" w:eastAsia="Arial" w:hAnsi="Arial" w:cs="Arial"/>
        </w:rPr>
        <w:t xml:space="preserve"> </w:t>
      </w:r>
      <w:r w:rsidRPr="001B6518">
        <w:rPr>
          <w:rFonts w:ascii="Arial" w:eastAsia="Arial" w:hAnsi="Arial" w:cs="Arial"/>
        </w:rPr>
        <w:t>siguientes: 5000 BIENES MUEBLES, INMUEBLES E INTANGIBLES, 5100 MOBILIARIO Y EQUIPO DE ADMINISTRACIÓN, 5300 EQUIPO E INSTRUMENTAL MÉDICO Y DE LABORATORIO, 531 Equipo médico y de laboratorio, 532 Instrumental médico y de laboratorio, 5600 MAQUINARIA, OTROS EQUIPOS Y HERRAMIENTAS, 563 Maquinaria y equipo de construcción, 566 Equipos de generación eléctrica, aparatos y accesorios eléctricos, 5800 BIENES INMUEBLES, 581 Terrenos, 583 Edificios no residenciales; y 6000 INVERSIÓN PÚBLICA, 6100 OBRA PÚBLICA EN BIENES DE DOMINIO PÚBLICO, 612 Edificación no habitacional, 613 Construcción de obras para el abastecimiento de agua, petróleo, gas, electricidad y telecomunicaciones, 615 Construcción de vías de comunicación, 616 Otras construcciones de ingeniería civil u obra pesada, 617 Instalaciones y equipamiento en construcciones, 619</w:t>
      </w:r>
      <w:r w:rsidR="00D94503" w:rsidRPr="001B6518">
        <w:rPr>
          <w:rFonts w:ascii="Arial" w:eastAsia="Arial" w:hAnsi="Arial" w:cs="Arial"/>
        </w:rPr>
        <w:t xml:space="preserve"> </w:t>
      </w:r>
      <w:r w:rsidRPr="001B6518">
        <w:rPr>
          <w:rFonts w:ascii="Arial" w:eastAsia="Arial" w:hAnsi="Arial" w:cs="Arial"/>
        </w:rPr>
        <w:t>Trabajos de acabados en edificaciones y otros trabajos especializados.</w:t>
      </w:r>
    </w:p>
    <w:p w14:paraId="1CBE32F3" w14:textId="36184151" w:rsidR="00061872" w:rsidRPr="001B6518" w:rsidRDefault="00061872" w:rsidP="000677D9">
      <w:pPr>
        <w:pBdr>
          <w:top w:val="nil"/>
          <w:left w:val="nil"/>
          <w:bottom w:val="nil"/>
          <w:right w:val="nil"/>
          <w:between w:val="nil"/>
        </w:pBdr>
        <w:spacing w:before="240" w:line="240" w:lineRule="auto"/>
        <w:ind w:hanging="2"/>
        <w:jc w:val="both"/>
        <w:rPr>
          <w:rFonts w:ascii="Arial" w:hAnsi="Arial" w:cs="Arial"/>
        </w:rPr>
      </w:pPr>
      <w:r w:rsidRPr="001B6518">
        <w:rPr>
          <w:rFonts w:ascii="Arial" w:eastAsia="Arial" w:hAnsi="Arial" w:cs="Arial"/>
        </w:rPr>
        <w:t>La presente autorización se emite por el voto de al menos las dos terceras partes de las diputadas y los diputados presentes en la sesión respectiva del Congreso del Estado de Yucatán, previo análisis del destino y de la capacidad de pago del Estado</w:t>
      </w:r>
      <w:r w:rsidRPr="001B6518">
        <w:rPr>
          <w:rFonts w:ascii="Arial" w:hAnsi="Arial" w:cs="Arial"/>
        </w:rPr>
        <w:t>.</w:t>
      </w:r>
    </w:p>
    <w:p w14:paraId="47B54A73" w14:textId="77777777" w:rsidR="00061872" w:rsidRPr="001B6518" w:rsidRDefault="00061872" w:rsidP="00061872">
      <w:pPr>
        <w:spacing w:before="240" w:line="240" w:lineRule="auto"/>
        <w:jc w:val="both"/>
        <w:rPr>
          <w:rFonts w:ascii="Arial" w:eastAsia="Arial" w:hAnsi="Arial" w:cs="Arial"/>
        </w:rPr>
      </w:pPr>
      <w:r w:rsidRPr="001B6518">
        <w:rPr>
          <w:rFonts w:ascii="Arial" w:eastAsia="Arial" w:hAnsi="Arial" w:cs="Arial"/>
          <w:b/>
        </w:rPr>
        <w:t>Artículo 12. Reestructura o refinanciamiento de deuda</w:t>
      </w:r>
    </w:p>
    <w:p w14:paraId="10F60422" w14:textId="77777777" w:rsidR="00061872" w:rsidRPr="001B6518" w:rsidRDefault="00061872" w:rsidP="00061872">
      <w:pPr>
        <w:spacing w:before="240" w:line="240" w:lineRule="auto"/>
        <w:jc w:val="both"/>
        <w:rPr>
          <w:rFonts w:ascii="Arial" w:eastAsia="Arial" w:hAnsi="Arial" w:cs="Arial"/>
        </w:rPr>
      </w:pPr>
      <w:r w:rsidRPr="001B6518">
        <w:rPr>
          <w:rFonts w:ascii="Arial" w:eastAsia="Arial" w:hAnsi="Arial" w:cs="Arial"/>
          <w:color w:val="000000" w:themeColor="text1"/>
        </w:rPr>
        <w:lastRenderedPageBreak/>
        <w:t>C</w:t>
      </w:r>
      <w:r w:rsidRPr="001B6518">
        <w:rPr>
          <w:rFonts w:ascii="Arial" w:eastAsia="Arial" w:hAnsi="Arial" w:cs="Arial"/>
        </w:rPr>
        <w:t>on base en el análisis de la capacidad de pago del Estado de Yucatán, el destino de los financiamientos, la situación de la deuda pública y de los recursos a otorgarse como fuente de pago, se autoriza al Poder Ejecutivo del Estado de Yucatán para que, por conducto de la Secretaría de Administración y Finanzas, durante el ejercicio fiscal 2026:</w:t>
      </w:r>
    </w:p>
    <w:p w14:paraId="49094479" w14:textId="3285234C" w:rsidR="00061872" w:rsidRPr="001B6518" w:rsidRDefault="00061872" w:rsidP="00061872">
      <w:pPr>
        <w:pBdr>
          <w:top w:val="nil"/>
          <w:left w:val="nil"/>
          <w:bottom w:val="nil"/>
          <w:right w:val="nil"/>
          <w:between w:val="nil"/>
        </w:pBdr>
        <w:spacing w:before="240" w:after="160" w:line="240" w:lineRule="auto"/>
        <w:ind w:firstLine="709"/>
        <w:jc w:val="both"/>
        <w:rPr>
          <w:rFonts w:ascii="Arial" w:eastAsia="Arial" w:hAnsi="Arial" w:cs="Arial"/>
        </w:rPr>
      </w:pPr>
      <w:r w:rsidRPr="001B6518">
        <w:rPr>
          <w:rFonts w:ascii="Arial" w:eastAsia="Arial" w:hAnsi="Arial" w:cs="Arial"/>
          <w:color w:val="000000" w:themeColor="text1"/>
        </w:rPr>
        <w:t xml:space="preserve">I. Celebre una o más operaciones de crédito con </w:t>
      </w:r>
      <w:r w:rsidRPr="001B6518">
        <w:rPr>
          <w:rFonts w:ascii="Arial" w:eastAsia="Arial" w:hAnsi="Arial" w:cs="Arial"/>
        </w:rPr>
        <w:t xml:space="preserve">un plazo máximo de pago de hasta veinte años, equivalente a 7,305 días, </w:t>
      </w:r>
      <w:r w:rsidRPr="001B6518">
        <w:rPr>
          <w:rFonts w:ascii="Arial" w:eastAsia="Arial" w:hAnsi="Arial" w:cs="Arial"/>
          <w:color w:val="000000" w:themeColor="text1"/>
        </w:rPr>
        <w:t xml:space="preserve">contados a partir de la suscripción de los contratos o de la primera disposición de los recursos, cuyo destino será la reestructura o el refinanciamiento de los créditos celebrados previamente por el Poder Ejecutivo del Estado de Yucatán, identificados en la tabla </w:t>
      </w:r>
      <w:r w:rsidR="00952237" w:rsidRPr="001B6518">
        <w:rPr>
          <w:rFonts w:ascii="Arial" w:eastAsia="Arial" w:hAnsi="Arial" w:cs="Arial"/>
          <w:color w:val="000000" w:themeColor="text1"/>
        </w:rPr>
        <w:t xml:space="preserve">2, </w:t>
      </w:r>
      <w:r w:rsidRPr="001B6518">
        <w:rPr>
          <w:rFonts w:ascii="Arial" w:eastAsia="Arial" w:hAnsi="Arial" w:cs="Arial"/>
          <w:color w:val="000000" w:themeColor="text1"/>
        </w:rPr>
        <w:t>contenida en el artículo 10 del presente ordenamiento y hasta por el saldo insoluto citado en la misma.</w:t>
      </w:r>
      <w:r w:rsidRPr="001B6518">
        <w:rPr>
          <w:rFonts w:ascii="Arial" w:eastAsia="Arial" w:hAnsi="Arial" w:cs="Arial"/>
        </w:rPr>
        <w:t xml:space="preserve"> </w:t>
      </w:r>
      <w:r w:rsidR="0022714F" w:rsidRPr="001B6518">
        <w:rPr>
          <w:rFonts w:ascii="Arial" w:eastAsia="Arial" w:hAnsi="Arial" w:cs="Arial"/>
        </w:rPr>
        <w:tab/>
      </w:r>
    </w:p>
    <w:p w14:paraId="0394B1AC" w14:textId="77777777" w:rsidR="00061872" w:rsidRPr="001B6518" w:rsidRDefault="00061872" w:rsidP="00061872">
      <w:pPr>
        <w:pBdr>
          <w:top w:val="nil"/>
          <w:left w:val="nil"/>
          <w:bottom w:val="nil"/>
          <w:right w:val="nil"/>
          <w:between w:val="nil"/>
        </w:pBdr>
        <w:spacing w:before="240" w:line="240" w:lineRule="auto"/>
        <w:ind w:firstLine="708"/>
        <w:jc w:val="both"/>
        <w:rPr>
          <w:rFonts w:ascii="Arial" w:eastAsia="Arial" w:hAnsi="Arial" w:cs="Arial"/>
          <w:color w:val="000000"/>
        </w:rPr>
      </w:pPr>
      <w:r w:rsidRPr="001B6518">
        <w:rPr>
          <w:rFonts w:ascii="Arial" w:eastAsia="Arial" w:hAnsi="Arial" w:cs="Arial"/>
          <w:color w:val="000000" w:themeColor="text1"/>
        </w:rPr>
        <w:t>La autorización a que se refiere este artículo se celebrará hasta por el monto del saldo insoluto de las obligaciones al momento de su celebración, es decir, hasta por un monto máximo de $9,347,672,594.00 (Nueve mil trescientos cuarenta y siete millones seiscientos setenta y dos mil quinientos noventa y cuatro pesos 00/100 M.N.), sin implicar nuevas disposiciones o incremento en el saldo de la deuda pública.</w:t>
      </w:r>
    </w:p>
    <w:p w14:paraId="7A70D38B" w14:textId="658CD48F" w:rsidR="00061872" w:rsidRPr="001B6518" w:rsidRDefault="00061872" w:rsidP="00061872">
      <w:pPr>
        <w:pBdr>
          <w:top w:val="nil"/>
          <w:left w:val="nil"/>
          <w:bottom w:val="nil"/>
          <w:right w:val="nil"/>
          <w:between w:val="nil"/>
        </w:pBdr>
        <w:spacing w:before="240" w:after="160" w:line="240" w:lineRule="auto"/>
        <w:ind w:firstLine="708"/>
        <w:jc w:val="both"/>
        <w:rPr>
          <w:rFonts w:ascii="Arial" w:eastAsia="Arial" w:hAnsi="Arial" w:cs="Arial"/>
          <w:color w:val="000000"/>
        </w:rPr>
      </w:pPr>
      <w:bookmarkStart w:id="3" w:name="_gjdgxs"/>
      <w:bookmarkEnd w:id="3"/>
      <w:r w:rsidRPr="001B6518">
        <w:rPr>
          <w:rFonts w:ascii="Arial" w:eastAsia="Arial" w:hAnsi="Arial" w:cs="Arial"/>
          <w:color w:val="000000" w:themeColor="text1"/>
        </w:rPr>
        <w:t>II. Afecte, como fuente de pago de las nuevas operaciones crediticias autorizadas el porcentaje necesario y suficiente de las participaciones que en ingresos federales correspondan al Estado de Yucatán del Fondo General de Participaciones (parte del Ramo 28)</w:t>
      </w:r>
      <w:r w:rsidR="00700B9D" w:rsidRPr="001B6518">
        <w:rPr>
          <w:rFonts w:ascii="Arial" w:eastAsia="Arial" w:hAnsi="Arial" w:cs="Arial"/>
          <w:color w:val="000000" w:themeColor="text1"/>
        </w:rPr>
        <w:t>, q</w:t>
      </w:r>
      <w:r w:rsidRPr="001B6518">
        <w:rPr>
          <w:rFonts w:ascii="Arial" w:eastAsia="Arial" w:hAnsi="Arial" w:cs="Arial"/>
          <w:color w:val="000000" w:themeColor="text1"/>
        </w:rPr>
        <w:t xml:space="preserve">uedará comprendida la afectación de los recursos y el derecho a recibirlos, así como los ingresos que, en su caso, los reemplacen, sustituyan o complementen; y para tal efecto se podrán pactar como mecanismo de pago un nuevo fideicomiso irrevocable de administración y fuente de pago, o bien, emplear como mecanismo de fuente de pago de las operaciones de financiamiento que se celebren con base en la presente autorización el </w:t>
      </w:r>
      <w:r w:rsidRPr="001B6518">
        <w:rPr>
          <w:rFonts w:ascii="Arial" w:eastAsia="Arial" w:hAnsi="Arial" w:cs="Arial"/>
        </w:rPr>
        <w:t xml:space="preserve">Fideicomiso Irrevocable de Administración y Fuente de Pago No. 4109088, constituido el 6 de noviembre de 2019, </w:t>
      </w:r>
      <w:r w:rsidRPr="001B6518">
        <w:rPr>
          <w:rFonts w:ascii="Arial" w:eastAsia="Arial" w:hAnsi="Arial" w:cs="Arial"/>
          <w:color w:val="000000" w:themeColor="text1"/>
        </w:rPr>
        <w:t>como fideicomiso maestro de la deuda pública estatal o el que se constituya para tal efecto.</w:t>
      </w:r>
    </w:p>
    <w:p w14:paraId="55708750" w14:textId="1C3D592F" w:rsidR="00061872" w:rsidRPr="001B6518" w:rsidRDefault="00373562" w:rsidP="00061872">
      <w:pPr>
        <w:spacing w:before="240" w:line="240" w:lineRule="auto"/>
        <w:jc w:val="both"/>
        <w:rPr>
          <w:rFonts w:ascii="Arial" w:eastAsia="Arial" w:hAnsi="Arial" w:cs="Arial"/>
        </w:rPr>
      </w:pPr>
      <w:r w:rsidRPr="001B6518">
        <w:rPr>
          <w:rFonts w:ascii="Arial" w:eastAsia="Arial" w:hAnsi="Arial" w:cs="Arial"/>
        </w:rPr>
        <w:t>L</w:t>
      </w:r>
      <w:r w:rsidR="00061872" w:rsidRPr="001B6518">
        <w:rPr>
          <w:rFonts w:ascii="Arial" w:eastAsia="Arial" w:hAnsi="Arial" w:cs="Arial"/>
        </w:rPr>
        <w:t>as reestructuras autorizadas en este artículo comprenden la revisión en el monto, tasa, plazo, perfil de amortización, garantías, instrumentos derivados, ingresos afectados como fuente de pago o fuente alterna de pago y fideicomisos, fondos de reserva pactados y comisiones, así como las modificaciones necesarias a las demás condiciones, obligaciones y derechos previamente pactados.</w:t>
      </w:r>
    </w:p>
    <w:p w14:paraId="04ADB037" w14:textId="4069F6FA" w:rsidR="00061872" w:rsidRPr="001B6518" w:rsidRDefault="00061872" w:rsidP="005D2002">
      <w:pPr>
        <w:pBdr>
          <w:top w:val="nil"/>
          <w:left w:val="nil"/>
          <w:bottom w:val="nil"/>
          <w:right w:val="nil"/>
          <w:between w:val="nil"/>
        </w:pBdr>
        <w:spacing w:before="240" w:line="240" w:lineRule="auto"/>
        <w:ind w:hanging="2"/>
        <w:jc w:val="both"/>
        <w:rPr>
          <w:rFonts w:ascii="Arial" w:hAnsi="Arial" w:cs="Arial"/>
        </w:rPr>
      </w:pPr>
      <w:r w:rsidRPr="001B6518">
        <w:rPr>
          <w:rFonts w:ascii="Arial" w:eastAsia="Arial" w:hAnsi="Arial" w:cs="Arial"/>
        </w:rPr>
        <w:lastRenderedPageBreak/>
        <w:t>La presente autorización se emite por el voto de al menos las dos terceras partes de las diputadas y los diputados presentes en la sesión respectiva del Congreso del Estado de Yucatán, previo análisis del destino y de la capacidad de pago del Estado</w:t>
      </w:r>
      <w:r w:rsidR="005D2002" w:rsidRPr="001B6518">
        <w:rPr>
          <w:rFonts w:ascii="Arial" w:hAnsi="Arial" w:cs="Arial"/>
        </w:rPr>
        <w:t>.</w:t>
      </w:r>
    </w:p>
    <w:p w14:paraId="164DE14F" w14:textId="77777777" w:rsidR="00061872" w:rsidRPr="001B6518" w:rsidRDefault="00061872" w:rsidP="00061872">
      <w:pPr>
        <w:pBdr>
          <w:top w:val="nil"/>
          <w:left w:val="nil"/>
          <w:bottom w:val="nil"/>
          <w:right w:val="nil"/>
          <w:between w:val="nil"/>
        </w:pBdr>
        <w:spacing w:before="240" w:line="240" w:lineRule="auto"/>
        <w:ind w:hanging="2"/>
        <w:jc w:val="both"/>
        <w:rPr>
          <w:rFonts w:ascii="Arial" w:eastAsia="Arial" w:hAnsi="Arial" w:cs="Arial"/>
          <w:b/>
        </w:rPr>
      </w:pPr>
      <w:r w:rsidRPr="001B6518">
        <w:rPr>
          <w:rFonts w:ascii="Arial" w:eastAsia="Arial" w:hAnsi="Arial" w:cs="Arial"/>
          <w:b/>
        </w:rPr>
        <w:t>Artículo 13. Instrumentos derivados</w:t>
      </w:r>
    </w:p>
    <w:p w14:paraId="44C9576F" w14:textId="204F7D02" w:rsidR="00061872" w:rsidRPr="001B6518" w:rsidRDefault="00061872" w:rsidP="00061872">
      <w:pPr>
        <w:pBdr>
          <w:top w:val="nil"/>
          <w:left w:val="nil"/>
          <w:bottom w:val="nil"/>
          <w:right w:val="nil"/>
          <w:between w:val="nil"/>
        </w:pBdr>
        <w:spacing w:before="240" w:line="240" w:lineRule="auto"/>
        <w:ind w:hanging="2"/>
        <w:jc w:val="both"/>
        <w:rPr>
          <w:rFonts w:ascii="Arial" w:eastAsia="Arial" w:hAnsi="Arial" w:cs="Arial"/>
        </w:rPr>
      </w:pPr>
      <w:r w:rsidRPr="001B6518">
        <w:rPr>
          <w:rFonts w:ascii="Arial" w:eastAsia="Arial" w:hAnsi="Arial" w:cs="Arial"/>
        </w:rPr>
        <w:t xml:space="preserve">Con base en el análisis de la capacidad de pago del Estado, y del destino de los recursos, tanto a obtenerse como a otorgarse como fuente de pago, se autoriza al Poder Ejecutivo del Estado de Yucatán para que, por conducto de la Secretaría de Administración y Finanzas, en cumplimiento de las obligaciones asumidas en los contratos constitutivos de deuda pública inscritos ante el </w:t>
      </w:r>
      <w:r w:rsidRPr="001B6518">
        <w:rPr>
          <w:rFonts w:ascii="Arial" w:eastAsia="Arial" w:hAnsi="Arial" w:cs="Arial"/>
          <w:color w:val="000000" w:themeColor="text1"/>
        </w:rPr>
        <w:t xml:space="preserve">Registro Público Único de Financiamiento y Obligaciones de Entidades Federativas y Municipios a cargo de la Secretaría de Hacienda y Crédito Público, </w:t>
      </w:r>
      <w:r w:rsidRPr="001B6518">
        <w:rPr>
          <w:rFonts w:ascii="Arial" w:eastAsia="Arial" w:hAnsi="Arial" w:cs="Arial"/>
        </w:rPr>
        <w:t xml:space="preserve">previstos en la tabla </w:t>
      </w:r>
      <w:r w:rsidR="00952237" w:rsidRPr="001B6518">
        <w:rPr>
          <w:rFonts w:ascii="Arial" w:eastAsia="Arial" w:hAnsi="Arial" w:cs="Arial"/>
        </w:rPr>
        <w:t xml:space="preserve">2, </w:t>
      </w:r>
      <w:r w:rsidRPr="001B6518">
        <w:rPr>
          <w:rFonts w:ascii="Arial" w:eastAsia="Arial" w:hAnsi="Arial" w:cs="Arial"/>
        </w:rPr>
        <w:t>contenida en el artículo 10 del presente</w:t>
      </w:r>
      <w:r w:rsidR="000677D9" w:rsidRPr="001B6518">
        <w:rPr>
          <w:rFonts w:ascii="Arial" w:eastAsia="Arial" w:hAnsi="Arial" w:cs="Arial"/>
        </w:rPr>
        <w:t xml:space="preserve"> </w:t>
      </w:r>
      <w:r w:rsidRPr="001B6518">
        <w:rPr>
          <w:rFonts w:ascii="Arial" w:eastAsia="Arial" w:hAnsi="Arial" w:cs="Arial"/>
        </w:rPr>
        <w:t>ordenamiento o de las operaciones de crédito que celebre en ejercicio de las autorizaciones para la adquisición</w:t>
      </w:r>
      <w:r w:rsidR="00CC2E0F" w:rsidRPr="001B6518">
        <w:rPr>
          <w:rFonts w:ascii="Arial" w:eastAsia="Arial" w:hAnsi="Arial" w:cs="Arial"/>
        </w:rPr>
        <w:t xml:space="preserve"> de </w:t>
      </w:r>
      <w:r w:rsidRPr="001B6518">
        <w:rPr>
          <w:rFonts w:ascii="Arial" w:eastAsia="Arial" w:hAnsi="Arial" w:cs="Arial"/>
        </w:rPr>
        <w:t xml:space="preserve">nuevo financiamiento y de refinanciamiento previstas en </w:t>
      </w:r>
      <w:r w:rsidR="00952237" w:rsidRPr="001B6518">
        <w:rPr>
          <w:rFonts w:ascii="Arial" w:eastAsia="Arial" w:hAnsi="Arial" w:cs="Arial"/>
        </w:rPr>
        <w:t>los</w:t>
      </w:r>
      <w:r w:rsidRPr="001B6518">
        <w:rPr>
          <w:rFonts w:ascii="Arial" w:eastAsia="Arial" w:hAnsi="Arial" w:cs="Arial"/>
        </w:rPr>
        <w:t xml:space="preserve"> artículo</w:t>
      </w:r>
      <w:r w:rsidR="00952237" w:rsidRPr="001B6518">
        <w:rPr>
          <w:rFonts w:ascii="Arial" w:eastAsia="Arial" w:hAnsi="Arial" w:cs="Arial"/>
        </w:rPr>
        <w:t>s</w:t>
      </w:r>
      <w:r w:rsidRPr="001B6518">
        <w:rPr>
          <w:rFonts w:ascii="Arial" w:eastAsia="Arial" w:hAnsi="Arial" w:cs="Arial"/>
        </w:rPr>
        <w:t xml:space="preserve"> 11 y 12</w:t>
      </w:r>
      <w:r w:rsidR="000677D9" w:rsidRPr="001B6518">
        <w:rPr>
          <w:rFonts w:ascii="Arial" w:eastAsia="Arial" w:hAnsi="Arial" w:cs="Arial"/>
        </w:rPr>
        <w:t xml:space="preserve"> </w:t>
      </w:r>
      <w:r w:rsidRPr="001B6518">
        <w:rPr>
          <w:rFonts w:ascii="Arial" w:eastAsia="Arial" w:hAnsi="Arial" w:cs="Arial"/>
        </w:rPr>
        <w:t>del presente</w:t>
      </w:r>
      <w:r w:rsidR="000677D9" w:rsidRPr="001B6518">
        <w:rPr>
          <w:rFonts w:ascii="Arial" w:eastAsia="Arial" w:hAnsi="Arial" w:cs="Arial"/>
        </w:rPr>
        <w:t xml:space="preserve"> </w:t>
      </w:r>
      <w:r w:rsidRPr="001B6518">
        <w:rPr>
          <w:rFonts w:ascii="Arial" w:eastAsia="Arial" w:hAnsi="Arial" w:cs="Arial"/>
        </w:rPr>
        <w:t>ordenamiento, durante el ejercicio 2026</w:t>
      </w:r>
      <w:r w:rsidRPr="001B6518">
        <w:rPr>
          <w:rFonts w:ascii="Arial" w:eastAsia="Arial" w:hAnsi="Arial" w:cs="Arial"/>
          <w:color w:val="FF0000"/>
        </w:rPr>
        <w:t xml:space="preserve"> </w:t>
      </w:r>
      <w:r w:rsidRPr="001B6518">
        <w:rPr>
          <w:rFonts w:ascii="Arial" w:eastAsia="Arial" w:hAnsi="Arial" w:cs="Arial"/>
        </w:rPr>
        <w:t xml:space="preserve">celebre operaciones financieras de cobertura, es decir, instrumentos derivados (contratos de cobertura de tasa o intercambio de tasas, incluyendo, swaps o Caps), o pacte su renovación, reestructura o adecuación, bajo la modalidad que se estime conveniente, hasta por el 50% (cincuenta) por ciento del saldo insoluto de los financiamientos objeto de cobertura </w:t>
      </w:r>
      <w:r w:rsidRPr="001B6518">
        <w:rPr>
          <w:rFonts w:ascii="Arial" w:eastAsia="Arial" w:hAnsi="Arial" w:cs="Arial"/>
          <w:color w:val="000000" w:themeColor="text1"/>
        </w:rPr>
        <w:t>es decir, hasta por un monto máximo de</w:t>
      </w:r>
      <w:r w:rsidR="000677D9" w:rsidRPr="001B6518">
        <w:rPr>
          <w:rFonts w:ascii="Arial" w:eastAsia="Arial" w:hAnsi="Arial" w:cs="Arial"/>
          <w:color w:val="000000" w:themeColor="text1"/>
        </w:rPr>
        <w:t xml:space="preserve"> </w:t>
      </w:r>
      <w:r w:rsidRPr="001B6518">
        <w:rPr>
          <w:rFonts w:ascii="Arial" w:eastAsia="Arial" w:hAnsi="Arial" w:cs="Arial"/>
          <w:color w:val="000000" w:themeColor="text1"/>
        </w:rPr>
        <w:t xml:space="preserve">$5,438,836,297.00 (Cinco mil cuatrocientos treinta y ocho millones ochocientos treinta y seis mil doscientos noventa y siete pesos 00/100 M.N.) </w:t>
      </w:r>
      <w:r w:rsidRPr="001B6518">
        <w:rPr>
          <w:rFonts w:ascii="Arial" w:eastAsia="Arial" w:hAnsi="Arial" w:cs="Arial"/>
        </w:rPr>
        <w:t>y por un plazo de vigencia de hasta sesenta meses</w:t>
      </w:r>
      <w:r w:rsidRPr="001B6518">
        <w:rPr>
          <w:rFonts w:ascii="Arial" w:eastAsia="Arial" w:hAnsi="Arial" w:cs="Arial"/>
          <w:color w:val="000000" w:themeColor="text1"/>
        </w:rPr>
        <w:t xml:space="preserve">, equivalentes a </w:t>
      </w:r>
      <w:r w:rsidR="00C74A13">
        <w:rPr>
          <w:rFonts w:ascii="Arial" w:eastAsia="Arial" w:hAnsi="Arial" w:cs="Arial"/>
          <w:color w:val="000000" w:themeColor="text1"/>
        </w:rPr>
        <w:t>1,826</w:t>
      </w:r>
      <w:r w:rsidRPr="001B6518">
        <w:rPr>
          <w:rFonts w:ascii="Arial" w:eastAsia="Arial" w:hAnsi="Arial" w:cs="Arial"/>
          <w:color w:val="000000" w:themeColor="text1"/>
        </w:rPr>
        <w:t xml:space="preserve"> días, contados a partir de su celebración</w:t>
      </w:r>
      <w:r w:rsidRPr="001B6518">
        <w:rPr>
          <w:rFonts w:ascii="Arial" w:eastAsia="Arial" w:hAnsi="Arial" w:cs="Arial"/>
        </w:rPr>
        <w:t>, a efecto de mitigar los riesgos económico-financieros de variaciones a la tasa de referencia pactada en los créditos objeto de cobertura.</w:t>
      </w:r>
    </w:p>
    <w:p w14:paraId="7B2C1EF4" w14:textId="77777777" w:rsidR="00061872" w:rsidRPr="001B6518" w:rsidRDefault="00061872" w:rsidP="00061872">
      <w:pPr>
        <w:pBdr>
          <w:top w:val="nil"/>
          <w:left w:val="nil"/>
          <w:bottom w:val="nil"/>
          <w:right w:val="nil"/>
          <w:between w:val="nil"/>
        </w:pBdr>
        <w:spacing w:before="240" w:line="240" w:lineRule="auto"/>
        <w:ind w:hanging="2"/>
        <w:jc w:val="both"/>
        <w:rPr>
          <w:rFonts w:ascii="Arial" w:eastAsia="Arial" w:hAnsi="Arial" w:cs="Arial"/>
        </w:rPr>
      </w:pPr>
      <w:r w:rsidRPr="001B6518">
        <w:rPr>
          <w:rFonts w:ascii="Arial" w:eastAsia="Arial" w:hAnsi="Arial" w:cs="Arial"/>
        </w:rPr>
        <w:t xml:space="preserve">Tratándose de operaciones de intercambio de tasa de interés, es decir, swaps se podrá afectar como fuente de pago el mismo porcentaje del </w:t>
      </w:r>
      <w:r w:rsidRPr="001B6518">
        <w:rPr>
          <w:rFonts w:ascii="Arial" w:eastAsia="Arial" w:hAnsi="Arial" w:cs="Arial"/>
          <w:color w:val="000000" w:themeColor="text1"/>
        </w:rPr>
        <w:t>Fondo General de Participaciones (parte del Ramo 28)</w:t>
      </w:r>
      <w:r w:rsidRPr="001B6518">
        <w:rPr>
          <w:rFonts w:ascii="Arial" w:eastAsia="Arial" w:hAnsi="Arial" w:cs="Arial"/>
        </w:rPr>
        <w:t xml:space="preserve"> asignado al financiamiento objeto de cobertura y, para tal efecto, se autoriza inscribir las operaciones de cobertura celebradas o su reestructura en el mismo fideicomiso pactado como mecanismo de fuente de pago.</w:t>
      </w:r>
    </w:p>
    <w:p w14:paraId="66AC6A7A" w14:textId="2B082571" w:rsidR="00061872" w:rsidRPr="001B6518" w:rsidRDefault="00061872" w:rsidP="00061872">
      <w:pPr>
        <w:spacing w:before="240" w:line="240" w:lineRule="auto"/>
        <w:ind w:hanging="2"/>
        <w:jc w:val="both"/>
        <w:rPr>
          <w:rFonts w:ascii="Arial" w:hAnsi="Arial" w:cs="Arial"/>
        </w:rPr>
      </w:pPr>
      <w:r w:rsidRPr="001B6518">
        <w:rPr>
          <w:rFonts w:ascii="Arial" w:eastAsia="Arial" w:hAnsi="Arial" w:cs="Arial"/>
        </w:rPr>
        <w:t>La presente autorización se emite por el voto de al menos las dos terceras partes de las diputadas y los diputados presentes en la sesión respectiva del Congreso del Estado de Yucatán, previo análisis del destino y de la capacidad de pago del Estado</w:t>
      </w:r>
      <w:r w:rsidRPr="001B6518">
        <w:rPr>
          <w:rFonts w:ascii="Arial" w:hAnsi="Arial" w:cs="Arial"/>
        </w:rPr>
        <w:t>.</w:t>
      </w:r>
    </w:p>
    <w:p w14:paraId="000004D7" w14:textId="1399F638" w:rsidR="006B6C42" w:rsidRPr="001B6518" w:rsidRDefault="00DA2020" w:rsidP="00D17EFB">
      <w:pPr>
        <w:pBdr>
          <w:top w:val="nil"/>
          <w:left w:val="nil"/>
          <w:bottom w:val="nil"/>
          <w:right w:val="nil"/>
          <w:between w:val="nil"/>
        </w:pBdr>
        <w:spacing w:after="0" w:line="240" w:lineRule="auto"/>
        <w:ind w:hanging="2"/>
        <w:jc w:val="center"/>
        <w:rPr>
          <w:rFonts w:ascii="Arial" w:eastAsia="Arial" w:hAnsi="Arial" w:cs="Arial"/>
          <w:b/>
        </w:rPr>
      </w:pPr>
      <w:r w:rsidRPr="001B6518">
        <w:rPr>
          <w:rFonts w:ascii="Arial" w:eastAsia="Arial" w:hAnsi="Arial" w:cs="Arial"/>
          <w:b/>
        </w:rPr>
        <w:t>Capítulo III</w:t>
      </w:r>
      <w:r w:rsidR="00D17EFB">
        <w:rPr>
          <w:rFonts w:ascii="Arial" w:eastAsia="Arial" w:hAnsi="Arial" w:cs="Arial"/>
          <w:b/>
        </w:rPr>
        <w:br/>
      </w:r>
      <w:r w:rsidRPr="001B6518">
        <w:rPr>
          <w:rFonts w:ascii="Arial" w:eastAsia="Arial" w:hAnsi="Arial" w:cs="Arial"/>
          <w:b/>
        </w:rPr>
        <w:t>Recursos provenientes de la Federación</w:t>
      </w:r>
    </w:p>
    <w:p w14:paraId="000004D8" w14:textId="1603060F"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lastRenderedPageBreak/>
        <w:t>Artículo 1</w:t>
      </w:r>
      <w:r w:rsidR="00555504" w:rsidRPr="001B6518">
        <w:rPr>
          <w:rFonts w:ascii="Arial" w:eastAsia="Arial" w:hAnsi="Arial" w:cs="Arial"/>
          <w:b/>
        </w:rPr>
        <w:t>4</w:t>
      </w:r>
      <w:r w:rsidRPr="001B6518">
        <w:rPr>
          <w:rFonts w:ascii="Arial" w:eastAsia="Arial" w:hAnsi="Arial" w:cs="Arial"/>
          <w:b/>
        </w:rPr>
        <w:t>. Convenios celebrados con el Gobierno federal</w:t>
      </w:r>
    </w:p>
    <w:p w14:paraId="000004D9" w14:textId="72912B4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 xml:space="preserve">Las dependencias y entidades que, en términos del artículo 26 de la Ley del Presupuesto y Contabilidad Gubernamental del Estado de Yucatán, celebren contratos o convenios con el </w:t>
      </w:r>
      <w:r w:rsidR="00826010" w:rsidRPr="001B6518">
        <w:rPr>
          <w:rFonts w:ascii="Arial" w:eastAsia="Arial" w:hAnsi="Arial" w:cs="Arial"/>
        </w:rPr>
        <w:t>G</w:t>
      </w:r>
      <w:r w:rsidRPr="001B6518">
        <w:rPr>
          <w:rFonts w:ascii="Arial" w:eastAsia="Arial" w:hAnsi="Arial" w:cs="Arial"/>
        </w:rPr>
        <w:t>obierno federal,</w:t>
      </w:r>
      <w:sdt>
        <w:sdtPr>
          <w:rPr>
            <w:rFonts w:ascii="Arial" w:hAnsi="Arial" w:cs="Arial"/>
          </w:rPr>
          <w:tag w:val="goog_rdk_19"/>
          <w:id w:val="240514596"/>
        </w:sdtPr>
        <w:sdtEndPr/>
        <w:sdtContent/>
      </w:sdt>
      <w:r w:rsidRPr="001B6518">
        <w:rPr>
          <w:rFonts w:ascii="Arial" w:eastAsia="Arial" w:hAnsi="Arial" w:cs="Arial"/>
        </w:rPr>
        <w:t xml:space="preserve"> los cuales impliquen ingresos para la Hacienda pública estatal, deberán remitir copia de dichos instrumentos legales a la Secretaría de Administración y Finanzas, dentro del plazo de quince días hábiles siguientes a su suscripción, para efectos de conocer los montos de los ingresos que serán depositados a las cuentas de esta secretaría.</w:t>
      </w:r>
    </w:p>
    <w:p w14:paraId="000004DA"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Para el registro de los contratos o convenios a que se refiere este artículo, las dependencias y entidades deberán informar a la Secretaría de Administración y Finanzas sobre la recepción de los recursos correspondientes, a más tardar, dentro de los diez días hábiles posteriores a que se reciba dicho recurso.</w:t>
      </w:r>
    </w:p>
    <w:p w14:paraId="000004DB" w14:textId="78E58E83"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Artículo 1</w:t>
      </w:r>
      <w:r w:rsidR="00555504" w:rsidRPr="001B6518">
        <w:rPr>
          <w:rFonts w:ascii="Arial" w:eastAsia="Arial" w:hAnsi="Arial" w:cs="Arial"/>
          <w:b/>
        </w:rPr>
        <w:t>5</w:t>
      </w:r>
      <w:r w:rsidRPr="001B6518">
        <w:rPr>
          <w:rFonts w:ascii="Arial" w:eastAsia="Arial" w:hAnsi="Arial" w:cs="Arial"/>
          <w:b/>
        </w:rPr>
        <w:t>. Participaciones municipales</w:t>
      </w:r>
    </w:p>
    <w:p w14:paraId="000004DC" w14:textId="2EB1569B"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 xml:space="preserve">El Poder Ejecutivo del </w:t>
      </w:r>
      <w:r w:rsidR="008377C7" w:rsidRPr="001B6518">
        <w:rPr>
          <w:rFonts w:ascii="Arial" w:eastAsia="Arial" w:hAnsi="Arial" w:cs="Arial"/>
        </w:rPr>
        <w:t>E</w:t>
      </w:r>
      <w:r w:rsidRPr="001B6518">
        <w:rPr>
          <w:rFonts w:ascii="Arial" w:eastAsia="Arial" w:hAnsi="Arial" w:cs="Arial"/>
        </w:rPr>
        <w:t>stado</w:t>
      </w:r>
      <w:r w:rsidR="008377C7" w:rsidRPr="001B6518">
        <w:rPr>
          <w:rFonts w:ascii="Arial" w:eastAsia="Arial" w:hAnsi="Arial" w:cs="Arial"/>
        </w:rPr>
        <w:t xml:space="preserve"> de Yucatán</w:t>
      </w:r>
      <w:r w:rsidRPr="001B6518">
        <w:rPr>
          <w:rFonts w:ascii="Arial" w:eastAsia="Arial" w:hAnsi="Arial" w:cs="Arial"/>
        </w:rPr>
        <w:t>, por conducto de la Secretaría de Administración y Finanzas, recibirá las participaciones que correspondan a los municipios, en aquellos casos en que las disposiciones relativas de la Ley de Coordinación Fiscal, la Ley General de Contabilidad Gubernamental y las demás disposiciones normativas aplicables así lo determinen.</w:t>
      </w:r>
    </w:p>
    <w:p w14:paraId="000004DD" w14:textId="645448A1"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 xml:space="preserve">La estimación de participaciones </w:t>
      </w:r>
      <w:r w:rsidR="00C52187" w:rsidRPr="001B6518">
        <w:rPr>
          <w:rFonts w:ascii="Arial" w:eastAsia="Arial" w:hAnsi="Arial" w:cs="Arial"/>
        </w:rPr>
        <w:t xml:space="preserve">federales </w:t>
      </w:r>
      <w:r w:rsidRPr="001B6518">
        <w:rPr>
          <w:rFonts w:ascii="Arial" w:eastAsia="Arial" w:hAnsi="Arial" w:cs="Arial"/>
        </w:rPr>
        <w:t xml:space="preserve">a </w:t>
      </w:r>
      <w:r w:rsidR="00520834" w:rsidRPr="001B6518">
        <w:rPr>
          <w:rFonts w:ascii="Arial" w:eastAsia="Arial" w:hAnsi="Arial" w:cs="Arial"/>
        </w:rPr>
        <w:t>m</w:t>
      </w:r>
      <w:r w:rsidRPr="001B6518">
        <w:rPr>
          <w:rFonts w:ascii="Arial" w:eastAsia="Arial" w:hAnsi="Arial" w:cs="Arial"/>
        </w:rPr>
        <w:t>unicipios se realiza tomando como base los Ingresos Estimados por Fondos Participables y se considera la distribución entre municipios con base en los coeficientes vigentes. Al ser estimaciones</w:t>
      </w:r>
      <w:r w:rsidR="00E15DC5" w:rsidRPr="001B6518">
        <w:rPr>
          <w:rFonts w:ascii="Arial" w:eastAsia="Arial" w:hAnsi="Arial" w:cs="Arial"/>
        </w:rPr>
        <w:t xml:space="preserve"> no representan un compromiso de pago</w:t>
      </w:r>
      <w:r w:rsidR="00562A65" w:rsidRPr="001B6518">
        <w:rPr>
          <w:rFonts w:ascii="Arial" w:eastAsia="Arial" w:hAnsi="Arial" w:cs="Arial"/>
        </w:rPr>
        <w:t xml:space="preserve"> ya que los recursos que se asignarán a los municipios pudieran diferir de la estimación</w:t>
      </w:r>
      <w:r w:rsidR="00C301DE" w:rsidRPr="001B6518">
        <w:rPr>
          <w:rFonts w:ascii="Arial" w:eastAsia="Arial" w:hAnsi="Arial" w:cs="Arial"/>
        </w:rPr>
        <w:t xml:space="preserve"> por cambios en las variables o en los importes </w:t>
      </w:r>
      <w:r w:rsidR="00C52187" w:rsidRPr="001B6518">
        <w:rPr>
          <w:rFonts w:ascii="Arial" w:eastAsia="Arial" w:hAnsi="Arial" w:cs="Arial"/>
        </w:rPr>
        <w:t>radicados durante el ejercicio.</w:t>
      </w:r>
    </w:p>
    <w:p w14:paraId="000004DE" w14:textId="10733DE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Para efectos de lo previsto en el artículo 115, fracción IV, inciso b), de la Constitución Política de los Estados Unidos Mexicanos, las bases, montos y plazos para la distribución de las participaciones federales destinadas a los municipios del estado serán l</w:t>
      </w:r>
      <w:r w:rsidR="00B370CD" w:rsidRPr="001B6518">
        <w:rPr>
          <w:rFonts w:ascii="Arial" w:eastAsia="Arial" w:hAnsi="Arial" w:cs="Arial"/>
        </w:rPr>
        <w:t>o</w:t>
      </w:r>
      <w:r w:rsidRPr="001B6518">
        <w:rPr>
          <w:rFonts w:ascii="Arial" w:eastAsia="Arial" w:hAnsi="Arial" w:cs="Arial"/>
        </w:rPr>
        <w:t>s que se establecen en la Ley de Coordinación Fiscal del Estado de Yucatán.</w:t>
      </w:r>
    </w:p>
    <w:p w14:paraId="000004DF" w14:textId="77777777" w:rsidR="006B6C42" w:rsidRPr="001B6518" w:rsidRDefault="00DA2020">
      <w:pPr>
        <w:spacing w:before="280" w:after="280" w:line="240" w:lineRule="auto"/>
        <w:jc w:val="center"/>
        <w:rPr>
          <w:rFonts w:ascii="Arial" w:eastAsia="Arial" w:hAnsi="Arial" w:cs="Arial"/>
          <w:b/>
        </w:rPr>
      </w:pPr>
      <w:r w:rsidRPr="001B6518">
        <w:rPr>
          <w:rFonts w:ascii="Arial" w:eastAsia="Arial" w:hAnsi="Arial" w:cs="Arial"/>
          <w:b/>
        </w:rPr>
        <w:t>Capítulo IV</w:t>
      </w:r>
      <w:r w:rsidRPr="001B6518">
        <w:rPr>
          <w:rFonts w:ascii="Arial" w:eastAsia="Arial" w:hAnsi="Arial" w:cs="Arial"/>
        </w:rPr>
        <w:br/>
      </w:r>
      <w:r w:rsidRPr="001B6518">
        <w:rPr>
          <w:rFonts w:ascii="Arial" w:eastAsia="Arial" w:hAnsi="Arial" w:cs="Arial"/>
          <w:b/>
        </w:rPr>
        <w:t>Recaudación y concentración de ingresos</w:t>
      </w:r>
    </w:p>
    <w:p w14:paraId="000004E0" w14:textId="222A04AC"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Artículo 1</w:t>
      </w:r>
      <w:r w:rsidR="00555504" w:rsidRPr="001B6518">
        <w:rPr>
          <w:rFonts w:ascii="Arial" w:eastAsia="Arial" w:hAnsi="Arial" w:cs="Arial"/>
          <w:b/>
        </w:rPr>
        <w:t>6</w:t>
      </w:r>
      <w:r w:rsidRPr="001B6518">
        <w:rPr>
          <w:rFonts w:ascii="Arial" w:eastAsia="Arial" w:hAnsi="Arial" w:cs="Arial"/>
          <w:b/>
        </w:rPr>
        <w:t>. Disposiciones en materia de recaudación</w:t>
      </w:r>
    </w:p>
    <w:p w14:paraId="000004E1"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lastRenderedPageBreak/>
        <w:t>La recaudación de los ingresos a que se refiere esta ley se acreditará mediante el comprobante de pago o el acuse de pago impreso o electrónico que para tal efecto emita la Secretaría de Administración y Finanzas, la Agencia de Administración Fiscal de Yucatán o las instituciones, entidades y establecimientos autorizados para tal efecto.</w:t>
      </w:r>
    </w:p>
    <w:p w14:paraId="000004E2" w14:textId="1FE9A70C"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Para que tenga validez el comprobante de pago o el acuse de pago señalado en el párrafo anterior, deberá con</w:t>
      </w:r>
      <w:r w:rsidR="00C634F7" w:rsidRPr="001B6518">
        <w:rPr>
          <w:rFonts w:ascii="Arial" w:eastAsia="Arial" w:hAnsi="Arial" w:cs="Arial"/>
        </w:rPr>
        <w:t xml:space="preserve">tener sello y firma del cajero, </w:t>
      </w:r>
      <w:r w:rsidRPr="001B6518">
        <w:rPr>
          <w:rFonts w:ascii="Arial" w:eastAsia="Arial" w:hAnsi="Arial" w:cs="Arial"/>
        </w:rPr>
        <w:t>otorgados por alguna oficina recaudadora autorizada, o</w:t>
      </w:r>
      <w:r w:rsidR="00C634F7" w:rsidRPr="001B6518">
        <w:rPr>
          <w:rFonts w:ascii="Arial" w:eastAsia="Arial" w:hAnsi="Arial" w:cs="Arial"/>
        </w:rPr>
        <w:t xml:space="preserve"> contar con </w:t>
      </w:r>
      <w:r w:rsidRPr="001B6518">
        <w:rPr>
          <w:rFonts w:ascii="Arial" w:eastAsia="Arial" w:hAnsi="Arial" w:cs="Arial"/>
        </w:rPr>
        <w:t>sello digital, en el caso de comprobantes de pago electrónicos.</w:t>
      </w:r>
    </w:p>
    <w:p w14:paraId="000004E3"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Cuando el contribuyente realice el pago o entero de las contribuciones u otros ingresos a que se refiere esta ley, mediante línea de referencia, en las oficinas recaudadoras de la Agencia de Administración Fiscal de Yucatán, o en las instituciones, entidades o establecimientos autorizados para tal efecto, recibirá comprobante de pago electrónico con sello digital, comprobante de pago o acuse de pago, con sello y firma del cajero, según sea el caso.</w:t>
      </w:r>
    </w:p>
    <w:p w14:paraId="000004E4"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Si el pago de los ingresos señalados en esta ley se realiza en instituciones de crédito, entidades o establecimientos autorizados, se podrá acreditar el pago mediante el documento que contenga los elementos de validez que para tal efecto autorice la Agencia de Administración Fiscal de Yucatán.</w:t>
      </w:r>
    </w:p>
    <w:p w14:paraId="000004E5"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Para los efectos de este artículo, se entenderá por la línea de referencia, el conjunto de caracteres que permiten identificar de manera única una transacción y validar la información presentada en las instituciones de crédito, entidades y establecimientos, así como en las oficinas recaudadoras de la Agencia de Administración Fiscal de Yucatán.</w:t>
      </w:r>
    </w:p>
    <w:p w14:paraId="000004E6"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La Agencia de Administración Fiscal de Yucatán podrá expedir las disposiciones que sean necesarias para la correcta y debida aplicación de este artículo.</w:t>
      </w:r>
    </w:p>
    <w:p w14:paraId="000004E7" w14:textId="01F8E935"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Artículo 1</w:t>
      </w:r>
      <w:r w:rsidR="00555504" w:rsidRPr="001B6518">
        <w:rPr>
          <w:rFonts w:ascii="Arial" w:eastAsia="Arial" w:hAnsi="Arial" w:cs="Arial"/>
          <w:b/>
        </w:rPr>
        <w:t>7</w:t>
      </w:r>
      <w:r w:rsidRPr="001B6518">
        <w:rPr>
          <w:rFonts w:ascii="Arial" w:eastAsia="Arial" w:hAnsi="Arial" w:cs="Arial"/>
          <w:b/>
        </w:rPr>
        <w:t>. Recaudación de los ingresos</w:t>
      </w:r>
    </w:p>
    <w:p w14:paraId="000004E8"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Los ingresos autorizados por esta ley se percibirán, causarán, enterarán, liquidarán y recaudarán de acuerdo con la Ley General de Hacienda del Estado de Yucatán, el Código Fiscal del Estado de Yucatán, las leyes de Coordinación Fiscal federal y local, y las demás disposiciones fiscales federales o estatales aplicables.</w:t>
      </w:r>
    </w:p>
    <w:p w14:paraId="000004E9" w14:textId="61409A5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lastRenderedPageBreak/>
        <w:t xml:space="preserve">La Secretaría de Administración y Finanzas, y la Agencia de Administración Fiscal de Yucatán son los entes competentes para recaudar los ingresos que corresponden al estado, los cuales podrán ser recaudados por sí o a través de terceros debidamente autorizados por la </w:t>
      </w:r>
      <w:r w:rsidR="00826010" w:rsidRPr="001B6518">
        <w:rPr>
          <w:rFonts w:ascii="Arial" w:eastAsia="Arial" w:hAnsi="Arial" w:cs="Arial"/>
        </w:rPr>
        <w:t>s</w:t>
      </w:r>
      <w:r w:rsidRPr="001B6518">
        <w:rPr>
          <w:rFonts w:ascii="Arial" w:eastAsia="Arial" w:hAnsi="Arial" w:cs="Arial"/>
        </w:rPr>
        <w:t xml:space="preserve">ecretaría o la </w:t>
      </w:r>
      <w:r w:rsidR="00700B9D" w:rsidRPr="001B6518">
        <w:rPr>
          <w:rFonts w:ascii="Arial" w:eastAsia="Arial" w:hAnsi="Arial" w:cs="Arial"/>
        </w:rPr>
        <w:t>agencia</w:t>
      </w:r>
      <w:r w:rsidRPr="001B6518">
        <w:rPr>
          <w:rFonts w:ascii="Arial" w:eastAsia="Arial" w:hAnsi="Arial" w:cs="Arial"/>
        </w:rPr>
        <w:t>.</w:t>
      </w:r>
    </w:p>
    <w:p w14:paraId="000004EA" w14:textId="29323F96"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Artículo 1</w:t>
      </w:r>
      <w:r w:rsidR="00555504" w:rsidRPr="001B6518">
        <w:rPr>
          <w:rFonts w:ascii="Arial" w:eastAsia="Arial" w:hAnsi="Arial" w:cs="Arial"/>
          <w:b/>
        </w:rPr>
        <w:t>8</w:t>
      </w:r>
      <w:r w:rsidRPr="001B6518">
        <w:rPr>
          <w:rFonts w:ascii="Arial" w:eastAsia="Arial" w:hAnsi="Arial" w:cs="Arial"/>
          <w:b/>
        </w:rPr>
        <w:t>. Excepción de recaudación de ingresos</w:t>
      </w:r>
    </w:p>
    <w:p w14:paraId="000004EB"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Los ingresos provenientes de las aportaciones de seguridad social destinados al Instituto de Seguridad Social de los Trabajadores del Estado de Yucatán, no se concentrarán en la Tesorería General del Estado y, podrán ser recaudados por las oficinas del propio instituto o por las instituciones de crédito que autorice la Secretaría de Administración y Finanzas. Para ello, deberán cumplir con los requisitos contables establecidos y reflejarse en la cuenta pública.</w:t>
      </w:r>
    </w:p>
    <w:p w14:paraId="000004EC" w14:textId="395F3420"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 xml:space="preserve">Los ingresos que el estado obtenga en términos del artículo 71 de la Ley General de Víctimas serán integrados al patrimonio del </w:t>
      </w:r>
      <w:sdt>
        <w:sdtPr>
          <w:rPr>
            <w:rFonts w:ascii="Arial" w:hAnsi="Arial" w:cs="Arial"/>
          </w:rPr>
          <w:tag w:val="goog_rdk_22"/>
          <w:id w:val="-1356156731"/>
        </w:sdtPr>
        <w:sdtEndPr/>
        <w:sdtContent/>
      </w:sdt>
      <w:r w:rsidRPr="001B6518">
        <w:rPr>
          <w:rFonts w:ascii="Arial" w:eastAsia="Arial" w:hAnsi="Arial" w:cs="Arial"/>
        </w:rPr>
        <w:t>Fondo Estatal de Ayuda, Asistencia y Reparación Integral.</w:t>
      </w:r>
    </w:p>
    <w:p w14:paraId="000004ED" w14:textId="797EB686"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Artículo 1</w:t>
      </w:r>
      <w:r w:rsidR="00555504" w:rsidRPr="001B6518">
        <w:rPr>
          <w:rFonts w:ascii="Arial" w:eastAsia="Arial" w:hAnsi="Arial" w:cs="Arial"/>
          <w:b/>
        </w:rPr>
        <w:t>9</w:t>
      </w:r>
      <w:r w:rsidRPr="001B6518">
        <w:rPr>
          <w:rFonts w:ascii="Arial" w:eastAsia="Arial" w:hAnsi="Arial" w:cs="Arial"/>
          <w:b/>
        </w:rPr>
        <w:t>. Registro de ingresos</w:t>
      </w:r>
    </w:p>
    <w:p w14:paraId="000004EE"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Las entidades que reciban ingresos por el pago de contraprestaciones de cualquier tipo, derechos y servicios, así como donativos en dinero, deberán emitir el Comprobante Fiscal Digital por Internet respectivo de dicho ingreso, conforme a lo establecido en el Código Fiscal de la Federación, registrarlo y presupuestar los egresos correspondientes. Además, se sujetarán a lo establecido por su órgano de gobierno. En caso contrario, no deberán ejercerlos, bajo pena de incurrir en responsabilidad.</w:t>
      </w:r>
    </w:p>
    <w:p w14:paraId="000004EF" w14:textId="11E0C756"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 xml:space="preserve">Artículo </w:t>
      </w:r>
      <w:r w:rsidR="00555504" w:rsidRPr="001B6518">
        <w:rPr>
          <w:rFonts w:ascii="Arial" w:eastAsia="Arial" w:hAnsi="Arial" w:cs="Arial"/>
          <w:b/>
        </w:rPr>
        <w:t>20</w:t>
      </w:r>
      <w:r w:rsidRPr="001B6518">
        <w:rPr>
          <w:rFonts w:ascii="Arial" w:eastAsia="Arial" w:hAnsi="Arial" w:cs="Arial"/>
          <w:b/>
        </w:rPr>
        <w:t>. Convenios de colaboración administrativa</w:t>
      </w:r>
    </w:p>
    <w:p w14:paraId="000004F0"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La Secretaría de Administración y Finanzas estará facultada para que, por conducto de la Agencia de Administración Fiscal de Yucatán, realice los siguientes actos:</w:t>
      </w:r>
    </w:p>
    <w:p w14:paraId="000004F1" w14:textId="77777777" w:rsidR="006B6C42" w:rsidRPr="001B6518" w:rsidRDefault="00DA2020">
      <w:pPr>
        <w:spacing w:before="280" w:after="280" w:line="240" w:lineRule="auto"/>
        <w:ind w:firstLine="709"/>
        <w:jc w:val="both"/>
        <w:rPr>
          <w:rFonts w:ascii="Arial" w:eastAsia="Arial" w:hAnsi="Arial" w:cs="Arial"/>
        </w:rPr>
      </w:pPr>
      <w:r w:rsidRPr="001B6518">
        <w:rPr>
          <w:rFonts w:ascii="Arial" w:eastAsia="Arial" w:hAnsi="Arial" w:cs="Arial"/>
        </w:rPr>
        <w:t>I. Celebre convenios de colaboración administrativa con los poderes legislativo, judicial, organismos constitucionales autónomos o con las entidades de la Administración Pública paraestatal, municipal o federal, respecto a la recaudación de los ingresos que tenga derecho a percibir.</w:t>
      </w:r>
    </w:p>
    <w:p w14:paraId="000004F2" w14:textId="066DDB4B" w:rsidR="006B6C42" w:rsidRPr="001B6518" w:rsidRDefault="00DA2020">
      <w:pPr>
        <w:spacing w:before="280" w:after="280" w:line="240" w:lineRule="auto"/>
        <w:ind w:firstLine="709"/>
        <w:jc w:val="both"/>
        <w:rPr>
          <w:rFonts w:ascii="Arial" w:eastAsia="Arial" w:hAnsi="Arial" w:cs="Arial"/>
        </w:rPr>
      </w:pPr>
      <w:r w:rsidRPr="001B6518">
        <w:rPr>
          <w:rFonts w:ascii="Arial" w:eastAsia="Arial" w:hAnsi="Arial" w:cs="Arial"/>
        </w:rPr>
        <w:t xml:space="preserve">II. Celebre convenios o acuerdos de colaboración en materia fiscal con el </w:t>
      </w:r>
      <w:r w:rsidR="00826010" w:rsidRPr="001B6518">
        <w:rPr>
          <w:rFonts w:ascii="Arial" w:eastAsia="Arial" w:hAnsi="Arial" w:cs="Arial"/>
        </w:rPr>
        <w:t>G</w:t>
      </w:r>
      <w:r w:rsidRPr="001B6518">
        <w:rPr>
          <w:rFonts w:ascii="Arial" w:eastAsia="Arial" w:hAnsi="Arial" w:cs="Arial"/>
        </w:rPr>
        <w:t xml:space="preserve">obierno federal, incluidos sus organismos públicos descentralizados y </w:t>
      </w:r>
      <w:r w:rsidRPr="001B6518">
        <w:rPr>
          <w:rFonts w:ascii="Arial" w:eastAsia="Arial" w:hAnsi="Arial" w:cs="Arial"/>
        </w:rPr>
        <w:lastRenderedPageBreak/>
        <w:t>desconcentrados, para que se suministren recíprocamente la información que requieran, con el propósito de que cada una de las partes tenga acceso a dicha información y con base en ella, se instrumenten programas de verificación y se ejerzan facultades de comprobación del cumplimiento de obligaciones fiscales de los contribuyentes.</w:t>
      </w:r>
    </w:p>
    <w:p w14:paraId="000004F3" w14:textId="77777777" w:rsidR="006B6C42" w:rsidRPr="001B6518" w:rsidRDefault="00DA2020">
      <w:pPr>
        <w:spacing w:before="280" w:after="280" w:line="240" w:lineRule="auto"/>
        <w:ind w:firstLine="709"/>
        <w:jc w:val="both"/>
        <w:rPr>
          <w:rFonts w:ascii="Arial" w:eastAsia="Arial" w:hAnsi="Arial" w:cs="Arial"/>
        </w:rPr>
      </w:pPr>
      <w:r w:rsidRPr="001B6518">
        <w:rPr>
          <w:rFonts w:ascii="Arial" w:eastAsia="Arial" w:hAnsi="Arial" w:cs="Arial"/>
        </w:rPr>
        <w:t xml:space="preserve">III. Celebre con los municipios, a través de sus ayuntamientos, convenios o acuerdos de coordinación, colaboración administrativa o prestación de servicios para que efectúe la administración o el cobro de ingresos municipales, o se suministren recíprocamente la información que requieran, con el propósito de que cada una de las partes tenga acceso a dicha información y con base en ella, se instrumenten programas de verificación y se ejerzan facultades de comprobación del cumplimiento de obligaciones fiscales. </w:t>
      </w:r>
    </w:p>
    <w:p w14:paraId="000004F4"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La Agencia de Administración Fiscal de Yucatán podrá establecer, en coordinación con organismos descentralizados o desconcentrados de la Administración Pública federal, estatal o municipal, los mecanismos de control, seguimiento y trazabilidad del entero de ingresos vinculados con los actos jurídicos de inmuebles registrados en el estado relativos a la publicidad registral. Lo establecido en este párrafo será aplicable para ingresos que provengan de contribuciones estatales, así como federales o municipales que se hayan convenido.</w:t>
      </w:r>
    </w:p>
    <w:p w14:paraId="000004F5" w14:textId="370AAB67"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Artículo 2</w:t>
      </w:r>
      <w:r w:rsidR="00555504" w:rsidRPr="001B6518">
        <w:rPr>
          <w:rFonts w:ascii="Arial" w:eastAsia="Arial" w:hAnsi="Arial" w:cs="Arial"/>
          <w:b/>
        </w:rPr>
        <w:t>1</w:t>
      </w:r>
      <w:r w:rsidRPr="001B6518">
        <w:rPr>
          <w:rFonts w:ascii="Arial" w:eastAsia="Arial" w:hAnsi="Arial" w:cs="Arial"/>
          <w:b/>
        </w:rPr>
        <w:t>. Contribuciones no determinadas</w:t>
      </w:r>
    </w:p>
    <w:p w14:paraId="000004F6"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No podrá cobrarse ninguna contribución que no esté determinada expresamente en las disposiciones legales aplicables.</w:t>
      </w:r>
    </w:p>
    <w:p w14:paraId="000004F7" w14:textId="51A4D6BD"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Artículo 2</w:t>
      </w:r>
      <w:r w:rsidR="00555504" w:rsidRPr="001B6518">
        <w:rPr>
          <w:rFonts w:ascii="Arial" w:eastAsia="Arial" w:hAnsi="Arial" w:cs="Arial"/>
          <w:b/>
        </w:rPr>
        <w:t>2</w:t>
      </w:r>
      <w:r w:rsidRPr="001B6518">
        <w:rPr>
          <w:rFonts w:ascii="Arial" w:eastAsia="Arial" w:hAnsi="Arial" w:cs="Arial"/>
          <w:b/>
        </w:rPr>
        <w:t>. Concentración de ingresos</w:t>
      </w:r>
    </w:p>
    <w:p w14:paraId="000004F8" w14:textId="2E89ECED"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 xml:space="preserve">Los ingresos que recauden durante el ejercicio fiscal 2026, las dependencias de la Administración Pública centralizada o sus órganos administrativos desconcentrados por los diversos conceptos que establece esta ley deben concentrarse en la Tesorería General del Estado, a más tardar el quinto día hábil siguiente al de su recepción, y deberán reflejarse, cualquiera que sea su naturaleza, tanto en los registros de la propia Tesorería General del Estado como en la cuenta pública. </w:t>
      </w:r>
    </w:p>
    <w:p w14:paraId="000004F9"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Los ingresos propios de las entidades de la Administración Pública paraestatal no se concentrarán en la Tesorería General del Estado, excepto cuando se trate de contribuciones o ingresos propios por los que se hubiese convenido el cobro a través de convenios de colaboración administrativa.</w:t>
      </w:r>
    </w:p>
    <w:p w14:paraId="000004FA"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lastRenderedPageBreak/>
        <w:t>Las entidades paraestatales informarán, dentro de los primeros quince días naturales del mes siguiente al que concluya el trimestre respectivo, a la Secretaría de Administración y Finanzas, sobre los ingresos que obtengan por cualquier concepto, de acuerdo con el rubro, tipo o clase correspondiente, previsto en este ordenamiento, a efecto de que se puedan elaborar los informes trimestrales que establece la Ley del Presupuesto y Contabilidad Gubernamental del Estado de Yucatán y su reglamento para que posteriormente, se reflejen dentro de la cuenta pública.</w:t>
      </w:r>
    </w:p>
    <w:p w14:paraId="401183A9" w14:textId="04C9026B" w:rsidR="002A5EE7" w:rsidRPr="001B6518" w:rsidRDefault="002A5EE7">
      <w:pPr>
        <w:spacing w:before="280" w:after="280" w:line="240" w:lineRule="auto"/>
        <w:jc w:val="both"/>
        <w:rPr>
          <w:rFonts w:ascii="Arial" w:eastAsia="Arial" w:hAnsi="Arial" w:cs="Arial"/>
        </w:rPr>
      </w:pPr>
      <w:r w:rsidRPr="001B6518">
        <w:rPr>
          <w:rFonts w:ascii="Arial" w:eastAsia="Arial" w:hAnsi="Arial" w:cs="Arial"/>
        </w:rPr>
        <w:t>Las entidades paraestatales deberán conservar la documentación comprobatoria de dichos ingresos mientras pueda ser objeto de auditoría, verificación o fiscalización por las instancias competentes, y ponerla a disposición de los órganos revisores de la cuenta pública</w:t>
      </w:r>
      <w:r w:rsidR="00C82E97" w:rsidRPr="001B6518">
        <w:rPr>
          <w:rFonts w:ascii="Arial" w:eastAsia="Arial" w:hAnsi="Arial" w:cs="Arial"/>
        </w:rPr>
        <w:t>.</w:t>
      </w:r>
    </w:p>
    <w:p w14:paraId="255EF12A" w14:textId="77777777" w:rsidR="00B404E4" w:rsidRPr="001B6518" w:rsidRDefault="00B404E4">
      <w:pPr>
        <w:spacing w:before="280" w:after="280" w:line="240" w:lineRule="auto"/>
        <w:jc w:val="both"/>
        <w:rPr>
          <w:rFonts w:ascii="Arial" w:eastAsia="Arial" w:hAnsi="Arial" w:cs="Arial"/>
        </w:rPr>
      </w:pPr>
      <w:r w:rsidRPr="001B6518">
        <w:rPr>
          <w:rFonts w:ascii="Arial" w:eastAsia="Arial" w:hAnsi="Arial" w:cs="Arial"/>
        </w:rPr>
        <w:t>Los poderes Legislativo y Judicial, así como los órganos autónomos, registrarán los ingresos que obtengan por cualquier concepto en el rubro correspondiente de esta Ley, salvo los ingresos fiscales, y deberán conservar la documentación comprobatoria de dichos ingresos mientras pueda ser objeto de auditoría, verificación o fiscalización por las instancias competentes, poniéndola a disposición de los órganos revisores de la cuenta pública.</w:t>
      </w:r>
    </w:p>
    <w:p w14:paraId="000004FD" w14:textId="129626E6"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Las contribuciones, productos o aprovechamientos a los que las leyes de carácter no fiscal otorguen una naturaleza distinta a la establecida en las leyes fiscales, tendrán la naturaleza establecida en estas últimas.</w:t>
      </w:r>
    </w:p>
    <w:p w14:paraId="000004FE"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Lo señalado en los párrafos anteriores se establece sin perjuicio de la obligación de concentrar los recursos públicos al final del ejercicio en la Tesorería General del Estado, en los términos del artículo 92 de la Ley del Presupuesto y Contabilidad Gubernamental del Estado de Yucatán.</w:t>
      </w:r>
    </w:p>
    <w:p w14:paraId="000004FF" w14:textId="0B0A0D8E"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Artículo 2</w:t>
      </w:r>
      <w:r w:rsidR="00555504" w:rsidRPr="001B6518">
        <w:rPr>
          <w:rFonts w:ascii="Arial" w:eastAsia="Arial" w:hAnsi="Arial" w:cs="Arial"/>
          <w:b/>
        </w:rPr>
        <w:t>3</w:t>
      </w:r>
      <w:r w:rsidRPr="001B6518">
        <w:rPr>
          <w:rFonts w:ascii="Arial" w:eastAsia="Arial" w:hAnsi="Arial" w:cs="Arial"/>
          <w:b/>
        </w:rPr>
        <w:t>. Concentración de ingresos por desincorporación de entidades paraestatales</w:t>
      </w:r>
    </w:p>
    <w:p w14:paraId="00000500"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 xml:space="preserve">Los ingresos netos que se obtengan por la desincorporación de entidades paraestatales, serán los recursos remanentes que queden una vez descontadas las erogaciones realizadas por concepto de comisiones que se paguen a agentes financieros, contribuciones, gastos de administración, de mantenimiento y venta, honorarios de comisionados especiales que no sean servidores públicos encargados de dichos procesos, así como pagos por las reclamaciones procedentes que presenten los adquirentes o terceros, por pasivos ocultos, fiscales </w:t>
      </w:r>
      <w:r w:rsidRPr="001B6518">
        <w:rPr>
          <w:rFonts w:ascii="Arial" w:eastAsia="Arial" w:hAnsi="Arial" w:cs="Arial"/>
        </w:rPr>
        <w:lastRenderedPageBreak/>
        <w:t>o de otra índole, activos inexistentes, asuntos en litigio y demás erogaciones análogas a todas las mencionadas.</w:t>
      </w:r>
    </w:p>
    <w:p w14:paraId="00000501"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Los ingresos netos se enterarán o concentrarán, según corresponda, en la Tesorería General del Estado y deberán manifestarse tanto en los registros de la propia tesorería como en la cuenta pública del estado.</w:t>
      </w:r>
    </w:p>
    <w:p w14:paraId="00000502"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Los pasivos a cargo de organismos públicos descentralizados en proceso de extinción y liquidación que tengan como acreedor al Gobierno estatal, con excepción de aquellos que tengan el carácter de crédito fiscal, podrán determinarse como extintos por la Secretaría de Administración y Finanzas, de pleno derecho, sin necesidad de autorización alguna, y los créditos quedarán cancelados de las cuentas públicas.</w:t>
      </w:r>
    </w:p>
    <w:p w14:paraId="00000503" w14:textId="4DB03E42"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Artículo 2</w:t>
      </w:r>
      <w:r w:rsidR="00555504" w:rsidRPr="001B6518">
        <w:rPr>
          <w:rFonts w:ascii="Arial" w:eastAsia="Arial" w:hAnsi="Arial" w:cs="Arial"/>
          <w:b/>
        </w:rPr>
        <w:t>4</w:t>
      </w:r>
      <w:r w:rsidRPr="001B6518">
        <w:rPr>
          <w:rFonts w:ascii="Arial" w:eastAsia="Arial" w:hAnsi="Arial" w:cs="Arial"/>
          <w:b/>
        </w:rPr>
        <w:t>. Remanentes de fideicomisos</w:t>
      </w:r>
    </w:p>
    <w:p w14:paraId="00000504" w14:textId="2499AC0E"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 xml:space="preserve">Los recursos públicos estatales remanentes de la extinción o terminación de un fideicomiso, mandato o contrato análogo deberán ser concentrados en la Tesorería General del Estado. En su caso, la Secretaría de Administración y Finanzas determinará el destino de estos recursos, salvo </w:t>
      </w:r>
      <w:sdt>
        <w:sdtPr>
          <w:rPr>
            <w:rFonts w:ascii="Arial" w:hAnsi="Arial" w:cs="Arial"/>
          </w:rPr>
          <w:tag w:val="goog_rdk_23"/>
          <w:id w:val="455857199"/>
        </w:sdtPr>
        <w:sdtEndPr/>
        <w:sdtContent>
          <w:r w:rsidRPr="001B6518">
            <w:rPr>
              <w:rFonts w:ascii="Arial" w:eastAsia="Arial" w:hAnsi="Arial" w:cs="Arial"/>
            </w:rPr>
            <w:t xml:space="preserve">de </w:t>
          </w:r>
        </w:sdtContent>
      </w:sdt>
      <w:r w:rsidRPr="001B6518">
        <w:rPr>
          <w:rFonts w:ascii="Arial" w:eastAsia="Arial" w:hAnsi="Arial" w:cs="Arial"/>
        </w:rPr>
        <w:t xml:space="preserve">aquellos que, en el instrumento respectivo, o en la norma de regulación, se </w:t>
      </w:r>
      <w:sdt>
        <w:sdtPr>
          <w:rPr>
            <w:rFonts w:ascii="Arial" w:hAnsi="Arial" w:cs="Arial"/>
          </w:rPr>
          <w:tag w:val="goog_rdk_24"/>
          <w:id w:val="-1766235352"/>
        </w:sdtPr>
        <w:sdtEndPr/>
        <w:sdtContent>
          <w:r w:rsidRPr="001B6518">
            <w:rPr>
              <w:rFonts w:ascii="Arial" w:eastAsia="Arial" w:hAnsi="Arial" w:cs="Arial"/>
            </w:rPr>
            <w:t xml:space="preserve">haya </w:t>
          </w:r>
        </w:sdtContent>
      </w:sdt>
      <w:r w:rsidRPr="001B6518">
        <w:rPr>
          <w:rFonts w:ascii="Arial" w:eastAsia="Arial" w:hAnsi="Arial" w:cs="Arial"/>
        </w:rPr>
        <w:t>estable</w:t>
      </w:r>
      <w:sdt>
        <w:sdtPr>
          <w:rPr>
            <w:rFonts w:ascii="Arial" w:hAnsi="Arial" w:cs="Arial"/>
          </w:rPr>
          <w:tag w:val="goog_rdk_25"/>
          <w:id w:val="983536792"/>
        </w:sdtPr>
        <w:sdtEndPr/>
        <w:sdtContent>
          <w:r w:rsidRPr="001B6518">
            <w:rPr>
              <w:rFonts w:ascii="Arial" w:eastAsia="Arial" w:hAnsi="Arial" w:cs="Arial"/>
            </w:rPr>
            <w:t>cido</w:t>
          </w:r>
        </w:sdtContent>
      </w:sdt>
      <w:r w:rsidRPr="001B6518">
        <w:rPr>
          <w:rFonts w:ascii="Arial" w:eastAsia="Arial" w:hAnsi="Arial" w:cs="Arial"/>
        </w:rPr>
        <w:t xml:space="preserve"> un destino diferente. </w:t>
      </w:r>
    </w:p>
    <w:p w14:paraId="00000505" w14:textId="2FFA0DBD"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Artículo 2</w:t>
      </w:r>
      <w:r w:rsidR="00555504" w:rsidRPr="001B6518">
        <w:rPr>
          <w:rFonts w:ascii="Arial" w:eastAsia="Arial" w:hAnsi="Arial" w:cs="Arial"/>
          <w:b/>
        </w:rPr>
        <w:t>5</w:t>
      </w:r>
      <w:r w:rsidRPr="001B6518">
        <w:rPr>
          <w:rFonts w:ascii="Arial" w:eastAsia="Arial" w:hAnsi="Arial" w:cs="Arial"/>
          <w:b/>
        </w:rPr>
        <w:t>. Ingresos obtenidos de multas por infracciones fiscales</w:t>
      </w:r>
    </w:p>
    <w:p w14:paraId="565267ED" w14:textId="1A2568BA" w:rsidR="00473BBE" w:rsidRPr="001B6518" w:rsidRDefault="00DA2020" w:rsidP="00433805">
      <w:pPr>
        <w:spacing w:before="280" w:after="280" w:line="240" w:lineRule="auto"/>
        <w:jc w:val="both"/>
        <w:rPr>
          <w:rFonts w:ascii="Arial" w:eastAsia="Arial" w:hAnsi="Arial" w:cs="Arial"/>
        </w:rPr>
      </w:pPr>
      <w:bookmarkStart w:id="4" w:name="_heading=h.x5x556jywdo5" w:colFirst="0" w:colLast="0"/>
      <w:bookmarkEnd w:id="4"/>
      <w:r w:rsidRPr="001B6518">
        <w:rPr>
          <w:rFonts w:ascii="Arial" w:eastAsia="Arial" w:hAnsi="Arial" w:cs="Arial"/>
        </w:rPr>
        <w:t>Los ingresos que el estado obtenga efectivamente de multas por infracciones a las disposiciones fiscales se destinarán a la formación de fondos para el otorgamiento de estímulos por productividad y cumplimiento del personal de dicho órgano fiscal atendiendo a lo señalado en la fracción III, del artículo 20, de la Ley de la Agencia de Administración Fiscal de Yucatán.</w:t>
      </w:r>
    </w:p>
    <w:p w14:paraId="2FDDF5AC" w14:textId="3D0B230B" w:rsidR="00473BBE" w:rsidRPr="001B6518" w:rsidRDefault="00433805" w:rsidP="000677D9">
      <w:pPr>
        <w:spacing w:before="280" w:after="280" w:line="240" w:lineRule="auto"/>
        <w:jc w:val="center"/>
        <w:rPr>
          <w:rFonts w:ascii="Arial" w:eastAsia="Arial" w:hAnsi="Arial" w:cs="Arial"/>
          <w:b/>
        </w:rPr>
      </w:pPr>
      <w:r w:rsidRPr="001B6518">
        <w:rPr>
          <w:rFonts w:ascii="Arial" w:eastAsia="Arial" w:hAnsi="Arial" w:cs="Arial"/>
          <w:b/>
        </w:rPr>
        <w:t>Capítulo V</w:t>
      </w:r>
      <w:r w:rsidR="00952237" w:rsidRPr="001B6518">
        <w:rPr>
          <w:rFonts w:ascii="Arial" w:eastAsia="Arial" w:hAnsi="Arial" w:cs="Arial"/>
          <w:b/>
        </w:rPr>
        <w:br/>
        <w:t>Sujetos públicos obligados</w:t>
      </w:r>
    </w:p>
    <w:p w14:paraId="3A479A5E" w14:textId="0EE9386B" w:rsidR="00433805" w:rsidRPr="001B6518" w:rsidRDefault="00433805" w:rsidP="00433805">
      <w:pPr>
        <w:spacing w:before="280" w:after="280" w:line="240" w:lineRule="auto"/>
        <w:jc w:val="both"/>
        <w:rPr>
          <w:rFonts w:ascii="Arial" w:eastAsia="Arial" w:hAnsi="Arial" w:cs="Arial"/>
          <w:b/>
        </w:rPr>
      </w:pPr>
      <w:r w:rsidRPr="001B6518">
        <w:rPr>
          <w:rFonts w:ascii="Arial" w:eastAsia="Arial" w:hAnsi="Arial" w:cs="Arial"/>
          <w:b/>
        </w:rPr>
        <w:t>Artículo 2</w:t>
      </w:r>
      <w:r w:rsidR="00555504" w:rsidRPr="001B6518">
        <w:rPr>
          <w:rFonts w:ascii="Arial" w:eastAsia="Arial" w:hAnsi="Arial" w:cs="Arial"/>
          <w:b/>
        </w:rPr>
        <w:t>6</w:t>
      </w:r>
      <w:r w:rsidRPr="001B6518">
        <w:rPr>
          <w:rFonts w:ascii="Arial" w:eastAsia="Arial" w:hAnsi="Arial" w:cs="Arial"/>
          <w:b/>
        </w:rPr>
        <w:t>. Sujetos públicos obligados a pagar contribuciones</w:t>
      </w:r>
    </w:p>
    <w:p w14:paraId="67F9E129" w14:textId="77777777" w:rsidR="00433805" w:rsidRPr="001B6518" w:rsidRDefault="00433805" w:rsidP="00433805">
      <w:pPr>
        <w:spacing w:before="280" w:after="280" w:line="240" w:lineRule="auto"/>
        <w:jc w:val="both"/>
        <w:rPr>
          <w:rFonts w:ascii="Arial" w:eastAsia="Arial" w:hAnsi="Arial" w:cs="Arial"/>
        </w:rPr>
      </w:pPr>
      <w:r w:rsidRPr="001B6518">
        <w:rPr>
          <w:rFonts w:ascii="Arial" w:eastAsia="Arial" w:hAnsi="Arial" w:cs="Arial"/>
        </w:rPr>
        <w:t xml:space="preserve">El estado, los municipios, los organismos descentralizados estatales y municipales, las empresas de participación estatal mayoritaria, las empresas de participación municipal mayoritaria, los fideicomisos públicos o privados de los que el Gobierno del estado o los municipios sean parte, así como las personas de derecho público con autonomía derivada de su norma de creación, de la Constitución Política de los </w:t>
      </w:r>
      <w:r w:rsidRPr="001B6518">
        <w:rPr>
          <w:rFonts w:ascii="Arial" w:eastAsia="Arial" w:hAnsi="Arial" w:cs="Arial"/>
        </w:rPr>
        <w:lastRenderedPageBreak/>
        <w:t>Estados Unidos Mexicanos o de la Constitución Política del Estado de Yucatán, quedan obligados a pagar contribuciones, salvo que las leyes fiscales federales o estatales los eximan expresamente.</w:t>
      </w:r>
    </w:p>
    <w:p w14:paraId="783FDA00" w14:textId="77777777" w:rsidR="00433805" w:rsidRPr="001B6518" w:rsidRDefault="00433805" w:rsidP="00D064D5">
      <w:pPr>
        <w:spacing w:before="280" w:after="280" w:line="240" w:lineRule="auto"/>
        <w:jc w:val="center"/>
        <w:rPr>
          <w:rFonts w:ascii="Arial" w:eastAsia="Arial" w:hAnsi="Arial" w:cs="Arial"/>
          <w:b/>
        </w:rPr>
      </w:pPr>
      <w:r w:rsidRPr="001B6518">
        <w:rPr>
          <w:rFonts w:ascii="Arial" w:eastAsia="Arial" w:hAnsi="Arial" w:cs="Arial"/>
          <w:b/>
        </w:rPr>
        <w:t>Capítulo VI</w:t>
      </w:r>
      <w:r w:rsidRPr="001B6518">
        <w:rPr>
          <w:rFonts w:ascii="Arial" w:eastAsia="Arial" w:hAnsi="Arial" w:cs="Arial"/>
        </w:rPr>
        <w:br/>
      </w:r>
      <w:r w:rsidRPr="001B6518">
        <w:rPr>
          <w:rFonts w:ascii="Arial" w:eastAsia="Arial" w:hAnsi="Arial" w:cs="Arial"/>
          <w:b/>
        </w:rPr>
        <w:t>Facilidades a los contribuyentes</w:t>
      </w:r>
    </w:p>
    <w:p w14:paraId="449B38B9" w14:textId="63ED2BBE" w:rsidR="00433805" w:rsidRPr="001B6518" w:rsidRDefault="00433805" w:rsidP="00433805">
      <w:pPr>
        <w:spacing w:before="280" w:after="280" w:line="240" w:lineRule="auto"/>
        <w:jc w:val="both"/>
        <w:rPr>
          <w:rFonts w:ascii="Arial" w:eastAsia="Arial" w:hAnsi="Arial" w:cs="Arial"/>
          <w:b/>
        </w:rPr>
      </w:pPr>
      <w:r w:rsidRPr="001B6518">
        <w:rPr>
          <w:rFonts w:ascii="Arial" w:eastAsia="Arial" w:hAnsi="Arial" w:cs="Arial"/>
          <w:b/>
        </w:rPr>
        <w:t>Artículo 2</w:t>
      </w:r>
      <w:r w:rsidR="00555504" w:rsidRPr="001B6518">
        <w:rPr>
          <w:rFonts w:ascii="Arial" w:eastAsia="Arial" w:hAnsi="Arial" w:cs="Arial"/>
          <w:b/>
        </w:rPr>
        <w:t>7</w:t>
      </w:r>
      <w:r w:rsidRPr="001B6518">
        <w:rPr>
          <w:rFonts w:ascii="Arial" w:eastAsia="Arial" w:hAnsi="Arial" w:cs="Arial"/>
          <w:b/>
        </w:rPr>
        <w:t>. Inscripción al Registro Federal de Contribuyentes</w:t>
      </w:r>
    </w:p>
    <w:p w14:paraId="11DBDB77" w14:textId="77777777" w:rsidR="00433805" w:rsidRPr="001B6518" w:rsidRDefault="00433805" w:rsidP="00433805">
      <w:pPr>
        <w:spacing w:before="280" w:after="280" w:line="240" w:lineRule="auto"/>
        <w:jc w:val="both"/>
        <w:rPr>
          <w:rFonts w:ascii="Arial" w:eastAsia="Arial" w:hAnsi="Arial" w:cs="Arial"/>
        </w:rPr>
      </w:pPr>
      <w:r w:rsidRPr="001B6518">
        <w:rPr>
          <w:rFonts w:ascii="Arial" w:eastAsia="Arial" w:hAnsi="Arial" w:cs="Arial"/>
        </w:rPr>
        <w:t>Para ejercer las funciones administrativas de inscripción al Registro Federal de Contribuyentes que establece el Convenio de Colaboración Administrativa en Materia Fiscal Federal, las autoridades fiscales podrán utilizar los datos proporcionados por los contribuyentes a dicho registro.</w:t>
      </w:r>
    </w:p>
    <w:p w14:paraId="3A7F17EF" w14:textId="42C4C9BE" w:rsidR="00433805" w:rsidRPr="001B6518" w:rsidRDefault="00433805" w:rsidP="00433805">
      <w:pPr>
        <w:spacing w:before="280" w:after="280" w:line="240" w:lineRule="auto"/>
        <w:jc w:val="both"/>
        <w:rPr>
          <w:rFonts w:ascii="Arial" w:eastAsia="Arial" w:hAnsi="Arial" w:cs="Arial"/>
          <w:b/>
        </w:rPr>
      </w:pPr>
      <w:r w:rsidRPr="001B6518">
        <w:rPr>
          <w:rFonts w:ascii="Arial" w:eastAsia="Arial" w:hAnsi="Arial" w:cs="Arial"/>
          <w:b/>
        </w:rPr>
        <w:t>Artículo 2</w:t>
      </w:r>
      <w:r w:rsidR="00555504" w:rsidRPr="001B6518">
        <w:rPr>
          <w:rFonts w:ascii="Arial" w:eastAsia="Arial" w:hAnsi="Arial" w:cs="Arial"/>
          <w:b/>
        </w:rPr>
        <w:t>8</w:t>
      </w:r>
      <w:r w:rsidRPr="001B6518">
        <w:rPr>
          <w:rFonts w:ascii="Arial" w:eastAsia="Arial" w:hAnsi="Arial" w:cs="Arial"/>
          <w:b/>
        </w:rPr>
        <w:t>. Medios de pago</w:t>
      </w:r>
    </w:p>
    <w:p w14:paraId="38C5EC0A" w14:textId="77777777" w:rsidR="00433805" w:rsidRPr="001B6518" w:rsidRDefault="00433805" w:rsidP="00433805">
      <w:pPr>
        <w:spacing w:before="280" w:after="280" w:line="240" w:lineRule="auto"/>
        <w:jc w:val="both"/>
        <w:rPr>
          <w:rFonts w:ascii="Arial" w:eastAsia="Arial" w:hAnsi="Arial" w:cs="Arial"/>
        </w:rPr>
      </w:pPr>
      <w:r w:rsidRPr="001B6518">
        <w:rPr>
          <w:rFonts w:ascii="Arial" w:eastAsia="Arial" w:hAnsi="Arial" w:cs="Arial"/>
        </w:rPr>
        <w:t>Para los efectos del artículo 29, párrafos primero y segundo, del Código Fiscal del Estado de Yucatán, las tarjetas de crédito o débito emitidas por las instituciones de crédito autorizadas se aceptarán como medio de pago de contribuciones, aprovechamientos y sus accesorios, así como de aquellos ingresos convenidos con otros entes de gobierno.</w:t>
      </w:r>
    </w:p>
    <w:p w14:paraId="1BFD08A9" w14:textId="49D8AD36" w:rsidR="00433805" w:rsidRPr="001B6518" w:rsidRDefault="00433805" w:rsidP="00433805">
      <w:pPr>
        <w:spacing w:before="280" w:after="280" w:line="240" w:lineRule="auto"/>
        <w:jc w:val="both"/>
        <w:rPr>
          <w:rFonts w:ascii="Arial" w:eastAsia="Arial" w:hAnsi="Arial" w:cs="Arial"/>
          <w:b/>
        </w:rPr>
      </w:pPr>
      <w:r w:rsidRPr="001B6518">
        <w:rPr>
          <w:rFonts w:ascii="Arial" w:eastAsia="Arial" w:hAnsi="Arial" w:cs="Arial"/>
          <w:b/>
        </w:rPr>
        <w:t>Artículo 2</w:t>
      </w:r>
      <w:r w:rsidR="00555504" w:rsidRPr="001B6518">
        <w:rPr>
          <w:rFonts w:ascii="Arial" w:eastAsia="Arial" w:hAnsi="Arial" w:cs="Arial"/>
          <w:b/>
        </w:rPr>
        <w:t>9</w:t>
      </w:r>
      <w:r w:rsidRPr="001B6518">
        <w:rPr>
          <w:rFonts w:ascii="Arial" w:eastAsia="Arial" w:hAnsi="Arial" w:cs="Arial"/>
          <w:b/>
        </w:rPr>
        <w:t>. Tasa de recargos</w:t>
      </w:r>
    </w:p>
    <w:p w14:paraId="55420ABE" w14:textId="77777777" w:rsidR="00433805" w:rsidRPr="001B6518" w:rsidRDefault="00433805" w:rsidP="00433805">
      <w:pPr>
        <w:spacing w:before="280" w:after="280" w:line="240" w:lineRule="auto"/>
        <w:jc w:val="both"/>
        <w:rPr>
          <w:rFonts w:ascii="Arial" w:eastAsia="Arial" w:hAnsi="Arial" w:cs="Arial"/>
        </w:rPr>
      </w:pPr>
      <w:r w:rsidRPr="001B6518">
        <w:rPr>
          <w:rFonts w:ascii="Arial" w:eastAsia="Arial" w:hAnsi="Arial" w:cs="Arial"/>
        </w:rPr>
        <w:t>Para efectos de lo señalado en el artículo 30 del Código Fiscal del Estado de Yucatán, se entenderá como tasa de recargos la que fije anualmente el Congreso de la Unión en la Ley de Ingresos de la Federación, y deberá considerarse también la mecánica que de la misma forma el Congreso de la Unión establezca para la variación de dicha tasa de recargos para cada uno de los meses.</w:t>
      </w:r>
    </w:p>
    <w:p w14:paraId="61A30293" w14:textId="00D5F1DA" w:rsidR="00433805" w:rsidRPr="001B6518" w:rsidRDefault="00433805" w:rsidP="00433805">
      <w:pPr>
        <w:spacing w:before="280" w:after="280" w:line="240" w:lineRule="auto"/>
        <w:jc w:val="both"/>
        <w:rPr>
          <w:rFonts w:ascii="Arial" w:eastAsia="Arial" w:hAnsi="Arial" w:cs="Arial"/>
          <w:b/>
        </w:rPr>
      </w:pPr>
      <w:r w:rsidRPr="001B6518">
        <w:rPr>
          <w:rFonts w:ascii="Arial" w:eastAsia="Arial" w:hAnsi="Arial" w:cs="Arial"/>
          <w:b/>
        </w:rPr>
        <w:t xml:space="preserve">Artículo </w:t>
      </w:r>
      <w:r w:rsidR="00555504" w:rsidRPr="001B6518">
        <w:rPr>
          <w:rFonts w:ascii="Arial" w:eastAsia="Arial" w:hAnsi="Arial" w:cs="Arial"/>
          <w:b/>
        </w:rPr>
        <w:t>30</w:t>
      </w:r>
      <w:r w:rsidRPr="001B6518">
        <w:rPr>
          <w:rFonts w:ascii="Arial" w:eastAsia="Arial" w:hAnsi="Arial" w:cs="Arial"/>
          <w:b/>
        </w:rPr>
        <w:t>. Tasa de recargos por prórroga</w:t>
      </w:r>
    </w:p>
    <w:p w14:paraId="45A69C4A" w14:textId="77777777" w:rsidR="00433805" w:rsidRPr="001B6518" w:rsidRDefault="00433805" w:rsidP="00433805">
      <w:pPr>
        <w:spacing w:before="280" w:after="280" w:line="240" w:lineRule="auto"/>
        <w:jc w:val="both"/>
        <w:rPr>
          <w:rFonts w:ascii="Arial" w:eastAsia="Arial" w:hAnsi="Arial" w:cs="Arial"/>
        </w:rPr>
      </w:pPr>
      <w:r w:rsidRPr="001B6518">
        <w:rPr>
          <w:rFonts w:ascii="Arial" w:eastAsia="Arial" w:hAnsi="Arial" w:cs="Arial"/>
        </w:rPr>
        <w:t>En los casos de prórroga para el pago de créditos fiscales se causarán los siguientes recargos:</w:t>
      </w:r>
    </w:p>
    <w:p w14:paraId="23C6A963" w14:textId="77777777" w:rsidR="00433805" w:rsidRPr="001B6518" w:rsidRDefault="00433805" w:rsidP="00ED55B6">
      <w:pPr>
        <w:spacing w:before="280" w:after="280" w:line="240" w:lineRule="auto"/>
        <w:ind w:firstLine="709"/>
        <w:jc w:val="both"/>
        <w:rPr>
          <w:rFonts w:ascii="Arial" w:eastAsia="Arial" w:hAnsi="Arial" w:cs="Arial"/>
        </w:rPr>
      </w:pPr>
      <w:r w:rsidRPr="001B6518">
        <w:rPr>
          <w:rFonts w:ascii="Arial" w:eastAsia="Arial" w:hAnsi="Arial" w:cs="Arial"/>
        </w:rPr>
        <w:t>I. Al 1.38% mensual sobre los saldos insolutos.</w:t>
      </w:r>
    </w:p>
    <w:p w14:paraId="175D0107" w14:textId="77777777" w:rsidR="00433805" w:rsidRPr="001B6518" w:rsidRDefault="00433805" w:rsidP="00ED55B6">
      <w:pPr>
        <w:spacing w:before="280" w:after="280" w:line="240" w:lineRule="auto"/>
        <w:ind w:firstLine="709"/>
        <w:jc w:val="both"/>
        <w:rPr>
          <w:rFonts w:ascii="Arial" w:eastAsia="Arial" w:hAnsi="Arial" w:cs="Arial"/>
        </w:rPr>
      </w:pPr>
      <w:r w:rsidRPr="001B6518">
        <w:rPr>
          <w:rFonts w:ascii="Arial" w:eastAsia="Arial" w:hAnsi="Arial" w:cs="Arial"/>
        </w:rPr>
        <w:t>II. Cuando de conformidad con el Código Fiscal del Estado de Yucatán se autorice el pago a plazos, se aplicará la tasa de recargos que a continuación se establece, sobre los saldos y durante el periodo de que se trate:</w:t>
      </w:r>
    </w:p>
    <w:p w14:paraId="65FD16A6" w14:textId="77777777" w:rsidR="00433805" w:rsidRPr="001B6518" w:rsidRDefault="00433805" w:rsidP="004371DA">
      <w:pPr>
        <w:spacing w:before="280" w:after="280" w:line="240" w:lineRule="auto"/>
        <w:ind w:left="709" w:firstLine="709"/>
        <w:jc w:val="both"/>
        <w:rPr>
          <w:rFonts w:ascii="Arial" w:eastAsia="Arial" w:hAnsi="Arial" w:cs="Arial"/>
        </w:rPr>
      </w:pPr>
      <w:r w:rsidRPr="001B6518">
        <w:rPr>
          <w:rFonts w:ascii="Arial" w:eastAsia="Arial" w:hAnsi="Arial" w:cs="Arial"/>
        </w:rPr>
        <w:lastRenderedPageBreak/>
        <w:t>a) Tratándose de pagos a plazos en parcialidades hasta doce meses, la tasa de recargos será del 1.42% mensual.</w:t>
      </w:r>
    </w:p>
    <w:p w14:paraId="395AC57B" w14:textId="77777777" w:rsidR="00433805" w:rsidRPr="001B6518" w:rsidRDefault="00433805" w:rsidP="004371DA">
      <w:pPr>
        <w:spacing w:before="280" w:after="280" w:line="240" w:lineRule="auto"/>
        <w:ind w:left="709" w:firstLine="709"/>
        <w:jc w:val="both"/>
        <w:rPr>
          <w:rFonts w:ascii="Arial" w:eastAsia="Arial" w:hAnsi="Arial" w:cs="Arial"/>
        </w:rPr>
      </w:pPr>
      <w:r w:rsidRPr="001B6518">
        <w:rPr>
          <w:rFonts w:ascii="Arial" w:eastAsia="Arial" w:hAnsi="Arial" w:cs="Arial"/>
        </w:rPr>
        <w:t>b) Tratándose de pagos a plazos en parcialidades de más de doce meses y hasta de veinticuatro meses, la tasa de recargos será de 1.63% mensual.</w:t>
      </w:r>
    </w:p>
    <w:p w14:paraId="6A56DE17" w14:textId="77777777" w:rsidR="00433805" w:rsidRPr="001B6518" w:rsidRDefault="00433805" w:rsidP="004371DA">
      <w:pPr>
        <w:spacing w:before="280" w:after="280" w:line="240" w:lineRule="auto"/>
        <w:ind w:left="709" w:firstLine="709"/>
        <w:jc w:val="both"/>
        <w:rPr>
          <w:rFonts w:ascii="Arial" w:eastAsia="Arial" w:hAnsi="Arial" w:cs="Arial"/>
        </w:rPr>
      </w:pPr>
      <w:r w:rsidRPr="001B6518">
        <w:rPr>
          <w:rFonts w:ascii="Arial" w:eastAsia="Arial" w:hAnsi="Arial" w:cs="Arial"/>
        </w:rPr>
        <w:t>c) Tratándose de pagos a plazos en parcialidades superiores a veinticuatro meses o de pagos a plazo diferido, la tasa de recargos será de 1.97% mensual.</w:t>
      </w:r>
    </w:p>
    <w:p w14:paraId="21931377" w14:textId="77777777" w:rsidR="00433805" w:rsidRPr="001B6518" w:rsidRDefault="00433805" w:rsidP="00433805">
      <w:pPr>
        <w:spacing w:before="280" w:after="280" w:line="240" w:lineRule="auto"/>
        <w:jc w:val="both"/>
        <w:rPr>
          <w:rFonts w:ascii="Arial" w:eastAsia="Arial" w:hAnsi="Arial" w:cs="Arial"/>
        </w:rPr>
      </w:pPr>
      <w:r w:rsidRPr="001B6518">
        <w:rPr>
          <w:rFonts w:ascii="Arial" w:eastAsia="Arial" w:hAnsi="Arial" w:cs="Arial"/>
        </w:rPr>
        <w:t>Las tasas de recargos establecidas en la fracción II, de este artículo, incluyen la actualización realizada conforme a lo establecido por el propio Código Fiscal del Estado de Yucatán.</w:t>
      </w:r>
    </w:p>
    <w:p w14:paraId="225E806B" w14:textId="21B928EF" w:rsidR="00433805" w:rsidRPr="001B6518" w:rsidRDefault="00433805" w:rsidP="00433805">
      <w:pPr>
        <w:spacing w:before="280" w:after="280" w:line="240" w:lineRule="auto"/>
        <w:jc w:val="both"/>
        <w:rPr>
          <w:rFonts w:ascii="Arial" w:eastAsia="Arial" w:hAnsi="Arial" w:cs="Arial"/>
          <w:b/>
        </w:rPr>
      </w:pPr>
      <w:r w:rsidRPr="001B6518">
        <w:rPr>
          <w:rFonts w:ascii="Arial" w:eastAsia="Arial" w:hAnsi="Arial" w:cs="Arial"/>
          <w:b/>
        </w:rPr>
        <w:t>Artículo 3</w:t>
      </w:r>
      <w:r w:rsidR="00555504" w:rsidRPr="001B6518">
        <w:rPr>
          <w:rFonts w:ascii="Arial" w:eastAsia="Arial" w:hAnsi="Arial" w:cs="Arial"/>
          <w:b/>
        </w:rPr>
        <w:t>1</w:t>
      </w:r>
      <w:r w:rsidRPr="001B6518">
        <w:rPr>
          <w:rFonts w:ascii="Arial" w:eastAsia="Arial" w:hAnsi="Arial" w:cs="Arial"/>
          <w:b/>
        </w:rPr>
        <w:t>. Programas de apoyo</w:t>
      </w:r>
    </w:p>
    <w:p w14:paraId="1E714797" w14:textId="79903684" w:rsidR="00433805" w:rsidRPr="001B6518" w:rsidRDefault="00433805" w:rsidP="00433805">
      <w:pPr>
        <w:spacing w:before="280" w:after="280" w:line="240" w:lineRule="auto"/>
        <w:jc w:val="both"/>
        <w:rPr>
          <w:rFonts w:ascii="Arial" w:eastAsia="Arial" w:hAnsi="Arial" w:cs="Arial"/>
        </w:rPr>
      </w:pPr>
      <w:r w:rsidRPr="001B6518">
        <w:rPr>
          <w:rFonts w:ascii="Arial" w:eastAsia="Arial" w:hAnsi="Arial" w:cs="Arial"/>
        </w:rPr>
        <w:t xml:space="preserve">La persona titular del Poder Ejecutivo </w:t>
      </w:r>
      <w:r w:rsidR="004E3EE1" w:rsidRPr="001B6518">
        <w:rPr>
          <w:rFonts w:ascii="Arial" w:eastAsia="Arial" w:hAnsi="Arial" w:cs="Arial"/>
        </w:rPr>
        <w:t xml:space="preserve">del Estado </w:t>
      </w:r>
      <w:r w:rsidRPr="001B6518">
        <w:rPr>
          <w:rFonts w:ascii="Arial" w:eastAsia="Arial" w:hAnsi="Arial" w:cs="Arial"/>
        </w:rPr>
        <w:t xml:space="preserve">podrá establecer programas de apoyo o incentivos, según sea el caso, para los contribuyentes o los sujetos obligados de esta ley, los cuales deberán publicarse en el Diario Oficial del Gobierno del Estado de Yucatán. </w:t>
      </w:r>
    </w:p>
    <w:p w14:paraId="7AD4209A" w14:textId="77777777" w:rsidR="00433805" w:rsidRPr="001B6518" w:rsidRDefault="00433805" w:rsidP="00433805">
      <w:pPr>
        <w:spacing w:before="280" w:after="280" w:line="240" w:lineRule="auto"/>
        <w:jc w:val="both"/>
        <w:rPr>
          <w:rFonts w:ascii="Arial" w:eastAsia="Arial" w:hAnsi="Arial" w:cs="Arial"/>
        </w:rPr>
      </w:pPr>
      <w:r w:rsidRPr="001B6518">
        <w:rPr>
          <w:rFonts w:ascii="Arial" w:eastAsia="Arial" w:hAnsi="Arial" w:cs="Arial"/>
        </w:rPr>
        <w:t>En dichos programas de apoyo o incentivos podrá establecerse, entre otras acciones, la reducción o condonación total o parcial de contribuciones, derechos, aprovechamientos o productos, así como de sus accesorios.</w:t>
      </w:r>
    </w:p>
    <w:p w14:paraId="36F3AF5A" w14:textId="36EEE86A" w:rsidR="00433805" w:rsidRPr="001B6518" w:rsidRDefault="00433805" w:rsidP="00433805">
      <w:pPr>
        <w:spacing w:before="280" w:after="280" w:line="240" w:lineRule="auto"/>
        <w:jc w:val="both"/>
        <w:rPr>
          <w:rFonts w:ascii="Arial" w:eastAsia="Arial" w:hAnsi="Arial" w:cs="Arial"/>
          <w:b/>
        </w:rPr>
      </w:pPr>
      <w:r w:rsidRPr="001B6518">
        <w:rPr>
          <w:rFonts w:ascii="Arial" w:eastAsia="Arial" w:hAnsi="Arial" w:cs="Arial"/>
          <w:b/>
        </w:rPr>
        <w:t>Artículo 3</w:t>
      </w:r>
      <w:r w:rsidR="00555504" w:rsidRPr="001B6518">
        <w:rPr>
          <w:rFonts w:ascii="Arial" w:eastAsia="Arial" w:hAnsi="Arial" w:cs="Arial"/>
          <w:b/>
        </w:rPr>
        <w:t>2</w:t>
      </w:r>
      <w:r w:rsidRPr="001B6518">
        <w:rPr>
          <w:rFonts w:ascii="Arial" w:eastAsia="Arial" w:hAnsi="Arial" w:cs="Arial"/>
          <w:b/>
        </w:rPr>
        <w:t>. Pago en parcialidades</w:t>
      </w:r>
    </w:p>
    <w:p w14:paraId="3D9AEFD4" w14:textId="77777777" w:rsidR="00433805" w:rsidRPr="001B6518" w:rsidRDefault="00433805" w:rsidP="00433805">
      <w:pPr>
        <w:spacing w:before="280" w:after="280" w:line="240" w:lineRule="auto"/>
        <w:jc w:val="both"/>
        <w:rPr>
          <w:rFonts w:ascii="Arial" w:eastAsia="Arial" w:hAnsi="Arial" w:cs="Arial"/>
        </w:rPr>
      </w:pPr>
      <w:r w:rsidRPr="001B6518">
        <w:rPr>
          <w:rFonts w:ascii="Arial" w:eastAsia="Arial" w:hAnsi="Arial" w:cs="Arial"/>
        </w:rPr>
        <w:t>Para los efectos de los artículos 89 y 90 del Código Fiscal del Estado de Yucatán, durante el ejercicio fiscal 2026, se podrá autorizar el pago a plazos, ya sea diferido o en parcialidades, de las contribuciones y de sus accesorios que debieron pagarse en el año en curso o los que se debieron pagar en los seis meses anteriores al mes en el que se solicite la autorización de pago a plazos.</w:t>
      </w:r>
    </w:p>
    <w:p w14:paraId="7BEF7393" w14:textId="50B0DA23" w:rsidR="00433805" w:rsidRPr="001B6518" w:rsidRDefault="00433805" w:rsidP="00433805">
      <w:pPr>
        <w:spacing w:before="280" w:after="280" w:line="240" w:lineRule="auto"/>
        <w:jc w:val="both"/>
        <w:rPr>
          <w:rFonts w:ascii="Arial" w:eastAsia="Arial" w:hAnsi="Arial" w:cs="Arial"/>
          <w:b/>
        </w:rPr>
      </w:pPr>
      <w:r w:rsidRPr="001B6518">
        <w:rPr>
          <w:rFonts w:ascii="Arial" w:eastAsia="Arial" w:hAnsi="Arial" w:cs="Arial"/>
          <w:b/>
        </w:rPr>
        <w:t>Artículo 3</w:t>
      </w:r>
      <w:r w:rsidR="00555504" w:rsidRPr="001B6518">
        <w:rPr>
          <w:rFonts w:ascii="Arial" w:eastAsia="Arial" w:hAnsi="Arial" w:cs="Arial"/>
          <w:b/>
        </w:rPr>
        <w:t>3</w:t>
      </w:r>
      <w:r w:rsidRPr="001B6518">
        <w:rPr>
          <w:rFonts w:ascii="Arial" w:eastAsia="Arial" w:hAnsi="Arial" w:cs="Arial"/>
          <w:b/>
        </w:rPr>
        <w:t>. Imposibilidad práctica de cobro</w:t>
      </w:r>
    </w:p>
    <w:p w14:paraId="2C31CD42" w14:textId="77777777" w:rsidR="00433805" w:rsidRPr="001B6518" w:rsidRDefault="00433805" w:rsidP="00433805">
      <w:pPr>
        <w:spacing w:before="280" w:after="280" w:line="240" w:lineRule="auto"/>
        <w:jc w:val="both"/>
        <w:rPr>
          <w:rFonts w:ascii="Arial" w:eastAsia="Arial" w:hAnsi="Arial" w:cs="Arial"/>
        </w:rPr>
      </w:pPr>
      <w:r w:rsidRPr="001B6518">
        <w:rPr>
          <w:rFonts w:ascii="Arial" w:eastAsia="Arial" w:hAnsi="Arial" w:cs="Arial"/>
        </w:rPr>
        <w:t xml:space="preserve">Se faculta a las autoridades fiscales para que lleven a cabo la cancelación de los créditos fiscales cuyo cobro les corresponda efectuar en los casos en que exista imposibilidad práctica de cobro. </w:t>
      </w:r>
    </w:p>
    <w:p w14:paraId="0D9C2463" w14:textId="44379B56" w:rsidR="00433805" w:rsidRPr="001B6518" w:rsidRDefault="00433805" w:rsidP="00433805">
      <w:pPr>
        <w:spacing w:before="280" w:after="280" w:line="240" w:lineRule="auto"/>
        <w:jc w:val="both"/>
        <w:rPr>
          <w:rFonts w:ascii="Arial" w:eastAsia="Arial" w:hAnsi="Arial" w:cs="Arial"/>
        </w:rPr>
      </w:pPr>
      <w:r w:rsidRPr="001B6518">
        <w:rPr>
          <w:rFonts w:ascii="Arial" w:eastAsia="Arial" w:hAnsi="Arial" w:cs="Arial"/>
        </w:rPr>
        <w:lastRenderedPageBreak/>
        <w:t>Se considera que existe imposibilidad práctica de cobro cuando los deudores no tengan bienes embargables, el deudor hubiese fallecido sin dejar bienes a su nombre o cuando por sentencia firme hubiese sido declarado en quiebra por falta de activos.</w:t>
      </w:r>
    </w:p>
    <w:p w14:paraId="3A2CA16A" w14:textId="77777777" w:rsidR="00433805" w:rsidRPr="001B6518" w:rsidRDefault="00433805" w:rsidP="00433805">
      <w:pPr>
        <w:spacing w:before="280" w:after="280" w:line="240" w:lineRule="auto"/>
        <w:jc w:val="both"/>
        <w:rPr>
          <w:rFonts w:ascii="Arial" w:eastAsia="Arial" w:hAnsi="Arial" w:cs="Arial"/>
        </w:rPr>
      </w:pPr>
      <w:r w:rsidRPr="001B6518">
        <w:rPr>
          <w:rFonts w:ascii="Arial" w:eastAsia="Arial" w:hAnsi="Arial" w:cs="Arial"/>
        </w:rPr>
        <w:t>Las autoridades, de forma previa a la cancelación de un crédito fiscal, deberán integrar un expediente que contenga los documentos y constancias que acrediten la imposibilidad práctica de cobro.</w:t>
      </w:r>
    </w:p>
    <w:p w14:paraId="5D3922DE" w14:textId="322BDA18" w:rsidR="00433805" w:rsidRPr="001B6518" w:rsidRDefault="00433805" w:rsidP="00433805">
      <w:pPr>
        <w:spacing w:before="280" w:after="280" w:line="240" w:lineRule="auto"/>
        <w:jc w:val="both"/>
        <w:rPr>
          <w:rFonts w:ascii="Arial" w:eastAsia="Arial" w:hAnsi="Arial" w:cs="Arial"/>
          <w:b/>
        </w:rPr>
      </w:pPr>
      <w:r w:rsidRPr="001B6518">
        <w:rPr>
          <w:rFonts w:ascii="Arial" w:eastAsia="Arial" w:hAnsi="Arial" w:cs="Arial"/>
          <w:b/>
        </w:rPr>
        <w:t>Artículo 3</w:t>
      </w:r>
      <w:r w:rsidR="00555504" w:rsidRPr="001B6518">
        <w:rPr>
          <w:rFonts w:ascii="Arial" w:eastAsia="Arial" w:hAnsi="Arial" w:cs="Arial"/>
          <w:b/>
        </w:rPr>
        <w:t>4</w:t>
      </w:r>
      <w:r w:rsidRPr="001B6518">
        <w:rPr>
          <w:rFonts w:ascii="Arial" w:eastAsia="Arial" w:hAnsi="Arial" w:cs="Arial"/>
          <w:b/>
        </w:rPr>
        <w:t>. Créditos fiscales incosteables</w:t>
      </w:r>
    </w:p>
    <w:p w14:paraId="73FB83CC" w14:textId="77777777" w:rsidR="00433805" w:rsidRPr="001B6518" w:rsidRDefault="00433805" w:rsidP="00433805">
      <w:pPr>
        <w:spacing w:before="280" w:after="280" w:line="240" w:lineRule="auto"/>
        <w:jc w:val="both"/>
        <w:rPr>
          <w:rFonts w:ascii="Arial" w:eastAsia="Arial" w:hAnsi="Arial" w:cs="Arial"/>
        </w:rPr>
      </w:pPr>
      <w:r w:rsidRPr="001B6518">
        <w:rPr>
          <w:rFonts w:ascii="Arial" w:eastAsia="Arial" w:hAnsi="Arial" w:cs="Arial"/>
        </w:rPr>
        <w:t>Se faculta a las autoridades fiscales para que lleven a cabo la cancelación de los créditos fiscales cuyo cobro les corresponda efectuar en los casos en que aquellos sean incosteables.</w:t>
      </w:r>
    </w:p>
    <w:p w14:paraId="12FC318F" w14:textId="77777777" w:rsidR="00433805" w:rsidRPr="001B6518" w:rsidRDefault="00433805" w:rsidP="00433805">
      <w:pPr>
        <w:spacing w:before="280" w:after="280" w:line="240" w:lineRule="auto"/>
        <w:jc w:val="both"/>
        <w:rPr>
          <w:rFonts w:ascii="Arial" w:eastAsia="Arial" w:hAnsi="Arial" w:cs="Arial"/>
        </w:rPr>
      </w:pPr>
      <w:r w:rsidRPr="001B6518">
        <w:rPr>
          <w:rFonts w:ascii="Arial" w:eastAsia="Arial" w:hAnsi="Arial" w:cs="Arial"/>
        </w:rPr>
        <w:t>Para que un crédito se considere incosteable, la autoridad fiscal evaluará los siguientes conceptos: monto del crédito, costo de las acciones de recuperación, antigüedad del crédito y probabilidad de cobro.</w:t>
      </w:r>
    </w:p>
    <w:p w14:paraId="7005E595" w14:textId="77777777" w:rsidR="00433805" w:rsidRPr="001B6518" w:rsidRDefault="00433805" w:rsidP="00433805">
      <w:pPr>
        <w:spacing w:before="280" w:after="280" w:line="240" w:lineRule="auto"/>
        <w:jc w:val="both"/>
        <w:rPr>
          <w:rFonts w:ascii="Arial" w:eastAsia="Arial" w:hAnsi="Arial" w:cs="Arial"/>
        </w:rPr>
      </w:pPr>
      <w:r w:rsidRPr="001B6518">
        <w:rPr>
          <w:rFonts w:ascii="Arial" w:eastAsia="Arial" w:hAnsi="Arial" w:cs="Arial"/>
        </w:rPr>
        <w:t>La cancelación de los créditos a que se refiere este artículo no libera de su pago.</w:t>
      </w:r>
    </w:p>
    <w:p w14:paraId="00000526" w14:textId="77777777" w:rsidR="006B6C42" w:rsidRPr="001B6518" w:rsidRDefault="00DA2020">
      <w:pPr>
        <w:spacing w:before="280" w:after="280" w:line="240" w:lineRule="auto"/>
        <w:jc w:val="center"/>
        <w:rPr>
          <w:rFonts w:ascii="Arial" w:eastAsia="Arial" w:hAnsi="Arial" w:cs="Arial"/>
          <w:b/>
        </w:rPr>
      </w:pPr>
      <w:r w:rsidRPr="001B6518">
        <w:rPr>
          <w:rFonts w:ascii="Arial" w:eastAsia="Arial" w:hAnsi="Arial" w:cs="Arial"/>
          <w:b/>
        </w:rPr>
        <w:t>Artículos transitorios</w:t>
      </w:r>
    </w:p>
    <w:p w14:paraId="00000527" w14:textId="77777777"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Primero. Entrada en vigor</w:t>
      </w:r>
    </w:p>
    <w:p w14:paraId="00000528"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Este decreto entrará en vigor el 1 de enero de 2026, previa publicación en el Diario Oficial del Gobierno del Estado de Yucatán y tendrá vigencia hasta el 31 de diciembre del mismo año.</w:t>
      </w:r>
    </w:p>
    <w:p w14:paraId="00000529" w14:textId="77777777"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 xml:space="preserve">Segundo. Derogación </w:t>
      </w:r>
    </w:p>
    <w:p w14:paraId="0000052A" w14:textId="3F827E00"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 xml:space="preserve">Se derogan las disposiciones que contengan exenciones totales o parciales, consideren a personas como no sujetos de contribuciones estatales, u otorguen tratamientos preferenciales o diferenciales en materia de ingresos y contribuciones estatales, distintos de los establecidos en la Ley de Ingresos del Estado de Yucatán para el Ejercicio Fiscal 2026, en el Código Fiscal del Estado de Yucatán, en los decretos expedidos por el Poder Ejecutivo del </w:t>
      </w:r>
      <w:r w:rsidR="00520834" w:rsidRPr="001B6518">
        <w:rPr>
          <w:rFonts w:ascii="Arial" w:eastAsia="Arial" w:hAnsi="Arial" w:cs="Arial"/>
        </w:rPr>
        <w:t>E</w:t>
      </w:r>
      <w:r w:rsidRPr="001B6518">
        <w:rPr>
          <w:rFonts w:ascii="Arial" w:eastAsia="Arial" w:hAnsi="Arial" w:cs="Arial"/>
        </w:rPr>
        <w:t>stado</w:t>
      </w:r>
      <w:r w:rsidR="00520834" w:rsidRPr="001B6518">
        <w:rPr>
          <w:rFonts w:ascii="Arial" w:eastAsia="Arial" w:hAnsi="Arial" w:cs="Arial"/>
        </w:rPr>
        <w:t xml:space="preserve"> de Yucatán</w:t>
      </w:r>
      <w:r w:rsidRPr="001B6518">
        <w:rPr>
          <w:rFonts w:ascii="Arial" w:eastAsia="Arial" w:hAnsi="Arial" w:cs="Arial"/>
        </w:rPr>
        <w:t xml:space="preserve"> y en las leyes que establecen dichas contribuciones, así como sus reglamentos.</w:t>
      </w:r>
    </w:p>
    <w:p w14:paraId="0000052B" w14:textId="77777777"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Tercero. Obligación de los entes públicos</w:t>
      </w:r>
    </w:p>
    <w:p w14:paraId="0000052C"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lastRenderedPageBreak/>
        <w:t>Los sujetos obligados, en términos de la Ley del Presupuesto y Contabilidad Gubernamental del Estado de Yucatán, que reciban ingresos de los previstos en la Ley de Ingresos del Estado de Yucatán para el Ejercicio Fiscal 2026 deberán elaborar y difundir en sus respectivos sitios web documentos dirigidos a la ciudadanía en los que expliquen, de manera sencilla y en los formatos aprobados por el Consejo Nacional de Armonización Contable, el contenido de la Ley de Ingresos del Estado de Yucatán para el Ejercicio Fiscal 2026.</w:t>
      </w:r>
    </w:p>
    <w:p w14:paraId="0000052D"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Asimismo, los entes públicos deberán difundir la información y formatos correspondientes, en los términos establecidos en la Ley de Disciplina Financiera de las Entidades Federativas y los Municipios.</w:t>
      </w:r>
    </w:p>
    <w:p w14:paraId="0000052E" w14:textId="77777777"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Cuarto. Modificaciones a la estructura administrativa</w:t>
      </w:r>
    </w:p>
    <w:p w14:paraId="0000052F"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Para los efectos de la Ley de Ingresos del Estado de Yucatán para el Ejercicio Fiscal 2026, cuando de conformidad con el Código de la Administración Pública de Yucatán, su reglamento o cualquier otra normativa, se modifique la denominación de alguna dependencia, entidad o ente público, o los existentes desaparezcan, los ingresos estimados para cualquiera de éstos en esta ley, corresponderán al ente público cuyas denominaciones hayan cambiado o al que absorba las facultades de aquellas que desaparezcan, según corresponda.</w:t>
      </w:r>
    </w:p>
    <w:p w14:paraId="00000530" w14:textId="77777777"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Quinto. Techo de gasto en servicios personales</w:t>
      </w:r>
    </w:p>
    <w:p w14:paraId="00000531" w14:textId="77777777" w:rsidR="006B6C42" w:rsidRPr="001B6518" w:rsidRDefault="00DA2020">
      <w:pPr>
        <w:spacing w:before="280" w:after="280" w:line="240" w:lineRule="auto"/>
        <w:jc w:val="both"/>
        <w:rPr>
          <w:rFonts w:ascii="Arial" w:eastAsia="Arial" w:hAnsi="Arial" w:cs="Arial"/>
        </w:rPr>
      </w:pPr>
      <w:r w:rsidRPr="001B6518">
        <w:rPr>
          <w:rFonts w:ascii="Arial" w:eastAsia="Arial" w:hAnsi="Arial" w:cs="Arial"/>
        </w:rPr>
        <w:t>Respecto al techo de gasto en servicios personales, será aplicable para el ejercicio fiscal 2026 el transitorio que resulte aplicable de la Ley de Ingresos de la Federación para el Ejercicio Fiscal de 2026.</w:t>
      </w:r>
    </w:p>
    <w:p w14:paraId="00000532" w14:textId="77777777" w:rsidR="006B6C42" w:rsidRPr="001B6518" w:rsidRDefault="00DA2020">
      <w:pPr>
        <w:spacing w:before="280" w:after="280" w:line="240" w:lineRule="auto"/>
        <w:jc w:val="both"/>
        <w:rPr>
          <w:rFonts w:ascii="Arial" w:eastAsia="Arial" w:hAnsi="Arial" w:cs="Arial"/>
          <w:b/>
        </w:rPr>
      </w:pPr>
      <w:r w:rsidRPr="001B6518">
        <w:rPr>
          <w:rFonts w:ascii="Arial" w:eastAsia="Arial" w:hAnsi="Arial" w:cs="Arial"/>
          <w:b/>
        </w:rPr>
        <w:t>Sexto. Fideicomisos</w:t>
      </w:r>
    </w:p>
    <w:p w14:paraId="23644F44" w14:textId="4B645C57" w:rsidR="001370C1" w:rsidRPr="001B6518" w:rsidRDefault="00DA2020">
      <w:pPr>
        <w:spacing w:before="280" w:after="280" w:line="240" w:lineRule="auto"/>
        <w:jc w:val="both"/>
        <w:rPr>
          <w:rFonts w:ascii="Arial" w:eastAsia="Arial" w:hAnsi="Arial" w:cs="Arial"/>
        </w:rPr>
      </w:pPr>
      <w:r w:rsidRPr="001B6518">
        <w:rPr>
          <w:rFonts w:ascii="Arial" w:eastAsia="Arial" w:hAnsi="Arial" w:cs="Arial"/>
        </w:rPr>
        <w:t>Las dependencias y entidades de la Administración Pública estatal, los Poderes y los organismos constitucionales autónomos deberán remitir a la Secretaría de Administración y Finanzas, durante el primer trimestre del ejercicio fiscal 2026, un informe de los fideicomisos, mandatos o análogos públicos susceptibles de extinguirse en términos de las disposiciones aplicables. Lo anterior, a efecto de que se lleven a cabo los actos necesarios para la extinción de dichas figuras, conforme a lo establecido en la Ley del Presupuesto y Contabilidad Gubernamental del Estado de Yucatán y su reglamento.</w:t>
      </w:r>
    </w:p>
    <w:p w14:paraId="262879A5" w14:textId="7F07BCFD" w:rsidR="001370C1" w:rsidRPr="001B6518" w:rsidRDefault="001370C1">
      <w:pPr>
        <w:spacing w:before="280" w:after="280" w:line="240" w:lineRule="auto"/>
        <w:jc w:val="both"/>
        <w:rPr>
          <w:rFonts w:ascii="Arial" w:eastAsia="Arial" w:hAnsi="Arial" w:cs="Arial"/>
          <w:b/>
        </w:rPr>
      </w:pPr>
      <w:r w:rsidRPr="001B6518">
        <w:rPr>
          <w:rFonts w:ascii="Arial" w:eastAsia="Arial" w:hAnsi="Arial" w:cs="Arial"/>
          <w:b/>
        </w:rPr>
        <w:t xml:space="preserve">Séptimo. </w:t>
      </w:r>
      <w:r w:rsidR="00DA274E" w:rsidRPr="001B6518">
        <w:rPr>
          <w:rFonts w:ascii="Arial" w:eastAsia="Arial" w:hAnsi="Arial" w:cs="Arial"/>
          <w:b/>
        </w:rPr>
        <w:t>Convenio de Colaboración Administrativa en Materia Fiscal Federal</w:t>
      </w:r>
    </w:p>
    <w:p w14:paraId="5390884F" w14:textId="799A6758" w:rsidR="00C312ED" w:rsidRPr="001B6518" w:rsidRDefault="00230D75" w:rsidP="00C312ED">
      <w:pPr>
        <w:spacing w:before="280" w:after="280" w:line="240" w:lineRule="auto"/>
        <w:jc w:val="both"/>
        <w:rPr>
          <w:rFonts w:ascii="Arial" w:eastAsia="Arial" w:hAnsi="Arial" w:cs="Arial"/>
        </w:rPr>
      </w:pPr>
      <w:r w:rsidRPr="002B6876">
        <w:rPr>
          <w:rFonts w:cs="Arial"/>
          <w:noProof/>
        </w:rPr>
        <w:lastRenderedPageBreak/>
        <mc:AlternateContent>
          <mc:Choice Requires="wps">
            <w:drawing>
              <wp:anchor distT="0" distB="0" distL="114300" distR="114300" simplePos="0" relativeHeight="251659264" behindDoc="0" locked="0" layoutInCell="1" allowOverlap="1" wp14:anchorId="337B964D" wp14:editId="695EFDEB">
                <wp:simplePos x="0" y="0"/>
                <wp:positionH relativeFrom="margin">
                  <wp:posOffset>2086928</wp:posOffset>
                </wp:positionH>
                <wp:positionV relativeFrom="topMargin">
                  <wp:posOffset>676275</wp:posOffset>
                </wp:positionV>
                <wp:extent cx="3596986" cy="557213"/>
                <wp:effectExtent l="0" t="0" r="22860" b="1460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986" cy="557213"/>
                        </a:xfrm>
                        <a:prstGeom prst="rect">
                          <a:avLst/>
                        </a:prstGeom>
                        <a:solidFill>
                          <a:srgbClr val="FFFFFF"/>
                        </a:solidFill>
                        <a:ln w="9525">
                          <a:solidFill>
                            <a:schemeClr val="bg1">
                              <a:lumMod val="100000"/>
                              <a:lumOff val="0"/>
                            </a:schemeClr>
                          </a:solidFill>
                          <a:miter lim="800000"/>
                          <a:headEnd/>
                          <a:tailEnd/>
                        </a:ln>
                      </wps:spPr>
                      <wps:txbx>
                        <w:txbxContent>
                          <w:p w14:paraId="20358AC3" w14:textId="079689DC" w:rsidR="00230D75" w:rsidRPr="005A1F5A" w:rsidRDefault="00230D75" w:rsidP="00230D75">
                            <w:pPr>
                              <w:pStyle w:val="Estilo"/>
                              <w:spacing w:before="2" w:beforeAutospacing="1" w:after="2" w:afterAutospacing="1"/>
                              <w:rPr>
                                <w:rFonts w:cs="Arial"/>
                                <w:bCs/>
                                <w:sz w:val="20"/>
                                <w:szCs w:val="20"/>
                              </w:rPr>
                            </w:pPr>
                            <w:r w:rsidRPr="00F86B9F">
                              <w:rPr>
                                <w:rFonts w:cs="Arial"/>
                                <w:bCs/>
                                <w:sz w:val="20"/>
                                <w:szCs w:val="20"/>
                              </w:rPr>
                              <w:t xml:space="preserve">Esta hoja de firmas forma parte de la </w:t>
                            </w:r>
                            <w:r w:rsidR="00A123C4" w:rsidRPr="00A123C4">
                              <w:rPr>
                                <w:rFonts w:cs="Arial"/>
                                <w:bCs/>
                                <w:sz w:val="20"/>
                                <w:szCs w:val="20"/>
                              </w:rPr>
                              <w:t>Iniciativa para expedir la Ley de Ingresos del Estado de Yucatán para el Ejercicio Fiscal 2026</w:t>
                            </w:r>
                            <w:r>
                              <w:rPr>
                                <w:rFonts w:cs="Arial"/>
                                <w:bCs/>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type w14:anchorId="337B964D" id="_x0000_t202" coordsize="21600,21600" o:spt="202" path="m,l,21600r21600,l21600,xe">
                <v:stroke joinstyle="miter"/>
                <v:path gradientshapeok="t" o:connecttype="rect"/>
              </v:shapetype>
              <v:shape id="Cuadro de texto 2" o:spid="_x0000_s1026" type="#_x0000_t202" style="position:absolute;left:0;text-align:left;margin-left:164.35pt;margin-top:53.25pt;width:283.25pt;height:43.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" strokecolor="white [3212]">
                <v:textbox>
                  <w:txbxContent>
                    <w:p w14:paraId="20358AC3" w14:textId="079689DC" w:rsidR="00230D75" w:rsidRPr="005A1F5A" w:rsidRDefault="00230D75" w:rsidP="00230D75">
                      <w:pPr>
                        <w:pStyle w:val="Estilo"/>
                        <w:spacing w:before="2" w:beforeAutospacing="1" w:after="2" w:afterAutospacing="1"/>
                        <w:rPr>
                          <w:rFonts w:cs="Arial"/>
                          <w:bCs/>
                          <w:sz w:val="20"/>
                          <w:szCs w:val="20"/>
                        </w:rPr>
                      </w:pPr>
                      <w:r w:rsidRPr="00F86B9F">
                        <w:rPr>
                          <w:rFonts w:cs="Arial"/>
                          <w:bCs/>
                          <w:sz w:val="20"/>
                          <w:szCs w:val="20"/>
                        </w:rPr>
                        <w:t xml:space="preserve">Esta hoja de firmas forma parte de la </w:t>
                      </w:r>
                      <w:r w:rsidR="00A123C4" w:rsidRPr="00A123C4">
                        <w:rPr>
                          <w:rFonts w:cs="Arial"/>
                          <w:bCs/>
                          <w:sz w:val="20"/>
                          <w:szCs w:val="20"/>
                        </w:rPr>
                        <w:t>Iniciativa para expedir la Ley de Ingresos del Estado de Yucatán para el Ejercicio Fiscal 2026</w:t>
                      </w:r>
                      <w:r>
                        <w:rPr>
                          <w:rFonts w:cs="Arial"/>
                          <w:bCs/>
                          <w:sz w:val="20"/>
                          <w:szCs w:val="20"/>
                        </w:rPr>
                        <w:t>.</w:t>
                      </w:r>
                    </w:p>
                  </w:txbxContent>
                </v:textbox>
                <w10:wrap anchorx="margin" anchory="margin"/>
              </v:shape>
            </w:pict>
          </mc:Fallback>
        </mc:AlternateContent>
      </w:r>
      <w:r w:rsidR="00C312ED" w:rsidRPr="001B6518">
        <w:rPr>
          <w:rFonts w:ascii="Arial" w:eastAsia="Arial" w:hAnsi="Arial" w:cs="Arial"/>
        </w:rPr>
        <w:t xml:space="preserve">Conforme a lo previsto en el segundo párrafo de la fracción III de la Cláusula Décima Séptima del Convenio de Colaboración Administrativa en Materia Fiscal Federal, celebrado entre el Gobierno </w:t>
      </w:r>
      <w:r w:rsidR="00826010" w:rsidRPr="001B6518">
        <w:rPr>
          <w:rFonts w:ascii="Arial" w:eastAsia="Arial" w:hAnsi="Arial" w:cs="Arial"/>
        </w:rPr>
        <w:t>f</w:t>
      </w:r>
      <w:r w:rsidR="00C312ED" w:rsidRPr="001B6518">
        <w:rPr>
          <w:rFonts w:ascii="Arial" w:eastAsia="Arial" w:hAnsi="Arial" w:cs="Arial"/>
        </w:rPr>
        <w:t xml:space="preserve">ederal, por conducto de la Secretaría de Hacienda y Crédito Público, y el Gobierno del Estado de Yucatán, el Estado podrá solicitar a la Secretaría de Hacienda y Crédito Público los créditos fiscales federales a cargo de los municipios y sus organismos, con la finalidad de coadyuvar a la regularización de sus adeudos mediante la firma del convenio, el cual tendrá como fin el otorgamiento de un incentivo a través del “Programa de Regularización de Adeudos de Créditos Fiscales Federales de los Municipios del Estado de Yucatán”. </w:t>
      </w:r>
    </w:p>
    <w:p w14:paraId="6ACA2892" w14:textId="77777777" w:rsidR="00C312ED" w:rsidRPr="001B6518" w:rsidRDefault="00C312ED" w:rsidP="00C312ED">
      <w:pPr>
        <w:spacing w:before="280" w:after="280" w:line="240" w:lineRule="auto"/>
        <w:jc w:val="both"/>
        <w:rPr>
          <w:rFonts w:ascii="Arial" w:eastAsia="Arial" w:hAnsi="Arial" w:cs="Arial"/>
        </w:rPr>
      </w:pPr>
      <w:r w:rsidRPr="001B6518">
        <w:rPr>
          <w:rFonts w:ascii="Arial" w:eastAsia="Arial" w:hAnsi="Arial" w:cs="Arial"/>
        </w:rPr>
        <w:t xml:space="preserve">Para efectos de lo anterior, para aquellos municipios que regularicen el pago de sus adeudos respecto de los créditos fiscales federales que estén a cargo del Estado para su cobro, durante el Ejercicio Fiscal 2026, el Estado les podrá otorgar hasta el 75% de los incentivos que éste efectivamente reciba en términos de lo establecido en el inciso a) fracción XI de la Cláusula Décima Novena del Convenio de Colaboración Administrativa en Materia Fiscal Federal citado en el párrafo anterior, bajo los términos y condiciones previstos en los “Lineamientos del Programa de Regularización de Adeudos de Créditos Fiscales Federales de los Municipios del Estado de Yucatán”, que para tal efecto emita y publique la Secretaría de Administración y Finanzas </w:t>
      </w:r>
    </w:p>
    <w:p w14:paraId="3F732794" w14:textId="4B59AD04" w:rsidR="00DA274E" w:rsidRPr="001B6518" w:rsidRDefault="00DA274E" w:rsidP="00DA274E">
      <w:pPr>
        <w:spacing w:before="280" w:after="280" w:line="240" w:lineRule="auto"/>
        <w:jc w:val="both"/>
        <w:rPr>
          <w:rFonts w:ascii="Arial" w:eastAsia="Arial" w:hAnsi="Arial" w:cs="Arial"/>
          <w:b/>
        </w:rPr>
      </w:pPr>
      <w:r w:rsidRPr="001B6518">
        <w:rPr>
          <w:rFonts w:ascii="Arial" w:eastAsia="Arial" w:hAnsi="Arial" w:cs="Arial"/>
          <w:b/>
        </w:rPr>
        <w:t xml:space="preserve">Octavo. </w:t>
      </w:r>
      <w:r w:rsidR="00ED0C1B" w:rsidRPr="001B6518">
        <w:rPr>
          <w:rFonts w:ascii="Arial" w:eastAsia="Arial" w:hAnsi="Arial" w:cs="Arial"/>
          <w:b/>
        </w:rPr>
        <w:t>Ingresos Derivados de Financiamiento</w:t>
      </w:r>
    </w:p>
    <w:p w14:paraId="10C9CAE0" w14:textId="43823F97" w:rsidR="00043168" w:rsidRPr="001B6518" w:rsidRDefault="00043168" w:rsidP="00043168">
      <w:pPr>
        <w:spacing w:before="280" w:after="280" w:line="240" w:lineRule="auto"/>
        <w:jc w:val="both"/>
        <w:rPr>
          <w:rFonts w:ascii="Arial" w:eastAsia="Arial" w:hAnsi="Arial" w:cs="Arial"/>
        </w:rPr>
      </w:pPr>
      <w:r w:rsidRPr="001B6518">
        <w:rPr>
          <w:rFonts w:ascii="Arial" w:eastAsia="Arial" w:hAnsi="Arial" w:cs="Arial"/>
        </w:rPr>
        <w:t>La presente autorización se emit</w:t>
      </w:r>
      <w:r w:rsidR="009C3C5A">
        <w:rPr>
          <w:rFonts w:ascii="Arial" w:eastAsia="Arial" w:hAnsi="Arial" w:cs="Arial"/>
        </w:rPr>
        <w:t xml:space="preserve">e </w:t>
      </w:r>
      <w:r w:rsidRPr="001B6518">
        <w:rPr>
          <w:rFonts w:ascii="Arial" w:eastAsia="Arial" w:hAnsi="Arial" w:cs="Arial"/>
        </w:rPr>
        <w:t>con el voto de al menos dos terceras partes de las diputadas y los diputados presentes en la sesión respectiva del Congreso del Estado de Yucatán, previo análisis del destino y de la capacidad de pago del Estado.</w:t>
      </w:r>
    </w:p>
    <w:p w14:paraId="00000534" w14:textId="6A8C7B12" w:rsidR="006B6C42" w:rsidRPr="001B6518" w:rsidRDefault="00DA2020">
      <w:pPr>
        <w:spacing w:before="280" w:after="280" w:line="240" w:lineRule="auto"/>
        <w:jc w:val="center"/>
        <w:rPr>
          <w:rFonts w:ascii="Arial" w:eastAsia="Arial" w:hAnsi="Arial" w:cs="Arial"/>
          <w:b/>
        </w:rPr>
      </w:pPr>
      <w:r w:rsidRPr="001B6518">
        <w:rPr>
          <w:rFonts w:ascii="Arial" w:eastAsia="Arial" w:hAnsi="Arial" w:cs="Arial"/>
          <w:b/>
        </w:rPr>
        <w:t>Atentamente</w:t>
      </w:r>
    </w:p>
    <w:p w14:paraId="00000535" w14:textId="77777777" w:rsidR="006B6C42" w:rsidRPr="001B6518" w:rsidRDefault="006B6C42">
      <w:pPr>
        <w:spacing w:before="280" w:after="280" w:line="240" w:lineRule="auto"/>
        <w:jc w:val="both"/>
        <w:rPr>
          <w:rFonts w:ascii="Arial" w:eastAsia="Arial" w:hAnsi="Arial" w:cs="Arial"/>
        </w:rPr>
      </w:pPr>
    </w:p>
    <w:p w14:paraId="00000536" w14:textId="6BB3FDB5" w:rsidR="006B6C42" w:rsidRPr="001B6518" w:rsidRDefault="00DA2020">
      <w:pPr>
        <w:spacing w:before="280" w:after="280" w:line="240" w:lineRule="auto"/>
        <w:jc w:val="center"/>
        <w:rPr>
          <w:rFonts w:ascii="Arial" w:eastAsia="Arial" w:hAnsi="Arial" w:cs="Arial"/>
          <w:b/>
        </w:rPr>
      </w:pPr>
      <w:r w:rsidRPr="001B6518">
        <w:rPr>
          <w:rFonts w:ascii="Arial" w:eastAsia="Arial" w:hAnsi="Arial" w:cs="Arial"/>
          <w:b/>
        </w:rPr>
        <w:t>Mtro. Joaquín Jesús Díaz Mena</w:t>
      </w:r>
      <w:r w:rsidRPr="001B6518">
        <w:rPr>
          <w:rFonts w:ascii="Arial" w:eastAsia="Arial" w:hAnsi="Arial" w:cs="Arial"/>
        </w:rPr>
        <w:br/>
      </w:r>
      <w:r w:rsidRPr="001B6518">
        <w:rPr>
          <w:rFonts w:ascii="Arial" w:eastAsia="Arial" w:hAnsi="Arial" w:cs="Arial"/>
          <w:b/>
        </w:rPr>
        <w:t>Gobernador del Estado de Yucatán</w:t>
      </w:r>
    </w:p>
    <w:p w14:paraId="00000538" w14:textId="460BE5B4" w:rsidR="006B6C42" w:rsidRPr="001B6518" w:rsidRDefault="006B6C42">
      <w:pPr>
        <w:spacing w:before="280" w:after="280" w:line="240" w:lineRule="auto"/>
        <w:rPr>
          <w:rFonts w:ascii="Arial" w:eastAsia="Arial" w:hAnsi="Arial" w:cs="Arial"/>
          <w:b/>
        </w:rPr>
      </w:pPr>
    </w:p>
    <w:p w14:paraId="00000539" w14:textId="77777777" w:rsidR="006B6C42" w:rsidRPr="001B6518" w:rsidRDefault="00DA2020">
      <w:pPr>
        <w:spacing w:before="280" w:after="280" w:line="240" w:lineRule="auto"/>
        <w:rPr>
          <w:rFonts w:ascii="Arial" w:eastAsia="Arial" w:hAnsi="Arial" w:cs="Arial"/>
          <w:b/>
        </w:rPr>
      </w:pPr>
      <w:r w:rsidRPr="001B6518">
        <w:rPr>
          <w:rFonts w:ascii="Arial" w:eastAsia="Arial" w:hAnsi="Arial" w:cs="Arial"/>
          <w:b/>
        </w:rPr>
        <w:t>Mtro. Omar David Pérez Avilés</w:t>
      </w:r>
      <w:r w:rsidRPr="001B6518">
        <w:rPr>
          <w:rFonts w:ascii="Arial" w:eastAsia="Arial" w:hAnsi="Arial" w:cs="Arial"/>
        </w:rPr>
        <w:br/>
      </w:r>
      <w:r w:rsidRPr="001B6518">
        <w:rPr>
          <w:rFonts w:ascii="Arial" w:eastAsia="Arial" w:hAnsi="Arial" w:cs="Arial"/>
          <w:b/>
        </w:rPr>
        <w:t>Secretario General de Gobierno</w:t>
      </w:r>
    </w:p>
    <w:p w14:paraId="0000053A" w14:textId="09650ADC" w:rsidR="006B6C42" w:rsidRPr="001B6518" w:rsidRDefault="00DA2020">
      <w:pPr>
        <w:spacing w:before="280" w:after="280" w:line="240" w:lineRule="auto"/>
        <w:jc w:val="both"/>
        <w:rPr>
          <w:rFonts w:ascii="Arial" w:eastAsia="Arial" w:hAnsi="Arial" w:cs="Arial"/>
          <w:highlight w:val="yellow"/>
        </w:rPr>
        <w:sectPr w:rsidR="006B6C42" w:rsidRPr="001B6518" w:rsidSect="005D2002">
          <w:headerReference w:type="default" r:id="rId9"/>
          <w:footerReference w:type="default" r:id="rId10"/>
          <w:pgSz w:w="12240" w:h="15840"/>
          <w:pgMar w:top="3119" w:right="1701" w:bottom="1418" w:left="1701" w:header="709" w:footer="709" w:gutter="0"/>
          <w:pgNumType w:start="1"/>
          <w:cols w:space="720"/>
        </w:sectPr>
      </w:pPr>
      <w:r w:rsidRPr="001B6518">
        <w:rPr>
          <w:rFonts w:ascii="Arial" w:hAnsi="Arial" w:cs="Arial"/>
        </w:rPr>
        <w:br w:type="page"/>
      </w:r>
    </w:p>
    <w:p w14:paraId="0000053C" w14:textId="62CFE348" w:rsidR="006B6C42" w:rsidRPr="001B6518" w:rsidRDefault="00DA2020" w:rsidP="000677D9">
      <w:pPr>
        <w:spacing w:after="0" w:line="240" w:lineRule="auto"/>
        <w:jc w:val="center"/>
        <w:rPr>
          <w:rFonts w:ascii="Arial" w:eastAsia="Arial" w:hAnsi="Arial" w:cs="Arial"/>
          <w:b/>
          <w:sz w:val="16"/>
          <w:szCs w:val="16"/>
        </w:rPr>
      </w:pPr>
      <w:r w:rsidRPr="001B6518">
        <w:rPr>
          <w:rFonts w:ascii="Arial" w:eastAsia="Arial" w:hAnsi="Arial" w:cs="Arial"/>
          <w:b/>
          <w:sz w:val="16"/>
          <w:szCs w:val="16"/>
        </w:rPr>
        <w:lastRenderedPageBreak/>
        <w:t>Anexo I</w:t>
      </w:r>
      <w:r w:rsidRPr="001B6518">
        <w:rPr>
          <w:rFonts w:ascii="Arial" w:eastAsia="Arial" w:hAnsi="Arial" w:cs="Arial"/>
          <w:b/>
          <w:sz w:val="16"/>
          <w:szCs w:val="16"/>
        </w:rPr>
        <w:br/>
        <w:t>Proyecciones de ingresos a cinco años</w:t>
      </w:r>
    </w:p>
    <w:tbl>
      <w:tblPr>
        <w:tblW w:w="5000" w:type="pct"/>
        <w:tblCellMar>
          <w:left w:w="70" w:type="dxa"/>
          <w:right w:w="70" w:type="dxa"/>
        </w:tblCellMar>
        <w:tblLook w:val="04A0" w:firstRow="1" w:lastRow="0" w:firstColumn="1" w:lastColumn="0" w:noHBand="0" w:noVBand="1"/>
      </w:tblPr>
      <w:tblGrid>
        <w:gridCol w:w="2711"/>
        <w:gridCol w:w="1381"/>
        <w:gridCol w:w="1381"/>
        <w:gridCol w:w="1381"/>
        <w:gridCol w:w="1382"/>
        <w:gridCol w:w="1382"/>
        <w:gridCol w:w="1382"/>
      </w:tblGrid>
      <w:tr w:rsidR="003A2C77" w:rsidRPr="001B6518" w14:paraId="34A38522" w14:textId="77777777" w:rsidTr="00C6489A">
        <w:trPr>
          <w:trHeight w:val="20"/>
        </w:trPr>
        <w:tc>
          <w:tcPr>
            <w:tcW w:w="5000" w:type="pct"/>
            <w:gridSpan w:val="7"/>
            <w:tcBorders>
              <w:top w:val="single" w:sz="8" w:space="0" w:color="auto"/>
              <w:left w:val="single" w:sz="8" w:space="0" w:color="auto"/>
              <w:bottom w:val="nil"/>
              <w:right w:val="single" w:sz="8" w:space="0" w:color="000000"/>
            </w:tcBorders>
            <w:shd w:val="clear" w:color="000000" w:fill="C0C0C0"/>
            <w:vAlign w:val="center"/>
            <w:hideMark/>
          </w:tcPr>
          <w:p w14:paraId="4027097B" w14:textId="77777777" w:rsidR="003A2C77" w:rsidRPr="001B6518" w:rsidRDefault="003A2C77" w:rsidP="003A2C77">
            <w:pPr>
              <w:spacing w:after="0" w:line="240" w:lineRule="auto"/>
              <w:jc w:val="center"/>
              <w:rPr>
                <w:rFonts w:ascii="Arial" w:hAnsi="Arial" w:cs="Arial"/>
                <w:b/>
                <w:bCs/>
                <w:color w:val="000000"/>
                <w:sz w:val="16"/>
                <w:szCs w:val="16"/>
              </w:rPr>
            </w:pPr>
            <w:r w:rsidRPr="001B6518">
              <w:rPr>
                <w:rFonts w:ascii="Arial" w:hAnsi="Arial" w:cs="Arial"/>
                <w:b/>
                <w:bCs/>
                <w:color w:val="000000"/>
                <w:sz w:val="16"/>
                <w:szCs w:val="16"/>
              </w:rPr>
              <w:t>Poder Ejecutivo del Gobierno del Estado de Yucatán (a)</w:t>
            </w:r>
          </w:p>
        </w:tc>
      </w:tr>
      <w:tr w:rsidR="003A2C77" w:rsidRPr="001B6518" w14:paraId="5FE64554" w14:textId="77777777" w:rsidTr="00C6489A">
        <w:trPr>
          <w:trHeight w:val="20"/>
        </w:trPr>
        <w:tc>
          <w:tcPr>
            <w:tcW w:w="5000" w:type="pct"/>
            <w:gridSpan w:val="7"/>
            <w:tcBorders>
              <w:top w:val="nil"/>
              <w:left w:val="single" w:sz="8" w:space="0" w:color="auto"/>
              <w:bottom w:val="nil"/>
              <w:right w:val="single" w:sz="8" w:space="0" w:color="000000"/>
            </w:tcBorders>
            <w:shd w:val="clear" w:color="000000" w:fill="C0C0C0"/>
            <w:vAlign w:val="center"/>
            <w:hideMark/>
          </w:tcPr>
          <w:p w14:paraId="00372DD7" w14:textId="77777777" w:rsidR="003A2C77" w:rsidRPr="001B6518" w:rsidRDefault="003A2C77" w:rsidP="003A2C77">
            <w:pPr>
              <w:spacing w:after="0" w:line="240" w:lineRule="auto"/>
              <w:jc w:val="center"/>
              <w:rPr>
                <w:rFonts w:ascii="Arial" w:hAnsi="Arial" w:cs="Arial"/>
                <w:b/>
                <w:bCs/>
                <w:color w:val="000000"/>
                <w:sz w:val="16"/>
                <w:szCs w:val="16"/>
              </w:rPr>
            </w:pPr>
            <w:r w:rsidRPr="001B6518">
              <w:rPr>
                <w:rFonts w:ascii="Arial" w:hAnsi="Arial" w:cs="Arial"/>
                <w:b/>
                <w:bCs/>
                <w:color w:val="000000"/>
                <w:sz w:val="16"/>
                <w:szCs w:val="16"/>
              </w:rPr>
              <w:t>Proyecciones de Ingresos - LDF</w:t>
            </w:r>
          </w:p>
        </w:tc>
      </w:tr>
      <w:tr w:rsidR="003A2C77" w:rsidRPr="001B6518" w14:paraId="052D9829" w14:textId="77777777" w:rsidTr="00C6489A">
        <w:trPr>
          <w:trHeight w:val="20"/>
        </w:trPr>
        <w:tc>
          <w:tcPr>
            <w:tcW w:w="5000" w:type="pct"/>
            <w:gridSpan w:val="7"/>
            <w:tcBorders>
              <w:top w:val="nil"/>
              <w:left w:val="single" w:sz="8" w:space="0" w:color="auto"/>
              <w:bottom w:val="nil"/>
              <w:right w:val="single" w:sz="8" w:space="0" w:color="000000"/>
            </w:tcBorders>
            <w:shd w:val="clear" w:color="000000" w:fill="C0C0C0"/>
            <w:vAlign w:val="center"/>
            <w:hideMark/>
          </w:tcPr>
          <w:p w14:paraId="1FFE9883" w14:textId="77777777" w:rsidR="003A2C77" w:rsidRPr="001B6518" w:rsidRDefault="003A2C77" w:rsidP="003A2C77">
            <w:pPr>
              <w:spacing w:after="0" w:line="240" w:lineRule="auto"/>
              <w:jc w:val="center"/>
              <w:rPr>
                <w:rFonts w:ascii="Arial" w:hAnsi="Arial" w:cs="Arial"/>
                <w:b/>
                <w:bCs/>
                <w:color w:val="000000"/>
                <w:sz w:val="16"/>
                <w:szCs w:val="16"/>
              </w:rPr>
            </w:pPr>
            <w:r w:rsidRPr="001B6518">
              <w:rPr>
                <w:rFonts w:ascii="Arial" w:hAnsi="Arial" w:cs="Arial"/>
                <w:b/>
                <w:bCs/>
                <w:color w:val="000000"/>
                <w:sz w:val="16"/>
                <w:szCs w:val="16"/>
              </w:rPr>
              <w:t>(PESOS)</w:t>
            </w:r>
          </w:p>
        </w:tc>
      </w:tr>
      <w:tr w:rsidR="003A2C77" w:rsidRPr="001B6518" w14:paraId="5D22140A" w14:textId="77777777" w:rsidTr="00C6489A">
        <w:trPr>
          <w:trHeight w:val="20"/>
        </w:trPr>
        <w:tc>
          <w:tcPr>
            <w:tcW w:w="5000" w:type="pct"/>
            <w:gridSpan w:val="7"/>
            <w:tcBorders>
              <w:top w:val="nil"/>
              <w:left w:val="single" w:sz="8" w:space="0" w:color="auto"/>
              <w:bottom w:val="single" w:sz="8" w:space="0" w:color="auto"/>
              <w:right w:val="single" w:sz="8" w:space="0" w:color="000000"/>
            </w:tcBorders>
            <w:shd w:val="clear" w:color="000000" w:fill="C0C0C0"/>
            <w:vAlign w:val="center"/>
            <w:hideMark/>
          </w:tcPr>
          <w:p w14:paraId="413303B5" w14:textId="77777777" w:rsidR="003A2C77" w:rsidRPr="001B6518" w:rsidRDefault="003A2C77" w:rsidP="003A2C77">
            <w:pPr>
              <w:spacing w:after="0" w:line="240" w:lineRule="auto"/>
              <w:jc w:val="center"/>
              <w:rPr>
                <w:rFonts w:ascii="Arial" w:hAnsi="Arial" w:cs="Arial"/>
                <w:b/>
                <w:bCs/>
                <w:color w:val="000000"/>
                <w:sz w:val="16"/>
                <w:szCs w:val="16"/>
              </w:rPr>
            </w:pPr>
            <w:r w:rsidRPr="001B6518">
              <w:rPr>
                <w:rFonts w:ascii="Arial" w:hAnsi="Arial" w:cs="Arial"/>
                <w:b/>
                <w:bCs/>
                <w:color w:val="000000"/>
                <w:sz w:val="16"/>
                <w:szCs w:val="16"/>
              </w:rPr>
              <w:t>(CIFRAS NOMINALES)</w:t>
            </w:r>
          </w:p>
        </w:tc>
      </w:tr>
      <w:tr w:rsidR="00DA2822" w:rsidRPr="001B6518" w14:paraId="146701A1" w14:textId="77777777" w:rsidTr="00C6489A">
        <w:trPr>
          <w:trHeight w:val="20"/>
        </w:trPr>
        <w:tc>
          <w:tcPr>
            <w:tcW w:w="1172" w:type="pct"/>
            <w:tcBorders>
              <w:top w:val="nil"/>
              <w:left w:val="single" w:sz="8" w:space="0" w:color="auto"/>
              <w:bottom w:val="single" w:sz="8" w:space="0" w:color="000000"/>
              <w:right w:val="single" w:sz="8" w:space="0" w:color="000000"/>
            </w:tcBorders>
            <w:shd w:val="clear" w:color="000000" w:fill="C0C0C0"/>
            <w:vAlign w:val="center"/>
            <w:hideMark/>
          </w:tcPr>
          <w:p w14:paraId="7F67A2F0" w14:textId="16945B27" w:rsidR="00DA2822" w:rsidRPr="001B6518" w:rsidRDefault="00DA2822" w:rsidP="00DA2822">
            <w:pPr>
              <w:spacing w:after="0" w:line="240" w:lineRule="auto"/>
              <w:jc w:val="center"/>
              <w:rPr>
                <w:rFonts w:ascii="Arial" w:hAnsi="Arial" w:cs="Arial"/>
                <w:b/>
                <w:bCs/>
                <w:color w:val="000000"/>
                <w:sz w:val="16"/>
                <w:szCs w:val="16"/>
              </w:rPr>
            </w:pPr>
            <w:r w:rsidRPr="001B6518">
              <w:rPr>
                <w:rFonts w:ascii="Arial" w:hAnsi="Arial" w:cs="Arial"/>
                <w:b/>
                <w:bCs/>
                <w:color w:val="000000"/>
                <w:sz w:val="16"/>
                <w:szCs w:val="16"/>
              </w:rPr>
              <w:t>Concepto (b)</w:t>
            </w:r>
          </w:p>
        </w:tc>
        <w:tc>
          <w:tcPr>
            <w:tcW w:w="638" w:type="pct"/>
            <w:tcBorders>
              <w:top w:val="nil"/>
              <w:left w:val="nil"/>
              <w:bottom w:val="single" w:sz="8" w:space="0" w:color="000000"/>
              <w:right w:val="single" w:sz="8" w:space="0" w:color="auto"/>
            </w:tcBorders>
            <w:shd w:val="clear" w:color="000000" w:fill="C0C0C0"/>
            <w:vAlign w:val="center"/>
            <w:hideMark/>
          </w:tcPr>
          <w:p w14:paraId="45E2D330" w14:textId="599B8D30" w:rsidR="00DA2822" w:rsidRPr="001B6518" w:rsidRDefault="00DA2822" w:rsidP="00DA2822">
            <w:pPr>
              <w:spacing w:after="0" w:line="240" w:lineRule="auto"/>
              <w:jc w:val="center"/>
              <w:rPr>
                <w:rFonts w:ascii="Arial" w:hAnsi="Arial" w:cs="Arial"/>
                <w:b/>
                <w:bCs/>
                <w:color w:val="000000"/>
                <w:sz w:val="16"/>
                <w:szCs w:val="16"/>
              </w:rPr>
            </w:pPr>
            <w:r w:rsidRPr="001B6518">
              <w:rPr>
                <w:rFonts w:ascii="Arial" w:hAnsi="Arial" w:cs="Arial"/>
                <w:b/>
                <w:bCs/>
                <w:color w:val="000000"/>
                <w:sz w:val="16"/>
                <w:szCs w:val="16"/>
              </w:rPr>
              <w:t>2026 (c)</w:t>
            </w:r>
          </w:p>
        </w:tc>
        <w:tc>
          <w:tcPr>
            <w:tcW w:w="638" w:type="pct"/>
            <w:tcBorders>
              <w:top w:val="nil"/>
              <w:left w:val="nil"/>
              <w:bottom w:val="single" w:sz="8" w:space="0" w:color="000000"/>
              <w:right w:val="single" w:sz="8" w:space="0" w:color="auto"/>
            </w:tcBorders>
            <w:shd w:val="clear" w:color="000000" w:fill="C0C0C0"/>
            <w:vAlign w:val="center"/>
            <w:hideMark/>
          </w:tcPr>
          <w:p w14:paraId="29CCB7F9" w14:textId="5238F293" w:rsidR="00DA2822" w:rsidRPr="001B6518" w:rsidRDefault="00DA2822" w:rsidP="00DA2822">
            <w:pPr>
              <w:spacing w:after="0" w:line="240" w:lineRule="auto"/>
              <w:jc w:val="center"/>
              <w:rPr>
                <w:rFonts w:ascii="Arial" w:hAnsi="Arial" w:cs="Arial"/>
                <w:b/>
                <w:bCs/>
                <w:color w:val="000000"/>
                <w:sz w:val="16"/>
                <w:szCs w:val="16"/>
              </w:rPr>
            </w:pPr>
            <w:r w:rsidRPr="001B6518">
              <w:rPr>
                <w:rFonts w:ascii="Arial" w:hAnsi="Arial" w:cs="Arial"/>
                <w:b/>
                <w:bCs/>
                <w:color w:val="000000"/>
                <w:sz w:val="16"/>
                <w:szCs w:val="16"/>
              </w:rPr>
              <w:t>2027 (d)</w:t>
            </w:r>
          </w:p>
        </w:tc>
        <w:tc>
          <w:tcPr>
            <w:tcW w:w="638" w:type="pct"/>
            <w:tcBorders>
              <w:top w:val="nil"/>
              <w:left w:val="nil"/>
              <w:bottom w:val="single" w:sz="8" w:space="0" w:color="000000"/>
              <w:right w:val="single" w:sz="8" w:space="0" w:color="auto"/>
            </w:tcBorders>
            <w:shd w:val="clear" w:color="000000" w:fill="C0C0C0"/>
            <w:vAlign w:val="center"/>
            <w:hideMark/>
          </w:tcPr>
          <w:p w14:paraId="2DBA95A3" w14:textId="4B627CE0" w:rsidR="00DA2822" w:rsidRPr="001B6518" w:rsidRDefault="00DA2822" w:rsidP="00DA2822">
            <w:pPr>
              <w:spacing w:after="0" w:line="240" w:lineRule="auto"/>
              <w:jc w:val="center"/>
              <w:rPr>
                <w:rFonts w:ascii="Arial" w:hAnsi="Arial" w:cs="Arial"/>
                <w:b/>
                <w:bCs/>
                <w:color w:val="000000"/>
                <w:sz w:val="16"/>
                <w:szCs w:val="16"/>
              </w:rPr>
            </w:pPr>
            <w:r w:rsidRPr="001B6518">
              <w:rPr>
                <w:rFonts w:ascii="Arial" w:hAnsi="Arial" w:cs="Arial"/>
                <w:b/>
                <w:bCs/>
                <w:color w:val="000000"/>
                <w:sz w:val="16"/>
                <w:szCs w:val="16"/>
              </w:rPr>
              <w:t>2028 (d)</w:t>
            </w:r>
          </w:p>
        </w:tc>
        <w:tc>
          <w:tcPr>
            <w:tcW w:w="638" w:type="pct"/>
            <w:tcBorders>
              <w:top w:val="nil"/>
              <w:left w:val="nil"/>
              <w:bottom w:val="single" w:sz="8" w:space="0" w:color="000000"/>
              <w:right w:val="single" w:sz="8" w:space="0" w:color="auto"/>
            </w:tcBorders>
            <w:shd w:val="clear" w:color="000000" w:fill="C0C0C0"/>
            <w:vAlign w:val="center"/>
            <w:hideMark/>
          </w:tcPr>
          <w:p w14:paraId="6A0B614F" w14:textId="4AEC710C" w:rsidR="00DA2822" w:rsidRPr="001B6518" w:rsidRDefault="00DA2822" w:rsidP="00DA2822">
            <w:pPr>
              <w:spacing w:after="0" w:line="240" w:lineRule="auto"/>
              <w:jc w:val="center"/>
              <w:rPr>
                <w:rFonts w:ascii="Arial" w:hAnsi="Arial" w:cs="Arial"/>
                <w:b/>
                <w:bCs/>
                <w:color w:val="000000"/>
                <w:sz w:val="16"/>
                <w:szCs w:val="16"/>
              </w:rPr>
            </w:pPr>
            <w:r w:rsidRPr="001B6518">
              <w:rPr>
                <w:rFonts w:ascii="Arial" w:hAnsi="Arial" w:cs="Arial"/>
                <w:b/>
                <w:bCs/>
                <w:color w:val="000000"/>
                <w:sz w:val="16"/>
                <w:szCs w:val="16"/>
              </w:rPr>
              <w:t>2029 (d)</w:t>
            </w:r>
          </w:p>
        </w:tc>
        <w:tc>
          <w:tcPr>
            <w:tcW w:w="638" w:type="pct"/>
            <w:tcBorders>
              <w:top w:val="nil"/>
              <w:left w:val="nil"/>
              <w:bottom w:val="single" w:sz="8" w:space="0" w:color="000000"/>
              <w:right w:val="single" w:sz="8" w:space="0" w:color="000000"/>
            </w:tcBorders>
            <w:shd w:val="clear" w:color="000000" w:fill="C0C0C0"/>
            <w:vAlign w:val="center"/>
            <w:hideMark/>
          </w:tcPr>
          <w:p w14:paraId="51A0FE65" w14:textId="4C7E8FD2" w:rsidR="00DA2822" w:rsidRPr="001B6518" w:rsidRDefault="00DA2822" w:rsidP="00DA2822">
            <w:pPr>
              <w:spacing w:after="0" w:line="240" w:lineRule="auto"/>
              <w:jc w:val="center"/>
              <w:rPr>
                <w:rFonts w:ascii="Arial" w:hAnsi="Arial" w:cs="Arial"/>
                <w:b/>
                <w:bCs/>
                <w:color w:val="000000"/>
                <w:sz w:val="16"/>
                <w:szCs w:val="16"/>
              </w:rPr>
            </w:pPr>
            <w:r w:rsidRPr="001B6518">
              <w:rPr>
                <w:rFonts w:ascii="Arial" w:hAnsi="Arial" w:cs="Arial"/>
                <w:b/>
                <w:bCs/>
                <w:color w:val="000000"/>
                <w:sz w:val="16"/>
                <w:szCs w:val="16"/>
              </w:rPr>
              <w:t>2030 (d)</w:t>
            </w:r>
          </w:p>
        </w:tc>
        <w:tc>
          <w:tcPr>
            <w:tcW w:w="638" w:type="pct"/>
            <w:tcBorders>
              <w:top w:val="nil"/>
              <w:left w:val="nil"/>
              <w:bottom w:val="single" w:sz="8" w:space="0" w:color="000000"/>
              <w:right w:val="single" w:sz="8" w:space="0" w:color="000000"/>
            </w:tcBorders>
            <w:shd w:val="clear" w:color="000000" w:fill="C0C0C0"/>
            <w:vAlign w:val="center"/>
            <w:hideMark/>
          </w:tcPr>
          <w:p w14:paraId="284C5BB5" w14:textId="40EF3624" w:rsidR="00DA2822" w:rsidRPr="001B6518" w:rsidRDefault="00DA2822" w:rsidP="00DA2822">
            <w:pPr>
              <w:spacing w:after="0" w:line="240" w:lineRule="auto"/>
              <w:jc w:val="center"/>
              <w:rPr>
                <w:rFonts w:ascii="Arial" w:hAnsi="Arial" w:cs="Arial"/>
                <w:b/>
                <w:bCs/>
                <w:color w:val="000000"/>
                <w:sz w:val="16"/>
                <w:szCs w:val="16"/>
              </w:rPr>
            </w:pPr>
            <w:r w:rsidRPr="001B6518">
              <w:rPr>
                <w:rFonts w:ascii="Arial" w:hAnsi="Arial" w:cs="Arial"/>
                <w:b/>
                <w:bCs/>
                <w:color w:val="000000"/>
                <w:sz w:val="16"/>
                <w:szCs w:val="16"/>
              </w:rPr>
              <w:t>2031 (d)</w:t>
            </w:r>
          </w:p>
        </w:tc>
      </w:tr>
      <w:tr w:rsidR="00746CF5" w:rsidRPr="001B6518" w14:paraId="2B765AB6" w14:textId="77777777" w:rsidTr="00C6489A">
        <w:trPr>
          <w:trHeight w:val="20"/>
        </w:trPr>
        <w:tc>
          <w:tcPr>
            <w:tcW w:w="1172" w:type="pct"/>
            <w:tcBorders>
              <w:top w:val="nil"/>
              <w:left w:val="single" w:sz="8" w:space="0" w:color="auto"/>
              <w:bottom w:val="nil"/>
              <w:right w:val="single" w:sz="8" w:space="0" w:color="auto"/>
            </w:tcBorders>
            <w:vAlign w:val="center"/>
            <w:hideMark/>
          </w:tcPr>
          <w:p w14:paraId="4EB62CEB" w14:textId="1E049F9E" w:rsidR="00746CF5" w:rsidRPr="001B6518" w:rsidRDefault="00746CF5" w:rsidP="00746CF5">
            <w:pPr>
              <w:spacing w:after="0" w:line="240" w:lineRule="auto"/>
              <w:rPr>
                <w:rFonts w:ascii="Arial" w:hAnsi="Arial" w:cs="Arial"/>
                <w:b/>
                <w:bCs/>
                <w:color w:val="000000"/>
                <w:sz w:val="16"/>
                <w:szCs w:val="16"/>
              </w:rPr>
            </w:pPr>
            <w:r w:rsidRPr="001B6518">
              <w:rPr>
                <w:rFonts w:ascii="Arial" w:hAnsi="Arial" w:cs="Arial"/>
                <w:b/>
                <w:bCs/>
                <w:color w:val="000000"/>
                <w:sz w:val="16"/>
                <w:szCs w:val="16"/>
              </w:rPr>
              <w:t>1. Ingresos de Libre Disposición (1=A+B+C+D+E+F+G+H+I+J+K+L)</w:t>
            </w:r>
          </w:p>
        </w:tc>
        <w:tc>
          <w:tcPr>
            <w:tcW w:w="638" w:type="pct"/>
            <w:tcBorders>
              <w:top w:val="nil"/>
              <w:left w:val="nil"/>
              <w:bottom w:val="nil"/>
              <w:right w:val="single" w:sz="8" w:space="0" w:color="auto"/>
            </w:tcBorders>
            <w:vAlign w:val="center"/>
            <w:hideMark/>
          </w:tcPr>
          <w:p w14:paraId="3DE60C63" w14:textId="001FA6A9"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33,100,272,305</w:t>
            </w:r>
          </w:p>
        </w:tc>
        <w:tc>
          <w:tcPr>
            <w:tcW w:w="638" w:type="pct"/>
            <w:tcBorders>
              <w:top w:val="nil"/>
              <w:left w:val="nil"/>
              <w:bottom w:val="nil"/>
              <w:right w:val="single" w:sz="8" w:space="0" w:color="auto"/>
            </w:tcBorders>
            <w:vAlign w:val="center"/>
            <w:hideMark/>
          </w:tcPr>
          <w:p w14:paraId="3D7603B6" w14:textId="6E5234C9"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34,093,280,475</w:t>
            </w:r>
          </w:p>
        </w:tc>
        <w:tc>
          <w:tcPr>
            <w:tcW w:w="638" w:type="pct"/>
            <w:tcBorders>
              <w:top w:val="nil"/>
              <w:left w:val="nil"/>
              <w:bottom w:val="nil"/>
              <w:right w:val="single" w:sz="8" w:space="0" w:color="auto"/>
            </w:tcBorders>
            <w:vAlign w:val="center"/>
            <w:hideMark/>
          </w:tcPr>
          <w:p w14:paraId="73793D79" w14:textId="784BD5DA"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35,116,078,889</w:t>
            </w:r>
          </w:p>
        </w:tc>
        <w:tc>
          <w:tcPr>
            <w:tcW w:w="638" w:type="pct"/>
            <w:tcBorders>
              <w:top w:val="nil"/>
              <w:left w:val="nil"/>
              <w:bottom w:val="nil"/>
              <w:right w:val="single" w:sz="8" w:space="0" w:color="auto"/>
            </w:tcBorders>
            <w:vAlign w:val="center"/>
            <w:hideMark/>
          </w:tcPr>
          <w:p w14:paraId="0D383B6E" w14:textId="1B67E7AC"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36,169,561,256</w:t>
            </w:r>
          </w:p>
        </w:tc>
        <w:tc>
          <w:tcPr>
            <w:tcW w:w="638" w:type="pct"/>
            <w:tcBorders>
              <w:top w:val="nil"/>
              <w:left w:val="nil"/>
              <w:bottom w:val="nil"/>
              <w:right w:val="single" w:sz="8" w:space="0" w:color="auto"/>
            </w:tcBorders>
            <w:vAlign w:val="center"/>
            <w:hideMark/>
          </w:tcPr>
          <w:p w14:paraId="414C90CD" w14:textId="419A1F08"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37,254,648,093</w:t>
            </w:r>
          </w:p>
        </w:tc>
        <w:tc>
          <w:tcPr>
            <w:tcW w:w="638" w:type="pct"/>
            <w:tcBorders>
              <w:top w:val="nil"/>
              <w:left w:val="nil"/>
              <w:bottom w:val="nil"/>
              <w:right w:val="single" w:sz="8" w:space="0" w:color="auto"/>
            </w:tcBorders>
            <w:vAlign w:val="center"/>
            <w:hideMark/>
          </w:tcPr>
          <w:p w14:paraId="315BD7E6" w14:textId="6EFCFA8F"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38,372,287,537</w:t>
            </w:r>
          </w:p>
        </w:tc>
      </w:tr>
      <w:tr w:rsidR="00746CF5" w:rsidRPr="001B6518" w14:paraId="6BD992A3" w14:textId="77777777" w:rsidTr="00C6489A">
        <w:trPr>
          <w:trHeight w:val="20"/>
        </w:trPr>
        <w:tc>
          <w:tcPr>
            <w:tcW w:w="1172" w:type="pct"/>
            <w:tcBorders>
              <w:top w:val="nil"/>
              <w:left w:val="single" w:sz="8" w:space="0" w:color="auto"/>
              <w:bottom w:val="nil"/>
              <w:right w:val="single" w:sz="8" w:space="0" w:color="auto"/>
            </w:tcBorders>
            <w:vAlign w:val="center"/>
            <w:hideMark/>
          </w:tcPr>
          <w:p w14:paraId="7682CEE2" w14:textId="12F5A181" w:rsidR="00746CF5" w:rsidRPr="001B6518" w:rsidRDefault="00746CF5" w:rsidP="00746CF5">
            <w:pPr>
              <w:spacing w:after="0" w:line="240" w:lineRule="auto"/>
              <w:rPr>
                <w:rFonts w:ascii="Arial" w:hAnsi="Arial" w:cs="Arial"/>
                <w:color w:val="000000"/>
                <w:sz w:val="16"/>
                <w:szCs w:val="16"/>
              </w:rPr>
            </w:pPr>
            <w:r w:rsidRPr="001B6518">
              <w:rPr>
                <w:rFonts w:ascii="Arial" w:hAnsi="Arial" w:cs="Arial"/>
                <w:color w:val="000000"/>
                <w:sz w:val="16"/>
                <w:szCs w:val="16"/>
              </w:rPr>
              <w:t>A. Impuestos</w:t>
            </w:r>
          </w:p>
        </w:tc>
        <w:tc>
          <w:tcPr>
            <w:tcW w:w="638" w:type="pct"/>
            <w:tcBorders>
              <w:top w:val="nil"/>
              <w:left w:val="nil"/>
              <w:bottom w:val="nil"/>
              <w:right w:val="single" w:sz="8" w:space="0" w:color="auto"/>
            </w:tcBorders>
            <w:vAlign w:val="center"/>
            <w:hideMark/>
          </w:tcPr>
          <w:p w14:paraId="13479AFB" w14:textId="00437F21"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5,214,559,050</w:t>
            </w:r>
          </w:p>
        </w:tc>
        <w:tc>
          <w:tcPr>
            <w:tcW w:w="638" w:type="pct"/>
            <w:tcBorders>
              <w:top w:val="nil"/>
              <w:left w:val="nil"/>
              <w:bottom w:val="nil"/>
              <w:right w:val="single" w:sz="8" w:space="0" w:color="auto"/>
            </w:tcBorders>
            <w:vAlign w:val="center"/>
            <w:hideMark/>
          </w:tcPr>
          <w:p w14:paraId="3D1151CC" w14:textId="5890DCDF"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5,370,995,822</w:t>
            </w:r>
          </w:p>
        </w:tc>
        <w:tc>
          <w:tcPr>
            <w:tcW w:w="638" w:type="pct"/>
            <w:tcBorders>
              <w:top w:val="nil"/>
              <w:left w:val="nil"/>
              <w:bottom w:val="nil"/>
              <w:right w:val="single" w:sz="8" w:space="0" w:color="auto"/>
            </w:tcBorders>
            <w:vAlign w:val="center"/>
            <w:hideMark/>
          </w:tcPr>
          <w:p w14:paraId="5C7BC4F1" w14:textId="79092F31"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5,532,125,697</w:t>
            </w:r>
          </w:p>
        </w:tc>
        <w:tc>
          <w:tcPr>
            <w:tcW w:w="638" w:type="pct"/>
            <w:tcBorders>
              <w:top w:val="nil"/>
              <w:left w:val="nil"/>
              <w:bottom w:val="nil"/>
              <w:right w:val="single" w:sz="8" w:space="0" w:color="auto"/>
            </w:tcBorders>
            <w:vAlign w:val="center"/>
            <w:hideMark/>
          </w:tcPr>
          <w:p w14:paraId="133F367B" w14:textId="56F6DC48"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5,698,089,468</w:t>
            </w:r>
          </w:p>
        </w:tc>
        <w:tc>
          <w:tcPr>
            <w:tcW w:w="638" w:type="pct"/>
            <w:tcBorders>
              <w:top w:val="nil"/>
              <w:left w:val="nil"/>
              <w:bottom w:val="nil"/>
              <w:right w:val="single" w:sz="8" w:space="0" w:color="auto"/>
            </w:tcBorders>
            <w:vAlign w:val="center"/>
            <w:hideMark/>
          </w:tcPr>
          <w:p w14:paraId="7B19D9DB" w14:textId="23EBDC46"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5,869,032,152</w:t>
            </w:r>
          </w:p>
        </w:tc>
        <w:tc>
          <w:tcPr>
            <w:tcW w:w="638" w:type="pct"/>
            <w:tcBorders>
              <w:top w:val="nil"/>
              <w:left w:val="nil"/>
              <w:bottom w:val="nil"/>
              <w:right w:val="single" w:sz="8" w:space="0" w:color="auto"/>
            </w:tcBorders>
            <w:vAlign w:val="center"/>
            <w:hideMark/>
          </w:tcPr>
          <w:p w14:paraId="29C7AA36" w14:textId="5E88743E"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6,045,103,117</w:t>
            </w:r>
          </w:p>
        </w:tc>
      </w:tr>
      <w:tr w:rsidR="00746CF5" w:rsidRPr="001B6518" w14:paraId="511B2DB5" w14:textId="77777777" w:rsidTr="00C6489A">
        <w:trPr>
          <w:trHeight w:val="20"/>
        </w:trPr>
        <w:tc>
          <w:tcPr>
            <w:tcW w:w="1172" w:type="pct"/>
            <w:tcBorders>
              <w:top w:val="nil"/>
              <w:left w:val="single" w:sz="8" w:space="0" w:color="auto"/>
              <w:bottom w:val="nil"/>
              <w:right w:val="single" w:sz="8" w:space="0" w:color="auto"/>
            </w:tcBorders>
            <w:vAlign w:val="center"/>
            <w:hideMark/>
          </w:tcPr>
          <w:p w14:paraId="14DB59D3" w14:textId="5D4C4EEE" w:rsidR="00746CF5" w:rsidRPr="001B6518" w:rsidRDefault="00746CF5" w:rsidP="00746CF5">
            <w:pPr>
              <w:spacing w:after="0" w:line="240" w:lineRule="auto"/>
              <w:rPr>
                <w:rFonts w:ascii="Arial" w:hAnsi="Arial" w:cs="Arial"/>
                <w:color w:val="000000"/>
                <w:sz w:val="16"/>
                <w:szCs w:val="16"/>
              </w:rPr>
            </w:pPr>
            <w:r w:rsidRPr="001B6518">
              <w:rPr>
                <w:rFonts w:ascii="Arial" w:hAnsi="Arial" w:cs="Arial"/>
                <w:color w:val="000000"/>
                <w:sz w:val="16"/>
                <w:szCs w:val="16"/>
              </w:rPr>
              <w:t>B. Cuotas y Aportaciones de Seguridad Social</w:t>
            </w:r>
          </w:p>
        </w:tc>
        <w:tc>
          <w:tcPr>
            <w:tcW w:w="638" w:type="pct"/>
            <w:tcBorders>
              <w:top w:val="nil"/>
              <w:left w:val="nil"/>
              <w:bottom w:val="nil"/>
              <w:right w:val="single" w:sz="8" w:space="0" w:color="auto"/>
            </w:tcBorders>
            <w:vAlign w:val="center"/>
            <w:hideMark/>
          </w:tcPr>
          <w:p w14:paraId="3E11A8A1" w14:textId="33E05F71" w:rsidR="00746CF5" w:rsidRPr="001B6518" w:rsidRDefault="00746CF5" w:rsidP="00746CF5">
            <w:pPr>
              <w:spacing w:after="0" w:line="240" w:lineRule="auto"/>
              <w:jc w:val="right"/>
              <w:rPr>
                <w:rFonts w:ascii="Arial" w:hAnsi="Arial" w:cs="Arial"/>
                <w:color w:val="000000"/>
                <w:sz w:val="16"/>
                <w:szCs w:val="16"/>
              </w:rPr>
            </w:pPr>
          </w:p>
        </w:tc>
        <w:tc>
          <w:tcPr>
            <w:tcW w:w="638" w:type="pct"/>
            <w:tcBorders>
              <w:top w:val="nil"/>
              <w:left w:val="nil"/>
              <w:bottom w:val="nil"/>
              <w:right w:val="single" w:sz="8" w:space="0" w:color="auto"/>
            </w:tcBorders>
            <w:vAlign w:val="center"/>
            <w:hideMark/>
          </w:tcPr>
          <w:p w14:paraId="467EEC13" w14:textId="21746D38"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0E33689A" w14:textId="232FEB47"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65408B4C" w14:textId="40CDD8E7"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782CDB04" w14:textId="06404709"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6BDB24AF" w14:textId="591FC0E1"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r>
      <w:tr w:rsidR="00746CF5" w:rsidRPr="001B6518" w14:paraId="2CC51208" w14:textId="77777777" w:rsidTr="00C6489A">
        <w:trPr>
          <w:trHeight w:val="20"/>
        </w:trPr>
        <w:tc>
          <w:tcPr>
            <w:tcW w:w="1172" w:type="pct"/>
            <w:tcBorders>
              <w:top w:val="nil"/>
              <w:left w:val="single" w:sz="8" w:space="0" w:color="auto"/>
              <w:bottom w:val="nil"/>
              <w:right w:val="single" w:sz="8" w:space="0" w:color="auto"/>
            </w:tcBorders>
            <w:vAlign w:val="center"/>
            <w:hideMark/>
          </w:tcPr>
          <w:p w14:paraId="1AB55465" w14:textId="79843CF7" w:rsidR="00746CF5" w:rsidRPr="001B6518" w:rsidRDefault="00746CF5" w:rsidP="00746CF5">
            <w:pPr>
              <w:spacing w:after="0" w:line="240" w:lineRule="auto"/>
              <w:rPr>
                <w:rFonts w:ascii="Arial" w:hAnsi="Arial" w:cs="Arial"/>
                <w:color w:val="000000"/>
                <w:sz w:val="16"/>
                <w:szCs w:val="16"/>
              </w:rPr>
            </w:pPr>
            <w:r w:rsidRPr="001B6518">
              <w:rPr>
                <w:rFonts w:ascii="Arial" w:hAnsi="Arial" w:cs="Arial"/>
                <w:color w:val="000000"/>
                <w:sz w:val="16"/>
                <w:szCs w:val="16"/>
              </w:rPr>
              <w:t>C. Contribuciones de Mejoras</w:t>
            </w:r>
          </w:p>
        </w:tc>
        <w:tc>
          <w:tcPr>
            <w:tcW w:w="638" w:type="pct"/>
            <w:tcBorders>
              <w:top w:val="nil"/>
              <w:left w:val="nil"/>
              <w:bottom w:val="nil"/>
              <w:right w:val="single" w:sz="8" w:space="0" w:color="auto"/>
            </w:tcBorders>
            <w:vAlign w:val="center"/>
            <w:hideMark/>
          </w:tcPr>
          <w:p w14:paraId="39735FCA" w14:textId="10E5198F"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1A2E8B99" w14:textId="177F3119"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06AE1D70" w14:textId="4B65535C"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60AC15A5" w14:textId="57972952"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44C7517A" w14:textId="2347A75A"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2D8D9CCC" w14:textId="0EB33A11"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r>
      <w:tr w:rsidR="00746CF5" w:rsidRPr="001B6518" w14:paraId="1E03F239" w14:textId="77777777" w:rsidTr="00C6489A">
        <w:trPr>
          <w:trHeight w:val="20"/>
        </w:trPr>
        <w:tc>
          <w:tcPr>
            <w:tcW w:w="1172" w:type="pct"/>
            <w:tcBorders>
              <w:top w:val="nil"/>
              <w:left w:val="single" w:sz="8" w:space="0" w:color="auto"/>
              <w:bottom w:val="nil"/>
              <w:right w:val="single" w:sz="8" w:space="0" w:color="auto"/>
            </w:tcBorders>
            <w:vAlign w:val="center"/>
            <w:hideMark/>
          </w:tcPr>
          <w:p w14:paraId="1F51812B" w14:textId="20DAEDA2" w:rsidR="00746CF5" w:rsidRPr="001B6518" w:rsidRDefault="00746CF5" w:rsidP="00746CF5">
            <w:pPr>
              <w:spacing w:after="0" w:line="240" w:lineRule="auto"/>
              <w:rPr>
                <w:rFonts w:ascii="Arial" w:hAnsi="Arial" w:cs="Arial"/>
                <w:color w:val="000000"/>
                <w:sz w:val="16"/>
                <w:szCs w:val="16"/>
              </w:rPr>
            </w:pPr>
            <w:r w:rsidRPr="001B6518">
              <w:rPr>
                <w:rFonts w:ascii="Arial" w:hAnsi="Arial" w:cs="Arial"/>
                <w:color w:val="000000"/>
                <w:sz w:val="16"/>
                <w:szCs w:val="16"/>
              </w:rPr>
              <w:t>D. Derechos</w:t>
            </w:r>
          </w:p>
        </w:tc>
        <w:tc>
          <w:tcPr>
            <w:tcW w:w="638" w:type="pct"/>
            <w:tcBorders>
              <w:top w:val="nil"/>
              <w:left w:val="nil"/>
              <w:bottom w:val="nil"/>
              <w:right w:val="single" w:sz="8" w:space="0" w:color="auto"/>
            </w:tcBorders>
            <w:vAlign w:val="center"/>
            <w:hideMark/>
          </w:tcPr>
          <w:p w14:paraId="14D5144F" w14:textId="558E8599"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2,401,231,235</w:t>
            </w:r>
          </w:p>
        </w:tc>
        <w:tc>
          <w:tcPr>
            <w:tcW w:w="638" w:type="pct"/>
            <w:tcBorders>
              <w:top w:val="nil"/>
              <w:left w:val="nil"/>
              <w:bottom w:val="nil"/>
              <w:right w:val="single" w:sz="8" w:space="0" w:color="auto"/>
            </w:tcBorders>
            <w:vAlign w:val="center"/>
            <w:hideMark/>
          </w:tcPr>
          <w:p w14:paraId="4D78CB54" w14:textId="67E8AB74"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2,473,268,172</w:t>
            </w:r>
          </w:p>
        </w:tc>
        <w:tc>
          <w:tcPr>
            <w:tcW w:w="638" w:type="pct"/>
            <w:tcBorders>
              <w:top w:val="nil"/>
              <w:left w:val="nil"/>
              <w:bottom w:val="nil"/>
              <w:right w:val="single" w:sz="8" w:space="0" w:color="auto"/>
            </w:tcBorders>
            <w:vAlign w:val="center"/>
            <w:hideMark/>
          </w:tcPr>
          <w:p w14:paraId="2E1D2AEF" w14:textId="678EAACC"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2,547,466,217</w:t>
            </w:r>
          </w:p>
        </w:tc>
        <w:tc>
          <w:tcPr>
            <w:tcW w:w="638" w:type="pct"/>
            <w:tcBorders>
              <w:top w:val="nil"/>
              <w:left w:val="nil"/>
              <w:bottom w:val="nil"/>
              <w:right w:val="single" w:sz="8" w:space="0" w:color="auto"/>
            </w:tcBorders>
            <w:vAlign w:val="center"/>
            <w:hideMark/>
          </w:tcPr>
          <w:p w14:paraId="3004EF5D" w14:textId="64DD0F42"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2,623,890,204</w:t>
            </w:r>
          </w:p>
        </w:tc>
        <w:tc>
          <w:tcPr>
            <w:tcW w:w="638" w:type="pct"/>
            <w:tcBorders>
              <w:top w:val="nil"/>
              <w:left w:val="nil"/>
              <w:bottom w:val="nil"/>
              <w:right w:val="single" w:sz="8" w:space="0" w:color="auto"/>
            </w:tcBorders>
            <w:vAlign w:val="center"/>
            <w:hideMark/>
          </w:tcPr>
          <w:p w14:paraId="485F82C6" w14:textId="6AA1C244"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2,702,606,910</w:t>
            </w:r>
          </w:p>
        </w:tc>
        <w:tc>
          <w:tcPr>
            <w:tcW w:w="638" w:type="pct"/>
            <w:tcBorders>
              <w:top w:val="nil"/>
              <w:left w:val="nil"/>
              <w:bottom w:val="nil"/>
              <w:right w:val="single" w:sz="8" w:space="0" w:color="auto"/>
            </w:tcBorders>
            <w:vAlign w:val="center"/>
            <w:hideMark/>
          </w:tcPr>
          <w:p w14:paraId="1328C46B" w14:textId="44A172DA"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2,783,685,117</w:t>
            </w:r>
          </w:p>
        </w:tc>
      </w:tr>
      <w:tr w:rsidR="00746CF5" w:rsidRPr="001B6518" w14:paraId="4699DF3C" w14:textId="77777777" w:rsidTr="00C6489A">
        <w:trPr>
          <w:trHeight w:val="20"/>
        </w:trPr>
        <w:tc>
          <w:tcPr>
            <w:tcW w:w="1172" w:type="pct"/>
            <w:tcBorders>
              <w:top w:val="nil"/>
              <w:left w:val="single" w:sz="8" w:space="0" w:color="auto"/>
              <w:bottom w:val="nil"/>
              <w:right w:val="single" w:sz="8" w:space="0" w:color="auto"/>
            </w:tcBorders>
            <w:vAlign w:val="center"/>
            <w:hideMark/>
          </w:tcPr>
          <w:p w14:paraId="187034C6" w14:textId="0B072E17" w:rsidR="00746CF5" w:rsidRPr="001B6518" w:rsidRDefault="00746CF5" w:rsidP="00746CF5">
            <w:pPr>
              <w:spacing w:after="0" w:line="240" w:lineRule="auto"/>
              <w:rPr>
                <w:rFonts w:ascii="Arial" w:hAnsi="Arial" w:cs="Arial"/>
                <w:color w:val="000000"/>
                <w:sz w:val="16"/>
                <w:szCs w:val="16"/>
              </w:rPr>
            </w:pPr>
            <w:r w:rsidRPr="001B6518">
              <w:rPr>
                <w:rFonts w:ascii="Arial" w:hAnsi="Arial" w:cs="Arial"/>
                <w:color w:val="000000"/>
                <w:sz w:val="16"/>
                <w:szCs w:val="16"/>
              </w:rPr>
              <w:t>E. Productos</w:t>
            </w:r>
          </w:p>
        </w:tc>
        <w:tc>
          <w:tcPr>
            <w:tcW w:w="638" w:type="pct"/>
            <w:tcBorders>
              <w:top w:val="nil"/>
              <w:left w:val="nil"/>
              <w:bottom w:val="nil"/>
              <w:right w:val="single" w:sz="8" w:space="0" w:color="auto"/>
            </w:tcBorders>
            <w:vAlign w:val="center"/>
            <w:hideMark/>
          </w:tcPr>
          <w:p w14:paraId="23A54F05" w14:textId="602AA7F4"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185,605,884</w:t>
            </w:r>
          </w:p>
        </w:tc>
        <w:tc>
          <w:tcPr>
            <w:tcW w:w="638" w:type="pct"/>
            <w:tcBorders>
              <w:top w:val="nil"/>
              <w:left w:val="nil"/>
              <w:bottom w:val="nil"/>
              <w:right w:val="single" w:sz="8" w:space="0" w:color="auto"/>
            </w:tcBorders>
            <w:vAlign w:val="center"/>
            <w:hideMark/>
          </w:tcPr>
          <w:p w14:paraId="17D54A69" w14:textId="6DC43CB5"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191,174,061</w:t>
            </w:r>
          </w:p>
        </w:tc>
        <w:tc>
          <w:tcPr>
            <w:tcW w:w="638" w:type="pct"/>
            <w:tcBorders>
              <w:top w:val="nil"/>
              <w:left w:val="nil"/>
              <w:bottom w:val="nil"/>
              <w:right w:val="single" w:sz="8" w:space="0" w:color="auto"/>
            </w:tcBorders>
            <w:vAlign w:val="center"/>
            <w:hideMark/>
          </w:tcPr>
          <w:p w14:paraId="6C945E95" w14:textId="3FB293DA"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196,909,283</w:t>
            </w:r>
          </w:p>
        </w:tc>
        <w:tc>
          <w:tcPr>
            <w:tcW w:w="638" w:type="pct"/>
            <w:tcBorders>
              <w:top w:val="nil"/>
              <w:left w:val="nil"/>
              <w:bottom w:val="nil"/>
              <w:right w:val="single" w:sz="8" w:space="0" w:color="auto"/>
            </w:tcBorders>
            <w:vAlign w:val="center"/>
            <w:hideMark/>
          </w:tcPr>
          <w:p w14:paraId="12FD5C10" w14:textId="4508F04F"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202,816,561</w:t>
            </w:r>
          </w:p>
        </w:tc>
        <w:tc>
          <w:tcPr>
            <w:tcW w:w="638" w:type="pct"/>
            <w:tcBorders>
              <w:top w:val="nil"/>
              <w:left w:val="nil"/>
              <w:bottom w:val="nil"/>
              <w:right w:val="single" w:sz="8" w:space="0" w:color="auto"/>
            </w:tcBorders>
            <w:vAlign w:val="center"/>
            <w:hideMark/>
          </w:tcPr>
          <w:p w14:paraId="1CC194E0" w14:textId="7B84B342"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208,901,058</w:t>
            </w:r>
          </w:p>
        </w:tc>
        <w:tc>
          <w:tcPr>
            <w:tcW w:w="638" w:type="pct"/>
            <w:tcBorders>
              <w:top w:val="nil"/>
              <w:left w:val="nil"/>
              <w:bottom w:val="nil"/>
              <w:right w:val="single" w:sz="8" w:space="0" w:color="auto"/>
            </w:tcBorders>
            <w:vAlign w:val="center"/>
            <w:hideMark/>
          </w:tcPr>
          <w:p w14:paraId="49791EA8" w14:textId="5618E90A"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215,168,090</w:t>
            </w:r>
          </w:p>
        </w:tc>
      </w:tr>
      <w:tr w:rsidR="00746CF5" w:rsidRPr="001B6518" w14:paraId="3D308577" w14:textId="77777777" w:rsidTr="00C6489A">
        <w:trPr>
          <w:trHeight w:val="20"/>
        </w:trPr>
        <w:tc>
          <w:tcPr>
            <w:tcW w:w="1172" w:type="pct"/>
            <w:tcBorders>
              <w:top w:val="nil"/>
              <w:left w:val="single" w:sz="8" w:space="0" w:color="auto"/>
              <w:bottom w:val="nil"/>
              <w:right w:val="single" w:sz="8" w:space="0" w:color="auto"/>
            </w:tcBorders>
            <w:vAlign w:val="center"/>
            <w:hideMark/>
          </w:tcPr>
          <w:p w14:paraId="1815D039" w14:textId="7D326FE5" w:rsidR="00746CF5" w:rsidRPr="001B6518" w:rsidRDefault="00746CF5" w:rsidP="00746CF5">
            <w:pPr>
              <w:spacing w:after="0" w:line="240" w:lineRule="auto"/>
              <w:rPr>
                <w:rFonts w:ascii="Arial" w:hAnsi="Arial" w:cs="Arial"/>
                <w:color w:val="000000"/>
                <w:sz w:val="16"/>
                <w:szCs w:val="16"/>
              </w:rPr>
            </w:pPr>
            <w:r w:rsidRPr="001B6518">
              <w:rPr>
                <w:rFonts w:ascii="Arial" w:hAnsi="Arial" w:cs="Arial"/>
                <w:color w:val="000000"/>
                <w:sz w:val="16"/>
                <w:szCs w:val="16"/>
              </w:rPr>
              <w:t>F. Aprovechamientos</w:t>
            </w:r>
          </w:p>
        </w:tc>
        <w:tc>
          <w:tcPr>
            <w:tcW w:w="638" w:type="pct"/>
            <w:tcBorders>
              <w:top w:val="nil"/>
              <w:left w:val="nil"/>
              <w:bottom w:val="nil"/>
              <w:right w:val="single" w:sz="8" w:space="0" w:color="auto"/>
            </w:tcBorders>
            <w:vAlign w:val="center"/>
            <w:hideMark/>
          </w:tcPr>
          <w:p w14:paraId="17E1E2DE" w14:textId="68FEED02"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378,556,158</w:t>
            </w:r>
          </w:p>
        </w:tc>
        <w:tc>
          <w:tcPr>
            <w:tcW w:w="638" w:type="pct"/>
            <w:tcBorders>
              <w:top w:val="nil"/>
              <w:left w:val="nil"/>
              <w:bottom w:val="nil"/>
              <w:right w:val="single" w:sz="8" w:space="0" w:color="auto"/>
            </w:tcBorders>
            <w:vAlign w:val="center"/>
            <w:hideMark/>
          </w:tcPr>
          <w:p w14:paraId="4FC90F0D" w14:textId="6003D1EB"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389,912,843</w:t>
            </w:r>
          </w:p>
        </w:tc>
        <w:tc>
          <w:tcPr>
            <w:tcW w:w="638" w:type="pct"/>
            <w:tcBorders>
              <w:top w:val="nil"/>
              <w:left w:val="nil"/>
              <w:bottom w:val="nil"/>
              <w:right w:val="single" w:sz="8" w:space="0" w:color="auto"/>
            </w:tcBorders>
            <w:vAlign w:val="center"/>
            <w:hideMark/>
          </w:tcPr>
          <w:p w14:paraId="6F534C99" w14:textId="412691BF"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401,610,228</w:t>
            </w:r>
          </w:p>
        </w:tc>
        <w:tc>
          <w:tcPr>
            <w:tcW w:w="638" w:type="pct"/>
            <w:tcBorders>
              <w:top w:val="nil"/>
              <w:left w:val="nil"/>
              <w:bottom w:val="nil"/>
              <w:right w:val="single" w:sz="8" w:space="0" w:color="auto"/>
            </w:tcBorders>
            <w:vAlign w:val="center"/>
            <w:hideMark/>
          </w:tcPr>
          <w:p w14:paraId="69AE727B" w14:textId="709C6ECD"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413,658,535</w:t>
            </w:r>
          </w:p>
        </w:tc>
        <w:tc>
          <w:tcPr>
            <w:tcW w:w="638" w:type="pct"/>
            <w:tcBorders>
              <w:top w:val="nil"/>
              <w:left w:val="nil"/>
              <w:bottom w:val="nil"/>
              <w:right w:val="single" w:sz="8" w:space="0" w:color="auto"/>
            </w:tcBorders>
            <w:vAlign w:val="center"/>
            <w:hideMark/>
          </w:tcPr>
          <w:p w14:paraId="646ABDE9" w14:textId="6DCEDDB8"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426,068,291</w:t>
            </w:r>
          </w:p>
        </w:tc>
        <w:tc>
          <w:tcPr>
            <w:tcW w:w="638" w:type="pct"/>
            <w:tcBorders>
              <w:top w:val="nil"/>
              <w:left w:val="nil"/>
              <w:bottom w:val="nil"/>
              <w:right w:val="single" w:sz="8" w:space="0" w:color="auto"/>
            </w:tcBorders>
            <w:vAlign w:val="center"/>
            <w:hideMark/>
          </w:tcPr>
          <w:p w14:paraId="6E047CB1" w14:textId="4E589664"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438,850,340</w:t>
            </w:r>
          </w:p>
        </w:tc>
      </w:tr>
      <w:tr w:rsidR="00746CF5" w:rsidRPr="001B6518" w14:paraId="3590DC10" w14:textId="77777777" w:rsidTr="00C6489A">
        <w:trPr>
          <w:trHeight w:val="20"/>
        </w:trPr>
        <w:tc>
          <w:tcPr>
            <w:tcW w:w="1172" w:type="pct"/>
            <w:tcBorders>
              <w:top w:val="nil"/>
              <w:left w:val="single" w:sz="8" w:space="0" w:color="auto"/>
              <w:bottom w:val="nil"/>
              <w:right w:val="single" w:sz="8" w:space="0" w:color="auto"/>
            </w:tcBorders>
            <w:vAlign w:val="center"/>
            <w:hideMark/>
          </w:tcPr>
          <w:p w14:paraId="097D071E" w14:textId="099D5A40" w:rsidR="00746CF5" w:rsidRPr="001B6518" w:rsidRDefault="00746CF5" w:rsidP="00746CF5">
            <w:pPr>
              <w:spacing w:after="0" w:line="240" w:lineRule="auto"/>
              <w:rPr>
                <w:rFonts w:ascii="Arial" w:hAnsi="Arial" w:cs="Arial"/>
                <w:color w:val="000000"/>
                <w:sz w:val="16"/>
                <w:szCs w:val="16"/>
              </w:rPr>
            </w:pPr>
            <w:r w:rsidRPr="001B6518">
              <w:rPr>
                <w:rFonts w:ascii="Arial" w:hAnsi="Arial" w:cs="Arial"/>
                <w:color w:val="000000"/>
                <w:sz w:val="16"/>
                <w:szCs w:val="16"/>
              </w:rPr>
              <w:t>G. Ingresos por Ventas de Bienes y Servicios</w:t>
            </w:r>
          </w:p>
        </w:tc>
        <w:tc>
          <w:tcPr>
            <w:tcW w:w="638" w:type="pct"/>
            <w:tcBorders>
              <w:top w:val="nil"/>
              <w:left w:val="nil"/>
              <w:bottom w:val="nil"/>
              <w:right w:val="single" w:sz="8" w:space="0" w:color="auto"/>
            </w:tcBorders>
            <w:vAlign w:val="center"/>
            <w:hideMark/>
          </w:tcPr>
          <w:p w14:paraId="1C86B80F" w14:textId="378E4DCD" w:rsidR="00746CF5" w:rsidRPr="001B6518" w:rsidRDefault="00746CF5" w:rsidP="00746CF5">
            <w:pPr>
              <w:spacing w:after="0" w:line="240" w:lineRule="auto"/>
              <w:jc w:val="right"/>
              <w:rPr>
                <w:rFonts w:ascii="Arial" w:hAnsi="Arial" w:cs="Arial"/>
                <w:color w:val="000000"/>
                <w:sz w:val="16"/>
                <w:szCs w:val="16"/>
              </w:rPr>
            </w:pPr>
          </w:p>
        </w:tc>
        <w:tc>
          <w:tcPr>
            <w:tcW w:w="638" w:type="pct"/>
            <w:tcBorders>
              <w:top w:val="nil"/>
              <w:left w:val="nil"/>
              <w:bottom w:val="nil"/>
              <w:right w:val="single" w:sz="8" w:space="0" w:color="auto"/>
            </w:tcBorders>
            <w:vAlign w:val="center"/>
            <w:hideMark/>
          </w:tcPr>
          <w:p w14:paraId="774FC6BA" w14:textId="0E6C38EF"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4A87BF03" w14:textId="2EDCD071"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54B7B03A" w14:textId="5D8F6350"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25F08E9E" w14:textId="56ACAEA7"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189C0C4E" w14:textId="726413F3"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r>
      <w:tr w:rsidR="00746CF5" w:rsidRPr="001B6518" w14:paraId="00095006" w14:textId="77777777" w:rsidTr="00C6489A">
        <w:trPr>
          <w:trHeight w:val="20"/>
        </w:trPr>
        <w:tc>
          <w:tcPr>
            <w:tcW w:w="1172" w:type="pct"/>
            <w:tcBorders>
              <w:top w:val="nil"/>
              <w:left w:val="single" w:sz="8" w:space="0" w:color="auto"/>
              <w:bottom w:val="nil"/>
              <w:right w:val="single" w:sz="8" w:space="0" w:color="auto"/>
            </w:tcBorders>
            <w:vAlign w:val="center"/>
            <w:hideMark/>
          </w:tcPr>
          <w:p w14:paraId="11570F7B" w14:textId="7CB26FBE" w:rsidR="00746CF5" w:rsidRPr="001B6518" w:rsidRDefault="00746CF5" w:rsidP="00746CF5">
            <w:pPr>
              <w:spacing w:after="0" w:line="240" w:lineRule="auto"/>
              <w:rPr>
                <w:rFonts w:ascii="Arial" w:hAnsi="Arial" w:cs="Arial"/>
                <w:color w:val="000000"/>
                <w:sz w:val="16"/>
                <w:szCs w:val="16"/>
              </w:rPr>
            </w:pPr>
            <w:r w:rsidRPr="001B6518">
              <w:rPr>
                <w:rFonts w:ascii="Arial" w:hAnsi="Arial" w:cs="Arial"/>
                <w:color w:val="000000"/>
                <w:sz w:val="16"/>
                <w:szCs w:val="16"/>
              </w:rPr>
              <w:t>H. Participaciones</w:t>
            </w:r>
          </w:p>
        </w:tc>
        <w:tc>
          <w:tcPr>
            <w:tcW w:w="638" w:type="pct"/>
            <w:tcBorders>
              <w:top w:val="nil"/>
              <w:left w:val="nil"/>
              <w:bottom w:val="nil"/>
              <w:right w:val="single" w:sz="8" w:space="0" w:color="auto"/>
            </w:tcBorders>
            <w:vAlign w:val="center"/>
            <w:hideMark/>
          </w:tcPr>
          <w:p w14:paraId="53F9A7F7" w14:textId="2E944E06"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23,601,278,064</w:t>
            </w:r>
          </w:p>
        </w:tc>
        <w:tc>
          <w:tcPr>
            <w:tcW w:w="638" w:type="pct"/>
            <w:tcBorders>
              <w:top w:val="nil"/>
              <w:left w:val="nil"/>
              <w:bottom w:val="nil"/>
              <w:right w:val="single" w:sz="8" w:space="0" w:color="auto"/>
            </w:tcBorders>
            <w:vAlign w:val="center"/>
            <w:hideMark/>
          </w:tcPr>
          <w:p w14:paraId="2BAD971B" w14:textId="373561CC"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24,309,316,406</w:t>
            </w:r>
          </w:p>
        </w:tc>
        <w:tc>
          <w:tcPr>
            <w:tcW w:w="638" w:type="pct"/>
            <w:tcBorders>
              <w:top w:val="nil"/>
              <w:left w:val="nil"/>
              <w:bottom w:val="nil"/>
              <w:right w:val="single" w:sz="8" w:space="0" w:color="auto"/>
            </w:tcBorders>
            <w:vAlign w:val="center"/>
            <w:hideMark/>
          </w:tcPr>
          <w:p w14:paraId="3D8AC19F" w14:textId="0B14B2D3"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25,038,595,898</w:t>
            </w:r>
          </w:p>
        </w:tc>
        <w:tc>
          <w:tcPr>
            <w:tcW w:w="638" w:type="pct"/>
            <w:tcBorders>
              <w:top w:val="nil"/>
              <w:left w:val="nil"/>
              <w:bottom w:val="nil"/>
              <w:right w:val="single" w:sz="8" w:space="0" w:color="auto"/>
            </w:tcBorders>
            <w:vAlign w:val="center"/>
            <w:hideMark/>
          </w:tcPr>
          <w:p w14:paraId="0F32D04C" w14:textId="58F85907"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25,789,753,775</w:t>
            </w:r>
          </w:p>
        </w:tc>
        <w:tc>
          <w:tcPr>
            <w:tcW w:w="638" w:type="pct"/>
            <w:tcBorders>
              <w:top w:val="nil"/>
              <w:left w:val="nil"/>
              <w:bottom w:val="nil"/>
              <w:right w:val="single" w:sz="8" w:space="0" w:color="auto"/>
            </w:tcBorders>
            <w:vAlign w:val="center"/>
            <w:hideMark/>
          </w:tcPr>
          <w:p w14:paraId="2B6DBDCA" w14:textId="1C15C3BB"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26,563,446,388</w:t>
            </w:r>
          </w:p>
        </w:tc>
        <w:tc>
          <w:tcPr>
            <w:tcW w:w="638" w:type="pct"/>
            <w:tcBorders>
              <w:top w:val="nil"/>
              <w:left w:val="nil"/>
              <w:bottom w:val="nil"/>
              <w:right w:val="single" w:sz="8" w:space="0" w:color="auto"/>
            </w:tcBorders>
            <w:vAlign w:val="center"/>
            <w:hideMark/>
          </w:tcPr>
          <w:p w14:paraId="2C16C17B" w14:textId="22AF582F"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27,360,349,780</w:t>
            </w:r>
          </w:p>
        </w:tc>
      </w:tr>
      <w:tr w:rsidR="00746CF5" w:rsidRPr="001B6518" w14:paraId="558D98C3" w14:textId="77777777" w:rsidTr="00C6489A">
        <w:trPr>
          <w:trHeight w:val="20"/>
        </w:trPr>
        <w:tc>
          <w:tcPr>
            <w:tcW w:w="1172" w:type="pct"/>
            <w:tcBorders>
              <w:top w:val="nil"/>
              <w:left w:val="single" w:sz="8" w:space="0" w:color="auto"/>
              <w:bottom w:val="nil"/>
              <w:right w:val="single" w:sz="8" w:space="0" w:color="auto"/>
            </w:tcBorders>
            <w:vAlign w:val="center"/>
            <w:hideMark/>
          </w:tcPr>
          <w:p w14:paraId="004F9C79" w14:textId="7BE0257F" w:rsidR="00746CF5" w:rsidRPr="001B6518" w:rsidRDefault="00746CF5" w:rsidP="00746CF5">
            <w:pPr>
              <w:spacing w:after="0" w:line="240" w:lineRule="auto"/>
              <w:rPr>
                <w:rFonts w:ascii="Arial" w:hAnsi="Arial" w:cs="Arial"/>
                <w:color w:val="000000"/>
                <w:sz w:val="16"/>
                <w:szCs w:val="16"/>
              </w:rPr>
            </w:pPr>
            <w:r w:rsidRPr="001B6518">
              <w:rPr>
                <w:rFonts w:ascii="Arial" w:hAnsi="Arial" w:cs="Arial"/>
                <w:color w:val="000000"/>
                <w:sz w:val="16"/>
                <w:szCs w:val="16"/>
              </w:rPr>
              <w:t>I. Incentivos Derivados de la Colaboración Fiscal</w:t>
            </w:r>
          </w:p>
        </w:tc>
        <w:tc>
          <w:tcPr>
            <w:tcW w:w="638" w:type="pct"/>
            <w:tcBorders>
              <w:top w:val="nil"/>
              <w:left w:val="nil"/>
              <w:bottom w:val="nil"/>
              <w:right w:val="single" w:sz="8" w:space="0" w:color="auto"/>
            </w:tcBorders>
            <w:vAlign w:val="center"/>
            <w:hideMark/>
          </w:tcPr>
          <w:p w14:paraId="09327A78" w14:textId="3B5640A8"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1,319,041,914</w:t>
            </w:r>
          </w:p>
        </w:tc>
        <w:tc>
          <w:tcPr>
            <w:tcW w:w="638" w:type="pct"/>
            <w:tcBorders>
              <w:top w:val="nil"/>
              <w:left w:val="nil"/>
              <w:bottom w:val="nil"/>
              <w:right w:val="single" w:sz="8" w:space="0" w:color="auto"/>
            </w:tcBorders>
            <w:vAlign w:val="center"/>
            <w:hideMark/>
          </w:tcPr>
          <w:p w14:paraId="70910AAD" w14:textId="2064CFFD"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1,358,613,171</w:t>
            </w:r>
          </w:p>
        </w:tc>
        <w:tc>
          <w:tcPr>
            <w:tcW w:w="638" w:type="pct"/>
            <w:tcBorders>
              <w:top w:val="nil"/>
              <w:left w:val="nil"/>
              <w:bottom w:val="nil"/>
              <w:right w:val="single" w:sz="8" w:space="0" w:color="auto"/>
            </w:tcBorders>
            <w:vAlign w:val="center"/>
            <w:hideMark/>
          </w:tcPr>
          <w:p w14:paraId="075385C1" w14:textId="4F0ADD83"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1,399,371,566</w:t>
            </w:r>
          </w:p>
        </w:tc>
        <w:tc>
          <w:tcPr>
            <w:tcW w:w="638" w:type="pct"/>
            <w:tcBorders>
              <w:top w:val="nil"/>
              <w:left w:val="nil"/>
              <w:bottom w:val="nil"/>
              <w:right w:val="single" w:sz="8" w:space="0" w:color="auto"/>
            </w:tcBorders>
            <w:vAlign w:val="center"/>
            <w:hideMark/>
          </w:tcPr>
          <w:p w14:paraId="2A3EEB7F" w14:textId="4185EE7E"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1,441,352,713</w:t>
            </w:r>
          </w:p>
        </w:tc>
        <w:tc>
          <w:tcPr>
            <w:tcW w:w="638" w:type="pct"/>
            <w:tcBorders>
              <w:top w:val="nil"/>
              <w:left w:val="nil"/>
              <w:bottom w:val="nil"/>
              <w:right w:val="single" w:sz="8" w:space="0" w:color="auto"/>
            </w:tcBorders>
            <w:vAlign w:val="center"/>
            <w:hideMark/>
          </w:tcPr>
          <w:p w14:paraId="4ADD2B52" w14:textId="10D51F81"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1,484,593,294</w:t>
            </w:r>
          </w:p>
        </w:tc>
        <w:tc>
          <w:tcPr>
            <w:tcW w:w="638" w:type="pct"/>
            <w:tcBorders>
              <w:top w:val="nil"/>
              <w:left w:val="nil"/>
              <w:bottom w:val="nil"/>
              <w:right w:val="single" w:sz="8" w:space="0" w:color="auto"/>
            </w:tcBorders>
            <w:vAlign w:val="center"/>
            <w:hideMark/>
          </w:tcPr>
          <w:p w14:paraId="21D3CDDF" w14:textId="662DE566"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1,529,131,093</w:t>
            </w:r>
          </w:p>
        </w:tc>
      </w:tr>
      <w:tr w:rsidR="00746CF5" w:rsidRPr="001B6518" w14:paraId="1F88C49A" w14:textId="77777777" w:rsidTr="00C6489A">
        <w:trPr>
          <w:trHeight w:val="20"/>
        </w:trPr>
        <w:tc>
          <w:tcPr>
            <w:tcW w:w="1172" w:type="pct"/>
            <w:tcBorders>
              <w:top w:val="nil"/>
              <w:left w:val="single" w:sz="8" w:space="0" w:color="auto"/>
              <w:bottom w:val="nil"/>
              <w:right w:val="single" w:sz="8" w:space="0" w:color="auto"/>
            </w:tcBorders>
            <w:vAlign w:val="center"/>
            <w:hideMark/>
          </w:tcPr>
          <w:p w14:paraId="342A45E2" w14:textId="418C9943" w:rsidR="00746CF5" w:rsidRPr="001B6518" w:rsidRDefault="00746CF5" w:rsidP="00746CF5">
            <w:pPr>
              <w:spacing w:after="0" w:line="240" w:lineRule="auto"/>
              <w:rPr>
                <w:rFonts w:ascii="Arial" w:hAnsi="Arial" w:cs="Arial"/>
                <w:color w:val="000000"/>
                <w:sz w:val="16"/>
                <w:szCs w:val="16"/>
              </w:rPr>
            </w:pPr>
            <w:r w:rsidRPr="001B6518">
              <w:rPr>
                <w:rFonts w:ascii="Arial" w:hAnsi="Arial" w:cs="Arial"/>
                <w:color w:val="000000"/>
                <w:sz w:val="16"/>
                <w:szCs w:val="16"/>
              </w:rPr>
              <w:t>J. Transferencias y Asignaciones</w:t>
            </w:r>
          </w:p>
        </w:tc>
        <w:tc>
          <w:tcPr>
            <w:tcW w:w="638" w:type="pct"/>
            <w:tcBorders>
              <w:top w:val="nil"/>
              <w:left w:val="nil"/>
              <w:bottom w:val="nil"/>
              <w:right w:val="single" w:sz="8" w:space="0" w:color="auto"/>
            </w:tcBorders>
            <w:vAlign w:val="center"/>
            <w:hideMark/>
          </w:tcPr>
          <w:p w14:paraId="54C7CF29" w14:textId="19DABADD"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10632C7E" w14:textId="58EB1E98"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47AE9405" w14:textId="08901D29"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0F717124" w14:textId="7DB31544"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0E0E2615" w14:textId="78F4EAB6"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4FD7A95A" w14:textId="5206E54B"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r>
      <w:tr w:rsidR="00746CF5" w:rsidRPr="001B6518" w14:paraId="6ED3AADC" w14:textId="77777777" w:rsidTr="00C6489A">
        <w:trPr>
          <w:trHeight w:val="20"/>
        </w:trPr>
        <w:tc>
          <w:tcPr>
            <w:tcW w:w="1172" w:type="pct"/>
            <w:tcBorders>
              <w:top w:val="nil"/>
              <w:left w:val="single" w:sz="8" w:space="0" w:color="auto"/>
              <w:bottom w:val="nil"/>
              <w:right w:val="single" w:sz="8" w:space="0" w:color="auto"/>
            </w:tcBorders>
            <w:vAlign w:val="center"/>
            <w:hideMark/>
          </w:tcPr>
          <w:p w14:paraId="5CEB18CB" w14:textId="52A8B6FC" w:rsidR="00746CF5" w:rsidRPr="001B6518" w:rsidRDefault="00746CF5" w:rsidP="00746CF5">
            <w:pPr>
              <w:spacing w:after="0" w:line="240" w:lineRule="auto"/>
              <w:rPr>
                <w:rFonts w:ascii="Arial" w:hAnsi="Arial" w:cs="Arial"/>
                <w:color w:val="000000"/>
                <w:sz w:val="16"/>
                <w:szCs w:val="16"/>
              </w:rPr>
            </w:pPr>
            <w:r w:rsidRPr="001B6518">
              <w:rPr>
                <w:rFonts w:ascii="Arial" w:hAnsi="Arial" w:cs="Arial"/>
                <w:color w:val="000000"/>
                <w:sz w:val="16"/>
                <w:szCs w:val="16"/>
              </w:rPr>
              <w:t>K. Convenios</w:t>
            </w:r>
          </w:p>
        </w:tc>
        <w:tc>
          <w:tcPr>
            <w:tcW w:w="638" w:type="pct"/>
            <w:tcBorders>
              <w:top w:val="nil"/>
              <w:left w:val="nil"/>
              <w:bottom w:val="nil"/>
              <w:right w:val="single" w:sz="8" w:space="0" w:color="auto"/>
            </w:tcBorders>
            <w:vAlign w:val="center"/>
            <w:hideMark/>
          </w:tcPr>
          <w:p w14:paraId="4222FD36" w14:textId="5E427658"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5358D5CF" w14:textId="732349BE"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120F5432" w14:textId="081272B9"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711DCE83" w14:textId="7B5E6AED"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1F887B51" w14:textId="532A1262"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51EF927D" w14:textId="52C9B31A"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r>
      <w:tr w:rsidR="00746CF5" w:rsidRPr="001B6518" w14:paraId="0813CE7F" w14:textId="77777777" w:rsidTr="00C6489A">
        <w:trPr>
          <w:trHeight w:val="20"/>
        </w:trPr>
        <w:tc>
          <w:tcPr>
            <w:tcW w:w="1172" w:type="pct"/>
            <w:tcBorders>
              <w:top w:val="nil"/>
              <w:left w:val="single" w:sz="8" w:space="0" w:color="auto"/>
              <w:bottom w:val="nil"/>
              <w:right w:val="single" w:sz="8" w:space="0" w:color="auto"/>
            </w:tcBorders>
            <w:vAlign w:val="center"/>
            <w:hideMark/>
          </w:tcPr>
          <w:p w14:paraId="494EB7E0" w14:textId="1C3D0C8B" w:rsidR="00746CF5" w:rsidRPr="001B6518" w:rsidRDefault="00746CF5" w:rsidP="00746CF5">
            <w:pPr>
              <w:spacing w:after="0" w:line="240" w:lineRule="auto"/>
              <w:rPr>
                <w:rFonts w:ascii="Arial" w:hAnsi="Arial" w:cs="Arial"/>
                <w:color w:val="000000"/>
                <w:sz w:val="16"/>
                <w:szCs w:val="16"/>
              </w:rPr>
            </w:pPr>
            <w:r w:rsidRPr="001B6518">
              <w:rPr>
                <w:rFonts w:ascii="Arial" w:hAnsi="Arial" w:cs="Arial"/>
                <w:color w:val="000000"/>
                <w:sz w:val="16"/>
                <w:szCs w:val="16"/>
              </w:rPr>
              <w:t>L. Otros Ingresos de Libre Disposición</w:t>
            </w:r>
          </w:p>
        </w:tc>
        <w:tc>
          <w:tcPr>
            <w:tcW w:w="638" w:type="pct"/>
            <w:tcBorders>
              <w:top w:val="nil"/>
              <w:left w:val="nil"/>
              <w:bottom w:val="nil"/>
              <w:right w:val="single" w:sz="8" w:space="0" w:color="auto"/>
            </w:tcBorders>
            <w:vAlign w:val="center"/>
            <w:hideMark/>
          </w:tcPr>
          <w:p w14:paraId="6BF0F340" w14:textId="659552F6"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15B0C727" w14:textId="0F2BF0DB"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39D4E209" w14:textId="255E3372"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36F035F5" w14:textId="518FA104"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3852C4CE" w14:textId="207001C4"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5A54F3A4" w14:textId="21CEA09B"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r>
      <w:tr w:rsidR="00746CF5" w:rsidRPr="001B6518" w14:paraId="25D47208" w14:textId="77777777" w:rsidTr="00C6489A">
        <w:trPr>
          <w:trHeight w:val="20"/>
        </w:trPr>
        <w:tc>
          <w:tcPr>
            <w:tcW w:w="1172" w:type="pct"/>
            <w:tcBorders>
              <w:top w:val="nil"/>
              <w:left w:val="single" w:sz="8" w:space="0" w:color="auto"/>
              <w:bottom w:val="nil"/>
              <w:right w:val="single" w:sz="8" w:space="0" w:color="auto"/>
            </w:tcBorders>
            <w:vAlign w:val="center"/>
            <w:hideMark/>
          </w:tcPr>
          <w:p w14:paraId="7AE59189" w14:textId="168A8120" w:rsidR="00746CF5" w:rsidRPr="001B6518" w:rsidRDefault="00746CF5" w:rsidP="00746CF5">
            <w:pPr>
              <w:spacing w:after="0" w:line="240" w:lineRule="auto"/>
              <w:rPr>
                <w:rFonts w:ascii="Arial" w:hAnsi="Arial" w:cs="Arial"/>
                <w:b/>
                <w:bCs/>
                <w:color w:val="000000"/>
                <w:sz w:val="16"/>
                <w:szCs w:val="16"/>
              </w:rPr>
            </w:pPr>
            <w:r w:rsidRPr="001B6518">
              <w:rPr>
                <w:rFonts w:ascii="Arial" w:hAnsi="Arial" w:cs="Arial"/>
                <w:b/>
                <w:bCs/>
                <w:color w:val="000000"/>
                <w:sz w:val="16"/>
                <w:szCs w:val="16"/>
              </w:rPr>
              <w:t>2. Transferencias Federales Etiquetadas (2=A+B+C+D+E)</w:t>
            </w:r>
          </w:p>
        </w:tc>
        <w:tc>
          <w:tcPr>
            <w:tcW w:w="638" w:type="pct"/>
            <w:tcBorders>
              <w:top w:val="nil"/>
              <w:left w:val="nil"/>
              <w:bottom w:val="nil"/>
              <w:right w:val="single" w:sz="8" w:space="0" w:color="auto"/>
            </w:tcBorders>
            <w:vAlign w:val="center"/>
            <w:hideMark/>
          </w:tcPr>
          <w:p w14:paraId="540D25D6" w14:textId="4781BE7F"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26,275,861,297</w:t>
            </w:r>
          </w:p>
        </w:tc>
        <w:tc>
          <w:tcPr>
            <w:tcW w:w="638" w:type="pct"/>
            <w:tcBorders>
              <w:top w:val="nil"/>
              <w:left w:val="nil"/>
              <w:bottom w:val="nil"/>
              <w:right w:val="single" w:sz="8" w:space="0" w:color="auto"/>
            </w:tcBorders>
            <w:vAlign w:val="center"/>
            <w:hideMark/>
          </w:tcPr>
          <w:p w14:paraId="17716055" w14:textId="61F22C40"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27,064,137,136</w:t>
            </w:r>
          </w:p>
        </w:tc>
        <w:tc>
          <w:tcPr>
            <w:tcW w:w="638" w:type="pct"/>
            <w:tcBorders>
              <w:top w:val="nil"/>
              <w:left w:val="nil"/>
              <w:bottom w:val="nil"/>
              <w:right w:val="single" w:sz="8" w:space="0" w:color="auto"/>
            </w:tcBorders>
            <w:vAlign w:val="center"/>
            <w:hideMark/>
          </w:tcPr>
          <w:p w14:paraId="73894B55" w14:textId="4C759ED6"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27,876,061,250</w:t>
            </w:r>
          </w:p>
        </w:tc>
        <w:tc>
          <w:tcPr>
            <w:tcW w:w="638" w:type="pct"/>
            <w:tcBorders>
              <w:top w:val="nil"/>
              <w:left w:val="nil"/>
              <w:bottom w:val="nil"/>
              <w:right w:val="single" w:sz="8" w:space="0" w:color="auto"/>
            </w:tcBorders>
            <w:vAlign w:val="center"/>
            <w:hideMark/>
          </w:tcPr>
          <w:p w14:paraId="751BED64" w14:textId="6829F235"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28,712,343,087</w:t>
            </w:r>
          </w:p>
        </w:tc>
        <w:tc>
          <w:tcPr>
            <w:tcW w:w="638" w:type="pct"/>
            <w:tcBorders>
              <w:top w:val="nil"/>
              <w:left w:val="nil"/>
              <w:bottom w:val="nil"/>
              <w:right w:val="single" w:sz="8" w:space="0" w:color="auto"/>
            </w:tcBorders>
            <w:vAlign w:val="center"/>
            <w:hideMark/>
          </w:tcPr>
          <w:p w14:paraId="4B6F1CB9" w14:textId="5BA02E9B"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29,573,713,379</w:t>
            </w:r>
          </w:p>
        </w:tc>
        <w:tc>
          <w:tcPr>
            <w:tcW w:w="638" w:type="pct"/>
            <w:tcBorders>
              <w:top w:val="nil"/>
              <w:left w:val="nil"/>
              <w:bottom w:val="nil"/>
              <w:right w:val="single" w:sz="8" w:space="0" w:color="auto"/>
            </w:tcBorders>
            <w:vAlign w:val="center"/>
            <w:hideMark/>
          </w:tcPr>
          <w:p w14:paraId="00ADC7BE" w14:textId="59BFC45E"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30,460,924,780</w:t>
            </w:r>
          </w:p>
        </w:tc>
      </w:tr>
      <w:tr w:rsidR="00746CF5" w:rsidRPr="001B6518" w14:paraId="3F3E91F1" w14:textId="77777777" w:rsidTr="00C6489A">
        <w:trPr>
          <w:trHeight w:val="20"/>
        </w:trPr>
        <w:tc>
          <w:tcPr>
            <w:tcW w:w="1172" w:type="pct"/>
            <w:tcBorders>
              <w:top w:val="nil"/>
              <w:left w:val="single" w:sz="8" w:space="0" w:color="auto"/>
              <w:bottom w:val="nil"/>
              <w:right w:val="single" w:sz="8" w:space="0" w:color="auto"/>
            </w:tcBorders>
            <w:vAlign w:val="center"/>
            <w:hideMark/>
          </w:tcPr>
          <w:p w14:paraId="6227649D" w14:textId="25D4EB89" w:rsidR="00746CF5" w:rsidRPr="001B6518" w:rsidRDefault="00746CF5" w:rsidP="00746CF5">
            <w:pPr>
              <w:spacing w:after="0" w:line="240" w:lineRule="auto"/>
              <w:rPr>
                <w:rFonts w:ascii="Arial" w:hAnsi="Arial" w:cs="Arial"/>
                <w:color w:val="000000"/>
                <w:sz w:val="16"/>
                <w:szCs w:val="16"/>
              </w:rPr>
            </w:pPr>
            <w:r w:rsidRPr="001B6518">
              <w:rPr>
                <w:rFonts w:ascii="Arial" w:hAnsi="Arial" w:cs="Arial"/>
                <w:color w:val="000000"/>
                <w:sz w:val="16"/>
                <w:szCs w:val="16"/>
              </w:rPr>
              <w:t>A. Aportaciones</w:t>
            </w:r>
          </w:p>
        </w:tc>
        <w:tc>
          <w:tcPr>
            <w:tcW w:w="638" w:type="pct"/>
            <w:tcBorders>
              <w:top w:val="nil"/>
              <w:left w:val="nil"/>
              <w:bottom w:val="nil"/>
              <w:right w:val="single" w:sz="8" w:space="0" w:color="auto"/>
            </w:tcBorders>
            <w:vAlign w:val="center"/>
            <w:hideMark/>
          </w:tcPr>
          <w:p w14:paraId="1C4BB9DC" w14:textId="3D891240"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20,059,839,165</w:t>
            </w:r>
          </w:p>
        </w:tc>
        <w:tc>
          <w:tcPr>
            <w:tcW w:w="638" w:type="pct"/>
            <w:tcBorders>
              <w:top w:val="nil"/>
              <w:left w:val="nil"/>
              <w:bottom w:val="nil"/>
              <w:right w:val="single" w:sz="8" w:space="0" w:color="auto"/>
            </w:tcBorders>
            <w:vAlign w:val="center"/>
            <w:hideMark/>
          </w:tcPr>
          <w:p w14:paraId="2025EE69" w14:textId="38A9EA3C"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20,661,634,340</w:t>
            </w:r>
          </w:p>
        </w:tc>
        <w:tc>
          <w:tcPr>
            <w:tcW w:w="638" w:type="pct"/>
            <w:tcBorders>
              <w:top w:val="nil"/>
              <w:left w:val="nil"/>
              <w:bottom w:val="nil"/>
              <w:right w:val="single" w:sz="8" w:space="0" w:color="auto"/>
            </w:tcBorders>
            <w:vAlign w:val="center"/>
            <w:hideMark/>
          </w:tcPr>
          <w:p w14:paraId="6A38028A" w14:textId="335768D7"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21,281,483,370</w:t>
            </w:r>
          </w:p>
        </w:tc>
        <w:tc>
          <w:tcPr>
            <w:tcW w:w="638" w:type="pct"/>
            <w:tcBorders>
              <w:top w:val="nil"/>
              <w:left w:val="nil"/>
              <w:bottom w:val="nil"/>
              <w:right w:val="single" w:sz="8" w:space="0" w:color="auto"/>
            </w:tcBorders>
            <w:vAlign w:val="center"/>
            <w:hideMark/>
          </w:tcPr>
          <w:p w14:paraId="01C66485" w14:textId="16FE12F0"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21,919,927,871</w:t>
            </w:r>
          </w:p>
        </w:tc>
        <w:tc>
          <w:tcPr>
            <w:tcW w:w="638" w:type="pct"/>
            <w:tcBorders>
              <w:top w:val="nil"/>
              <w:left w:val="nil"/>
              <w:bottom w:val="nil"/>
              <w:right w:val="single" w:sz="8" w:space="0" w:color="auto"/>
            </w:tcBorders>
            <w:vAlign w:val="center"/>
            <w:hideMark/>
          </w:tcPr>
          <w:p w14:paraId="330AE383" w14:textId="46BBCE10"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22,577,525,707</w:t>
            </w:r>
          </w:p>
        </w:tc>
        <w:tc>
          <w:tcPr>
            <w:tcW w:w="638" w:type="pct"/>
            <w:tcBorders>
              <w:top w:val="nil"/>
              <w:left w:val="nil"/>
              <w:bottom w:val="nil"/>
              <w:right w:val="single" w:sz="8" w:space="0" w:color="auto"/>
            </w:tcBorders>
            <w:vAlign w:val="center"/>
            <w:hideMark/>
          </w:tcPr>
          <w:p w14:paraId="43C6DDFA" w14:textId="1726E73D"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23,254,851,478</w:t>
            </w:r>
          </w:p>
        </w:tc>
      </w:tr>
      <w:tr w:rsidR="00746CF5" w:rsidRPr="001B6518" w14:paraId="1B708A89" w14:textId="77777777" w:rsidTr="00C6489A">
        <w:trPr>
          <w:trHeight w:val="20"/>
        </w:trPr>
        <w:tc>
          <w:tcPr>
            <w:tcW w:w="1172" w:type="pct"/>
            <w:tcBorders>
              <w:top w:val="nil"/>
              <w:left w:val="single" w:sz="8" w:space="0" w:color="auto"/>
              <w:bottom w:val="nil"/>
              <w:right w:val="single" w:sz="8" w:space="0" w:color="auto"/>
            </w:tcBorders>
            <w:vAlign w:val="center"/>
            <w:hideMark/>
          </w:tcPr>
          <w:p w14:paraId="5E71A763" w14:textId="59C4A694" w:rsidR="00746CF5" w:rsidRPr="001B6518" w:rsidRDefault="00746CF5" w:rsidP="00746CF5">
            <w:pPr>
              <w:spacing w:after="0" w:line="240" w:lineRule="auto"/>
              <w:rPr>
                <w:rFonts w:ascii="Arial" w:hAnsi="Arial" w:cs="Arial"/>
                <w:color w:val="000000"/>
                <w:sz w:val="16"/>
                <w:szCs w:val="16"/>
              </w:rPr>
            </w:pPr>
            <w:r w:rsidRPr="001B6518">
              <w:rPr>
                <w:rFonts w:ascii="Arial" w:hAnsi="Arial" w:cs="Arial"/>
                <w:color w:val="000000"/>
                <w:sz w:val="16"/>
                <w:szCs w:val="16"/>
              </w:rPr>
              <w:t>B. Convenios</w:t>
            </w:r>
          </w:p>
        </w:tc>
        <w:tc>
          <w:tcPr>
            <w:tcW w:w="638" w:type="pct"/>
            <w:tcBorders>
              <w:top w:val="nil"/>
              <w:left w:val="nil"/>
              <w:bottom w:val="nil"/>
              <w:right w:val="single" w:sz="8" w:space="0" w:color="auto"/>
            </w:tcBorders>
            <w:vAlign w:val="center"/>
            <w:hideMark/>
          </w:tcPr>
          <w:p w14:paraId="492F5CD4" w14:textId="6EC9FC3F"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3,691,435,931</w:t>
            </w:r>
          </w:p>
        </w:tc>
        <w:tc>
          <w:tcPr>
            <w:tcW w:w="638" w:type="pct"/>
            <w:tcBorders>
              <w:top w:val="nil"/>
              <w:left w:val="nil"/>
              <w:bottom w:val="nil"/>
              <w:right w:val="single" w:sz="8" w:space="0" w:color="auto"/>
            </w:tcBorders>
            <w:vAlign w:val="center"/>
            <w:hideMark/>
          </w:tcPr>
          <w:p w14:paraId="3908FF04" w14:textId="655E3B96"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3,802,179,009</w:t>
            </w:r>
          </w:p>
        </w:tc>
        <w:tc>
          <w:tcPr>
            <w:tcW w:w="638" w:type="pct"/>
            <w:tcBorders>
              <w:top w:val="nil"/>
              <w:left w:val="nil"/>
              <w:bottom w:val="nil"/>
              <w:right w:val="single" w:sz="8" w:space="0" w:color="auto"/>
            </w:tcBorders>
            <w:vAlign w:val="center"/>
            <w:hideMark/>
          </w:tcPr>
          <w:p w14:paraId="292C19AA" w14:textId="641A783A"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3,916,244,379</w:t>
            </w:r>
          </w:p>
        </w:tc>
        <w:tc>
          <w:tcPr>
            <w:tcW w:w="638" w:type="pct"/>
            <w:tcBorders>
              <w:top w:val="nil"/>
              <w:left w:val="nil"/>
              <w:bottom w:val="nil"/>
              <w:right w:val="single" w:sz="8" w:space="0" w:color="auto"/>
            </w:tcBorders>
            <w:vAlign w:val="center"/>
            <w:hideMark/>
          </w:tcPr>
          <w:p w14:paraId="1BE1671A" w14:textId="55319904"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4,033,731,710</w:t>
            </w:r>
          </w:p>
        </w:tc>
        <w:tc>
          <w:tcPr>
            <w:tcW w:w="638" w:type="pct"/>
            <w:tcBorders>
              <w:top w:val="nil"/>
              <w:left w:val="nil"/>
              <w:bottom w:val="nil"/>
              <w:right w:val="single" w:sz="8" w:space="0" w:color="auto"/>
            </w:tcBorders>
            <w:vAlign w:val="center"/>
            <w:hideMark/>
          </w:tcPr>
          <w:p w14:paraId="313D09D7" w14:textId="175A7244"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4,154,743,661</w:t>
            </w:r>
          </w:p>
        </w:tc>
        <w:tc>
          <w:tcPr>
            <w:tcW w:w="638" w:type="pct"/>
            <w:tcBorders>
              <w:top w:val="nil"/>
              <w:left w:val="nil"/>
              <w:bottom w:val="nil"/>
              <w:right w:val="single" w:sz="8" w:space="0" w:color="auto"/>
            </w:tcBorders>
            <w:vAlign w:val="center"/>
            <w:hideMark/>
          </w:tcPr>
          <w:p w14:paraId="0DAF5C31" w14:textId="0322041C"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4,279,385,971</w:t>
            </w:r>
          </w:p>
        </w:tc>
      </w:tr>
      <w:tr w:rsidR="00746CF5" w:rsidRPr="001B6518" w14:paraId="20FC397D" w14:textId="77777777" w:rsidTr="00C6489A">
        <w:trPr>
          <w:trHeight w:val="20"/>
        </w:trPr>
        <w:tc>
          <w:tcPr>
            <w:tcW w:w="1172" w:type="pct"/>
            <w:tcBorders>
              <w:top w:val="nil"/>
              <w:left w:val="single" w:sz="8" w:space="0" w:color="auto"/>
              <w:bottom w:val="nil"/>
              <w:right w:val="single" w:sz="8" w:space="0" w:color="auto"/>
            </w:tcBorders>
            <w:vAlign w:val="center"/>
            <w:hideMark/>
          </w:tcPr>
          <w:p w14:paraId="477F6F3A" w14:textId="0FA7FBBD" w:rsidR="00746CF5" w:rsidRPr="001B6518" w:rsidRDefault="00746CF5" w:rsidP="00746CF5">
            <w:pPr>
              <w:spacing w:after="0" w:line="240" w:lineRule="auto"/>
              <w:rPr>
                <w:rFonts w:ascii="Arial" w:hAnsi="Arial" w:cs="Arial"/>
                <w:color w:val="000000"/>
                <w:sz w:val="16"/>
                <w:szCs w:val="16"/>
              </w:rPr>
            </w:pPr>
            <w:r w:rsidRPr="001B6518">
              <w:rPr>
                <w:rFonts w:ascii="Arial" w:hAnsi="Arial" w:cs="Arial"/>
                <w:color w:val="000000"/>
                <w:sz w:val="16"/>
                <w:szCs w:val="16"/>
              </w:rPr>
              <w:t>C. Fondos Distintos de Aportaciones</w:t>
            </w:r>
          </w:p>
        </w:tc>
        <w:tc>
          <w:tcPr>
            <w:tcW w:w="638" w:type="pct"/>
            <w:tcBorders>
              <w:top w:val="nil"/>
              <w:left w:val="nil"/>
              <w:bottom w:val="nil"/>
              <w:right w:val="single" w:sz="8" w:space="0" w:color="auto"/>
            </w:tcBorders>
            <w:vAlign w:val="center"/>
            <w:hideMark/>
          </w:tcPr>
          <w:p w14:paraId="7EDAEC84" w14:textId="0196BF7B"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2FB08C19" w14:textId="21DB4FE7"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22FB7692" w14:textId="74756EA7"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24009090" w14:textId="506B92D8"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44B6AFC4" w14:textId="313D5E08"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2F81C8AC" w14:textId="1D7E481F"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r>
      <w:tr w:rsidR="00746CF5" w:rsidRPr="001B6518" w14:paraId="63BB8CA7" w14:textId="77777777" w:rsidTr="00C6489A">
        <w:trPr>
          <w:trHeight w:val="20"/>
        </w:trPr>
        <w:tc>
          <w:tcPr>
            <w:tcW w:w="1172" w:type="pct"/>
            <w:tcBorders>
              <w:top w:val="nil"/>
              <w:left w:val="single" w:sz="8" w:space="0" w:color="auto"/>
              <w:bottom w:val="nil"/>
              <w:right w:val="single" w:sz="8" w:space="0" w:color="auto"/>
            </w:tcBorders>
            <w:vAlign w:val="center"/>
            <w:hideMark/>
          </w:tcPr>
          <w:p w14:paraId="0736436F" w14:textId="3FEA5F3A" w:rsidR="00746CF5" w:rsidRPr="001B6518" w:rsidRDefault="00746CF5" w:rsidP="00746CF5">
            <w:pPr>
              <w:spacing w:after="0" w:line="240" w:lineRule="auto"/>
              <w:rPr>
                <w:rFonts w:ascii="Arial" w:hAnsi="Arial" w:cs="Arial"/>
                <w:color w:val="000000"/>
                <w:sz w:val="16"/>
                <w:szCs w:val="16"/>
              </w:rPr>
            </w:pPr>
            <w:r w:rsidRPr="001B6518">
              <w:rPr>
                <w:rFonts w:ascii="Arial" w:hAnsi="Arial" w:cs="Arial"/>
                <w:color w:val="000000"/>
                <w:sz w:val="16"/>
                <w:szCs w:val="16"/>
              </w:rPr>
              <w:t>D. Transferencias, Asignaciones, Subsidios y Subvenciones, y Pensiones y Jubilaciones</w:t>
            </w:r>
          </w:p>
        </w:tc>
        <w:tc>
          <w:tcPr>
            <w:tcW w:w="638" w:type="pct"/>
            <w:tcBorders>
              <w:top w:val="nil"/>
              <w:left w:val="nil"/>
              <w:bottom w:val="nil"/>
              <w:right w:val="single" w:sz="8" w:space="0" w:color="auto"/>
            </w:tcBorders>
            <w:vAlign w:val="center"/>
            <w:hideMark/>
          </w:tcPr>
          <w:p w14:paraId="47C5B6B1" w14:textId="23A5CCDA"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2,524,586,201</w:t>
            </w:r>
          </w:p>
        </w:tc>
        <w:tc>
          <w:tcPr>
            <w:tcW w:w="638" w:type="pct"/>
            <w:tcBorders>
              <w:top w:val="nil"/>
              <w:left w:val="nil"/>
              <w:bottom w:val="nil"/>
              <w:right w:val="single" w:sz="8" w:space="0" w:color="auto"/>
            </w:tcBorders>
            <w:vAlign w:val="center"/>
            <w:hideMark/>
          </w:tcPr>
          <w:p w14:paraId="06FE7514" w14:textId="5491CE47"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2,600,323,787</w:t>
            </w:r>
          </w:p>
        </w:tc>
        <w:tc>
          <w:tcPr>
            <w:tcW w:w="638" w:type="pct"/>
            <w:tcBorders>
              <w:top w:val="nil"/>
              <w:left w:val="nil"/>
              <w:bottom w:val="nil"/>
              <w:right w:val="single" w:sz="8" w:space="0" w:color="auto"/>
            </w:tcBorders>
            <w:vAlign w:val="center"/>
            <w:hideMark/>
          </w:tcPr>
          <w:p w14:paraId="6ADE2C65" w14:textId="2E3F0ED7"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2,678,333,501</w:t>
            </w:r>
          </w:p>
        </w:tc>
        <w:tc>
          <w:tcPr>
            <w:tcW w:w="638" w:type="pct"/>
            <w:tcBorders>
              <w:top w:val="nil"/>
              <w:left w:val="nil"/>
              <w:bottom w:val="nil"/>
              <w:right w:val="single" w:sz="8" w:space="0" w:color="auto"/>
            </w:tcBorders>
            <w:vAlign w:val="center"/>
            <w:hideMark/>
          </w:tcPr>
          <w:p w14:paraId="685A1E5E" w14:textId="7AB1B7CA"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2,758,683,506</w:t>
            </w:r>
          </w:p>
        </w:tc>
        <w:tc>
          <w:tcPr>
            <w:tcW w:w="638" w:type="pct"/>
            <w:tcBorders>
              <w:top w:val="nil"/>
              <w:left w:val="nil"/>
              <w:bottom w:val="nil"/>
              <w:right w:val="single" w:sz="8" w:space="0" w:color="auto"/>
            </w:tcBorders>
            <w:vAlign w:val="center"/>
            <w:hideMark/>
          </w:tcPr>
          <w:p w14:paraId="644BE9C4" w14:textId="76EB6130"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2,841,444,011</w:t>
            </w:r>
          </w:p>
        </w:tc>
        <w:tc>
          <w:tcPr>
            <w:tcW w:w="638" w:type="pct"/>
            <w:tcBorders>
              <w:top w:val="nil"/>
              <w:left w:val="nil"/>
              <w:bottom w:val="nil"/>
              <w:right w:val="single" w:sz="8" w:space="0" w:color="auto"/>
            </w:tcBorders>
            <w:vAlign w:val="center"/>
            <w:hideMark/>
          </w:tcPr>
          <w:p w14:paraId="4F53FA70" w14:textId="72B7D792"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2,926,687,331</w:t>
            </w:r>
          </w:p>
        </w:tc>
      </w:tr>
      <w:tr w:rsidR="00746CF5" w:rsidRPr="001B6518" w14:paraId="5209003A" w14:textId="77777777" w:rsidTr="00C6489A">
        <w:trPr>
          <w:trHeight w:val="20"/>
        </w:trPr>
        <w:tc>
          <w:tcPr>
            <w:tcW w:w="1172" w:type="pct"/>
            <w:tcBorders>
              <w:top w:val="nil"/>
              <w:left w:val="single" w:sz="8" w:space="0" w:color="auto"/>
              <w:bottom w:val="nil"/>
              <w:right w:val="single" w:sz="8" w:space="0" w:color="auto"/>
            </w:tcBorders>
            <w:vAlign w:val="center"/>
            <w:hideMark/>
          </w:tcPr>
          <w:p w14:paraId="2D0FC713" w14:textId="6C023CE8" w:rsidR="00746CF5" w:rsidRPr="001B6518" w:rsidRDefault="00746CF5" w:rsidP="00746CF5">
            <w:pPr>
              <w:spacing w:after="0" w:line="240" w:lineRule="auto"/>
              <w:rPr>
                <w:rFonts w:ascii="Arial" w:hAnsi="Arial" w:cs="Arial"/>
                <w:color w:val="000000"/>
                <w:sz w:val="16"/>
                <w:szCs w:val="16"/>
              </w:rPr>
            </w:pPr>
            <w:r w:rsidRPr="001B6518">
              <w:rPr>
                <w:rFonts w:ascii="Arial" w:hAnsi="Arial" w:cs="Arial"/>
                <w:color w:val="000000"/>
                <w:sz w:val="16"/>
                <w:szCs w:val="16"/>
              </w:rPr>
              <w:t>E. Otras Transferencias Federales Etiquetadas</w:t>
            </w:r>
          </w:p>
        </w:tc>
        <w:tc>
          <w:tcPr>
            <w:tcW w:w="638" w:type="pct"/>
            <w:tcBorders>
              <w:top w:val="nil"/>
              <w:left w:val="nil"/>
              <w:bottom w:val="nil"/>
              <w:right w:val="single" w:sz="8" w:space="0" w:color="auto"/>
            </w:tcBorders>
            <w:vAlign w:val="center"/>
            <w:hideMark/>
          </w:tcPr>
          <w:p w14:paraId="5154E6AA" w14:textId="566EE88C"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4121DB87" w14:textId="52D86A1A"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4AEFA6BB" w14:textId="57A57D4F"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66DC21DB" w14:textId="5D8B9F26"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260BCB2B" w14:textId="5CDF9213"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2D7DE6B9" w14:textId="30DE05AF"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r>
      <w:tr w:rsidR="00746CF5" w:rsidRPr="001B6518" w14:paraId="7BE58185" w14:textId="77777777" w:rsidTr="00C6489A">
        <w:trPr>
          <w:trHeight w:val="20"/>
        </w:trPr>
        <w:tc>
          <w:tcPr>
            <w:tcW w:w="1172" w:type="pct"/>
            <w:tcBorders>
              <w:top w:val="nil"/>
              <w:left w:val="single" w:sz="8" w:space="0" w:color="auto"/>
              <w:bottom w:val="nil"/>
              <w:right w:val="single" w:sz="8" w:space="0" w:color="auto"/>
            </w:tcBorders>
            <w:vAlign w:val="center"/>
            <w:hideMark/>
          </w:tcPr>
          <w:p w14:paraId="3E5A93AD" w14:textId="2B1308C5" w:rsidR="00746CF5" w:rsidRPr="001B6518" w:rsidRDefault="00746CF5" w:rsidP="00746CF5">
            <w:pPr>
              <w:spacing w:after="0" w:line="240" w:lineRule="auto"/>
              <w:rPr>
                <w:rFonts w:ascii="Arial" w:hAnsi="Arial" w:cs="Arial"/>
                <w:b/>
                <w:bCs/>
                <w:color w:val="000000"/>
                <w:sz w:val="16"/>
                <w:szCs w:val="16"/>
              </w:rPr>
            </w:pPr>
            <w:r w:rsidRPr="001B6518">
              <w:rPr>
                <w:rFonts w:ascii="Arial" w:hAnsi="Arial" w:cs="Arial"/>
                <w:b/>
                <w:bCs/>
                <w:color w:val="000000"/>
                <w:sz w:val="16"/>
                <w:szCs w:val="16"/>
              </w:rPr>
              <w:t>3. Ingresos Derivados de Financiamientos (3=A)</w:t>
            </w:r>
          </w:p>
        </w:tc>
        <w:tc>
          <w:tcPr>
            <w:tcW w:w="638" w:type="pct"/>
            <w:tcBorders>
              <w:top w:val="nil"/>
              <w:left w:val="nil"/>
              <w:bottom w:val="nil"/>
              <w:right w:val="single" w:sz="8" w:space="0" w:color="auto"/>
            </w:tcBorders>
            <w:vAlign w:val="center"/>
            <w:hideMark/>
          </w:tcPr>
          <w:p w14:paraId="33E02F30" w14:textId="43F91829"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1,530,000,000</w:t>
            </w:r>
          </w:p>
        </w:tc>
        <w:tc>
          <w:tcPr>
            <w:tcW w:w="638" w:type="pct"/>
            <w:tcBorders>
              <w:top w:val="nil"/>
              <w:left w:val="nil"/>
              <w:bottom w:val="nil"/>
              <w:right w:val="single" w:sz="8" w:space="0" w:color="auto"/>
            </w:tcBorders>
            <w:vAlign w:val="center"/>
            <w:hideMark/>
          </w:tcPr>
          <w:p w14:paraId="3A7F0806" w14:textId="6F264671"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w:t>
            </w:r>
          </w:p>
        </w:tc>
        <w:tc>
          <w:tcPr>
            <w:tcW w:w="638" w:type="pct"/>
            <w:tcBorders>
              <w:top w:val="nil"/>
              <w:left w:val="nil"/>
              <w:bottom w:val="nil"/>
              <w:right w:val="single" w:sz="8" w:space="0" w:color="auto"/>
            </w:tcBorders>
            <w:vAlign w:val="center"/>
            <w:hideMark/>
          </w:tcPr>
          <w:p w14:paraId="3663A1E0" w14:textId="25624CDA"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w:t>
            </w:r>
          </w:p>
        </w:tc>
        <w:tc>
          <w:tcPr>
            <w:tcW w:w="638" w:type="pct"/>
            <w:tcBorders>
              <w:top w:val="nil"/>
              <w:left w:val="nil"/>
              <w:bottom w:val="nil"/>
              <w:right w:val="single" w:sz="8" w:space="0" w:color="auto"/>
            </w:tcBorders>
            <w:vAlign w:val="center"/>
            <w:hideMark/>
          </w:tcPr>
          <w:p w14:paraId="2745E418" w14:textId="574405A1"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w:t>
            </w:r>
          </w:p>
        </w:tc>
        <w:tc>
          <w:tcPr>
            <w:tcW w:w="638" w:type="pct"/>
            <w:tcBorders>
              <w:top w:val="nil"/>
              <w:left w:val="nil"/>
              <w:bottom w:val="nil"/>
              <w:right w:val="single" w:sz="8" w:space="0" w:color="auto"/>
            </w:tcBorders>
            <w:vAlign w:val="center"/>
            <w:hideMark/>
          </w:tcPr>
          <w:p w14:paraId="3F4C3EC4" w14:textId="6D0D780E"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w:t>
            </w:r>
          </w:p>
        </w:tc>
        <w:tc>
          <w:tcPr>
            <w:tcW w:w="638" w:type="pct"/>
            <w:tcBorders>
              <w:top w:val="nil"/>
              <w:left w:val="nil"/>
              <w:bottom w:val="nil"/>
              <w:right w:val="single" w:sz="8" w:space="0" w:color="auto"/>
            </w:tcBorders>
            <w:vAlign w:val="center"/>
            <w:hideMark/>
          </w:tcPr>
          <w:p w14:paraId="6B10BB12" w14:textId="431F7C1D"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w:t>
            </w:r>
          </w:p>
        </w:tc>
      </w:tr>
      <w:tr w:rsidR="00746CF5" w:rsidRPr="001B6518" w14:paraId="31163CEE" w14:textId="77777777" w:rsidTr="00C6489A">
        <w:trPr>
          <w:trHeight w:val="20"/>
        </w:trPr>
        <w:tc>
          <w:tcPr>
            <w:tcW w:w="1172" w:type="pct"/>
            <w:tcBorders>
              <w:top w:val="nil"/>
              <w:left w:val="single" w:sz="8" w:space="0" w:color="auto"/>
              <w:bottom w:val="nil"/>
              <w:right w:val="single" w:sz="8" w:space="0" w:color="auto"/>
            </w:tcBorders>
            <w:vAlign w:val="center"/>
            <w:hideMark/>
          </w:tcPr>
          <w:p w14:paraId="2EA6BF62" w14:textId="5E35B051" w:rsidR="00746CF5" w:rsidRPr="001B6518" w:rsidRDefault="00746CF5" w:rsidP="00746CF5">
            <w:pPr>
              <w:spacing w:after="0" w:line="240" w:lineRule="auto"/>
              <w:rPr>
                <w:rFonts w:ascii="Arial" w:hAnsi="Arial" w:cs="Arial"/>
                <w:color w:val="000000"/>
                <w:sz w:val="16"/>
                <w:szCs w:val="16"/>
              </w:rPr>
            </w:pPr>
            <w:r w:rsidRPr="001B6518">
              <w:rPr>
                <w:rFonts w:ascii="Arial" w:hAnsi="Arial" w:cs="Arial"/>
                <w:color w:val="000000"/>
                <w:sz w:val="16"/>
                <w:szCs w:val="16"/>
              </w:rPr>
              <w:t>A. Ingresos Derivados de Financiamientos</w:t>
            </w:r>
          </w:p>
        </w:tc>
        <w:tc>
          <w:tcPr>
            <w:tcW w:w="638" w:type="pct"/>
            <w:tcBorders>
              <w:top w:val="nil"/>
              <w:left w:val="nil"/>
              <w:bottom w:val="nil"/>
              <w:right w:val="single" w:sz="8" w:space="0" w:color="auto"/>
            </w:tcBorders>
            <w:vAlign w:val="center"/>
            <w:hideMark/>
          </w:tcPr>
          <w:p w14:paraId="4E08D403" w14:textId="7583499A"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1,530,000,000</w:t>
            </w:r>
          </w:p>
        </w:tc>
        <w:tc>
          <w:tcPr>
            <w:tcW w:w="638" w:type="pct"/>
            <w:tcBorders>
              <w:top w:val="nil"/>
              <w:left w:val="nil"/>
              <w:bottom w:val="nil"/>
              <w:right w:val="single" w:sz="8" w:space="0" w:color="auto"/>
            </w:tcBorders>
            <w:vAlign w:val="center"/>
            <w:hideMark/>
          </w:tcPr>
          <w:p w14:paraId="43BA66E2" w14:textId="79A37E09"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6109C63D" w14:textId="45AD70C6"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4F06FFB4" w14:textId="19E43BFE"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5A8C8BA8" w14:textId="5EE61A91"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5CD6A21E" w14:textId="6436D418"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r>
      <w:tr w:rsidR="00746CF5" w:rsidRPr="001B6518" w14:paraId="7FDF39CA" w14:textId="77777777" w:rsidTr="00C6489A">
        <w:trPr>
          <w:trHeight w:val="20"/>
        </w:trPr>
        <w:tc>
          <w:tcPr>
            <w:tcW w:w="1172" w:type="pct"/>
            <w:tcBorders>
              <w:top w:val="nil"/>
              <w:left w:val="single" w:sz="8" w:space="0" w:color="auto"/>
              <w:bottom w:val="nil"/>
              <w:right w:val="single" w:sz="8" w:space="0" w:color="auto"/>
            </w:tcBorders>
            <w:vAlign w:val="center"/>
            <w:hideMark/>
          </w:tcPr>
          <w:p w14:paraId="3D2C3CBF" w14:textId="2A1FF3DB" w:rsidR="00746CF5" w:rsidRPr="001B6518" w:rsidRDefault="00746CF5" w:rsidP="00746CF5">
            <w:pPr>
              <w:spacing w:after="0" w:line="240" w:lineRule="auto"/>
              <w:rPr>
                <w:rFonts w:ascii="Arial" w:hAnsi="Arial" w:cs="Arial"/>
                <w:b/>
                <w:bCs/>
                <w:color w:val="000000"/>
                <w:sz w:val="16"/>
                <w:szCs w:val="16"/>
              </w:rPr>
            </w:pPr>
            <w:r w:rsidRPr="001B6518">
              <w:rPr>
                <w:rFonts w:ascii="Arial" w:hAnsi="Arial" w:cs="Arial"/>
                <w:b/>
                <w:bCs/>
                <w:color w:val="000000"/>
                <w:sz w:val="16"/>
                <w:szCs w:val="16"/>
              </w:rPr>
              <w:t>4. Total de Ingresos Proyectados (4=1+2+3)</w:t>
            </w:r>
          </w:p>
        </w:tc>
        <w:tc>
          <w:tcPr>
            <w:tcW w:w="638" w:type="pct"/>
            <w:tcBorders>
              <w:top w:val="nil"/>
              <w:left w:val="nil"/>
              <w:bottom w:val="nil"/>
              <w:right w:val="single" w:sz="8" w:space="0" w:color="auto"/>
            </w:tcBorders>
            <w:vAlign w:val="center"/>
            <w:hideMark/>
          </w:tcPr>
          <w:p w14:paraId="65232D66" w14:textId="3B01CACC"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60,906,133,602</w:t>
            </w:r>
          </w:p>
        </w:tc>
        <w:tc>
          <w:tcPr>
            <w:tcW w:w="638" w:type="pct"/>
            <w:tcBorders>
              <w:top w:val="nil"/>
              <w:left w:val="nil"/>
              <w:bottom w:val="nil"/>
              <w:right w:val="single" w:sz="8" w:space="0" w:color="auto"/>
            </w:tcBorders>
            <w:vAlign w:val="center"/>
            <w:hideMark/>
          </w:tcPr>
          <w:p w14:paraId="11917CDF" w14:textId="47126415"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61,157,417,611</w:t>
            </w:r>
          </w:p>
        </w:tc>
        <w:tc>
          <w:tcPr>
            <w:tcW w:w="638" w:type="pct"/>
            <w:tcBorders>
              <w:top w:val="nil"/>
              <w:left w:val="nil"/>
              <w:bottom w:val="nil"/>
              <w:right w:val="single" w:sz="8" w:space="0" w:color="auto"/>
            </w:tcBorders>
            <w:vAlign w:val="center"/>
            <w:hideMark/>
          </w:tcPr>
          <w:p w14:paraId="1570302F" w14:textId="4A80719F"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62,992,140,139</w:t>
            </w:r>
          </w:p>
        </w:tc>
        <w:tc>
          <w:tcPr>
            <w:tcW w:w="638" w:type="pct"/>
            <w:tcBorders>
              <w:top w:val="nil"/>
              <w:left w:val="nil"/>
              <w:bottom w:val="nil"/>
              <w:right w:val="single" w:sz="8" w:space="0" w:color="auto"/>
            </w:tcBorders>
            <w:vAlign w:val="center"/>
            <w:hideMark/>
          </w:tcPr>
          <w:p w14:paraId="0BF54542" w14:textId="0C8F7EEB"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64,881,904,343</w:t>
            </w:r>
          </w:p>
        </w:tc>
        <w:tc>
          <w:tcPr>
            <w:tcW w:w="638" w:type="pct"/>
            <w:tcBorders>
              <w:top w:val="nil"/>
              <w:left w:val="nil"/>
              <w:bottom w:val="nil"/>
              <w:right w:val="single" w:sz="8" w:space="0" w:color="auto"/>
            </w:tcBorders>
            <w:vAlign w:val="center"/>
            <w:hideMark/>
          </w:tcPr>
          <w:p w14:paraId="5B6EA1B5" w14:textId="69B60756"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66,828,361,472</w:t>
            </w:r>
          </w:p>
        </w:tc>
        <w:tc>
          <w:tcPr>
            <w:tcW w:w="638" w:type="pct"/>
            <w:tcBorders>
              <w:top w:val="nil"/>
              <w:left w:val="nil"/>
              <w:bottom w:val="nil"/>
              <w:right w:val="single" w:sz="8" w:space="0" w:color="auto"/>
            </w:tcBorders>
            <w:vAlign w:val="center"/>
            <w:hideMark/>
          </w:tcPr>
          <w:p w14:paraId="3E3E8774" w14:textId="62239893"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68,833,212,317</w:t>
            </w:r>
          </w:p>
        </w:tc>
      </w:tr>
      <w:tr w:rsidR="00746CF5" w:rsidRPr="001B6518" w14:paraId="05EB940C" w14:textId="77777777" w:rsidTr="00C6489A">
        <w:trPr>
          <w:trHeight w:val="20"/>
        </w:trPr>
        <w:tc>
          <w:tcPr>
            <w:tcW w:w="1172" w:type="pct"/>
            <w:tcBorders>
              <w:top w:val="nil"/>
              <w:left w:val="single" w:sz="8" w:space="0" w:color="auto"/>
              <w:bottom w:val="nil"/>
              <w:right w:val="single" w:sz="8" w:space="0" w:color="auto"/>
            </w:tcBorders>
            <w:vAlign w:val="center"/>
            <w:hideMark/>
          </w:tcPr>
          <w:p w14:paraId="31B8F39E" w14:textId="66B6286E" w:rsidR="00746CF5" w:rsidRPr="001B6518" w:rsidRDefault="00746CF5" w:rsidP="00746CF5">
            <w:pPr>
              <w:spacing w:after="0" w:line="240" w:lineRule="auto"/>
              <w:rPr>
                <w:rFonts w:ascii="Arial" w:hAnsi="Arial" w:cs="Arial"/>
                <w:b/>
                <w:bCs/>
                <w:color w:val="000000"/>
                <w:sz w:val="16"/>
                <w:szCs w:val="16"/>
              </w:rPr>
            </w:pPr>
            <w:r w:rsidRPr="001B6518">
              <w:rPr>
                <w:rFonts w:ascii="Arial" w:hAnsi="Arial" w:cs="Arial"/>
                <w:b/>
                <w:bCs/>
                <w:color w:val="000000"/>
                <w:sz w:val="16"/>
                <w:szCs w:val="16"/>
              </w:rPr>
              <w:t>Datos Informativos</w:t>
            </w:r>
          </w:p>
        </w:tc>
        <w:tc>
          <w:tcPr>
            <w:tcW w:w="638" w:type="pct"/>
            <w:tcBorders>
              <w:top w:val="nil"/>
              <w:left w:val="nil"/>
              <w:bottom w:val="nil"/>
              <w:right w:val="single" w:sz="8" w:space="0" w:color="auto"/>
            </w:tcBorders>
            <w:vAlign w:val="center"/>
            <w:hideMark/>
          </w:tcPr>
          <w:p w14:paraId="1F66CA58" w14:textId="63A2568D"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w:t>
            </w:r>
          </w:p>
        </w:tc>
        <w:tc>
          <w:tcPr>
            <w:tcW w:w="638" w:type="pct"/>
            <w:tcBorders>
              <w:top w:val="nil"/>
              <w:left w:val="nil"/>
              <w:bottom w:val="nil"/>
              <w:right w:val="single" w:sz="8" w:space="0" w:color="auto"/>
            </w:tcBorders>
            <w:vAlign w:val="center"/>
            <w:hideMark/>
          </w:tcPr>
          <w:p w14:paraId="456D528F" w14:textId="448DB395"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w:t>
            </w:r>
          </w:p>
        </w:tc>
        <w:tc>
          <w:tcPr>
            <w:tcW w:w="638" w:type="pct"/>
            <w:tcBorders>
              <w:top w:val="nil"/>
              <w:left w:val="nil"/>
              <w:bottom w:val="nil"/>
              <w:right w:val="single" w:sz="8" w:space="0" w:color="auto"/>
            </w:tcBorders>
            <w:vAlign w:val="center"/>
            <w:hideMark/>
          </w:tcPr>
          <w:p w14:paraId="0E050175" w14:textId="2B77B222"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w:t>
            </w:r>
          </w:p>
        </w:tc>
        <w:tc>
          <w:tcPr>
            <w:tcW w:w="638" w:type="pct"/>
            <w:tcBorders>
              <w:top w:val="nil"/>
              <w:left w:val="nil"/>
              <w:bottom w:val="nil"/>
              <w:right w:val="single" w:sz="8" w:space="0" w:color="auto"/>
            </w:tcBorders>
            <w:vAlign w:val="center"/>
            <w:hideMark/>
          </w:tcPr>
          <w:p w14:paraId="7115A03F" w14:textId="638E87A6"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w:t>
            </w:r>
          </w:p>
        </w:tc>
        <w:tc>
          <w:tcPr>
            <w:tcW w:w="638" w:type="pct"/>
            <w:tcBorders>
              <w:top w:val="nil"/>
              <w:left w:val="nil"/>
              <w:bottom w:val="nil"/>
              <w:right w:val="single" w:sz="8" w:space="0" w:color="auto"/>
            </w:tcBorders>
            <w:vAlign w:val="center"/>
            <w:hideMark/>
          </w:tcPr>
          <w:p w14:paraId="65B17A4F" w14:textId="32CD01E3"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w:t>
            </w:r>
          </w:p>
        </w:tc>
        <w:tc>
          <w:tcPr>
            <w:tcW w:w="638" w:type="pct"/>
            <w:tcBorders>
              <w:top w:val="nil"/>
              <w:left w:val="nil"/>
              <w:bottom w:val="nil"/>
              <w:right w:val="single" w:sz="8" w:space="0" w:color="auto"/>
            </w:tcBorders>
            <w:vAlign w:val="center"/>
            <w:hideMark/>
          </w:tcPr>
          <w:p w14:paraId="64AE186A" w14:textId="677622AB"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w:t>
            </w:r>
          </w:p>
        </w:tc>
      </w:tr>
      <w:tr w:rsidR="00746CF5" w:rsidRPr="001B6518" w14:paraId="53535D48" w14:textId="77777777" w:rsidTr="00C6489A">
        <w:trPr>
          <w:trHeight w:val="20"/>
        </w:trPr>
        <w:tc>
          <w:tcPr>
            <w:tcW w:w="1172" w:type="pct"/>
            <w:tcBorders>
              <w:top w:val="nil"/>
              <w:left w:val="single" w:sz="8" w:space="0" w:color="auto"/>
              <w:bottom w:val="nil"/>
              <w:right w:val="single" w:sz="8" w:space="0" w:color="auto"/>
            </w:tcBorders>
            <w:vAlign w:val="center"/>
            <w:hideMark/>
          </w:tcPr>
          <w:p w14:paraId="399B354D" w14:textId="06219B7C" w:rsidR="00746CF5" w:rsidRPr="001B6518" w:rsidRDefault="00746CF5" w:rsidP="00746CF5">
            <w:pPr>
              <w:spacing w:after="0" w:line="240" w:lineRule="auto"/>
              <w:rPr>
                <w:rFonts w:ascii="Arial" w:hAnsi="Arial" w:cs="Arial"/>
                <w:color w:val="000000"/>
                <w:sz w:val="16"/>
                <w:szCs w:val="16"/>
              </w:rPr>
            </w:pPr>
            <w:r w:rsidRPr="001B6518">
              <w:rPr>
                <w:rFonts w:ascii="Arial" w:hAnsi="Arial" w:cs="Arial"/>
                <w:color w:val="000000"/>
                <w:sz w:val="16"/>
                <w:szCs w:val="16"/>
              </w:rPr>
              <w:t>1. Ingresos Derivados de Financiamientos con Fuente de Pago de Recursos de Libre Disposición</w:t>
            </w:r>
          </w:p>
        </w:tc>
        <w:tc>
          <w:tcPr>
            <w:tcW w:w="638" w:type="pct"/>
            <w:tcBorders>
              <w:top w:val="nil"/>
              <w:left w:val="nil"/>
              <w:bottom w:val="nil"/>
              <w:right w:val="single" w:sz="8" w:space="0" w:color="auto"/>
            </w:tcBorders>
            <w:vAlign w:val="center"/>
            <w:hideMark/>
          </w:tcPr>
          <w:p w14:paraId="12589382" w14:textId="0060C602"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1,530,000,000</w:t>
            </w:r>
          </w:p>
        </w:tc>
        <w:tc>
          <w:tcPr>
            <w:tcW w:w="638" w:type="pct"/>
            <w:tcBorders>
              <w:top w:val="nil"/>
              <w:left w:val="nil"/>
              <w:bottom w:val="nil"/>
              <w:right w:val="single" w:sz="8" w:space="0" w:color="auto"/>
            </w:tcBorders>
            <w:vAlign w:val="center"/>
            <w:hideMark/>
          </w:tcPr>
          <w:p w14:paraId="6B1F8F1B" w14:textId="530E688C"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34C1F772" w14:textId="70992750"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103E94FA" w14:textId="399023CC"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4BE5F603" w14:textId="26262714"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501BBDF6" w14:textId="7FAEC9A9"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r>
      <w:tr w:rsidR="00746CF5" w:rsidRPr="001B6518" w14:paraId="55ECFBA4" w14:textId="77777777" w:rsidTr="00C6489A">
        <w:trPr>
          <w:trHeight w:val="20"/>
        </w:trPr>
        <w:tc>
          <w:tcPr>
            <w:tcW w:w="1172" w:type="pct"/>
            <w:tcBorders>
              <w:top w:val="nil"/>
              <w:left w:val="single" w:sz="8" w:space="0" w:color="auto"/>
              <w:bottom w:val="nil"/>
              <w:right w:val="single" w:sz="8" w:space="0" w:color="auto"/>
            </w:tcBorders>
            <w:vAlign w:val="center"/>
            <w:hideMark/>
          </w:tcPr>
          <w:p w14:paraId="402E87F8" w14:textId="422A4F3E" w:rsidR="00746CF5" w:rsidRPr="001B6518" w:rsidRDefault="00746CF5" w:rsidP="00746CF5">
            <w:pPr>
              <w:spacing w:after="0" w:line="240" w:lineRule="auto"/>
              <w:rPr>
                <w:rFonts w:ascii="Arial" w:hAnsi="Arial" w:cs="Arial"/>
                <w:color w:val="000000"/>
                <w:sz w:val="16"/>
                <w:szCs w:val="16"/>
              </w:rPr>
            </w:pPr>
            <w:r w:rsidRPr="001B6518">
              <w:rPr>
                <w:rFonts w:ascii="Arial" w:hAnsi="Arial" w:cs="Arial"/>
                <w:color w:val="000000"/>
                <w:sz w:val="16"/>
                <w:szCs w:val="16"/>
              </w:rPr>
              <w:lastRenderedPageBreak/>
              <w:t>2. Ingresos Derivados de Financiamientos con Fuente de Pago de Transferencias Federales Etiquetadas</w:t>
            </w:r>
          </w:p>
        </w:tc>
        <w:tc>
          <w:tcPr>
            <w:tcW w:w="638" w:type="pct"/>
            <w:tcBorders>
              <w:top w:val="nil"/>
              <w:left w:val="nil"/>
              <w:bottom w:val="nil"/>
              <w:right w:val="single" w:sz="8" w:space="0" w:color="auto"/>
            </w:tcBorders>
            <w:vAlign w:val="center"/>
            <w:hideMark/>
          </w:tcPr>
          <w:p w14:paraId="542315C0" w14:textId="6A72D25C"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61064CBA" w14:textId="70186A25"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49BA5D94" w14:textId="50BD8704"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0DA4C0B9" w14:textId="79220DEE"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04823767" w14:textId="28793617"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c>
          <w:tcPr>
            <w:tcW w:w="638" w:type="pct"/>
            <w:tcBorders>
              <w:top w:val="nil"/>
              <w:left w:val="nil"/>
              <w:bottom w:val="nil"/>
              <w:right w:val="single" w:sz="8" w:space="0" w:color="auto"/>
            </w:tcBorders>
            <w:vAlign w:val="center"/>
            <w:hideMark/>
          </w:tcPr>
          <w:p w14:paraId="129414C1" w14:textId="687F7B46" w:rsidR="00746CF5" w:rsidRPr="001B6518" w:rsidRDefault="00746CF5" w:rsidP="00746CF5">
            <w:pPr>
              <w:spacing w:after="0" w:line="240" w:lineRule="auto"/>
              <w:jc w:val="right"/>
              <w:rPr>
                <w:rFonts w:ascii="Arial" w:hAnsi="Arial" w:cs="Arial"/>
                <w:color w:val="000000"/>
                <w:sz w:val="16"/>
                <w:szCs w:val="16"/>
              </w:rPr>
            </w:pPr>
            <w:r w:rsidRPr="001B6518">
              <w:rPr>
                <w:rFonts w:ascii="Arial" w:hAnsi="Arial" w:cs="Arial"/>
                <w:color w:val="000000"/>
                <w:sz w:val="16"/>
                <w:szCs w:val="16"/>
              </w:rPr>
              <w:t>-</w:t>
            </w:r>
          </w:p>
        </w:tc>
      </w:tr>
      <w:tr w:rsidR="00746CF5" w:rsidRPr="001B6518" w14:paraId="5DD4F961" w14:textId="77777777" w:rsidTr="00C6489A">
        <w:trPr>
          <w:trHeight w:val="20"/>
        </w:trPr>
        <w:tc>
          <w:tcPr>
            <w:tcW w:w="1172" w:type="pct"/>
            <w:tcBorders>
              <w:top w:val="nil"/>
              <w:left w:val="single" w:sz="8" w:space="0" w:color="auto"/>
              <w:bottom w:val="single" w:sz="8" w:space="0" w:color="auto"/>
              <w:right w:val="single" w:sz="8" w:space="0" w:color="auto"/>
            </w:tcBorders>
            <w:vAlign w:val="center"/>
            <w:hideMark/>
          </w:tcPr>
          <w:p w14:paraId="7F7EA003" w14:textId="7DA9261C" w:rsidR="00746CF5" w:rsidRPr="001B6518" w:rsidRDefault="00746CF5" w:rsidP="00746CF5">
            <w:pPr>
              <w:spacing w:after="0" w:line="240" w:lineRule="auto"/>
              <w:rPr>
                <w:rFonts w:ascii="Arial" w:hAnsi="Arial" w:cs="Arial"/>
                <w:b/>
                <w:bCs/>
                <w:color w:val="000000"/>
                <w:sz w:val="16"/>
                <w:szCs w:val="16"/>
              </w:rPr>
            </w:pPr>
            <w:r w:rsidRPr="001B6518">
              <w:rPr>
                <w:rFonts w:ascii="Arial" w:hAnsi="Arial" w:cs="Arial"/>
                <w:b/>
                <w:bCs/>
                <w:color w:val="000000"/>
                <w:sz w:val="16"/>
                <w:szCs w:val="16"/>
              </w:rPr>
              <w:t>3. Ingresos Derivados de Financiamiento (3 = 1 + 2)</w:t>
            </w:r>
          </w:p>
        </w:tc>
        <w:tc>
          <w:tcPr>
            <w:tcW w:w="638" w:type="pct"/>
            <w:tcBorders>
              <w:top w:val="nil"/>
              <w:left w:val="nil"/>
              <w:bottom w:val="single" w:sz="8" w:space="0" w:color="auto"/>
              <w:right w:val="single" w:sz="8" w:space="0" w:color="auto"/>
            </w:tcBorders>
            <w:vAlign w:val="center"/>
            <w:hideMark/>
          </w:tcPr>
          <w:p w14:paraId="37CD8056" w14:textId="628C35A8"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1,530,000,000</w:t>
            </w:r>
          </w:p>
        </w:tc>
        <w:tc>
          <w:tcPr>
            <w:tcW w:w="638" w:type="pct"/>
            <w:tcBorders>
              <w:top w:val="nil"/>
              <w:left w:val="nil"/>
              <w:bottom w:val="single" w:sz="8" w:space="0" w:color="auto"/>
              <w:right w:val="single" w:sz="8" w:space="0" w:color="auto"/>
            </w:tcBorders>
            <w:vAlign w:val="center"/>
            <w:hideMark/>
          </w:tcPr>
          <w:p w14:paraId="61C136C9" w14:textId="0B4425BF"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w:t>
            </w:r>
          </w:p>
        </w:tc>
        <w:tc>
          <w:tcPr>
            <w:tcW w:w="638" w:type="pct"/>
            <w:tcBorders>
              <w:top w:val="nil"/>
              <w:left w:val="nil"/>
              <w:bottom w:val="single" w:sz="8" w:space="0" w:color="auto"/>
              <w:right w:val="single" w:sz="8" w:space="0" w:color="auto"/>
            </w:tcBorders>
            <w:vAlign w:val="center"/>
            <w:hideMark/>
          </w:tcPr>
          <w:p w14:paraId="4C5FAB2A" w14:textId="60598DFF"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w:t>
            </w:r>
          </w:p>
        </w:tc>
        <w:tc>
          <w:tcPr>
            <w:tcW w:w="638" w:type="pct"/>
            <w:tcBorders>
              <w:top w:val="nil"/>
              <w:left w:val="nil"/>
              <w:bottom w:val="single" w:sz="8" w:space="0" w:color="auto"/>
              <w:right w:val="single" w:sz="8" w:space="0" w:color="auto"/>
            </w:tcBorders>
            <w:vAlign w:val="center"/>
            <w:hideMark/>
          </w:tcPr>
          <w:p w14:paraId="0D36448D" w14:textId="08ED2E0E"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w:t>
            </w:r>
          </w:p>
        </w:tc>
        <w:tc>
          <w:tcPr>
            <w:tcW w:w="638" w:type="pct"/>
            <w:tcBorders>
              <w:top w:val="nil"/>
              <w:left w:val="nil"/>
              <w:bottom w:val="single" w:sz="8" w:space="0" w:color="auto"/>
              <w:right w:val="single" w:sz="8" w:space="0" w:color="auto"/>
            </w:tcBorders>
            <w:vAlign w:val="center"/>
            <w:hideMark/>
          </w:tcPr>
          <w:p w14:paraId="75F083FA" w14:textId="107E058C"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w:t>
            </w:r>
          </w:p>
        </w:tc>
        <w:tc>
          <w:tcPr>
            <w:tcW w:w="638" w:type="pct"/>
            <w:tcBorders>
              <w:top w:val="nil"/>
              <w:left w:val="nil"/>
              <w:bottom w:val="single" w:sz="8" w:space="0" w:color="auto"/>
              <w:right w:val="single" w:sz="8" w:space="0" w:color="auto"/>
            </w:tcBorders>
            <w:vAlign w:val="center"/>
            <w:hideMark/>
          </w:tcPr>
          <w:p w14:paraId="2703F4D9" w14:textId="314ACFB2" w:rsidR="00746CF5" w:rsidRPr="001B6518" w:rsidRDefault="00746CF5" w:rsidP="00746CF5">
            <w:pPr>
              <w:spacing w:after="0" w:line="240" w:lineRule="auto"/>
              <w:jc w:val="right"/>
              <w:rPr>
                <w:rFonts w:ascii="Arial" w:hAnsi="Arial" w:cs="Arial"/>
                <w:b/>
                <w:bCs/>
                <w:color w:val="000000"/>
                <w:sz w:val="16"/>
                <w:szCs w:val="16"/>
              </w:rPr>
            </w:pPr>
            <w:r w:rsidRPr="001B6518">
              <w:rPr>
                <w:rFonts w:ascii="Arial" w:hAnsi="Arial" w:cs="Arial"/>
                <w:b/>
                <w:bCs/>
                <w:color w:val="000000"/>
                <w:sz w:val="16"/>
                <w:szCs w:val="16"/>
              </w:rPr>
              <w:t>-</w:t>
            </w:r>
          </w:p>
        </w:tc>
      </w:tr>
    </w:tbl>
    <w:p w14:paraId="73580FEC" w14:textId="77777777" w:rsidR="00C20D77" w:rsidRPr="001B6518" w:rsidRDefault="00C20D77">
      <w:pPr>
        <w:spacing w:after="0" w:line="240" w:lineRule="auto"/>
        <w:jc w:val="center"/>
        <w:rPr>
          <w:rFonts w:ascii="Arial" w:eastAsia="Arial" w:hAnsi="Arial" w:cs="Arial"/>
          <w:b/>
          <w:sz w:val="16"/>
          <w:szCs w:val="16"/>
        </w:rPr>
      </w:pPr>
    </w:p>
    <w:tbl>
      <w:tblPr>
        <w:tblStyle w:val="a1"/>
        <w:tblW w:w="12418" w:type="dxa"/>
        <w:tblInd w:w="10" w:type="dxa"/>
        <w:tblLayout w:type="fixed"/>
        <w:tblLook w:val="0400" w:firstRow="0" w:lastRow="0" w:firstColumn="0" w:lastColumn="0" w:noHBand="0" w:noVBand="1"/>
      </w:tblPr>
      <w:tblGrid>
        <w:gridCol w:w="12418"/>
      </w:tblGrid>
      <w:tr w:rsidR="006B6C42" w:rsidRPr="001B6518" w14:paraId="355DED50" w14:textId="77777777" w:rsidTr="003A2C77">
        <w:trPr>
          <w:trHeight w:val="345"/>
        </w:trPr>
        <w:tc>
          <w:tcPr>
            <w:tcW w:w="12418" w:type="dxa"/>
            <w:tcMar>
              <w:left w:w="70" w:type="dxa"/>
              <w:right w:w="70" w:type="dxa"/>
            </w:tcMar>
            <w:vAlign w:val="bottom"/>
          </w:tcPr>
          <w:p w14:paraId="00000617" w14:textId="77777777" w:rsidR="006B6C42" w:rsidRPr="001B6518" w:rsidRDefault="00DA2020">
            <w:pPr>
              <w:spacing w:after="0" w:line="240" w:lineRule="auto"/>
              <w:rPr>
                <w:rFonts w:ascii="Arial" w:eastAsia="Arial" w:hAnsi="Arial" w:cs="Arial"/>
                <w:sz w:val="16"/>
                <w:szCs w:val="16"/>
              </w:rPr>
            </w:pPr>
            <w:r w:rsidRPr="001B6518">
              <w:rPr>
                <w:rFonts w:ascii="Arial" w:eastAsia="Arial" w:hAnsi="Arial" w:cs="Arial"/>
                <w:color w:val="000000"/>
                <w:sz w:val="16"/>
                <w:szCs w:val="16"/>
              </w:rPr>
              <w:t>Bajo protesta de decir verdad declaramos que los Estados Financieros y sus Notas son razonablemente correctos y son responsabilidad del emisor.</w:t>
            </w:r>
          </w:p>
        </w:tc>
      </w:tr>
    </w:tbl>
    <w:p w14:paraId="0000061E" w14:textId="77777777" w:rsidR="006B6C42" w:rsidRPr="001B6518" w:rsidRDefault="00DA2020">
      <w:pPr>
        <w:spacing w:line="240" w:lineRule="auto"/>
        <w:rPr>
          <w:rFonts w:ascii="Arial" w:eastAsia="Arial" w:hAnsi="Arial" w:cs="Arial"/>
          <w:b/>
          <w:sz w:val="16"/>
          <w:szCs w:val="16"/>
        </w:rPr>
      </w:pPr>
      <w:r w:rsidRPr="001B6518">
        <w:rPr>
          <w:rFonts w:ascii="Arial" w:hAnsi="Arial" w:cs="Arial"/>
        </w:rPr>
        <w:br w:type="page"/>
      </w:r>
    </w:p>
    <w:p w14:paraId="0000061F" w14:textId="77777777" w:rsidR="006B6C42" w:rsidRPr="001B6518" w:rsidRDefault="00DA2020">
      <w:pPr>
        <w:spacing w:after="0" w:line="240" w:lineRule="auto"/>
        <w:jc w:val="center"/>
        <w:rPr>
          <w:rFonts w:ascii="Arial" w:eastAsia="Arial" w:hAnsi="Arial" w:cs="Arial"/>
          <w:b/>
          <w:sz w:val="16"/>
          <w:szCs w:val="16"/>
        </w:rPr>
      </w:pPr>
      <w:r w:rsidRPr="001B6518">
        <w:rPr>
          <w:rFonts w:ascii="Arial" w:eastAsia="Arial" w:hAnsi="Arial" w:cs="Arial"/>
          <w:b/>
          <w:sz w:val="16"/>
          <w:szCs w:val="16"/>
        </w:rPr>
        <w:lastRenderedPageBreak/>
        <w:t>Anexo II</w:t>
      </w:r>
    </w:p>
    <w:p w14:paraId="00000620" w14:textId="77777777" w:rsidR="006B6C42" w:rsidRPr="001B6518" w:rsidRDefault="00DA2020">
      <w:pPr>
        <w:spacing w:after="0" w:line="240" w:lineRule="auto"/>
        <w:jc w:val="center"/>
        <w:rPr>
          <w:rFonts w:ascii="Arial" w:eastAsia="Arial" w:hAnsi="Arial" w:cs="Arial"/>
          <w:b/>
          <w:sz w:val="16"/>
          <w:szCs w:val="16"/>
        </w:rPr>
      </w:pPr>
      <w:r w:rsidRPr="001B6518">
        <w:rPr>
          <w:rFonts w:ascii="Arial" w:eastAsia="Arial" w:hAnsi="Arial" w:cs="Arial"/>
          <w:b/>
          <w:sz w:val="16"/>
          <w:szCs w:val="16"/>
        </w:rPr>
        <w:t>Resultados de ingresos de cinco años anteriores</w:t>
      </w:r>
    </w:p>
    <w:tbl>
      <w:tblPr>
        <w:tblStyle w:val="a2"/>
        <w:tblW w:w="5000" w:type="pct"/>
        <w:tblInd w:w="0" w:type="dxa"/>
        <w:tblLook w:val="0400" w:firstRow="0" w:lastRow="0" w:firstColumn="0" w:lastColumn="0" w:noHBand="0" w:noVBand="1"/>
      </w:tblPr>
      <w:tblGrid>
        <w:gridCol w:w="2967"/>
        <w:gridCol w:w="1362"/>
        <w:gridCol w:w="1329"/>
        <w:gridCol w:w="1329"/>
        <w:gridCol w:w="1329"/>
        <w:gridCol w:w="1342"/>
        <w:gridCol w:w="1342"/>
      </w:tblGrid>
      <w:tr w:rsidR="006B6C42" w:rsidRPr="00C6489A" w14:paraId="6F65DD3E" w14:textId="77777777" w:rsidTr="00C6489A">
        <w:trPr>
          <w:trHeight w:val="105"/>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C0C0C0"/>
            <w:tcMar>
              <w:left w:w="70" w:type="dxa"/>
              <w:right w:w="70" w:type="dxa"/>
            </w:tcMar>
            <w:vAlign w:val="center"/>
          </w:tcPr>
          <w:p w14:paraId="00000621" w14:textId="77777777" w:rsidR="006B6C42" w:rsidRPr="00C6489A" w:rsidRDefault="00DA2020">
            <w:pPr>
              <w:spacing w:after="0" w:line="240" w:lineRule="auto"/>
              <w:jc w:val="center"/>
              <w:rPr>
                <w:rFonts w:ascii="Arial" w:eastAsia="Arial" w:hAnsi="Arial" w:cs="Arial"/>
                <w:sz w:val="14"/>
                <w:szCs w:val="14"/>
              </w:rPr>
            </w:pPr>
            <w:r w:rsidRPr="00C6489A">
              <w:rPr>
                <w:rFonts w:ascii="Arial" w:eastAsia="Arial" w:hAnsi="Arial" w:cs="Arial"/>
                <w:b/>
                <w:color w:val="000000"/>
                <w:sz w:val="14"/>
                <w:szCs w:val="14"/>
              </w:rPr>
              <w:t>Poder Ejecutivo del Gobierno del Estado de Yucatán (a)</w:t>
            </w:r>
            <w:r w:rsidRPr="00C6489A">
              <w:rPr>
                <w:rFonts w:ascii="Arial" w:eastAsia="Arial" w:hAnsi="Arial" w:cs="Arial"/>
                <w:sz w:val="14"/>
                <w:szCs w:val="14"/>
              </w:rPr>
              <w:br/>
            </w:r>
            <w:r w:rsidRPr="00C6489A">
              <w:rPr>
                <w:rFonts w:ascii="Arial" w:eastAsia="Arial" w:hAnsi="Arial" w:cs="Arial"/>
                <w:b/>
                <w:color w:val="000000"/>
                <w:sz w:val="14"/>
                <w:szCs w:val="14"/>
              </w:rPr>
              <w:t xml:space="preserve"> Resultados de Ingresos - LDF</w:t>
            </w:r>
            <w:r w:rsidRPr="00C6489A">
              <w:rPr>
                <w:rFonts w:ascii="Arial" w:eastAsia="Arial" w:hAnsi="Arial" w:cs="Arial"/>
                <w:sz w:val="14"/>
                <w:szCs w:val="14"/>
              </w:rPr>
              <w:br/>
            </w:r>
            <w:r w:rsidRPr="00C6489A">
              <w:rPr>
                <w:rFonts w:ascii="Arial" w:eastAsia="Arial" w:hAnsi="Arial" w:cs="Arial"/>
                <w:b/>
                <w:color w:val="000000"/>
                <w:sz w:val="14"/>
                <w:szCs w:val="14"/>
              </w:rPr>
              <w:t xml:space="preserve"> (PESOS)</w:t>
            </w:r>
          </w:p>
        </w:tc>
      </w:tr>
      <w:tr w:rsidR="00137304" w:rsidRPr="00C6489A" w14:paraId="31E582CB" w14:textId="77777777" w:rsidTr="00C6489A">
        <w:trPr>
          <w:trHeight w:val="60"/>
        </w:trPr>
        <w:tc>
          <w:tcPr>
            <w:tcW w:w="1349" w:type="pct"/>
            <w:tcBorders>
              <w:top w:val="single" w:sz="8" w:space="0" w:color="000000"/>
              <w:left w:val="single" w:sz="8" w:space="0" w:color="000000"/>
              <w:bottom w:val="single" w:sz="8" w:space="0" w:color="000000"/>
              <w:right w:val="single" w:sz="8" w:space="0" w:color="000000"/>
            </w:tcBorders>
            <w:shd w:val="clear" w:color="auto" w:fill="C0C0C0"/>
            <w:tcMar>
              <w:left w:w="70" w:type="dxa"/>
              <w:right w:w="70" w:type="dxa"/>
            </w:tcMar>
            <w:vAlign w:val="center"/>
          </w:tcPr>
          <w:p w14:paraId="00000628" w14:textId="558B0D1C" w:rsidR="00137304" w:rsidRPr="00C6489A" w:rsidRDefault="00137304" w:rsidP="00137304">
            <w:pPr>
              <w:spacing w:after="0" w:line="240" w:lineRule="auto"/>
              <w:jc w:val="center"/>
              <w:rPr>
                <w:rFonts w:ascii="Arial" w:eastAsia="Arial" w:hAnsi="Arial" w:cs="Arial"/>
                <w:sz w:val="14"/>
                <w:szCs w:val="14"/>
              </w:rPr>
            </w:pPr>
            <w:r w:rsidRPr="00C6489A">
              <w:rPr>
                <w:rFonts w:ascii="Arial" w:hAnsi="Arial" w:cs="Arial"/>
                <w:b/>
                <w:bCs/>
                <w:color w:val="000000"/>
                <w:sz w:val="14"/>
                <w:szCs w:val="14"/>
              </w:rPr>
              <w:t>Concepto (b)</w:t>
            </w:r>
          </w:p>
        </w:tc>
        <w:tc>
          <w:tcPr>
            <w:tcW w:w="619" w:type="pct"/>
            <w:tcBorders>
              <w:top w:val="nil"/>
              <w:left w:val="single" w:sz="8" w:space="0" w:color="000000"/>
              <w:bottom w:val="single" w:sz="8" w:space="0" w:color="000000"/>
              <w:right w:val="single" w:sz="8" w:space="0" w:color="000000"/>
            </w:tcBorders>
            <w:shd w:val="clear" w:color="auto" w:fill="C0C0C0"/>
            <w:tcMar>
              <w:left w:w="70" w:type="dxa"/>
              <w:right w:w="70" w:type="dxa"/>
            </w:tcMar>
            <w:vAlign w:val="center"/>
          </w:tcPr>
          <w:p w14:paraId="00000629" w14:textId="7DCCD5C2" w:rsidR="00137304" w:rsidRPr="00C6489A" w:rsidRDefault="00137304" w:rsidP="00137304">
            <w:pPr>
              <w:spacing w:after="0" w:line="240" w:lineRule="auto"/>
              <w:jc w:val="center"/>
              <w:rPr>
                <w:rFonts w:ascii="Arial" w:eastAsia="Arial" w:hAnsi="Arial" w:cs="Arial"/>
                <w:sz w:val="14"/>
                <w:szCs w:val="14"/>
              </w:rPr>
            </w:pPr>
            <w:r w:rsidRPr="00C6489A">
              <w:rPr>
                <w:rFonts w:ascii="Arial" w:hAnsi="Arial" w:cs="Arial"/>
                <w:b/>
                <w:bCs/>
                <w:color w:val="000000"/>
                <w:sz w:val="14"/>
                <w:szCs w:val="14"/>
              </w:rPr>
              <w:t>2020 ¹ (c)</w:t>
            </w:r>
          </w:p>
        </w:tc>
        <w:tc>
          <w:tcPr>
            <w:tcW w:w="604" w:type="pct"/>
            <w:tcBorders>
              <w:top w:val="nil"/>
              <w:left w:val="single" w:sz="8" w:space="0" w:color="000000"/>
              <w:bottom w:val="single" w:sz="8" w:space="0" w:color="000000"/>
              <w:right w:val="single" w:sz="8" w:space="0" w:color="000000"/>
            </w:tcBorders>
            <w:shd w:val="clear" w:color="auto" w:fill="C0C0C0"/>
            <w:tcMar>
              <w:left w:w="70" w:type="dxa"/>
              <w:right w:w="70" w:type="dxa"/>
            </w:tcMar>
            <w:vAlign w:val="center"/>
          </w:tcPr>
          <w:p w14:paraId="0000062A" w14:textId="221E6CBC" w:rsidR="00137304" w:rsidRPr="00C6489A" w:rsidRDefault="00137304" w:rsidP="00137304">
            <w:pPr>
              <w:spacing w:after="0" w:line="240" w:lineRule="auto"/>
              <w:jc w:val="center"/>
              <w:rPr>
                <w:rFonts w:ascii="Arial" w:eastAsia="Arial" w:hAnsi="Arial" w:cs="Arial"/>
                <w:sz w:val="14"/>
                <w:szCs w:val="14"/>
              </w:rPr>
            </w:pPr>
            <w:r w:rsidRPr="00C6489A">
              <w:rPr>
                <w:rFonts w:ascii="Arial" w:hAnsi="Arial" w:cs="Arial"/>
                <w:b/>
                <w:bCs/>
                <w:color w:val="000000"/>
                <w:sz w:val="14"/>
                <w:szCs w:val="14"/>
              </w:rPr>
              <w:t>2021 ¹ (c)</w:t>
            </w:r>
          </w:p>
        </w:tc>
        <w:tc>
          <w:tcPr>
            <w:tcW w:w="604" w:type="pct"/>
            <w:tcBorders>
              <w:top w:val="nil"/>
              <w:left w:val="single" w:sz="8" w:space="0" w:color="000000"/>
              <w:bottom w:val="single" w:sz="8" w:space="0" w:color="000000"/>
              <w:right w:val="single" w:sz="8" w:space="0" w:color="000000"/>
            </w:tcBorders>
            <w:shd w:val="clear" w:color="auto" w:fill="C0C0C0"/>
            <w:tcMar>
              <w:left w:w="70" w:type="dxa"/>
              <w:right w:w="70" w:type="dxa"/>
            </w:tcMar>
            <w:vAlign w:val="center"/>
          </w:tcPr>
          <w:p w14:paraId="0000062B" w14:textId="626AF6AC" w:rsidR="00137304" w:rsidRPr="00C6489A" w:rsidRDefault="00137304" w:rsidP="00137304">
            <w:pPr>
              <w:spacing w:after="0" w:line="240" w:lineRule="auto"/>
              <w:jc w:val="center"/>
              <w:rPr>
                <w:rFonts w:ascii="Arial" w:eastAsia="Arial" w:hAnsi="Arial" w:cs="Arial"/>
                <w:sz w:val="14"/>
                <w:szCs w:val="14"/>
              </w:rPr>
            </w:pPr>
            <w:r w:rsidRPr="00C6489A">
              <w:rPr>
                <w:rFonts w:ascii="Arial" w:hAnsi="Arial" w:cs="Arial"/>
                <w:b/>
                <w:bCs/>
                <w:color w:val="000000"/>
                <w:sz w:val="14"/>
                <w:szCs w:val="14"/>
              </w:rPr>
              <w:t>2022 ¹ (c)</w:t>
            </w:r>
          </w:p>
        </w:tc>
        <w:tc>
          <w:tcPr>
            <w:tcW w:w="604" w:type="pct"/>
            <w:tcBorders>
              <w:top w:val="nil"/>
              <w:left w:val="single" w:sz="8" w:space="0" w:color="000000"/>
              <w:bottom w:val="single" w:sz="8" w:space="0" w:color="000000"/>
              <w:right w:val="single" w:sz="8" w:space="0" w:color="000000"/>
            </w:tcBorders>
            <w:shd w:val="clear" w:color="auto" w:fill="C0C0C0"/>
            <w:tcMar>
              <w:left w:w="70" w:type="dxa"/>
              <w:right w:w="70" w:type="dxa"/>
            </w:tcMar>
            <w:vAlign w:val="center"/>
          </w:tcPr>
          <w:p w14:paraId="0000062C" w14:textId="7C971B04" w:rsidR="00137304" w:rsidRPr="00C6489A" w:rsidRDefault="00137304" w:rsidP="00137304">
            <w:pPr>
              <w:spacing w:after="0" w:line="240" w:lineRule="auto"/>
              <w:jc w:val="center"/>
              <w:rPr>
                <w:rFonts w:ascii="Arial" w:eastAsia="Arial" w:hAnsi="Arial" w:cs="Arial"/>
                <w:sz w:val="14"/>
                <w:szCs w:val="14"/>
              </w:rPr>
            </w:pPr>
            <w:r w:rsidRPr="00C6489A">
              <w:rPr>
                <w:rFonts w:ascii="Arial" w:hAnsi="Arial" w:cs="Arial"/>
                <w:b/>
                <w:bCs/>
                <w:color w:val="000000"/>
                <w:sz w:val="14"/>
                <w:szCs w:val="14"/>
              </w:rPr>
              <w:t>2023 ¹ (c)</w:t>
            </w:r>
          </w:p>
        </w:tc>
        <w:tc>
          <w:tcPr>
            <w:tcW w:w="610" w:type="pct"/>
            <w:tcBorders>
              <w:top w:val="nil"/>
              <w:left w:val="single" w:sz="8" w:space="0" w:color="000000"/>
              <w:bottom w:val="single" w:sz="8" w:space="0" w:color="000000"/>
              <w:right w:val="single" w:sz="8" w:space="0" w:color="000000"/>
            </w:tcBorders>
            <w:shd w:val="clear" w:color="auto" w:fill="C0C0C0"/>
            <w:tcMar>
              <w:left w:w="70" w:type="dxa"/>
              <w:right w:w="70" w:type="dxa"/>
            </w:tcMar>
            <w:vAlign w:val="center"/>
          </w:tcPr>
          <w:p w14:paraId="0000062D" w14:textId="7C680F4B" w:rsidR="00137304" w:rsidRPr="00C6489A" w:rsidRDefault="00137304" w:rsidP="00137304">
            <w:pPr>
              <w:spacing w:after="0" w:line="240" w:lineRule="auto"/>
              <w:jc w:val="center"/>
              <w:rPr>
                <w:rFonts w:ascii="Arial" w:eastAsia="Arial" w:hAnsi="Arial" w:cs="Arial"/>
                <w:sz w:val="14"/>
                <w:szCs w:val="14"/>
              </w:rPr>
            </w:pPr>
            <w:r w:rsidRPr="00C6489A">
              <w:rPr>
                <w:rFonts w:ascii="Arial" w:hAnsi="Arial" w:cs="Arial"/>
                <w:b/>
                <w:bCs/>
                <w:color w:val="000000"/>
                <w:sz w:val="14"/>
                <w:szCs w:val="14"/>
              </w:rPr>
              <w:t>2024 ¹ (c)</w:t>
            </w:r>
          </w:p>
        </w:tc>
        <w:tc>
          <w:tcPr>
            <w:tcW w:w="610" w:type="pct"/>
            <w:tcBorders>
              <w:top w:val="nil"/>
              <w:left w:val="single" w:sz="8" w:space="0" w:color="000000"/>
              <w:bottom w:val="single" w:sz="8" w:space="0" w:color="000000"/>
              <w:right w:val="single" w:sz="8" w:space="0" w:color="000000"/>
            </w:tcBorders>
            <w:shd w:val="clear" w:color="auto" w:fill="C0C0C0"/>
            <w:tcMar>
              <w:left w:w="70" w:type="dxa"/>
              <w:right w:w="70" w:type="dxa"/>
            </w:tcMar>
            <w:vAlign w:val="center"/>
          </w:tcPr>
          <w:p w14:paraId="0000062E" w14:textId="3B233BBC" w:rsidR="00137304" w:rsidRPr="00C6489A" w:rsidRDefault="00137304" w:rsidP="00137304">
            <w:pPr>
              <w:spacing w:after="0" w:line="240" w:lineRule="auto"/>
              <w:jc w:val="center"/>
              <w:rPr>
                <w:rFonts w:ascii="Arial" w:eastAsia="Arial" w:hAnsi="Arial" w:cs="Arial"/>
                <w:sz w:val="14"/>
                <w:szCs w:val="14"/>
              </w:rPr>
            </w:pPr>
            <w:r w:rsidRPr="00C6489A">
              <w:rPr>
                <w:rFonts w:ascii="Arial" w:hAnsi="Arial" w:cs="Arial"/>
                <w:b/>
                <w:bCs/>
                <w:color w:val="000000"/>
                <w:sz w:val="14"/>
                <w:szCs w:val="14"/>
              </w:rPr>
              <w:t>2025 ² (d)</w:t>
            </w:r>
          </w:p>
        </w:tc>
      </w:tr>
      <w:tr w:rsidR="00E23F6E" w:rsidRPr="00C6489A" w14:paraId="4CD7758B" w14:textId="77777777" w:rsidTr="00C6489A">
        <w:trPr>
          <w:trHeight w:val="360"/>
        </w:trPr>
        <w:tc>
          <w:tcPr>
            <w:tcW w:w="1349" w:type="pct"/>
            <w:tcBorders>
              <w:top w:val="single" w:sz="8" w:space="0" w:color="000000"/>
              <w:left w:val="single" w:sz="8" w:space="0" w:color="000000"/>
              <w:bottom w:val="nil"/>
              <w:right w:val="single" w:sz="8" w:space="0" w:color="000000"/>
            </w:tcBorders>
            <w:tcMar>
              <w:left w:w="70" w:type="dxa"/>
              <w:right w:w="70" w:type="dxa"/>
            </w:tcMar>
            <w:vAlign w:val="center"/>
          </w:tcPr>
          <w:p w14:paraId="0000062F" w14:textId="0A642F1A" w:rsidR="00E23F6E" w:rsidRPr="00C6489A" w:rsidRDefault="00E23F6E" w:rsidP="00746CF5">
            <w:pPr>
              <w:spacing w:after="0" w:line="240" w:lineRule="auto"/>
              <w:rPr>
                <w:rFonts w:ascii="Arial" w:eastAsia="Arial" w:hAnsi="Arial" w:cs="Arial"/>
                <w:sz w:val="14"/>
                <w:szCs w:val="14"/>
              </w:rPr>
            </w:pPr>
            <w:r w:rsidRPr="00C6489A">
              <w:rPr>
                <w:rFonts w:ascii="Arial" w:hAnsi="Arial" w:cs="Arial"/>
                <w:b/>
                <w:bCs/>
                <w:color w:val="000000"/>
                <w:sz w:val="14"/>
                <w:szCs w:val="14"/>
              </w:rPr>
              <w:t>1. Ingresos de Libre Disposición (1=A+B+C+D+E+F+G+H+I+J+K+L)</w:t>
            </w:r>
          </w:p>
        </w:tc>
        <w:tc>
          <w:tcPr>
            <w:tcW w:w="619" w:type="pct"/>
            <w:tcBorders>
              <w:top w:val="single" w:sz="8" w:space="0" w:color="000000"/>
              <w:left w:val="single" w:sz="8" w:space="0" w:color="000000"/>
              <w:bottom w:val="nil"/>
              <w:right w:val="single" w:sz="8" w:space="0" w:color="000000"/>
            </w:tcBorders>
            <w:tcMar>
              <w:left w:w="70" w:type="dxa"/>
              <w:right w:w="70" w:type="dxa"/>
            </w:tcMar>
            <w:vAlign w:val="center"/>
          </w:tcPr>
          <w:p w14:paraId="00000630" w14:textId="1593C063"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18,725,980,412.00</w:t>
            </w:r>
          </w:p>
        </w:tc>
        <w:tc>
          <w:tcPr>
            <w:tcW w:w="604" w:type="pct"/>
            <w:tcBorders>
              <w:top w:val="single" w:sz="8" w:space="0" w:color="000000"/>
              <w:left w:val="single" w:sz="8" w:space="0" w:color="000000"/>
              <w:bottom w:val="nil"/>
              <w:right w:val="single" w:sz="8" w:space="0" w:color="000000"/>
            </w:tcBorders>
            <w:tcMar>
              <w:left w:w="70" w:type="dxa"/>
              <w:right w:w="70" w:type="dxa"/>
            </w:tcMar>
            <w:vAlign w:val="center"/>
          </w:tcPr>
          <w:p w14:paraId="00000631" w14:textId="4FC06B06"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20,052,810,441.00</w:t>
            </w:r>
          </w:p>
        </w:tc>
        <w:tc>
          <w:tcPr>
            <w:tcW w:w="604" w:type="pct"/>
            <w:tcBorders>
              <w:top w:val="single" w:sz="8" w:space="0" w:color="000000"/>
              <w:left w:val="single" w:sz="8" w:space="0" w:color="000000"/>
              <w:bottom w:val="nil"/>
              <w:right w:val="single" w:sz="8" w:space="0" w:color="000000"/>
            </w:tcBorders>
            <w:tcMar>
              <w:left w:w="70" w:type="dxa"/>
              <w:right w:w="70" w:type="dxa"/>
            </w:tcMar>
            <w:vAlign w:val="center"/>
          </w:tcPr>
          <w:p w14:paraId="00000632" w14:textId="7DE11A7E"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25,604,797,817.00</w:t>
            </w:r>
          </w:p>
        </w:tc>
        <w:tc>
          <w:tcPr>
            <w:tcW w:w="604" w:type="pct"/>
            <w:tcBorders>
              <w:top w:val="single" w:sz="8" w:space="0" w:color="000000"/>
              <w:left w:val="single" w:sz="8" w:space="0" w:color="000000"/>
              <w:bottom w:val="nil"/>
              <w:right w:val="single" w:sz="8" w:space="0" w:color="000000"/>
            </w:tcBorders>
            <w:tcMar>
              <w:left w:w="70" w:type="dxa"/>
              <w:right w:w="70" w:type="dxa"/>
            </w:tcMar>
            <w:vAlign w:val="center"/>
          </w:tcPr>
          <w:p w14:paraId="00000633" w14:textId="19A4379B"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28,661,934,602.85</w:t>
            </w:r>
          </w:p>
        </w:tc>
        <w:tc>
          <w:tcPr>
            <w:tcW w:w="610" w:type="pct"/>
            <w:tcBorders>
              <w:top w:val="single" w:sz="8" w:space="0" w:color="000000"/>
              <w:left w:val="single" w:sz="8" w:space="0" w:color="000000"/>
              <w:bottom w:val="nil"/>
              <w:right w:val="single" w:sz="8" w:space="0" w:color="000000"/>
            </w:tcBorders>
            <w:tcMar>
              <w:left w:w="70" w:type="dxa"/>
              <w:right w:w="70" w:type="dxa"/>
            </w:tcMar>
            <w:vAlign w:val="center"/>
          </w:tcPr>
          <w:p w14:paraId="00000634" w14:textId="3712349C"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29,163,457,342.18</w:t>
            </w:r>
          </w:p>
        </w:tc>
        <w:tc>
          <w:tcPr>
            <w:tcW w:w="610" w:type="pct"/>
            <w:tcBorders>
              <w:top w:val="single" w:sz="8" w:space="0" w:color="000000"/>
              <w:left w:val="single" w:sz="8" w:space="0" w:color="000000"/>
              <w:bottom w:val="nil"/>
              <w:right w:val="single" w:sz="8" w:space="0" w:color="000000"/>
            </w:tcBorders>
            <w:tcMar>
              <w:left w:w="70" w:type="dxa"/>
              <w:right w:w="70" w:type="dxa"/>
            </w:tcMar>
            <w:vAlign w:val="center"/>
          </w:tcPr>
          <w:p w14:paraId="00000635" w14:textId="51AE3819"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31,460,820,115.00</w:t>
            </w:r>
          </w:p>
        </w:tc>
      </w:tr>
      <w:tr w:rsidR="00E23F6E" w:rsidRPr="00C6489A" w14:paraId="00C5407F" w14:textId="77777777" w:rsidTr="00C6489A">
        <w:trPr>
          <w:trHeight w:val="90"/>
        </w:trPr>
        <w:tc>
          <w:tcPr>
            <w:tcW w:w="1349" w:type="pct"/>
            <w:tcBorders>
              <w:top w:val="nil"/>
              <w:left w:val="single" w:sz="8" w:space="0" w:color="000000"/>
              <w:bottom w:val="nil"/>
              <w:right w:val="single" w:sz="8" w:space="0" w:color="000000"/>
            </w:tcBorders>
            <w:tcMar>
              <w:left w:w="70" w:type="dxa"/>
              <w:right w:w="70" w:type="dxa"/>
            </w:tcMar>
            <w:vAlign w:val="center"/>
          </w:tcPr>
          <w:p w14:paraId="00000636" w14:textId="7008FDFB" w:rsidR="00E23F6E" w:rsidRPr="00C6489A" w:rsidRDefault="00E23F6E" w:rsidP="00746CF5">
            <w:pPr>
              <w:spacing w:after="0" w:line="240" w:lineRule="auto"/>
              <w:ind w:firstLine="160"/>
              <w:rPr>
                <w:rFonts w:ascii="Arial" w:eastAsia="Arial" w:hAnsi="Arial" w:cs="Arial"/>
                <w:sz w:val="14"/>
                <w:szCs w:val="14"/>
              </w:rPr>
            </w:pPr>
            <w:r w:rsidRPr="00C6489A">
              <w:rPr>
                <w:rFonts w:ascii="Arial" w:hAnsi="Arial" w:cs="Arial"/>
                <w:color w:val="000000"/>
                <w:sz w:val="14"/>
                <w:szCs w:val="14"/>
              </w:rPr>
              <w:t>A. Impuestos</w:t>
            </w:r>
          </w:p>
        </w:tc>
        <w:tc>
          <w:tcPr>
            <w:tcW w:w="619" w:type="pct"/>
            <w:tcBorders>
              <w:top w:val="nil"/>
              <w:left w:val="single" w:sz="8" w:space="0" w:color="000000"/>
              <w:bottom w:val="nil"/>
              <w:right w:val="single" w:sz="8" w:space="0" w:color="000000"/>
            </w:tcBorders>
            <w:tcMar>
              <w:left w:w="70" w:type="dxa"/>
              <w:right w:w="70" w:type="dxa"/>
            </w:tcMar>
            <w:vAlign w:val="center"/>
          </w:tcPr>
          <w:p w14:paraId="00000637" w14:textId="5B87C270"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1,852,494,186.00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38" w14:textId="34572F76"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2,498,927,583.00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39" w14:textId="02FB49ED"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3,200,298,347.00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3A" w14:textId="77A8DD93"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3,693,503,803.29</w:t>
            </w:r>
          </w:p>
        </w:tc>
        <w:tc>
          <w:tcPr>
            <w:tcW w:w="610" w:type="pct"/>
            <w:tcBorders>
              <w:top w:val="nil"/>
              <w:left w:val="single" w:sz="8" w:space="0" w:color="000000"/>
              <w:bottom w:val="nil"/>
              <w:right w:val="single" w:sz="8" w:space="0" w:color="000000"/>
            </w:tcBorders>
            <w:tcMar>
              <w:left w:w="70" w:type="dxa"/>
              <w:right w:w="70" w:type="dxa"/>
            </w:tcMar>
            <w:vAlign w:val="center"/>
          </w:tcPr>
          <w:p w14:paraId="0000063B" w14:textId="27F7467A"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4,030,083,063.68</w:t>
            </w:r>
          </w:p>
        </w:tc>
        <w:tc>
          <w:tcPr>
            <w:tcW w:w="610" w:type="pct"/>
            <w:tcBorders>
              <w:top w:val="nil"/>
              <w:left w:val="single" w:sz="8" w:space="0" w:color="000000"/>
              <w:bottom w:val="nil"/>
              <w:right w:val="single" w:sz="8" w:space="0" w:color="000000"/>
            </w:tcBorders>
            <w:tcMar>
              <w:left w:w="70" w:type="dxa"/>
              <w:right w:w="70" w:type="dxa"/>
            </w:tcMar>
            <w:vAlign w:val="center"/>
          </w:tcPr>
          <w:p w14:paraId="0000063C" w14:textId="3AD58E03"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4,458,958,359.00</w:t>
            </w:r>
          </w:p>
        </w:tc>
      </w:tr>
      <w:tr w:rsidR="00E23F6E" w:rsidRPr="00C6489A" w14:paraId="2A480A4D" w14:textId="77777777" w:rsidTr="00C6489A">
        <w:trPr>
          <w:trHeight w:val="195"/>
        </w:trPr>
        <w:tc>
          <w:tcPr>
            <w:tcW w:w="1349" w:type="pct"/>
            <w:tcBorders>
              <w:top w:val="nil"/>
              <w:left w:val="single" w:sz="8" w:space="0" w:color="000000"/>
              <w:bottom w:val="nil"/>
              <w:right w:val="single" w:sz="8" w:space="0" w:color="000000"/>
            </w:tcBorders>
            <w:tcMar>
              <w:left w:w="70" w:type="dxa"/>
              <w:right w:w="70" w:type="dxa"/>
            </w:tcMar>
            <w:vAlign w:val="center"/>
          </w:tcPr>
          <w:p w14:paraId="0000063D" w14:textId="3462868F" w:rsidR="00E23F6E" w:rsidRPr="00C6489A" w:rsidRDefault="00E23F6E" w:rsidP="00746CF5">
            <w:pPr>
              <w:spacing w:after="0" w:line="240" w:lineRule="auto"/>
              <w:ind w:firstLine="160"/>
              <w:rPr>
                <w:rFonts w:ascii="Arial" w:eastAsia="Arial" w:hAnsi="Arial" w:cs="Arial"/>
                <w:sz w:val="14"/>
                <w:szCs w:val="14"/>
              </w:rPr>
            </w:pPr>
            <w:r w:rsidRPr="00C6489A">
              <w:rPr>
                <w:rFonts w:ascii="Arial" w:hAnsi="Arial" w:cs="Arial"/>
                <w:color w:val="000000"/>
                <w:sz w:val="14"/>
                <w:szCs w:val="14"/>
              </w:rPr>
              <w:t>B. Cuotas y Aportaciones de Seguridad Social</w:t>
            </w:r>
          </w:p>
        </w:tc>
        <w:tc>
          <w:tcPr>
            <w:tcW w:w="619" w:type="pct"/>
            <w:tcBorders>
              <w:top w:val="nil"/>
              <w:left w:val="single" w:sz="8" w:space="0" w:color="000000"/>
              <w:bottom w:val="nil"/>
              <w:right w:val="single" w:sz="8" w:space="0" w:color="000000"/>
            </w:tcBorders>
            <w:tcMar>
              <w:left w:w="70" w:type="dxa"/>
              <w:right w:w="70" w:type="dxa"/>
            </w:tcMar>
            <w:vAlign w:val="center"/>
          </w:tcPr>
          <w:p w14:paraId="0000063E" w14:textId="6352D07F"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3F" w14:textId="026EA23A"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40" w14:textId="131F5392"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41" w14:textId="2C19CB03"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42" w14:textId="04E8C39E"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43" w14:textId="0B2437A8"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r>
      <w:tr w:rsidR="00E23F6E" w:rsidRPr="00C6489A" w14:paraId="28BFEE5D" w14:textId="77777777" w:rsidTr="00C6489A">
        <w:trPr>
          <w:trHeight w:val="90"/>
        </w:trPr>
        <w:tc>
          <w:tcPr>
            <w:tcW w:w="1349" w:type="pct"/>
            <w:tcBorders>
              <w:top w:val="nil"/>
              <w:left w:val="single" w:sz="8" w:space="0" w:color="000000"/>
              <w:bottom w:val="nil"/>
              <w:right w:val="single" w:sz="8" w:space="0" w:color="000000"/>
            </w:tcBorders>
            <w:tcMar>
              <w:left w:w="70" w:type="dxa"/>
              <w:right w:w="70" w:type="dxa"/>
            </w:tcMar>
            <w:vAlign w:val="center"/>
          </w:tcPr>
          <w:p w14:paraId="00000644" w14:textId="1DA84AD4" w:rsidR="00E23F6E" w:rsidRPr="00C6489A" w:rsidRDefault="00E23F6E" w:rsidP="00746CF5">
            <w:pPr>
              <w:spacing w:after="0" w:line="240" w:lineRule="auto"/>
              <w:ind w:firstLine="160"/>
              <w:rPr>
                <w:rFonts w:ascii="Arial" w:eastAsia="Arial" w:hAnsi="Arial" w:cs="Arial"/>
                <w:sz w:val="14"/>
                <w:szCs w:val="14"/>
              </w:rPr>
            </w:pPr>
            <w:r w:rsidRPr="00C6489A">
              <w:rPr>
                <w:rFonts w:ascii="Arial" w:hAnsi="Arial" w:cs="Arial"/>
                <w:color w:val="000000"/>
                <w:sz w:val="14"/>
                <w:szCs w:val="14"/>
              </w:rPr>
              <w:t>C. Contribuciones de Mejoras</w:t>
            </w:r>
          </w:p>
        </w:tc>
        <w:tc>
          <w:tcPr>
            <w:tcW w:w="619" w:type="pct"/>
            <w:tcBorders>
              <w:top w:val="nil"/>
              <w:left w:val="single" w:sz="8" w:space="0" w:color="000000"/>
              <w:bottom w:val="nil"/>
              <w:right w:val="single" w:sz="8" w:space="0" w:color="000000"/>
            </w:tcBorders>
            <w:tcMar>
              <w:left w:w="70" w:type="dxa"/>
              <w:right w:w="70" w:type="dxa"/>
            </w:tcMar>
            <w:vAlign w:val="center"/>
          </w:tcPr>
          <w:p w14:paraId="00000645" w14:textId="56816FE7"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46" w14:textId="559C2401"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47" w14:textId="3A9776EC"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48" w14:textId="7D6521E7"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49" w14:textId="4A030118"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4A" w14:textId="74A1CCCC"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r>
      <w:tr w:rsidR="00E23F6E" w:rsidRPr="00C6489A" w14:paraId="66282236" w14:textId="77777777" w:rsidTr="00C6489A">
        <w:trPr>
          <w:trHeight w:val="90"/>
        </w:trPr>
        <w:tc>
          <w:tcPr>
            <w:tcW w:w="1349" w:type="pct"/>
            <w:tcBorders>
              <w:top w:val="nil"/>
              <w:left w:val="single" w:sz="8" w:space="0" w:color="000000"/>
              <w:bottom w:val="nil"/>
              <w:right w:val="single" w:sz="8" w:space="0" w:color="000000"/>
            </w:tcBorders>
            <w:tcMar>
              <w:left w:w="70" w:type="dxa"/>
              <w:right w:w="70" w:type="dxa"/>
            </w:tcMar>
            <w:vAlign w:val="center"/>
          </w:tcPr>
          <w:p w14:paraId="0000064B" w14:textId="2D23FA77" w:rsidR="00E23F6E" w:rsidRPr="00C6489A" w:rsidRDefault="00E23F6E" w:rsidP="00746CF5">
            <w:pPr>
              <w:spacing w:after="0" w:line="240" w:lineRule="auto"/>
              <w:ind w:firstLine="160"/>
              <w:rPr>
                <w:rFonts w:ascii="Arial" w:eastAsia="Arial" w:hAnsi="Arial" w:cs="Arial"/>
                <w:sz w:val="14"/>
                <w:szCs w:val="14"/>
              </w:rPr>
            </w:pPr>
            <w:r w:rsidRPr="00C6489A">
              <w:rPr>
                <w:rFonts w:ascii="Arial" w:hAnsi="Arial" w:cs="Arial"/>
                <w:color w:val="000000"/>
                <w:sz w:val="14"/>
                <w:szCs w:val="14"/>
              </w:rPr>
              <w:t>D. Derechos</w:t>
            </w:r>
          </w:p>
        </w:tc>
        <w:tc>
          <w:tcPr>
            <w:tcW w:w="619" w:type="pct"/>
            <w:tcBorders>
              <w:top w:val="nil"/>
              <w:left w:val="single" w:sz="8" w:space="0" w:color="000000"/>
              <w:bottom w:val="nil"/>
              <w:right w:val="single" w:sz="8" w:space="0" w:color="000000"/>
            </w:tcBorders>
            <w:tcMar>
              <w:left w:w="70" w:type="dxa"/>
              <w:right w:w="70" w:type="dxa"/>
            </w:tcMar>
            <w:vAlign w:val="center"/>
          </w:tcPr>
          <w:p w14:paraId="0000064C" w14:textId="07937D26"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846,373,461.00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4D" w14:textId="45F42527"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1,507,041,623.00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4E" w14:textId="00EC36E2"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2,303,919,986.00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4F" w14:textId="49D16A7E"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2,195,539,656.68</w:t>
            </w:r>
          </w:p>
        </w:tc>
        <w:tc>
          <w:tcPr>
            <w:tcW w:w="610" w:type="pct"/>
            <w:tcBorders>
              <w:top w:val="nil"/>
              <w:left w:val="single" w:sz="8" w:space="0" w:color="000000"/>
              <w:bottom w:val="nil"/>
              <w:right w:val="single" w:sz="8" w:space="0" w:color="000000"/>
            </w:tcBorders>
            <w:tcMar>
              <w:left w:w="70" w:type="dxa"/>
              <w:right w:w="70" w:type="dxa"/>
            </w:tcMar>
            <w:vAlign w:val="center"/>
          </w:tcPr>
          <w:p w14:paraId="00000650" w14:textId="53A6A8F5"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2,146,970,184.78</w:t>
            </w:r>
          </w:p>
        </w:tc>
        <w:tc>
          <w:tcPr>
            <w:tcW w:w="610" w:type="pct"/>
            <w:tcBorders>
              <w:top w:val="nil"/>
              <w:left w:val="single" w:sz="8" w:space="0" w:color="000000"/>
              <w:bottom w:val="nil"/>
              <w:right w:val="single" w:sz="8" w:space="0" w:color="000000"/>
            </w:tcBorders>
            <w:tcMar>
              <w:left w:w="70" w:type="dxa"/>
              <w:right w:w="70" w:type="dxa"/>
            </w:tcMar>
            <w:vAlign w:val="center"/>
          </w:tcPr>
          <w:p w14:paraId="00000651" w14:textId="6A927B0F"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2,981,614,397.00</w:t>
            </w:r>
          </w:p>
        </w:tc>
      </w:tr>
      <w:tr w:rsidR="00E23F6E" w:rsidRPr="00C6489A" w14:paraId="2CB5718F" w14:textId="77777777" w:rsidTr="00C6489A">
        <w:trPr>
          <w:trHeight w:val="135"/>
        </w:trPr>
        <w:tc>
          <w:tcPr>
            <w:tcW w:w="1349" w:type="pct"/>
            <w:tcBorders>
              <w:top w:val="nil"/>
              <w:left w:val="single" w:sz="8" w:space="0" w:color="000000"/>
              <w:bottom w:val="nil"/>
              <w:right w:val="single" w:sz="8" w:space="0" w:color="000000"/>
            </w:tcBorders>
            <w:tcMar>
              <w:left w:w="70" w:type="dxa"/>
              <w:right w:w="70" w:type="dxa"/>
            </w:tcMar>
            <w:vAlign w:val="center"/>
          </w:tcPr>
          <w:p w14:paraId="00000652" w14:textId="48995CD3" w:rsidR="00E23F6E" w:rsidRPr="00C6489A" w:rsidRDefault="00E23F6E" w:rsidP="00746CF5">
            <w:pPr>
              <w:spacing w:after="0" w:line="240" w:lineRule="auto"/>
              <w:ind w:firstLine="160"/>
              <w:rPr>
                <w:rFonts w:ascii="Arial" w:eastAsia="Arial" w:hAnsi="Arial" w:cs="Arial"/>
                <w:sz w:val="14"/>
                <w:szCs w:val="14"/>
              </w:rPr>
            </w:pPr>
            <w:r w:rsidRPr="00C6489A">
              <w:rPr>
                <w:rFonts w:ascii="Arial" w:hAnsi="Arial" w:cs="Arial"/>
                <w:color w:val="000000"/>
                <w:sz w:val="14"/>
                <w:szCs w:val="14"/>
              </w:rPr>
              <w:t>E. Productos</w:t>
            </w:r>
          </w:p>
        </w:tc>
        <w:tc>
          <w:tcPr>
            <w:tcW w:w="619" w:type="pct"/>
            <w:tcBorders>
              <w:top w:val="nil"/>
              <w:left w:val="single" w:sz="8" w:space="0" w:color="000000"/>
              <w:bottom w:val="nil"/>
              <w:right w:val="single" w:sz="8" w:space="0" w:color="000000"/>
            </w:tcBorders>
            <w:tcMar>
              <w:left w:w="70" w:type="dxa"/>
              <w:right w:w="70" w:type="dxa"/>
            </w:tcMar>
            <w:vAlign w:val="center"/>
          </w:tcPr>
          <w:p w14:paraId="00000653" w14:textId="71894626"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94,364,035.00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54" w14:textId="6E3B4429"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141,149,777.00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55" w14:textId="51A70CC2"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711,182,382.00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56" w14:textId="16A519FF"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466,219,944.13</w:t>
            </w:r>
          </w:p>
        </w:tc>
        <w:tc>
          <w:tcPr>
            <w:tcW w:w="610" w:type="pct"/>
            <w:tcBorders>
              <w:top w:val="nil"/>
              <w:left w:val="single" w:sz="8" w:space="0" w:color="000000"/>
              <w:bottom w:val="nil"/>
              <w:right w:val="single" w:sz="8" w:space="0" w:color="000000"/>
            </w:tcBorders>
            <w:tcMar>
              <w:left w:w="70" w:type="dxa"/>
              <w:right w:w="70" w:type="dxa"/>
            </w:tcMar>
            <w:vAlign w:val="center"/>
          </w:tcPr>
          <w:p w14:paraId="00000657" w14:textId="5FBD720C"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302,256,441.08</w:t>
            </w:r>
          </w:p>
        </w:tc>
        <w:tc>
          <w:tcPr>
            <w:tcW w:w="610" w:type="pct"/>
            <w:tcBorders>
              <w:top w:val="nil"/>
              <w:left w:val="single" w:sz="8" w:space="0" w:color="000000"/>
              <w:bottom w:val="nil"/>
              <w:right w:val="single" w:sz="8" w:space="0" w:color="000000"/>
            </w:tcBorders>
            <w:tcMar>
              <w:left w:w="70" w:type="dxa"/>
              <w:right w:w="70" w:type="dxa"/>
            </w:tcMar>
            <w:vAlign w:val="center"/>
          </w:tcPr>
          <w:p w14:paraId="00000658" w14:textId="356BA9C0"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214,553,648.00</w:t>
            </w:r>
          </w:p>
        </w:tc>
      </w:tr>
      <w:tr w:rsidR="00E23F6E" w:rsidRPr="00C6489A" w14:paraId="47D24760" w14:textId="77777777" w:rsidTr="00C6489A">
        <w:trPr>
          <w:trHeight w:val="90"/>
        </w:trPr>
        <w:tc>
          <w:tcPr>
            <w:tcW w:w="1349" w:type="pct"/>
            <w:tcBorders>
              <w:top w:val="nil"/>
              <w:left w:val="single" w:sz="8" w:space="0" w:color="000000"/>
              <w:bottom w:val="nil"/>
              <w:right w:val="single" w:sz="8" w:space="0" w:color="000000"/>
            </w:tcBorders>
            <w:tcMar>
              <w:left w:w="70" w:type="dxa"/>
              <w:right w:w="70" w:type="dxa"/>
            </w:tcMar>
            <w:vAlign w:val="center"/>
          </w:tcPr>
          <w:p w14:paraId="00000659" w14:textId="27746836" w:rsidR="00E23F6E" w:rsidRPr="00C6489A" w:rsidRDefault="00E23F6E" w:rsidP="00746CF5">
            <w:pPr>
              <w:spacing w:after="0" w:line="240" w:lineRule="auto"/>
              <w:ind w:firstLine="160"/>
              <w:rPr>
                <w:rFonts w:ascii="Arial" w:eastAsia="Arial" w:hAnsi="Arial" w:cs="Arial"/>
                <w:sz w:val="14"/>
                <w:szCs w:val="14"/>
              </w:rPr>
            </w:pPr>
            <w:r w:rsidRPr="00C6489A">
              <w:rPr>
                <w:rFonts w:ascii="Arial" w:hAnsi="Arial" w:cs="Arial"/>
                <w:color w:val="000000"/>
                <w:sz w:val="14"/>
                <w:szCs w:val="14"/>
              </w:rPr>
              <w:t>F. Aprovechamientos</w:t>
            </w:r>
          </w:p>
        </w:tc>
        <w:tc>
          <w:tcPr>
            <w:tcW w:w="619" w:type="pct"/>
            <w:tcBorders>
              <w:top w:val="nil"/>
              <w:left w:val="single" w:sz="8" w:space="0" w:color="000000"/>
              <w:bottom w:val="nil"/>
              <w:right w:val="single" w:sz="8" w:space="0" w:color="000000"/>
            </w:tcBorders>
            <w:tcMar>
              <w:left w:w="70" w:type="dxa"/>
              <w:right w:w="70" w:type="dxa"/>
            </w:tcMar>
            <w:vAlign w:val="center"/>
          </w:tcPr>
          <w:p w14:paraId="0000065A" w14:textId="0C18C3F2"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112,270,059.00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5B" w14:textId="03E97029"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142,506,410.00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5C" w14:textId="377AF07E"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235,313,233.00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5D" w14:textId="0FA4E661"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274,354,921.84</w:t>
            </w:r>
          </w:p>
        </w:tc>
        <w:tc>
          <w:tcPr>
            <w:tcW w:w="610" w:type="pct"/>
            <w:tcBorders>
              <w:top w:val="nil"/>
              <w:left w:val="single" w:sz="8" w:space="0" w:color="000000"/>
              <w:bottom w:val="nil"/>
              <w:right w:val="single" w:sz="8" w:space="0" w:color="000000"/>
            </w:tcBorders>
            <w:tcMar>
              <w:left w:w="70" w:type="dxa"/>
              <w:right w:w="70" w:type="dxa"/>
            </w:tcMar>
            <w:vAlign w:val="center"/>
          </w:tcPr>
          <w:p w14:paraId="0000065E" w14:textId="22A58FD8"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274,462,745.56</w:t>
            </w:r>
          </w:p>
        </w:tc>
        <w:tc>
          <w:tcPr>
            <w:tcW w:w="610" w:type="pct"/>
            <w:tcBorders>
              <w:top w:val="nil"/>
              <w:left w:val="single" w:sz="8" w:space="0" w:color="000000"/>
              <w:bottom w:val="nil"/>
              <w:right w:val="single" w:sz="8" w:space="0" w:color="000000"/>
            </w:tcBorders>
            <w:tcMar>
              <w:left w:w="70" w:type="dxa"/>
              <w:right w:w="70" w:type="dxa"/>
            </w:tcMar>
            <w:vAlign w:val="center"/>
          </w:tcPr>
          <w:p w14:paraId="0000065F" w14:textId="4B336340"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466,441,347.00</w:t>
            </w:r>
          </w:p>
        </w:tc>
      </w:tr>
      <w:tr w:rsidR="00E23F6E" w:rsidRPr="00C6489A" w14:paraId="69091234" w14:textId="77777777" w:rsidTr="00C6489A">
        <w:trPr>
          <w:trHeight w:val="90"/>
        </w:trPr>
        <w:tc>
          <w:tcPr>
            <w:tcW w:w="1349" w:type="pct"/>
            <w:tcBorders>
              <w:top w:val="nil"/>
              <w:left w:val="single" w:sz="8" w:space="0" w:color="000000"/>
              <w:bottom w:val="nil"/>
              <w:right w:val="single" w:sz="8" w:space="0" w:color="000000"/>
            </w:tcBorders>
            <w:tcMar>
              <w:left w:w="70" w:type="dxa"/>
              <w:right w:w="70" w:type="dxa"/>
            </w:tcMar>
            <w:vAlign w:val="center"/>
          </w:tcPr>
          <w:p w14:paraId="00000660" w14:textId="1DD7BE44" w:rsidR="00E23F6E" w:rsidRPr="00C6489A" w:rsidRDefault="00E23F6E" w:rsidP="00746CF5">
            <w:pPr>
              <w:spacing w:after="0" w:line="240" w:lineRule="auto"/>
              <w:ind w:firstLine="160"/>
              <w:rPr>
                <w:rFonts w:ascii="Arial" w:eastAsia="Arial" w:hAnsi="Arial" w:cs="Arial"/>
                <w:sz w:val="14"/>
                <w:szCs w:val="14"/>
              </w:rPr>
            </w:pPr>
            <w:r w:rsidRPr="00C6489A">
              <w:rPr>
                <w:rFonts w:ascii="Arial" w:hAnsi="Arial" w:cs="Arial"/>
                <w:color w:val="000000"/>
                <w:sz w:val="14"/>
                <w:szCs w:val="14"/>
              </w:rPr>
              <w:t>G. Ingresos por Venta de Bienes y Prestación de Servicios</w:t>
            </w:r>
          </w:p>
        </w:tc>
        <w:tc>
          <w:tcPr>
            <w:tcW w:w="619" w:type="pct"/>
            <w:tcBorders>
              <w:top w:val="nil"/>
              <w:left w:val="single" w:sz="8" w:space="0" w:color="000000"/>
              <w:bottom w:val="nil"/>
              <w:right w:val="single" w:sz="8" w:space="0" w:color="000000"/>
            </w:tcBorders>
            <w:tcMar>
              <w:left w:w="70" w:type="dxa"/>
              <w:right w:w="70" w:type="dxa"/>
            </w:tcMar>
            <w:vAlign w:val="center"/>
          </w:tcPr>
          <w:p w14:paraId="00000661" w14:textId="50AD0F75"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62" w14:textId="47F63C5C"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63" w14:textId="77B0E256"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64" w14:textId="76D973DA"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65" w14:textId="68AC30E7"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66" w14:textId="27AAD885"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r>
      <w:tr w:rsidR="00E23F6E" w:rsidRPr="00C6489A" w14:paraId="1C0C370D" w14:textId="77777777" w:rsidTr="00C6489A">
        <w:trPr>
          <w:trHeight w:val="120"/>
        </w:trPr>
        <w:tc>
          <w:tcPr>
            <w:tcW w:w="1349" w:type="pct"/>
            <w:tcBorders>
              <w:top w:val="nil"/>
              <w:left w:val="single" w:sz="8" w:space="0" w:color="000000"/>
              <w:bottom w:val="nil"/>
              <w:right w:val="single" w:sz="8" w:space="0" w:color="000000"/>
            </w:tcBorders>
            <w:tcMar>
              <w:left w:w="70" w:type="dxa"/>
              <w:right w:w="70" w:type="dxa"/>
            </w:tcMar>
            <w:vAlign w:val="center"/>
          </w:tcPr>
          <w:p w14:paraId="00000667" w14:textId="3D9E25E0" w:rsidR="00E23F6E" w:rsidRPr="00C6489A" w:rsidRDefault="00E23F6E" w:rsidP="00746CF5">
            <w:pPr>
              <w:spacing w:after="0" w:line="240" w:lineRule="auto"/>
              <w:ind w:firstLine="160"/>
              <w:rPr>
                <w:rFonts w:ascii="Arial" w:eastAsia="Arial" w:hAnsi="Arial" w:cs="Arial"/>
                <w:sz w:val="14"/>
                <w:szCs w:val="14"/>
              </w:rPr>
            </w:pPr>
            <w:r w:rsidRPr="00C6489A">
              <w:rPr>
                <w:rFonts w:ascii="Arial" w:hAnsi="Arial" w:cs="Arial"/>
                <w:color w:val="000000"/>
                <w:sz w:val="14"/>
                <w:szCs w:val="14"/>
              </w:rPr>
              <w:t>H. Participaciones</w:t>
            </w:r>
          </w:p>
        </w:tc>
        <w:tc>
          <w:tcPr>
            <w:tcW w:w="619" w:type="pct"/>
            <w:tcBorders>
              <w:top w:val="nil"/>
              <w:left w:val="single" w:sz="8" w:space="0" w:color="000000"/>
              <w:bottom w:val="nil"/>
              <w:right w:val="single" w:sz="8" w:space="0" w:color="000000"/>
            </w:tcBorders>
            <w:tcMar>
              <w:left w:w="70" w:type="dxa"/>
              <w:right w:w="70" w:type="dxa"/>
            </w:tcMar>
            <w:vAlign w:val="center"/>
          </w:tcPr>
          <w:p w14:paraId="00000668" w14:textId="19D4B83C"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15,431,424,773.00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69" w14:textId="4A4E23BC"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15,089,827,267.00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6A" w14:textId="32F9C5CE"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17,985,923,647.00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6B" w14:textId="5AE031D1"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20,520,053,975.00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6C" w14:textId="785AAB63"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20,929,535,703.00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6D" w14:textId="177DA5BD"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21,984,013,724.00</w:t>
            </w:r>
          </w:p>
        </w:tc>
      </w:tr>
      <w:tr w:rsidR="00E23F6E" w:rsidRPr="00C6489A" w14:paraId="1BA89F41" w14:textId="77777777" w:rsidTr="00C6489A">
        <w:trPr>
          <w:trHeight w:val="105"/>
        </w:trPr>
        <w:tc>
          <w:tcPr>
            <w:tcW w:w="1349" w:type="pct"/>
            <w:tcBorders>
              <w:top w:val="nil"/>
              <w:left w:val="single" w:sz="8" w:space="0" w:color="000000"/>
              <w:bottom w:val="nil"/>
              <w:right w:val="single" w:sz="8" w:space="0" w:color="000000"/>
            </w:tcBorders>
            <w:tcMar>
              <w:left w:w="70" w:type="dxa"/>
              <w:right w:w="70" w:type="dxa"/>
            </w:tcMar>
            <w:vAlign w:val="center"/>
          </w:tcPr>
          <w:p w14:paraId="0000066E" w14:textId="5EAB3304" w:rsidR="00E23F6E" w:rsidRPr="00C6489A" w:rsidRDefault="00E23F6E" w:rsidP="00746CF5">
            <w:pPr>
              <w:spacing w:after="0" w:line="240" w:lineRule="auto"/>
              <w:ind w:firstLine="160"/>
              <w:rPr>
                <w:rFonts w:ascii="Arial" w:eastAsia="Arial" w:hAnsi="Arial" w:cs="Arial"/>
                <w:sz w:val="14"/>
                <w:szCs w:val="14"/>
              </w:rPr>
            </w:pPr>
            <w:r w:rsidRPr="00C6489A">
              <w:rPr>
                <w:rFonts w:ascii="Arial" w:hAnsi="Arial" w:cs="Arial"/>
                <w:color w:val="000000"/>
                <w:sz w:val="14"/>
                <w:szCs w:val="14"/>
              </w:rPr>
              <w:t>I. Incentivos Derivados de la Colaboración Fiscal</w:t>
            </w:r>
          </w:p>
        </w:tc>
        <w:tc>
          <w:tcPr>
            <w:tcW w:w="619" w:type="pct"/>
            <w:tcBorders>
              <w:top w:val="nil"/>
              <w:left w:val="single" w:sz="8" w:space="0" w:color="000000"/>
              <w:bottom w:val="nil"/>
              <w:right w:val="single" w:sz="8" w:space="0" w:color="000000"/>
            </w:tcBorders>
            <w:tcMar>
              <w:left w:w="70" w:type="dxa"/>
              <w:right w:w="70" w:type="dxa"/>
            </w:tcMar>
            <w:vAlign w:val="center"/>
          </w:tcPr>
          <w:p w14:paraId="0000066F" w14:textId="35FEEB52"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389,053,898.00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70" w14:textId="1C6608EE"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673,357,781.00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71" w14:textId="435265D0"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1,168,160,222.00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72" w14:textId="100BA8B8"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1,512,262,301.91</w:t>
            </w:r>
          </w:p>
        </w:tc>
        <w:tc>
          <w:tcPr>
            <w:tcW w:w="610" w:type="pct"/>
            <w:tcBorders>
              <w:top w:val="nil"/>
              <w:left w:val="single" w:sz="8" w:space="0" w:color="000000"/>
              <w:bottom w:val="nil"/>
              <w:right w:val="single" w:sz="8" w:space="0" w:color="000000"/>
            </w:tcBorders>
            <w:tcMar>
              <w:left w:w="70" w:type="dxa"/>
              <w:right w:w="70" w:type="dxa"/>
            </w:tcMar>
            <w:vAlign w:val="center"/>
          </w:tcPr>
          <w:p w14:paraId="00000673" w14:textId="01A076B2"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1,480,149,204.08</w:t>
            </w:r>
          </w:p>
        </w:tc>
        <w:tc>
          <w:tcPr>
            <w:tcW w:w="610" w:type="pct"/>
            <w:tcBorders>
              <w:top w:val="nil"/>
              <w:left w:val="single" w:sz="8" w:space="0" w:color="000000"/>
              <w:bottom w:val="nil"/>
              <w:right w:val="single" w:sz="8" w:space="0" w:color="000000"/>
            </w:tcBorders>
            <w:tcMar>
              <w:left w:w="70" w:type="dxa"/>
              <w:right w:w="70" w:type="dxa"/>
            </w:tcMar>
            <w:vAlign w:val="center"/>
          </w:tcPr>
          <w:p w14:paraId="00000674" w14:textId="174DAD2E"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1,355,238,640.00</w:t>
            </w:r>
          </w:p>
        </w:tc>
      </w:tr>
      <w:tr w:rsidR="00E23F6E" w:rsidRPr="00C6489A" w14:paraId="2EF23690" w14:textId="77777777" w:rsidTr="00C6489A">
        <w:trPr>
          <w:trHeight w:val="90"/>
        </w:trPr>
        <w:tc>
          <w:tcPr>
            <w:tcW w:w="1349" w:type="pct"/>
            <w:tcBorders>
              <w:top w:val="nil"/>
              <w:left w:val="single" w:sz="8" w:space="0" w:color="000000"/>
              <w:bottom w:val="nil"/>
              <w:right w:val="single" w:sz="8" w:space="0" w:color="000000"/>
            </w:tcBorders>
            <w:tcMar>
              <w:left w:w="70" w:type="dxa"/>
              <w:right w:w="70" w:type="dxa"/>
            </w:tcMar>
            <w:vAlign w:val="center"/>
          </w:tcPr>
          <w:p w14:paraId="00000675" w14:textId="1111D6B7" w:rsidR="00E23F6E" w:rsidRPr="00C6489A" w:rsidRDefault="00E23F6E" w:rsidP="00746CF5">
            <w:pPr>
              <w:spacing w:after="0" w:line="240" w:lineRule="auto"/>
              <w:ind w:firstLine="160"/>
              <w:rPr>
                <w:rFonts w:ascii="Arial" w:eastAsia="Arial" w:hAnsi="Arial" w:cs="Arial"/>
                <w:sz w:val="14"/>
                <w:szCs w:val="14"/>
              </w:rPr>
            </w:pPr>
            <w:r w:rsidRPr="00C6489A">
              <w:rPr>
                <w:rFonts w:ascii="Arial" w:hAnsi="Arial" w:cs="Arial"/>
                <w:color w:val="000000"/>
                <w:sz w:val="14"/>
                <w:szCs w:val="14"/>
              </w:rPr>
              <w:t>J. Transferencias y Asignaciones</w:t>
            </w:r>
          </w:p>
        </w:tc>
        <w:tc>
          <w:tcPr>
            <w:tcW w:w="619" w:type="pct"/>
            <w:tcBorders>
              <w:top w:val="nil"/>
              <w:left w:val="single" w:sz="8" w:space="0" w:color="000000"/>
              <w:bottom w:val="nil"/>
              <w:right w:val="single" w:sz="8" w:space="0" w:color="000000"/>
            </w:tcBorders>
            <w:tcMar>
              <w:left w:w="70" w:type="dxa"/>
              <w:right w:w="70" w:type="dxa"/>
            </w:tcMar>
            <w:vAlign w:val="center"/>
          </w:tcPr>
          <w:p w14:paraId="00000676" w14:textId="2CA473F2"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77" w14:textId="08BF1884"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78" w14:textId="207B30D4"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79" w14:textId="5995E08B"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7A" w14:textId="16EB603D"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7B" w14:textId="17C61632"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r>
      <w:tr w:rsidR="00E23F6E" w:rsidRPr="00C6489A" w14:paraId="1D2403C3" w14:textId="77777777" w:rsidTr="00C6489A">
        <w:trPr>
          <w:trHeight w:val="90"/>
        </w:trPr>
        <w:tc>
          <w:tcPr>
            <w:tcW w:w="1349" w:type="pct"/>
            <w:tcBorders>
              <w:top w:val="nil"/>
              <w:left w:val="single" w:sz="8" w:space="0" w:color="000000"/>
              <w:bottom w:val="nil"/>
              <w:right w:val="single" w:sz="8" w:space="0" w:color="000000"/>
            </w:tcBorders>
            <w:tcMar>
              <w:left w:w="70" w:type="dxa"/>
              <w:right w:w="70" w:type="dxa"/>
            </w:tcMar>
            <w:vAlign w:val="center"/>
          </w:tcPr>
          <w:p w14:paraId="0000067C" w14:textId="457AA1BF" w:rsidR="00E23F6E" w:rsidRPr="00C6489A" w:rsidRDefault="00E23F6E" w:rsidP="00746CF5">
            <w:pPr>
              <w:spacing w:after="0" w:line="240" w:lineRule="auto"/>
              <w:ind w:firstLine="160"/>
              <w:rPr>
                <w:rFonts w:ascii="Arial" w:eastAsia="Arial" w:hAnsi="Arial" w:cs="Arial"/>
                <w:sz w:val="14"/>
                <w:szCs w:val="14"/>
              </w:rPr>
            </w:pPr>
            <w:r w:rsidRPr="00C6489A">
              <w:rPr>
                <w:rFonts w:ascii="Arial" w:hAnsi="Arial" w:cs="Arial"/>
                <w:color w:val="000000"/>
                <w:sz w:val="14"/>
                <w:szCs w:val="14"/>
              </w:rPr>
              <w:t>K. Convenios</w:t>
            </w:r>
          </w:p>
        </w:tc>
        <w:tc>
          <w:tcPr>
            <w:tcW w:w="619" w:type="pct"/>
            <w:tcBorders>
              <w:top w:val="nil"/>
              <w:left w:val="single" w:sz="8" w:space="0" w:color="000000"/>
              <w:bottom w:val="nil"/>
              <w:right w:val="single" w:sz="8" w:space="0" w:color="000000"/>
            </w:tcBorders>
            <w:tcMar>
              <w:left w:w="70" w:type="dxa"/>
              <w:right w:w="70" w:type="dxa"/>
            </w:tcMar>
            <w:vAlign w:val="center"/>
          </w:tcPr>
          <w:p w14:paraId="0000067D" w14:textId="57F6CD15"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7E" w14:textId="0CB3F98F"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7F" w14:textId="24B53A7B"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80" w14:textId="7C0BB237"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81" w14:textId="6B9007BD"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82" w14:textId="18DD4FAA"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r>
      <w:tr w:rsidR="00E23F6E" w:rsidRPr="00C6489A" w14:paraId="09B11454" w14:textId="77777777" w:rsidTr="00C6489A">
        <w:trPr>
          <w:trHeight w:val="90"/>
        </w:trPr>
        <w:tc>
          <w:tcPr>
            <w:tcW w:w="1349" w:type="pct"/>
            <w:tcBorders>
              <w:top w:val="nil"/>
              <w:left w:val="single" w:sz="8" w:space="0" w:color="000000"/>
              <w:bottom w:val="nil"/>
              <w:right w:val="single" w:sz="8" w:space="0" w:color="000000"/>
            </w:tcBorders>
            <w:tcMar>
              <w:left w:w="70" w:type="dxa"/>
              <w:right w:w="70" w:type="dxa"/>
            </w:tcMar>
            <w:vAlign w:val="center"/>
          </w:tcPr>
          <w:p w14:paraId="00000683" w14:textId="7F2DB325" w:rsidR="00E23F6E" w:rsidRPr="00C6489A" w:rsidRDefault="00E23F6E" w:rsidP="00746CF5">
            <w:pPr>
              <w:spacing w:after="0" w:line="240" w:lineRule="auto"/>
              <w:ind w:firstLine="160"/>
              <w:rPr>
                <w:rFonts w:ascii="Arial" w:eastAsia="Arial" w:hAnsi="Arial" w:cs="Arial"/>
                <w:sz w:val="14"/>
                <w:szCs w:val="14"/>
              </w:rPr>
            </w:pPr>
            <w:r w:rsidRPr="00C6489A">
              <w:rPr>
                <w:rFonts w:ascii="Arial" w:hAnsi="Arial" w:cs="Arial"/>
                <w:color w:val="000000"/>
                <w:sz w:val="14"/>
                <w:szCs w:val="14"/>
              </w:rPr>
              <w:t>L. Otros Ingresos de Libre Disposición</w:t>
            </w:r>
          </w:p>
        </w:tc>
        <w:tc>
          <w:tcPr>
            <w:tcW w:w="619" w:type="pct"/>
            <w:tcBorders>
              <w:top w:val="nil"/>
              <w:left w:val="single" w:sz="8" w:space="0" w:color="000000"/>
              <w:bottom w:val="nil"/>
              <w:right w:val="single" w:sz="8" w:space="0" w:color="000000"/>
            </w:tcBorders>
            <w:tcMar>
              <w:left w:w="70" w:type="dxa"/>
              <w:right w:w="70" w:type="dxa"/>
            </w:tcMar>
            <w:vAlign w:val="center"/>
          </w:tcPr>
          <w:p w14:paraId="00000684" w14:textId="5378F91F"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85" w14:textId="2D8E9328"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86" w14:textId="704E1EC3"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87" w14:textId="7520CB2A"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88" w14:textId="6BB3D2B9"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89" w14:textId="7F987E83"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r>
      <w:tr w:rsidR="00E23F6E" w:rsidRPr="00C6489A" w14:paraId="69658EBD" w14:textId="77777777" w:rsidTr="00C6489A">
        <w:trPr>
          <w:trHeight w:val="75"/>
        </w:trPr>
        <w:tc>
          <w:tcPr>
            <w:tcW w:w="1349" w:type="pct"/>
            <w:tcBorders>
              <w:top w:val="nil"/>
              <w:left w:val="single" w:sz="8" w:space="0" w:color="000000"/>
              <w:bottom w:val="nil"/>
              <w:right w:val="single" w:sz="8" w:space="0" w:color="000000"/>
            </w:tcBorders>
            <w:tcMar>
              <w:left w:w="70" w:type="dxa"/>
              <w:right w:w="70" w:type="dxa"/>
            </w:tcMar>
            <w:vAlign w:val="center"/>
          </w:tcPr>
          <w:p w14:paraId="0000068A" w14:textId="14929E26" w:rsidR="00E23F6E" w:rsidRPr="00C6489A" w:rsidRDefault="00E23F6E" w:rsidP="00746CF5">
            <w:pPr>
              <w:spacing w:after="0" w:line="240" w:lineRule="auto"/>
              <w:rPr>
                <w:rFonts w:ascii="Arial" w:eastAsia="Arial" w:hAnsi="Arial" w:cs="Arial"/>
                <w:sz w:val="14"/>
                <w:szCs w:val="14"/>
              </w:rPr>
            </w:pPr>
            <w:r w:rsidRPr="00C6489A">
              <w:rPr>
                <w:rFonts w:ascii="Arial" w:hAnsi="Arial" w:cs="Arial"/>
                <w:b/>
                <w:bCs/>
                <w:color w:val="000000"/>
                <w:sz w:val="14"/>
                <w:szCs w:val="14"/>
              </w:rPr>
              <w:t>2. Transferencias Federales Etiquetadas (2=A+B+C+D+E)</w:t>
            </w:r>
          </w:p>
        </w:tc>
        <w:tc>
          <w:tcPr>
            <w:tcW w:w="619" w:type="pct"/>
            <w:tcBorders>
              <w:top w:val="nil"/>
              <w:left w:val="single" w:sz="8" w:space="0" w:color="000000"/>
              <w:bottom w:val="nil"/>
              <w:right w:val="single" w:sz="8" w:space="0" w:color="000000"/>
            </w:tcBorders>
            <w:tcMar>
              <w:left w:w="70" w:type="dxa"/>
              <w:right w:w="70" w:type="dxa"/>
            </w:tcMar>
            <w:vAlign w:val="center"/>
          </w:tcPr>
          <w:p w14:paraId="0000068B" w14:textId="76D854AD"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19,739,532,677.00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8C" w14:textId="6D36DFD2"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19,392,020,523.00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8D" w14:textId="353D2036"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21,218,879,905.00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8E" w14:textId="5AD90A47"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22,513,571,222.96</w:t>
            </w:r>
          </w:p>
        </w:tc>
        <w:tc>
          <w:tcPr>
            <w:tcW w:w="610" w:type="pct"/>
            <w:tcBorders>
              <w:top w:val="nil"/>
              <w:left w:val="single" w:sz="8" w:space="0" w:color="000000"/>
              <w:bottom w:val="nil"/>
              <w:right w:val="single" w:sz="8" w:space="0" w:color="000000"/>
            </w:tcBorders>
            <w:tcMar>
              <w:left w:w="70" w:type="dxa"/>
              <w:right w:w="70" w:type="dxa"/>
            </w:tcMar>
            <w:vAlign w:val="center"/>
          </w:tcPr>
          <w:p w14:paraId="0000068F" w14:textId="7947F604"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24,685,729,483.81</w:t>
            </w:r>
          </w:p>
        </w:tc>
        <w:tc>
          <w:tcPr>
            <w:tcW w:w="610" w:type="pct"/>
            <w:tcBorders>
              <w:top w:val="nil"/>
              <w:left w:val="single" w:sz="8" w:space="0" w:color="000000"/>
              <w:bottom w:val="nil"/>
              <w:right w:val="single" w:sz="8" w:space="0" w:color="000000"/>
            </w:tcBorders>
            <w:tcMar>
              <w:left w:w="70" w:type="dxa"/>
              <w:right w:w="70" w:type="dxa"/>
            </w:tcMar>
            <w:vAlign w:val="center"/>
          </w:tcPr>
          <w:p w14:paraId="00000690" w14:textId="56F944A4"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24,285,167,078.00</w:t>
            </w:r>
          </w:p>
        </w:tc>
      </w:tr>
      <w:tr w:rsidR="00E23F6E" w:rsidRPr="00C6489A" w14:paraId="7821D9A6" w14:textId="77777777" w:rsidTr="00C6489A">
        <w:trPr>
          <w:trHeight w:val="90"/>
        </w:trPr>
        <w:tc>
          <w:tcPr>
            <w:tcW w:w="1349" w:type="pct"/>
            <w:tcBorders>
              <w:top w:val="nil"/>
              <w:left w:val="single" w:sz="8" w:space="0" w:color="000000"/>
              <w:bottom w:val="nil"/>
              <w:right w:val="single" w:sz="8" w:space="0" w:color="000000"/>
            </w:tcBorders>
            <w:tcMar>
              <w:left w:w="70" w:type="dxa"/>
              <w:right w:w="70" w:type="dxa"/>
            </w:tcMar>
            <w:vAlign w:val="center"/>
          </w:tcPr>
          <w:p w14:paraId="00000691" w14:textId="13EA6ABE" w:rsidR="00E23F6E" w:rsidRPr="00C6489A" w:rsidRDefault="00E23F6E" w:rsidP="00746CF5">
            <w:pPr>
              <w:spacing w:after="0" w:line="240" w:lineRule="auto"/>
              <w:ind w:firstLine="160"/>
              <w:rPr>
                <w:rFonts w:ascii="Arial" w:eastAsia="Arial" w:hAnsi="Arial" w:cs="Arial"/>
                <w:sz w:val="14"/>
                <w:szCs w:val="14"/>
              </w:rPr>
            </w:pPr>
            <w:r w:rsidRPr="00C6489A">
              <w:rPr>
                <w:rFonts w:ascii="Arial" w:hAnsi="Arial" w:cs="Arial"/>
                <w:color w:val="000000"/>
                <w:sz w:val="14"/>
                <w:szCs w:val="14"/>
              </w:rPr>
              <w:t>A. Aportaciones</w:t>
            </w:r>
          </w:p>
        </w:tc>
        <w:tc>
          <w:tcPr>
            <w:tcW w:w="619" w:type="pct"/>
            <w:tcBorders>
              <w:top w:val="nil"/>
              <w:left w:val="single" w:sz="8" w:space="0" w:color="000000"/>
              <w:bottom w:val="nil"/>
              <w:right w:val="single" w:sz="8" w:space="0" w:color="000000"/>
            </w:tcBorders>
            <w:tcMar>
              <w:left w:w="70" w:type="dxa"/>
              <w:right w:w="70" w:type="dxa"/>
            </w:tcMar>
            <w:vAlign w:val="center"/>
          </w:tcPr>
          <w:p w14:paraId="00000692" w14:textId="60F47EC3"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13,975,622,844.00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93" w14:textId="5E3A58CD"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14,197,099,226.00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94" w14:textId="2879CF92"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15,805,978,887.00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95" w14:textId="450120DC"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17,850,125,168.05</w:t>
            </w:r>
          </w:p>
        </w:tc>
        <w:tc>
          <w:tcPr>
            <w:tcW w:w="610" w:type="pct"/>
            <w:tcBorders>
              <w:top w:val="nil"/>
              <w:left w:val="single" w:sz="8" w:space="0" w:color="000000"/>
              <w:bottom w:val="nil"/>
              <w:right w:val="single" w:sz="8" w:space="0" w:color="000000"/>
            </w:tcBorders>
            <w:tcMar>
              <w:left w:w="70" w:type="dxa"/>
              <w:right w:w="70" w:type="dxa"/>
            </w:tcMar>
            <w:vAlign w:val="center"/>
          </w:tcPr>
          <w:p w14:paraId="00000696" w14:textId="289C6B6E"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18,700,488,974.57</w:t>
            </w:r>
          </w:p>
        </w:tc>
        <w:tc>
          <w:tcPr>
            <w:tcW w:w="610" w:type="pct"/>
            <w:tcBorders>
              <w:top w:val="nil"/>
              <w:left w:val="single" w:sz="8" w:space="0" w:color="000000"/>
              <w:bottom w:val="nil"/>
              <w:right w:val="single" w:sz="8" w:space="0" w:color="000000"/>
            </w:tcBorders>
            <w:tcMar>
              <w:left w:w="70" w:type="dxa"/>
              <w:right w:w="70" w:type="dxa"/>
            </w:tcMar>
            <w:vAlign w:val="center"/>
          </w:tcPr>
          <w:p w14:paraId="00000697" w14:textId="7F8E8D2E"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18,997,335,227.00</w:t>
            </w:r>
          </w:p>
        </w:tc>
      </w:tr>
      <w:tr w:rsidR="00E23F6E" w:rsidRPr="00C6489A" w14:paraId="45A7B236" w14:textId="77777777" w:rsidTr="00C6489A">
        <w:trPr>
          <w:trHeight w:val="90"/>
        </w:trPr>
        <w:tc>
          <w:tcPr>
            <w:tcW w:w="1349" w:type="pct"/>
            <w:tcBorders>
              <w:top w:val="nil"/>
              <w:left w:val="single" w:sz="8" w:space="0" w:color="000000"/>
              <w:bottom w:val="nil"/>
              <w:right w:val="single" w:sz="8" w:space="0" w:color="000000"/>
            </w:tcBorders>
            <w:tcMar>
              <w:left w:w="70" w:type="dxa"/>
              <w:right w:w="70" w:type="dxa"/>
            </w:tcMar>
            <w:vAlign w:val="center"/>
          </w:tcPr>
          <w:p w14:paraId="00000698" w14:textId="7BF43B03" w:rsidR="00E23F6E" w:rsidRPr="00C6489A" w:rsidRDefault="00E23F6E" w:rsidP="00746CF5">
            <w:pPr>
              <w:spacing w:after="0" w:line="240" w:lineRule="auto"/>
              <w:ind w:firstLine="160"/>
              <w:rPr>
                <w:rFonts w:ascii="Arial" w:eastAsia="Arial" w:hAnsi="Arial" w:cs="Arial"/>
                <w:sz w:val="14"/>
                <w:szCs w:val="14"/>
              </w:rPr>
            </w:pPr>
            <w:r w:rsidRPr="00C6489A">
              <w:rPr>
                <w:rFonts w:ascii="Arial" w:hAnsi="Arial" w:cs="Arial"/>
                <w:color w:val="000000"/>
                <w:sz w:val="14"/>
                <w:szCs w:val="14"/>
              </w:rPr>
              <w:t>B. Convenios</w:t>
            </w:r>
          </w:p>
        </w:tc>
        <w:tc>
          <w:tcPr>
            <w:tcW w:w="619" w:type="pct"/>
            <w:tcBorders>
              <w:top w:val="nil"/>
              <w:left w:val="single" w:sz="8" w:space="0" w:color="000000"/>
              <w:bottom w:val="nil"/>
              <w:right w:val="single" w:sz="8" w:space="0" w:color="000000"/>
            </w:tcBorders>
            <w:tcMar>
              <w:left w:w="70" w:type="dxa"/>
              <w:right w:w="70" w:type="dxa"/>
            </w:tcMar>
            <w:vAlign w:val="center"/>
          </w:tcPr>
          <w:p w14:paraId="00000699" w14:textId="147B1323"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3,670,494,897.00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9A" w14:textId="3BE87F0C"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3,058,160,374.00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9B" w14:textId="0BAFE2D5"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3,179,745,851.00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9C" w14:textId="40A985A2"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2,377,764,074.00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9D" w14:textId="21F9219D"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3,588,748,325.24</w:t>
            </w:r>
          </w:p>
        </w:tc>
        <w:tc>
          <w:tcPr>
            <w:tcW w:w="610" w:type="pct"/>
            <w:tcBorders>
              <w:top w:val="nil"/>
              <w:left w:val="single" w:sz="8" w:space="0" w:color="000000"/>
              <w:bottom w:val="nil"/>
              <w:right w:val="single" w:sz="8" w:space="0" w:color="000000"/>
            </w:tcBorders>
            <w:tcMar>
              <w:left w:w="70" w:type="dxa"/>
              <w:right w:w="70" w:type="dxa"/>
            </w:tcMar>
            <w:vAlign w:val="center"/>
          </w:tcPr>
          <w:p w14:paraId="0000069E" w14:textId="11FCE155"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2,882,147,164.00</w:t>
            </w:r>
          </w:p>
        </w:tc>
      </w:tr>
      <w:tr w:rsidR="00E23F6E" w:rsidRPr="00C6489A" w14:paraId="4D6C93AA" w14:textId="77777777" w:rsidTr="00C6489A">
        <w:trPr>
          <w:trHeight w:val="90"/>
        </w:trPr>
        <w:tc>
          <w:tcPr>
            <w:tcW w:w="1349" w:type="pct"/>
            <w:tcBorders>
              <w:top w:val="nil"/>
              <w:left w:val="single" w:sz="8" w:space="0" w:color="000000"/>
              <w:bottom w:val="nil"/>
              <w:right w:val="single" w:sz="8" w:space="0" w:color="000000"/>
            </w:tcBorders>
            <w:tcMar>
              <w:left w:w="70" w:type="dxa"/>
              <w:right w:w="70" w:type="dxa"/>
            </w:tcMar>
            <w:vAlign w:val="center"/>
          </w:tcPr>
          <w:p w14:paraId="0000069F" w14:textId="6C11BD2D" w:rsidR="00E23F6E" w:rsidRPr="00C6489A" w:rsidRDefault="00E23F6E" w:rsidP="00746CF5">
            <w:pPr>
              <w:spacing w:after="0" w:line="240" w:lineRule="auto"/>
              <w:ind w:firstLine="160"/>
              <w:rPr>
                <w:rFonts w:ascii="Arial" w:eastAsia="Arial" w:hAnsi="Arial" w:cs="Arial"/>
                <w:sz w:val="14"/>
                <w:szCs w:val="14"/>
              </w:rPr>
            </w:pPr>
            <w:r w:rsidRPr="00C6489A">
              <w:rPr>
                <w:rFonts w:ascii="Arial" w:hAnsi="Arial" w:cs="Arial"/>
                <w:color w:val="000000"/>
                <w:sz w:val="14"/>
                <w:szCs w:val="14"/>
              </w:rPr>
              <w:t>C. Fondos Distintos de Aportaciones</w:t>
            </w:r>
          </w:p>
        </w:tc>
        <w:tc>
          <w:tcPr>
            <w:tcW w:w="619" w:type="pct"/>
            <w:tcBorders>
              <w:top w:val="nil"/>
              <w:left w:val="single" w:sz="8" w:space="0" w:color="000000"/>
              <w:bottom w:val="nil"/>
              <w:right w:val="single" w:sz="8" w:space="0" w:color="000000"/>
            </w:tcBorders>
            <w:tcMar>
              <w:left w:w="70" w:type="dxa"/>
              <w:right w:w="70" w:type="dxa"/>
            </w:tcMar>
            <w:vAlign w:val="center"/>
          </w:tcPr>
          <w:p w14:paraId="000006A0" w14:textId="50975068"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A1" w14:textId="5A328409"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A2" w14:textId="25D7989A"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A3" w14:textId="1315C207"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A4" w14:textId="42F5ADD6"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A5" w14:textId="298D357A"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r>
      <w:tr w:rsidR="00E23F6E" w:rsidRPr="00C6489A" w14:paraId="5969B6A0" w14:textId="77777777" w:rsidTr="00C6489A">
        <w:trPr>
          <w:trHeight w:val="90"/>
        </w:trPr>
        <w:tc>
          <w:tcPr>
            <w:tcW w:w="1349" w:type="pct"/>
            <w:tcBorders>
              <w:top w:val="nil"/>
              <w:left w:val="single" w:sz="8" w:space="0" w:color="000000"/>
              <w:bottom w:val="nil"/>
              <w:right w:val="single" w:sz="8" w:space="0" w:color="000000"/>
            </w:tcBorders>
            <w:tcMar>
              <w:left w:w="70" w:type="dxa"/>
              <w:right w:w="70" w:type="dxa"/>
            </w:tcMar>
            <w:vAlign w:val="center"/>
          </w:tcPr>
          <w:p w14:paraId="000006A6" w14:textId="7F4B6F1D" w:rsidR="00E23F6E" w:rsidRPr="00C6489A" w:rsidRDefault="00E23F6E" w:rsidP="00746CF5">
            <w:pPr>
              <w:spacing w:after="0" w:line="240" w:lineRule="auto"/>
              <w:ind w:firstLine="160"/>
              <w:rPr>
                <w:rFonts w:ascii="Arial" w:eastAsia="Arial" w:hAnsi="Arial" w:cs="Arial"/>
                <w:sz w:val="14"/>
                <w:szCs w:val="14"/>
              </w:rPr>
            </w:pPr>
            <w:r w:rsidRPr="00C6489A">
              <w:rPr>
                <w:rFonts w:ascii="Arial" w:hAnsi="Arial" w:cs="Arial"/>
                <w:color w:val="000000"/>
                <w:sz w:val="14"/>
                <w:szCs w:val="14"/>
              </w:rPr>
              <w:t>D. Transferencias, Asignaciones, Subsidios y Subvenciones, y Pensiones y Jubilaciones</w:t>
            </w:r>
          </w:p>
        </w:tc>
        <w:tc>
          <w:tcPr>
            <w:tcW w:w="619" w:type="pct"/>
            <w:tcBorders>
              <w:top w:val="nil"/>
              <w:left w:val="single" w:sz="8" w:space="0" w:color="000000"/>
              <w:bottom w:val="nil"/>
              <w:right w:val="single" w:sz="8" w:space="0" w:color="000000"/>
            </w:tcBorders>
            <w:tcMar>
              <w:left w:w="70" w:type="dxa"/>
              <w:right w:w="70" w:type="dxa"/>
            </w:tcMar>
            <w:vAlign w:val="center"/>
          </w:tcPr>
          <w:p w14:paraId="000006A7" w14:textId="794B710A"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2,084,097,524.00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A8" w14:textId="537824F9"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2,136,760,923.00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A9" w14:textId="09F3B311"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2,233,155,167.00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AA" w14:textId="791E4224"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2,285,681,980.91</w:t>
            </w:r>
          </w:p>
        </w:tc>
        <w:tc>
          <w:tcPr>
            <w:tcW w:w="610" w:type="pct"/>
            <w:tcBorders>
              <w:top w:val="nil"/>
              <w:left w:val="single" w:sz="8" w:space="0" w:color="000000"/>
              <w:bottom w:val="nil"/>
              <w:right w:val="single" w:sz="8" w:space="0" w:color="000000"/>
            </w:tcBorders>
            <w:tcMar>
              <w:left w:w="70" w:type="dxa"/>
              <w:right w:w="70" w:type="dxa"/>
            </w:tcMar>
            <w:vAlign w:val="center"/>
          </w:tcPr>
          <w:p w14:paraId="000006AB" w14:textId="59BBB96A"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2,396,492,184.00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AC" w14:textId="4FA1A482"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2,405,684,687.00</w:t>
            </w:r>
          </w:p>
        </w:tc>
      </w:tr>
      <w:tr w:rsidR="00E23F6E" w:rsidRPr="00C6489A" w14:paraId="478FF81C" w14:textId="77777777" w:rsidTr="00C6489A">
        <w:trPr>
          <w:trHeight w:val="105"/>
        </w:trPr>
        <w:tc>
          <w:tcPr>
            <w:tcW w:w="1349" w:type="pct"/>
            <w:tcBorders>
              <w:top w:val="nil"/>
              <w:left w:val="single" w:sz="8" w:space="0" w:color="000000"/>
              <w:bottom w:val="nil"/>
              <w:right w:val="single" w:sz="8" w:space="0" w:color="000000"/>
            </w:tcBorders>
            <w:tcMar>
              <w:left w:w="70" w:type="dxa"/>
              <w:right w:w="70" w:type="dxa"/>
            </w:tcMar>
            <w:vAlign w:val="center"/>
          </w:tcPr>
          <w:p w14:paraId="000006AD" w14:textId="78B7F65F" w:rsidR="00E23F6E" w:rsidRPr="00C6489A" w:rsidRDefault="00E23F6E" w:rsidP="00746CF5">
            <w:pPr>
              <w:spacing w:after="0" w:line="240" w:lineRule="auto"/>
              <w:ind w:firstLine="160"/>
              <w:rPr>
                <w:rFonts w:ascii="Arial" w:eastAsia="Arial" w:hAnsi="Arial" w:cs="Arial"/>
                <w:sz w:val="14"/>
                <w:szCs w:val="14"/>
              </w:rPr>
            </w:pPr>
            <w:r w:rsidRPr="00C6489A">
              <w:rPr>
                <w:rFonts w:ascii="Arial" w:hAnsi="Arial" w:cs="Arial"/>
                <w:color w:val="000000"/>
                <w:sz w:val="14"/>
                <w:szCs w:val="14"/>
              </w:rPr>
              <w:t>E. Otras Transferencias Federales Etiquetadas</w:t>
            </w:r>
          </w:p>
        </w:tc>
        <w:tc>
          <w:tcPr>
            <w:tcW w:w="619" w:type="pct"/>
            <w:tcBorders>
              <w:top w:val="nil"/>
              <w:left w:val="single" w:sz="8" w:space="0" w:color="000000"/>
              <w:bottom w:val="nil"/>
              <w:right w:val="single" w:sz="8" w:space="0" w:color="000000"/>
            </w:tcBorders>
            <w:tcMar>
              <w:left w:w="70" w:type="dxa"/>
              <w:right w:w="70" w:type="dxa"/>
            </w:tcMar>
            <w:vAlign w:val="center"/>
          </w:tcPr>
          <w:p w14:paraId="000006AE" w14:textId="2336C277"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9,317,412.00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AF" w14:textId="539592A7"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B0" w14:textId="11623A27"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B1" w14:textId="24611E80"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 xml:space="preserve"> </w:t>
            </w:r>
          </w:p>
        </w:tc>
        <w:tc>
          <w:tcPr>
            <w:tcW w:w="610" w:type="pct"/>
            <w:tcBorders>
              <w:top w:val="nil"/>
              <w:left w:val="single" w:sz="8" w:space="0" w:color="000000"/>
              <w:bottom w:val="nil"/>
              <w:right w:val="single" w:sz="8" w:space="0" w:color="000000"/>
            </w:tcBorders>
            <w:tcMar>
              <w:left w:w="70" w:type="dxa"/>
              <w:right w:w="70" w:type="dxa"/>
            </w:tcMar>
            <w:vAlign w:val="center"/>
          </w:tcPr>
          <w:p w14:paraId="000006B2" w14:textId="5A22D8E1"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0.00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B3" w14:textId="10102EC5"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r>
      <w:tr w:rsidR="00E23F6E" w:rsidRPr="00C6489A" w14:paraId="792E17CB" w14:textId="77777777" w:rsidTr="00C6489A">
        <w:trPr>
          <w:trHeight w:val="105"/>
        </w:trPr>
        <w:tc>
          <w:tcPr>
            <w:tcW w:w="1349" w:type="pct"/>
            <w:tcBorders>
              <w:top w:val="nil"/>
              <w:left w:val="single" w:sz="8" w:space="0" w:color="000000"/>
              <w:bottom w:val="nil"/>
              <w:right w:val="single" w:sz="8" w:space="0" w:color="000000"/>
            </w:tcBorders>
            <w:tcMar>
              <w:left w:w="70" w:type="dxa"/>
              <w:right w:w="70" w:type="dxa"/>
            </w:tcMar>
            <w:vAlign w:val="center"/>
          </w:tcPr>
          <w:p w14:paraId="000006B4" w14:textId="20DE0FA4" w:rsidR="00E23F6E" w:rsidRPr="00C6489A" w:rsidRDefault="00E23F6E" w:rsidP="00746CF5">
            <w:pPr>
              <w:spacing w:after="0" w:line="240" w:lineRule="auto"/>
              <w:rPr>
                <w:rFonts w:ascii="Arial" w:eastAsia="Arial" w:hAnsi="Arial" w:cs="Arial"/>
                <w:sz w:val="14"/>
                <w:szCs w:val="14"/>
              </w:rPr>
            </w:pPr>
            <w:r w:rsidRPr="00C6489A">
              <w:rPr>
                <w:rFonts w:ascii="Arial" w:hAnsi="Arial" w:cs="Arial"/>
                <w:b/>
                <w:bCs/>
                <w:color w:val="000000"/>
                <w:sz w:val="14"/>
                <w:szCs w:val="14"/>
              </w:rPr>
              <w:t>3. Ingresos Derivados de Financiamientos (3=A)</w:t>
            </w:r>
          </w:p>
        </w:tc>
        <w:tc>
          <w:tcPr>
            <w:tcW w:w="619" w:type="pct"/>
            <w:tcBorders>
              <w:top w:val="nil"/>
              <w:left w:val="single" w:sz="8" w:space="0" w:color="000000"/>
              <w:bottom w:val="nil"/>
              <w:right w:val="single" w:sz="8" w:space="0" w:color="000000"/>
            </w:tcBorders>
            <w:tcMar>
              <w:left w:w="70" w:type="dxa"/>
              <w:right w:w="70" w:type="dxa"/>
            </w:tcMar>
            <w:vAlign w:val="center"/>
          </w:tcPr>
          <w:p w14:paraId="000006B5" w14:textId="73A6F931"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4,504,620,000.00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B6" w14:textId="4E420CB6"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0.00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B7" w14:textId="1801C190"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1,735,000,000.00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B8" w14:textId="3495A20F"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0.00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B9" w14:textId="4D0153D2"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1,633,000,000.00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BA" w14:textId="6EBC5539"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0.00</w:t>
            </w:r>
          </w:p>
        </w:tc>
      </w:tr>
      <w:tr w:rsidR="00E23F6E" w:rsidRPr="00C6489A" w14:paraId="7853CDD7" w14:textId="77777777" w:rsidTr="00C6489A">
        <w:trPr>
          <w:trHeight w:val="105"/>
        </w:trPr>
        <w:tc>
          <w:tcPr>
            <w:tcW w:w="1349" w:type="pct"/>
            <w:tcBorders>
              <w:top w:val="nil"/>
              <w:left w:val="single" w:sz="8" w:space="0" w:color="000000"/>
              <w:bottom w:val="nil"/>
              <w:right w:val="single" w:sz="8" w:space="0" w:color="000000"/>
            </w:tcBorders>
            <w:tcMar>
              <w:left w:w="70" w:type="dxa"/>
              <w:right w:w="70" w:type="dxa"/>
            </w:tcMar>
            <w:vAlign w:val="center"/>
          </w:tcPr>
          <w:p w14:paraId="000006BB" w14:textId="098F38E2" w:rsidR="00E23F6E" w:rsidRPr="00C6489A" w:rsidRDefault="00E23F6E" w:rsidP="00746CF5">
            <w:pPr>
              <w:spacing w:after="0" w:line="240" w:lineRule="auto"/>
              <w:ind w:firstLine="160"/>
              <w:rPr>
                <w:rFonts w:ascii="Arial" w:eastAsia="Arial" w:hAnsi="Arial" w:cs="Arial"/>
                <w:sz w:val="14"/>
                <w:szCs w:val="14"/>
              </w:rPr>
            </w:pPr>
            <w:r w:rsidRPr="00C6489A">
              <w:rPr>
                <w:rFonts w:ascii="Arial" w:hAnsi="Arial" w:cs="Arial"/>
                <w:color w:val="000000"/>
                <w:sz w:val="14"/>
                <w:szCs w:val="14"/>
              </w:rPr>
              <w:t>A. Ingresos Derivados de Financiamientos</w:t>
            </w:r>
          </w:p>
        </w:tc>
        <w:tc>
          <w:tcPr>
            <w:tcW w:w="619" w:type="pct"/>
            <w:tcBorders>
              <w:top w:val="nil"/>
              <w:left w:val="single" w:sz="8" w:space="0" w:color="000000"/>
              <w:bottom w:val="nil"/>
              <w:right w:val="single" w:sz="8" w:space="0" w:color="000000"/>
            </w:tcBorders>
            <w:tcMar>
              <w:left w:w="70" w:type="dxa"/>
              <w:right w:w="70" w:type="dxa"/>
            </w:tcMar>
            <w:vAlign w:val="center"/>
          </w:tcPr>
          <w:p w14:paraId="000006BC" w14:textId="686D5ACF"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4,504,620,000.00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BD" w14:textId="5FB03869"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BE" w14:textId="385AAC35"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1,735,000,000.00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BF" w14:textId="0A6926DA"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0.00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C0" w14:textId="610413B2"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1,633,000,000.00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C1" w14:textId="31C1FDBA"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0.00</w:t>
            </w:r>
          </w:p>
        </w:tc>
      </w:tr>
      <w:tr w:rsidR="00E23F6E" w:rsidRPr="00C6489A" w14:paraId="420C9E20" w14:textId="77777777" w:rsidTr="00C6489A">
        <w:trPr>
          <w:trHeight w:val="105"/>
        </w:trPr>
        <w:tc>
          <w:tcPr>
            <w:tcW w:w="1349" w:type="pct"/>
            <w:tcBorders>
              <w:top w:val="nil"/>
              <w:left w:val="single" w:sz="8" w:space="0" w:color="000000"/>
              <w:bottom w:val="nil"/>
              <w:right w:val="single" w:sz="8" w:space="0" w:color="000000"/>
            </w:tcBorders>
            <w:tcMar>
              <w:left w:w="70" w:type="dxa"/>
              <w:right w:w="70" w:type="dxa"/>
            </w:tcMar>
            <w:vAlign w:val="center"/>
          </w:tcPr>
          <w:p w14:paraId="000006C2" w14:textId="0D7F89F6" w:rsidR="00E23F6E" w:rsidRPr="00C6489A" w:rsidRDefault="00E23F6E" w:rsidP="00746CF5">
            <w:pPr>
              <w:spacing w:after="0" w:line="240" w:lineRule="auto"/>
              <w:rPr>
                <w:rFonts w:ascii="Arial" w:eastAsia="Arial" w:hAnsi="Arial" w:cs="Arial"/>
                <w:sz w:val="14"/>
                <w:szCs w:val="14"/>
              </w:rPr>
            </w:pPr>
            <w:r w:rsidRPr="00C6489A">
              <w:rPr>
                <w:rFonts w:ascii="Arial" w:hAnsi="Arial" w:cs="Arial"/>
                <w:b/>
                <w:bCs/>
                <w:color w:val="000000"/>
                <w:sz w:val="14"/>
                <w:szCs w:val="14"/>
              </w:rPr>
              <w:t>4. Total de Resultados de Ingresos (4=1+2+3)</w:t>
            </w:r>
          </w:p>
        </w:tc>
        <w:tc>
          <w:tcPr>
            <w:tcW w:w="619" w:type="pct"/>
            <w:tcBorders>
              <w:top w:val="nil"/>
              <w:left w:val="single" w:sz="8" w:space="0" w:color="000000"/>
              <w:bottom w:val="nil"/>
              <w:right w:val="single" w:sz="8" w:space="0" w:color="000000"/>
            </w:tcBorders>
            <w:tcMar>
              <w:left w:w="70" w:type="dxa"/>
              <w:right w:w="70" w:type="dxa"/>
            </w:tcMar>
            <w:vAlign w:val="center"/>
          </w:tcPr>
          <w:p w14:paraId="000006C3" w14:textId="51DB79DC"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42,970,133,089.00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C4" w14:textId="6041CD0E"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39,444,830,964.00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C5" w14:textId="47B77948"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48,558,677,722.00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C6" w14:textId="7CEB9C80"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51,175,505,825.81</w:t>
            </w:r>
          </w:p>
        </w:tc>
        <w:tc>
          <w:tcPr>
            <w:tcW w:w="610" w:type="pct"/>
            <w:tcBorders>
              <w:top w:val="nil"/>
              <w:left w:val="single" w:sz="8" w:space="0" w:color="000000"/>
              <w:bottom w:val="nil"/>
              <w:right w:val="single" w:sz="8" w:space="0" w:color="000000"/>
            </w:tcBorders>
            <w:tcMar>
              <w:left w:w="70" w:type="dxa"/>
              <w:right w:w="70" w:type="dxa"/>
            </w:tcMar>
            <w:vAlign w:val="center"/>
          </w:tcPr>
          <w:p w14:paraId="000006C7" w14:textId="246C2474"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55,482,186,825.99</w:t>
            </w:r>
          </w:p>
        </w:tc>
        <w:tc>
          <w:tcPr>
            <w:tcW w:w="610" w:type="pct"/>
            <w:tcBorders>
              <w:top w:val="nil"/>
              <w:left w:val="single" w:sz="8" w:space="0" w:color="000000"/>
              <w:bottom w:val="nil"/>
              <w:right w:val="single" w:sz="8" w:space="0" w:color="000000"/>
            </w:tcBorders>
            <w:tcMar>
              <w:left w:w="70" w:type="dxa"/>
              <w:right w:w="70" w:type="dxa"/>
            </w:tcMar>
            <w:vAlign w:val="center"/>
          </w:tcPr>
          <w:p w14:paraId="000006C8" w14:textId="3C6F2D3D"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55,745,987,193.00</w:t>
            </w:r>
          </w:p>
        </w:tc>
      </w:tr>
      <w:tr w:rsidR="00E23F6E" w:rsidRPr="00C6489A" w14:paraId="791B168D" w14:textId="77777777" w:rsidTr="00C6489A">
        <w:trPr>
          <w:trHeight w:val="105"/>
        </w:trPr>
        <w:tc>
          <w:tcPr>
            <w:tcW w:w="1349" w:type="pct"/>
            <w:tcBorders>
              <w:top w:val="nil"/>
              <w:left w:val="single" w:sz="8" w:space="0" w:color="000000"/>
              <w:bottom w:val="nil"/>
              <w:right w:val="single" w:sz="8" w:space="0" w:color="000000"/>
            </w:tcBorders>
            <w:tcMar>
              <w:left w:w="70" w:type="dxa"/>
              <w:right w:w="70" w:type="dxa"/>
            </w:tcMar>
            <w:vAlign w:val="center"/>
          </w:tcPr>
          <w:p w14:paraId="000006C9" w14:textId="4D0B51A9" w:rsidR="00E23F6E" w:rsidRPr="00C6489A" w:rsidRDefault="00E23F6E" w:rsidP="00746CF5">
            <w:pPr>
              <w:spacing w:after="0" w:line="240" w:lineRule="auto"/>
              <w:rPr>
                <w:rFonts w:ascii="Arial" w:eastAsia="Arial" w:hAnsi="Arial" w:cs="Arial"/>
                <w:sz w:val="14"/>
                <w:szCs w:val="14"/>
              </w:rPr>
            </w:pPr>
            <w:r w:rsidRPr="00C6489A">
              <w:rPr>
                <w:rFonts w:ascii="Arial" w:hAnsi="Arial" w:cs="Arial"/>
                <w:b/>
                <w:bCs/>
                <w:color w:val="000000"/>
                <w:sz w:val="14"/>
                <w:szCs w:val="14"/>
              </w:rPr>
              <w:t>Datos Informativos</w:t>
            </w:r>
          </w:p>
        </w:tc>
        <w:tc>
          <w:tcPr>
            <w:tcW w:w="619" w:type="pct"/>
            <w:tcBorders>
              <w:top w:val="nil"/>
              <w:left w:val="single" w:sz="8" w:space="0" w:color="000000"/>
              <w:bottom w:val="nil"/>
              <w:right w:val="single" w:sz="8" w:space="0" w:color="000000"/>
            </w:tcBorders>
            <w:tcMar>
              <w:left w:w="70" w:type="dxa"/>
              <w:right w:w="70" w:type="dxa"/>
            </w:tcMar>
            <w:vAlign w:val="center"/>
          </w:tcPr>
          <w:p w14:paraId="000006CA" w14:textId="68A8549B"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 xml:space="preserve"> </w:t>
            </w:r>
          </w:p>
        </w:tc>
        <w:tc>
          <w:tcPr>
            <w:tcW w:w="604" w:type="pct"/>
            <w:tcBorders>
              <w:top w:val="nil"/>
              <w:left w:val="single" w:sz="8" w:space="0" w:color="000000"/>
              <w:bottom w:val="nil"/>
              <w:right w:val="single" w:sz="8" w:space="0" w:color="000000"/>
            </w:tcBorders>
            <w:tcMar>
              <w:left w:w="70" w:type="dxa"/>
              <w:right w:w="70" w:type="dxa"/>
            </w:tcMar>
            <w:vAlign w:val="center"/>
          </w:tcPr>
          <w:p w14:paraId="000006CB" w14:textId="756CC0C2"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 xml:space="preserve"> </w:t>
            </w:r>
          </w:p>
        </w:tc>
        <w:tc>
          <w:tcPr>
            <w:tcW w:w="604" w:type="pct"/>
            <w:tcBorders>
              <w:top w:val="nil"/>
              <w:left w:val="single" w:sz="8" w:space="0" w:color="000000"/>
              <w:bottom w:val="nil"/>
              <w:right w:val="single" w:sz="8" w:space="0" w:color="000000"/>
            </w:tcBorders>
            <w:tcMar>
              <w:left w:w="70" w:type="dxa"/>
              <w:right w:w="70" w:type="dxa"/>
            </w:tcMar>
            <w:vAlign w:val="center"/>
          </w:tcPr>
          <w:p w14:paraId="000006CC" w14:textId="75802078"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 xml:space="preserve"> </w:t>
            </w:r>
          </w:p>
        </w:tc>
        <w:tc>
          <w:tcPr>
            <w:tcW w:w="604" w:type="pct"/>
            <w:tcBorders>
              <w:top w:val="nil"/>
              <w:left w:val="single" w:sz="8" w:space="0" w:color="000000"/>
              <w:bottom w:val="nil"/>
              <w:right w:val="single" w:sz="8" w:space="0" w:color="000000"/>
            </w:tcBorders>
            <w:tcMar>
              <w:left w:w="70" w:type="dxa"/>
              <w:right w:w="70" w:type="dxa"/>
            </w:tcMar>
            <w:vAlign w:val="center"/>
          </w:tcPr>
          <w:p w14:paraId="000006CD" w14:textId="48B3C9C0"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 xml:space="preserve"> </w:t>
            </w:r>
          </w:p>
        </w:tc>
        <w:tc>
          <w:tcPr>
            <w:tcW w:w="610" w:type="pct"/>
            <w:tcBorders>
              <w:top w:val="nil"/>
              <w:left w:val="single" w:sz="8" w:space="0" w:color="000000"/>
              <w:bottom w:val="nil"/>
              <w:right w:val="single" w:sz="8" w:space="0" w:color="000000"/>
            </w:tcBorders>
            <w:tcMar>
              <w:left w:w="70" w:type="dxa"/>
              <w:right w:w="70" w:type="dxa"/>
            </w:tcMar>
            <w:vAlign w:val="center"/>
          </w:tcPr>
          <w:p w14:paraId="000006CE" w14:textId="6CD4B8C3"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CF" w14:textId="7FBE3DF5"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0.00</w:t>
            </w:r>
          </w:p>
        </w:tc>
      </w:tr>
      <w:tr w:rsidR="00E23F6E" w:rsidRPr="00C6489A" w14:paraId="1F3D12C4" w14:textId="77777777" w:rsidTr="00C6489A">
        <w:trPr>
          <w:trHeight w:val="105"/>
        </w:trPr>
        <w:tc>
          <w:tcPr>
            <w:tcW w:w="1349" w:type="pct"/>
            <w:tcBorders>
              <w:top w:val="nil"/>
              <w:left w:val="single" w:sz="8" w:space="0" w:color="000000"/>
              <w:bottom w:val="nil"/>
              <w:right w:val="single" w:sz="8" w:space="0" w:color="000000"/>
            </w:tcBorders>
            <w:tcMar>
              <w:left w:w="70" w:type="dxa"/>
              <w:right w:w="70" w:type="dxa"/>
            </w:tcMar>
            <w:vAlign w:val="center"/>
          </w:tcPr>
          <w:p w14:paraId="000006D0" w14:textId="1D455F24" w:rsidR="00E23F6E" w:rsidRPr="00C6489A" w:rsidRDefault="00E23F6E" w:rsidP="00746CF5">
            <w:pPr>
              <w:spacing w:after="0" w:line="240" w:lineRule="auto"/>
              <w:rPr>
                <w:rFonts w:ascii="Arial" w:eastAsia="Arial" w:hAnsi="Arial" w:cs="Arial"/>
                <w:sz w:val="14"/>
                <w:szCs w:val="14"/>
              </w:rPr>
            </w:pPr>
            <w:r w:rsidRPr="00C6489A">
              <w:rPr>
                <w:rFonts w:ascii="Arial" w:hAnsi="Arial" w:cs="Arial"/>
                <w:color w:val="000000"/>
                <w:sz w:val="14"/>
                <w:szCs w:val="14"/>
              </w:rPr>
              <w:t>1. Ingresos Derivados de Financiamientos con Fuente de Pago de Recursos de Libre Disposición</w:t>
            </w:r>
          </w:p>
        </w:tc>
        <w:tc>
          <w:tcPr>
            <w:tcW w:w="619" w:type="pct"/>
            <w:tcBorders>
              <w:top w:val="nil"/>
              <w:left w:val="single" w:sz="8" w:space="0" w:color="000000"/>
              <w:bottom w:val="nil"/>
              <w:right w:val="single" w:sz="8" w:space="0" w:color="000000"/>
            </w:tcBorders>
            <w:tcMar>
              <w:left w:w="70" w:type="dxa"/>
              <w:right w:w="70" w:type="dxa"/>
            </w:tcMar>
            <w:vAlign w:val="center"/>
          </w:tcPr>
          <w:p w14:paraId="000006D1" w14:textId="37ADDC6B"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4,504,620,000.00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D2" w14:textId="72AA6A1C"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D3" w14:textId="6909D8E6"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1,735,000,000.00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D4" w14:textId="671792C4"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0.00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D5" w14:textId="07150CEB"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1,633,000,000.00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D6" w14:textId="256BE7BD"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0.00</w:t>
            </w:r>
          </w:p>
        </w:tc>
      </w:tr>
      <w:tr w:rsidR="00E23F6E" w:rsidRPr="00C6489A" w14:paraId="0505A048" w14:textId="77777777" w:rsidTr="00C6489A">
        <w:trPr>
          <w:trHeight w:val="105"/>
        </w:trPr>
        <w:tc>
          <w:tcPr>
            <w:tcW w:w="1349" w:type="pct"/>
            <w:tcBorders>
              <w:top w:val="nil"/>
              <w:left w:val="single" w:sz="8" w:space="0" w:color="000000"/>
              <w:bottom w:val="nil"/>
              <w:right w:val="single" w:sz="8" w:space="0" w:color="000000"/>
            </w:tcBorders>
            <w:tcMar>
              <w:left w:w="70" w:type="dxa"/>
              <w:right w:w="70" w:type="dxa"/>
            </w:tcMar>
            <w:vAlign w:val="center"/>
          </w:tcPr>
          <w:p w14:paraId="000006D7" w14:textId="780050C4" w:rsidR="00E23F6E" w:rsidRPr="00C6489A" w:rsidRDefault="00E23F6E" w:rsidP="00746CF5">
            <w:pPr>
              <w:spacing w:after="0" w:line="240" w:lineRule="auto"/>
              <w:rPr>
                <w:rFonts w:ascii="Arial" w:eastAsia="Arial" w:hAnsi="Arial" w:cs="Arial"/>
                <w:sz w:val="14"/>
                <w:szCs w:val="14"/>
              </w:rPr>
            </w:pPr>
            <w:r w:rsidRPr="00C6489A">
              <w:rPr>
                <w:rFonts w:ascii="Arial" w:hAnsi="Arial" w:cs="Arial"/>
                <w:color w:val="000000"/>
                <w:sz w:val="14"/>
                <w:szCs w:val="14"/>
              </w:rPr>
              <w:t>2. Ingresos Derivados de Financiamientos con Fuente de Pago de Transferencias Federales Etiquetadas</w:t>
            </w:r>
          </w:p>
        </w:tc>
        <w:tc>
          <w:tcPr>
            <w:tcW w:w="619" w:type="pct"/>
            <w:tcBorders>
              <w:top w:val="nil"/>
              <w:left w:val="single" w:sz="8" w:space="0" w:color="000000"/>
              <w:bottom w:val="nil"/>
              <w:right w:val="single" w:sz="8" w:space="0" w:color="000000"/>
            </w:tcBorders>
            <w:tcMar>
              <w:left w:w="70" w:type="dxa"/>
              <w:right w:w="70" w:type="dxa"/>
            </w:tcMar>
            <w:vAlign w:val="center"/>
          </w:tcPr>
          <w:p w14:paraId="000006D8" w14:textId="667F5F63"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D9" w14:textId="7638E4E8"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DA" w14:textId="01D87B7D"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04" w:type="pct"/>
            <w:tcBorders>
              <w:top w:val="nil"/>
              <w:left w:val="single" w:sz="8" w:space="0" w:color="000000"/>
              <w:bottom w:val="nil"/>
              <w:right w:val="single" w:sz="8" w:space="0" w:color="000000"/>
            </w:tcBorders>
            <w:tcMar>
              <w:left w:w="70" w:type="dxa"/>
              <w:right w:w="70" w:type="dxa"/>
            </w:tcMar>
            <w:vAlign w:val="center"/>
          </w:tcPr>
          <w:p w14:paraId="000006DB" w14:textId="2C75CAF7"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DC" w14:textId="76B180F6"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c>
          <w:tcPr>
            <w:tcW w:w="610" w:type="pct"/>
            <w:tcBorders>
              <w:top w:val="nil"/>
              <w:left w:val="single" w:sz="8" w:space="0" w:color="000000"/>
              <w:bottom w:val="nil"/>
              <w:right w:val="single" w:sz="8" w:space="0" w:color="000000"/>
            </w:tcBorders>
            <w:tcMar>
              <w:left w:w="70" w:type="dxa"/>
              <w:right w:w="70" w:type="dxa"/>
            </w:tcMar>
            <w:vAlign w:val="center"/>
          </w:tcPr>
          <w:p w14:paraId="000006DD" w14:textId="1C1747F7"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color w:val="000000"/>
                <w:sz w:val="14"/>
                <w:szCs w:val="14"/>
              </w:rPr>
              <w:t>0</w:t>
            </w:r>
          </w:p>
        </w:tc>
      </w:tr>
      <w:tr w:rsidR="00E23F6E" w:rsidRPr="00C6489A" w14:paraId="43E28AAD" w14:textId="77777777" w:rsidTr="00C6489A">
        <w:trPr>
          <w:trHeight w:val="105"/>
        </w:trPr>
        <w:tc>
          <w:tcPr>
            <w:tcW w:w="1349" w:type="pct"/>
            <w:tcBorders>
              <w:top w:val="nil"/>
              <w:left w:val="single" w:sz="8" w:space="0" w:color="000000"/>
              <w:bottom w:val="single" w:sz="8" w:space="0" w:color="000000"/>
              <w:right w:val="single" w:sz="8" w:space="0" w:color="000000"/>
            </w:tcBorders>
            <w:tcMar>
              <w:left w:w="70" w:type="dxa"/>
              <w:right w:w="70" w:type="dxa"/>
            </w:tcMar>
            <w:vAlign w:val="center"/>
          </w:tcPr>
          <w:p w14:paraId="000006DE" w14:textId="13E61E18" w:rsidR="00E23F6E" w:rsidRPr="00C6489A" w:rsidRDefault="00E23F6E" w:rsidP="00746CF5">
            <w:pPr>
              <w:spacing w:after="0" w:line="240" w:lineRule="auto"/>
              <w:rPr>
                <w:rFonts w:ascii="Arial" w:eastAsia="Arial" w:hAnsi="Arial" w:cs="Arial"/>
                <w:sz w:val="14"/>
                <w:szCs w:val="14"/>
              </w:rPr>
            </w:pPr>
            <w:r w:rsidRPr="00C6489A">
              <w:rPr>
                <w:rFonts w:ascii="Arial" w:hAnsi="Arial" w:cs="Arial"/>
                <w:b/>
                <w:bCs/>
                <w:color w:val="000000"/>
                <w:sz w:val="14"/>
                <w:szCs w:val="14"/>
              </w:rPr>
              <w:t>3. Ingresos Derivados de Financiamiento (3 = 1 + 2)</w:t>
            </w:r>
          </w:p>
        </w:tc>
        <w:tc>
          <w:tcPr>
            <w:tcW w:w="619" w:type="pct"/>
            <w:tcBorders>
              <w:top w:val="nil"/>
              <w:left w:val="single" w:sz="8" w:space="0" w:color="000000"/>
              <w:bottom w:val="single" w:sz="8" w:space="0" w:color="000000"/>
              <w:right w:val="single" w:sz="8" w:space="0" w:color="000000"/>
            </w:tcBorders>
            <w:tcMar>
              <w:left w:w="70" w:type="dxa"/>
              <w:right w:w="70" w:type="dxa"/>
            </w:tcMar>
            <w:vAlign w:val="center"/>
          </w:tcPr>
          <w:p w14:paraId="000006DF" w14:textId="40D95CD0"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4,504,620,000.00</w:t>
            </w:r>
          </w:p>
        </w:tc>
        <w:tc>
          <w:tcPr>
            <w:tcW w:w="604" w:type="pct"/>
            <w:tcBorders>
              <w:top w:val="nil"/>
              <w:left w:val="single" w:sz="8" w:space="0" w:color="000000"/>
              <w:bottom w:val="single" w:sz="8" w:space="0" w:color="000000"/>
              <w:right w:val="single" w:sz="8" w:space="0" w:color="000000"/>
            </w:tcBorders>
            <w:tcMar>
              <w:left w:w="70" w:type="dxa"/>
              <w:right w:w="70" w:type="dxa"/>
            </w:tcMar>
            <w:vAlign w:val="center"/>
          </w:tcPr>
          <w:p w14:paraId="000006E0" w14:textId="0753F1CA"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0.00</w:t>
            </w:r>
          </w:p>
        </w:tc>
        <w:tc>
          <w:tcPr>
            <w:tcW w:w="604" w:type="pct"/>
            <w:tcBorders>
              <w:top w:val="nil"/>
              <w:left w:val="single" w:sz="8" w:space="0" w:color="000000"/>
              <w:bottom w:val="single" w:sz="8" w:space="0" w:color="000000"/>
              <w:right w:val="single" w:sz="8" w:space="0" w:color="000000"/>
            </w:tcBorders>
            <w:tcMar>
              <w:left w:w="70" w:type="dxa"/>
              <w:right w:w="70" w:type="dxa"/>
            </w:tcMar>
            <w:vAlign w:val="center"/>
          </w:tcPr>
          <w:p w14:paraId="000006E1" w14:textId="615E3263"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1,735,000,000.00</w:t>
            </w:r>
          </w:p>
        </w:tc>
        <w:tc>
          <w:tcPr>
            <w:tcW w:w="604" w:type="pct"/>
            <w:tcBorders>
              <w:top w:val="nil"/>
              <w:left w:val="single" w:sz="8" w:space="0" w:color="000000"/>
              <w:bottom w:val="single" w:sz="8" w:space="0" w:color="000000"/>
              <w:right w:val="single" w:sz="8" w:space="0" w:color="000000"/>
            </w:tcBorders>
            <w:tcMar>
              <w:left w:w="70" w:type="dxa"/>
              <w:right w:w="70" w:type="dxa"/>
            </w:tcMar>
            <w:vAlign w:val="center"/>
          </w:tcPr>
          <w:p w14:paraId="000006E2" w14:textId="60691396"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0.00</w:t>
            </w:r>
          </w:p>
        </w:tc>
        <w:tc>
          <w:tcPr>
            <w:tcW w:w="610" w:type="pct"/>
            <w:tcBorders>
              <w:top w:val="nil"/>
              <w:left w:val="single" w:sz="8" w:space="0" w:color="000000"/>
              <w:bottom w:val="single" w:sz="8" w:space="0" w:color="000000"/>
              <w:right w:val="single" w:sz="8" w:space="0" w:color="000000"/>
            </w:tcBorders>
            <w:tcMar>
              <w:left w:w="70" w:type="dxa"/>
              <w:right w:w="70" w:type="dxa"/>
            </w:tcMar>
            <w:vAlign w:val="center"/>
          </w:tcPr>
          <w:p w14:paraId="000006E3" w14:textId="2AF05AE5"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1,633,000,000.00</w:t>
            </w:r>
          </w:p>
        </w:tc>
        <w:tc>
          <w:tcPr>
            <w:tcW w:w="610" w:type="pct"/>
            <w:tcBorders>
              <w:top w:val="nil"/>
              <w:left w:val="single" w:sz="8" w:space="0" w:color="000000"/>
              <w:bottom w:val="single" w:sz="8" w:space="0" w:color="000000"/>
              <w:right w:val="single" w:sz="8" w:space="0" w:color="000000"/>
            </w:tcBorders>
            <w:tcMar>
              <w:left w:w="70" w:type="dxa"/>
              <w:right w:w="70" w:type="dxa"/>
            </w:tcMar>
            <w:vAlign w:val="center"/>
          </w:tcPr>
          <w:p w14:paraId="000006E4" w14:textId="4620C29A" w:rsidR="00E23F6E" w:rsidRPr="00C6489A" w:rsidRDefault="00E23F6E" w:rsidP="00E23F6E">
            <w:pPr>
              <w:spacing w:after="0" w:line="240" w:lineRule="auto"/>
              <w:jc w:val="right"/>
              <w:rPr>
                <w:rFonts w:ascii="Arial" w:eastAsia="Arial" w:hAnsi="Arial" w:cs="Arial"/>
                <w:sz w:val="14"/>
                <w:szCs w:val="14"/>
              </w:rPr>
            </w:pPr>
            <w:r w:rsidRPr="00C6489A">
              <w:rPr>
                <w:rFonts w:ascii="Arial" w:hAnsi="Arial" w:cs="Arial"/>
                <w:b/>
                <w:bCs/>
                <w:color w:val="000000"/>
                <w:sz w:val="14"/>
                <w:szCs w:val="14"/>
              </w:rPr>
              <w:t>0.00</w:t>
            </w:r>
          </w:p>
        </w:tc>
      </w:tr>
      <w:tr w:rsidR="006B6C42" w:rsidRPr="00C6489A" w14:paraId="64EEE23E" w14:textId="77777777" w:rsidTr="00C6489A">
        <w:trPr>
          <w:trHeight w:val="105"/>
        </w:trPr>
        <w:tc>
          <w:tcPr>
            <w:tcW w:w="5000" w:type="pct"/>
            <w:gridSpan w:val="7"/>
            <w:tcMar>
              <w:left w:w="70" w:type="dxa"/>
              <w:right w:w="70" w:type="dxa"/>
            </w:tcMar>
            <w:vAlign w:val="center"/>
          </w:tcPr>
          <w:p w14:paraId="000006E5" w14:textId="77777777" w:rsidR="006B6C42" w:rsidRPr="00C6489A" w:rsidRDefault="00DA2020">
            <w:pPr>
              <w:spacing w:after="0" w:line="240" w:lineRule="auto"/>
              <w:rPr>
                <w:rFonts w:ascii="Arial" w:eastAsia="Arial" w:hAnsi="Arial" w:cs="Arial"/>
                <w:sz w:val="14"/>
                <w:szCs w:val="14"/>
              </w:rPr>
            </w:pPr>
            <w:r w:rsidRPr="00C6489A">
              <w:rPr>
                <w:rFonts w:ascii="Arial" w:eastAsia="Arial" w:hAnsi="Arial" w:cs="Arial"/>
                <w:color w:val="000000"/>
                <w:sz w:val="14"/>
                <w:szCs w:val="14"/>
              </w:rPr>
              <w:t>¹.Los importes corresponden al momento contable de los ingresos devengados.</w:t>
            </w:r>
          </w:p>
        </w:tc>
      </w:tr>
      <w:tr w:rsidR="006B6C42" w:rsidRPr="00C6489A" w14:paraId="3B6A44BB" w14:textId="77777777" w:rsidTr="00C6489A">
        <w:trPr>
          <w:trHeight w:val="105"/>
        </w:trPr>
        <w:tc>
          <w:tcPr>
            <w:tcW w:w="5000" w:type="pct"/>
            <w:gridSpan w:val="7"/>
            <w:tcMar>
              <w:left w:w="70" w:type="dxa"/>
              <w:right w:w="70" w:type="dxa"/>
            </w:tcMar>
            <w:vAlign w:val="center"/>
          </w:tcPr>
          <w:p w14:paraId="000006EC" w14:textId="2DF29454" w:rsidR="006B6C42" w:rsidRPr="00C6489A" w:rsidRDefault="00DA2020">
            <w:pPr>
              <w:spacing w:after="0" w:line="240" w:lineRule="auto"/>
              <w:rPr>
                <w:rFonts w:ascii="Arial" w:eastAsia="Arial" w:hAnsi="Arial" w:cs="Arial"/>
                <w:sz w:val="14"/>
                <w:szCs w:val="14"/>
              </w:rPr>
            </w:pPr>
            <w:r w:rsidRPr="00C6489A">
              <w:rPr>
                <w:rFonts w:ascii="Arial" w:eastAsia="Arial" w:hAnsi="Arial" w:cs="Arial"/>
                <w:color w:val="000000"/>
                <w:sz w:val="14"/>
                <w:szCs w:val="14"/>
              </w:rPr>
              <w:t xml:space="preserve">². Los importes corresponden a los ingresos </w:t>
            </w:r>
            <w:r w:rsidR="00746CF5" w:rsidRPr="00C6489A">
              <w:rPr>
                <w:rFonts w:ascii="Arial" w:eastAsia="Arial" w:hAnsi="Arial" w:cs="Arial"/>
                <w:color w:val="000000"/>
                <w:sz w:val="14"/>
                <w:szCs w:val="14"/>
              </w:rPr>
              <w:t>estimados al cierre del ejercicio</w:t>
            </w:r>
            <w:r w:rsidRPr="00C6489A">
              <w:rPr>
                <w:rFonts w:ascii="Arial" w:eastAsia="Arial" w:hAnsi="Arial" w:cs="Arial"/>
                <w:color w:val="000000"/>
                <w:sz w:val="14"/>
                <w:szCs w:val="14"/>
              </w:rPr>
              <w:t>.</w:t>
            </w:r>
          </w:p>
        </w:tc>
      </w:tr>
      <w:tr w:rsidR="006B6C42" w:rsidRPr="00C6489A" w14:paraId="76DB9C76" w14:textId="77777777" w:rsidTr="00C6489A">
        <w:trPr>
          <w:trHeight w:val="105"/>
        </w:trPr>
        <w:tc>
          <w:tcPr>
            <w:tcW w:w="5000" w:type="pct"/>
            <w:gridSpan w:val="7"/>
            <w:tcMar>
              <w:left w:w="70" w:type="dxa"/>
              <w:right w:w="70" w:type="dxa"/>
            </w:tcMar>
            <w:vAlign w:val="center"/>
          </w:tcPr>
          <w:p w14:paraId="000006F3" w14:textId="20BE1198" w:rsidR="006B6C42" w:rsidRPr="00C6489A" w:rsidRDefault="006B6C42">
            <w:pPr>
              <w:spacing w:after="0" w:line="240" w:lineRule="auto"/>
              <w:rPr>
                <w:rFonts w:ascii="Arial" w:eastAsia="Arial" w:hAnsi="Arial" w:cs="Arial"/>
                <w:sz w:val="14"/>
                <w:szCs w:val="14"/>
              </w:rPr>
            </w:pPr>
          </w:p>
        </w:tc>
      </w:tr>
      <w:tr w:rsidR="006B6C42" w:rsidRPr="00C6489A" w14:paraId="620E5599" w14:textId="77777777" w:rsidTr="00C6489A">
        <w:trPr>
          <w:trHeight w:val="105"/>
        </w:trPr>
        <w:tc>
          <w:tcPr>
            <w:tcW w:w="5000" w:type="pct"/>
            <w:gridSpan w:val="7"/>
            <w:tcMar>
              <w:left w:w="70" w:type="dxa"/>
              <w:right w:w="70" w:type="dxa"/>
            </w:tcMar>
            <w:vAlign w:val="center"/>
          </w:tcPr>
          <w:p w14:paraId="000006FA" w14:textId="77777777" w:rsidR="006B6C42" w:rsidRPr="00C6489A" w:rsidRDefault="00DA2020">
            <w:pPr>
              <w:spacing w:after="0" w:line="240" w:lineRule="auto"/>
              <w:rPr>
                <w:rFonts w:ascii="Arial" w:eastAsia="Arial" w:hAnsi="Arial" w:cs="Arial"/>
                <w:sz w:val="14"/>
                <w:szCs w:val="14"/>
              </w:rPr>
            </w:pPr>
            <w:r w:rsidRPr="00C6489A">
              <w:rPr>
                <w:rFonts w:ascii="Arial" w:eastAsia="Arial" w:hAnsi="Arial" w:cs="Arial"/>
                <w:color w:val="000000"/>
                <w:sz w:val="14"/>
                <w:szCs w:val="14"/>
              </w:rPr>
              <w:t>Bajo protesta de decir verdad declaramos que los Estados Financieros y sus Notas son razonablemente correctos y son responsabilidad del emisor.</w:t>
            </w:r>
          </w:p>
        </w:tc>
      </w:tr>
    </w:tbl>
    <w:p w14:paraId="00000701" w14:textId="77777777" w:rsidR="006B6C42" w:rsidRPr="001B6518" w:rsidRDefault="00DA2020">
      <w:pPr>
        <w:spacing w:line="240" w:lineRule="auto"/>
        <w:rPr>
          <w:rFonts w:ascii="Arial" w:eastAsia="Arial" w:hAnsi="Arial" w:cs="Arial"/>
          <w:sz w:val="16"/>
          <w:szCs w:val="16"/>
        </w:rPr>
      </w:pPr>
      <w:r w:rsidRPr="001B6518">
        <w:rPr>
          <w:rFonts w:ascii="Arial" w:hAnsi="Arial" w:cs="Arial"/>
        </w:rPr>
        <w:br w:type="page"/>
      </w:r>
    </w:p>
    <w:p w14:paraId="13D7B3A4" w14:textId="77777777" w:rsidR="00C20D77" w:rsidRPr="001B6518" w:rsidRDefault="00DA2020">
      <w:pPr>
        <w:tabs>
          <w:tab w:val="left" w:pos="5670"/>
        </w:tabs>
        <w:spacing w:after="0" w:line="240" w:lineRule="auto"/>
        <w:jc w:val="center"/>
        <w:rPr>
          <w:rFonts w:ascii="Arial" w:eastAsia="Arial" w:hAnsi="Arial" w:cs="Arial"/>
          <w:b/>
          <w:sz w:val="16"/>
          <w:szCs w:val="16"/>
        </w:rPr>
      </w:pPr>
      <w:r w:rsidRPr="001B6518">
        <w:rPr>
          <w:rFonts w:ascii="Arial" w:eastAsia="Arial" w:hAnsi="Arial" w:cs="Arial"/>
          <w:b/>
          <w:sz w:val="16"/>
          <w:szCs w:val="16"/>
        </w:rPr>
        <w:lastRenderedPageBreak/>
        <w:t>Anexo III</w:t>
      </w:r>
      <w:r w:rsidRPr="001B6518">
        <w:rPr>
          <w:rFonts w:ascii="Arial" w:eastAsia="Arial" w:hAnsi="Arial" w:cs="Arial"/>
          <w:sz w:val="16"/>
          <w:szCs w:val="16"/>
        </w:rPr>
        <w:br/>
      </w:r>
      <w:r w:rsidRPr="001B6518">
        <w:rPr>
          <w:rFonts w:ascii="Arial" w:eastAsia="Arial" w:hAnsi="Arial" w:cs="Arial"/>
          <w:b/>
          <w:sz w:val="16"/>
          <w:szCs w:val="16"/>
        </w:rPr>
        <w:t xml:space="preserve">Calendarización de amortizaciones de los siguientes ejercicios fiscales </w:t>
      </w:r>
    </w:p>
    <w:tbl>
      <w:tblPr>
        <w:tblW w:w="0" w:type="auto"/>
        <w:tblInd w:w="-5" w:type="dxa"/>
        <w:tblCellMar>
          <w:left w:w="70" w:type="dxa"/>
          <w:right w:w="70" w:type="dxa"/>
        </w:tblCellMar>
        <w:tblLook w:val="04A0" w:firstRow="1" w:lastRow="0" w:firstColumn="1" w:lastColumn="0" w:noHBand="0" w:noVBand="1"/>
      </w:tblPr>
      <w:tblGrid>
        <w:gridCol w:w="496"/>
        <w:gridCol w:w="1111"/>
        <w:gridCol w:w="1180"/>
        <w:gridCol w:w="1181"/>
        <w:gridCol w:w="1181"/>
        <w:gridCol w:w="1233"/>
        <w:gridCol w:w="1233"/>
        <w:gridCol w:w="1840"/>
        <w:gridCol w:w="1560"/>
      </w:tblGrid>
      <w:tr w:rsidR="001617C2" w:rsidRPr="001B6518" w14:paraId="7D855F96" w14:textId="77777777" w:rsidTr="008A0393">
        <w:trPr>
          <w:trHeight w:val="42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D74BA83" w14:textId="77777777" w:rsidR="001617C2" w:rsidRPr="001B6518" w:rsidRDefault="001617C2" w:rsidP="008A0393">
            <w:pPr>
              <w:spacing w:after="0" w:line="240" w:lineRule="auto"/>
              <w:jc w:val="center"/>
              <w:rPr>
                <w:rFonts w:ascii="Arial" w:hAnsi="Arial" w:cs="Arial"/>
                <w:b/>
                <w:bCs/>
                <w:sz w:val="16"/>
                <w:szCs w:val="16"/>
              </w:rPr>
            </w:pPr>
            <w:r w:rsidRPr="001B6518">
              <w:rPr>
                <w:rFonts w:ascii="Arial" w:hAnsi="Arial" w:cs="Arial"/>
                <w:b/>
                <w:bCs/>
                <w:sz w:val="16"/>
                <w:szCs w:val="16"/>
              </w:rPr>
              <w:t>Año</w:t>
            </w:r>
          </w:p>
        </w:tc>
        <w:tc>
          <w:tcPr>
            <w:tcW w:w="10571" w:type="dxa"/>
            <w:gridSpan w:val="7"/>
            <w:tcBorders>
              <w:top w:val="single" w:sz="4" w:space="0" w:color="auto"/>
              <w:left w:val="nil"/>
              <w:bottom w:val="single" w:sz="4" w:space="0" w:color="auto"/>
              <w:right w:val="single" w:sz="4" w:space="0" w:color="auto"/>
            </w:tcBorders>
            <w:vAlign w:val="center"/>
            <w:hideMark/>
          </w:tcPr>
          <w:p w14:paraId="02242EC7" w14:textId="77777777" w:rsidR="001617C2" w:rsidRPr="001B6518" w:rsidRDefault="001617C2" w:rsidP="008A0393">
            <w:pPr>
              <w:spacing w:after="0" w:line="240" w:lineRule="auto"/>
              <w:jc w:val="center"/>
              <w:rPr>
                <w:rFonts w:ascii="Arial" w:hAnsi="Arial" w:cs="Arial"/>
                <w:b/>
                <w:bCs/>
                <w:sz w:val="16"/>
                <w:szCs w:val="16"/>
              </w:rPr>
            </w:pPr>
            <w:r w:rsidRPr="001B6518">
              <w:rPr>
                <w:rFonts w:ascii="Arial" w:hAnsi="Arial" w:cs="Arial"/>
                <w:b/>
                <w:bCs/>
                <w:sz w:val="16"/>
                <w:szCs w:val="16"/>
              </w:rPr>
              <w:t xml:space="preserve">Deuda pública largo plazo </w:t>
            </w:r>
          </w:p>
        </w:tc>
        <w:tc>
          <w:tcPr>
            <w:tcW w:w="1560" w:type="dxa"/>
            <w:tcBorders>
              <w:top w:val="single" w:sz="4" w:space="0" w:color="auto"/>
              <w:left w:val="nil"/>
              <w:bottom w:val="single" w:sz="4" w:space="0" w:color="auto"/>
              <w:right w:val="single" w:sz="4" w:space="0" w:color="auto"/>
            </w:tcBorders>
            <w:vAlign w:val="center"/>
            <w:hideMark/>
          </w:tcPr>
          <w:p w14:paraId="41232D15" w14:textId="77777777" w:rsidR="001617C2" w:rsidRPr="001B6518" w:rsidRDefault="001617C2" w:rsidP="008A0393">
            <w:pPr>
              <w:spacing w:after="0" w:line="240" w:lineRule="auto"/>
              <w:jc w:val="center"/>
              <w:rPr>
                <w:rFonts w:ascii="Arial" w:hAnsi="Arial" w:cs="Arial"/>
                <w:b/>
                <w:bCs/>
                <w:sz w:val="16"/>
                <w:szCs w:val="16"/>
              </w:rPr>
            </w:pPr>
            <w:r w:rsidRPr="001B6518">
              <w:rPr>
                <w:rFonts w:ascii="Arial" w:hAnsi="Arial" w:cs="Arial"/>
                <w:b/>
                <w:bCs/>
                <w:sz w:val="16"/>
                <w:szCs w:val="16"/>
              </w:rPr>
              <w:t xml:space="preserve">Deuda pública con garantía </w:t>
            </w:r>
          </w:p>
        </w:tc>
      </w:tr>
      <w:tr w:rsidR="001617C2" w:rsidRPr="001B6518" w14:paraId="6F03BFB2" w14:textId="77777777" w:rsidTr="008A0393">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B0EFFD" w14:textId="77777777" w:rsidR="001617C2" w:rsidRPr="001B6518" w:rsidRDefault="001617C2" w:rsidP="008A0393">
            <w:pPr>
              <w:spacing w:after="0" w:line="240" w:lineRule="auto"/>
              <w:rPr>
                <w:rFonts w:ascii="Arial" w:hAnsi="Arial" w:cs="Arial"/>
                <w:b/>
                <w:bCs/>
                <w:sz w:val="16"/>
                <w:szCs w:val="16"/>
              </w:rPr>
            </w:pPr>
          </w:p>
        </w:tc>
        <w:tc>
          <w:tcPr>
            <w:tcW w:w="0" w:type="auto"/>
            <w:tcBorders>
              <w:top w:val="nil"/>
              <w:left w:val="nil"/>
              <w:bottom w:val="single" w:sz="4" w:space="0" w:color="auto"/>
              <w:right w:val="single" w:sz="4" w:space="0" w:color="auto"/>
            </w:tcBorders>
            <w:vAlign w:val="center"/>
            <w:hideMark/>
          </w:tcPr>
          <w:p w14:paraId="1EF35F01" w14:textId="77777777" w:rsidR="001617C2" w:rsidRPr="001B6518" w:rsidRDefault="001617C2" w:rsidP="008A0393">
            <w:pPr>
              <w:spacing w:after="0" w:line="240" w:lineRule="auto"/>
              <w:jc w:val="center"/>
              <w:rPr>
                <w:rFonts w:ascii="Arial" w:hAnsi="Arial" w:cs="Arial"/>
                <w:b/>
                <w:bCs/>
                <w:sz w:val="16"/>
                <w:szCs w:val="16"/>
              </w:rPr>
            </w:pPr>
            <w:r w:rsidRPr="001B6518">
              <w:rPr>
                <w:rFonts w:ascii="Arial" w:hAnsi="Arial" w:cs="Arial"/>
                <w:b/>
                <w:bCs/>
                <w:sz w:val="16"/>
                <w:szCs w:val="16"/>
              </w:rPr>
              <w:t>Banamex, S.A.</w:t>
            </w:r>
            <w:r w:rsidRPr="001B6518">
              <w:rPr>
                <w:rFonts w:ascii="Arial" w:hAnsi="Arial" w:cs="Arial"/>
                <w:b/>
                <w:bCs/>
                <w:sz w:val="16"/>
                <w:szCs w:val="16"/>
              </w:rPr>
              <w:br/>
              <w:t>2,620 mdp</w:t>
            </w:r>
          </w:p>
        </w:tc>
        <w:tc>
          <w:tcPr>
            <w:tcW w:w="0" w:type="auto"/>
            <w:tcBorders>
              <w:top w:val="nil"/>
              <w:left w:val="nil"/>
              <w:bottom w:val="single" w:sz="4" w:space="0" w:color="auto"/>
              <w:right w:val="single" w:sz="4" w:space="0" w:color="auto"/>
            </w:tcBorders>
            <w:vAlign w:val="center"/>
            <w:hideMark/>
          </w:tcPr>
          <w:p w14:paraId="799075A3" w14:textId="77777777" w:rsidR="001617C2" w:rsidRPr="001B6518" w:rsidRDefault="001617C2" w:rsidP="008A0393">
            <w:pPr>
              <w:spacing w:after="0" w:line="240" w:lineRule="auto"/>
              <w:jc w:val="center"/>
              <w:rPr>
                <w:rFonts w:ascii="Arial" w:hAnsi="Arial" w:cs="Arial"/>
                <w:b/>
                <w:bCs/>
                <w:sz w:val="16"/>
                <w:szCs w:val="16"/>
              </w:rPr>
            </w:pPr>
            <w:r w:rsidRPr="001B6518">
              <w:rPr>
                <w:rFonts w:ascii="Arial" w:hAnsi="Arial" w:cs="Arial"/>
                <w:b/>
                <w:bCs/>
                <w:sz w:val="16"/>
                <w:szCs w:val="16"/>
              </w:rPr>
              <w:t>Banobras, S.N.C.</w:t>
            </w:r>
            <w:r w:rsidRPr="001B6518">
              <w:rPr>
                <w:rFonts w:ascii="Arial" w:hAnsi="Arial" w:cs="Arial"/>
                <w:b/>
                <w:bCs/>
                <w:sz w:val="16"/>
                <w:szCs w:val="16"/>
              </w:rPr>
              <w:br/>
              <w:t>800 mdp</w:t>
            </w:r>
          </w:p>
        </w:tc>
        <w:tc>
          <w:tcPr>
            <w:tcW w:w="0" w:type="auto"/>
            <w:tcBorders>
              <w:top w:val="nil"/>
              <w:left w:val="nil"/>
              <w:bottom w:val="single" w:sz="4" w:space="0" w:color="auto"/>
              <w:right w:val="single" w:sz="4" w:space="0" w:color="auto"/>
            </w:tcBorders>
            <w:vAlign w:val="center"/>
            <w:hideMark/>
          </w:tcPr>
          <w:p w14:paraId="35FDF679" w14:textId="77777777" w:rsidR="001617C2" w:rsidRPr="001B6518" w:rsidRDefault="001617C2" w:rsidP="008A0393">
            <w:pPr>
              <w:spacing w:after="0" w:line="240" w:lineRule="auto"/>
              <w:jc w:val="center"/>
              <w:rPr>
                <w:rFonts w:ascii="Arial" w:hAnsi="Arial" w:cs="Arial"/>
                <w:b/>
                <w:bCs/>
                <w:sz w:val="16"/>
                <w:szCs w:val="16"/>
              </w:rPr>
            </w:pPr>
            <w:r w:rsidRPr="001B6518">
              <w:rPr>
                <w:rFonts w:ascii="Arial" w:hAnsi="Arial" w:cs="Arial"/>
                <w:b/>
                <w:bCs/>
                <w:sz w:val="16"/>
                <w:szCs w:val="16"/>
              </w:rPr>
              <w:t>Banobras, S.N.C.</w:t>
            </w:r>
            <w:r w:rsidRPr="001B6518">
              <w:rPr>
                <w:rFonts w:ascii="Arial" w:hAnsi="Arial" w:cs="Arial"/>
                <w:b/>
                <w:bCs/>
                <w:sz w:val="16"/>
                <w:szCs w:val="16"/>
              </w:rPr>
              <w:br/>
              <w:t>1,200 mdp</w:t>
            </w:r>
          </w:p>
        </w:tc>
        <w:tc>
          <w:tcPr>
            <w:tcW w:w="0" w:type="auto"/>
            <w:tcBorders>
              <w:top w:val="nil"/>
              <w:left w:val="nil"/>
              <w:bottom w:val="single" w:sz="4" w:space="0" w:color="auto"/>
              <w:right w:val="single" w:sz="4" w:space="0" w:color="auto"/>
            </w:tcBorders>
            <w:vAlign w:val="center"/>
            <w:hideMark/>
          </w:tcPr>
          <w:p w14:paraId="6AE552C0" w14:textId="77777777" w:rsidR="001617C2" w:rsidRPr="001B6518" w:rsidRDefault="001617C2" w:rsidP="008A0393">
            <w:pPr>
              <w:spacing w:after="0" w:line="240" w:lineRule="auto"/>
              <w:jc w:val="center"/>
              <w:rPr>
                <w:rFonts w:ascii="Arial" w:hAnsi="Arial" w:cs="Arial"/>
                <w:b/>
                <w:bCs/>
                <w:sz w:val="16"/>
                <w:szCs w:val="16"/>
              </w:rPr>
            </w:pPr>
            <w:r w:rsidRPr="001B6518">
              <w:rPr>
                <w:rFonts w:ascii="Arial" w:hAnsi="Arial" w:cs="Arial"/>
                <w:b/>
                <w:bCs/>
                <w:sz w:val="16"/>
                <w:szCs w:val="16"/>
              </w:rPr>
              <w:t>Banobras, S.N.C.</w:t>
            </w:r>
            <w:r w:rsidRPr="001B6518">
              <w:rPr>
                <w:rFonts w:ascii="Arial" w:hAnsi="Arial" w:cs="Arial"/>
                <w:b/>
                <w:bCs/>
                <w:sz w:val="16"/>
                <w:szCs w:val="16"/>
              </w:rPr>
              <w:br/>
              <w:t>1,420 mdp</w:t>
            </w:r>
          </w:p>
        </w:tc>
        <w:tc>
          <w:tcPr>
            <w:tcW w:w="0" w:type="auto"/>
            <w:tcBorders>
              <w:top w:val="nil"/>
              <w:left w:val="nil"/>
              <w:bottom w:val="single" w:sz="4" w:space="0" w:color="auto"/>
              <w:right w:val="single" w:sz="4" w:space="0" w:color="auto"/>
            </w:tcBorders>
            <w:vAlign w:val="center"/>
            <w:hideMark/>
          </w:tcPr>
          <w:p w14:paraId="7AA484EF" w14:textId="77777777" w:rsidR="001617C2" w:rsidRPr="001B6518" w:rsidRDefault="001617C2" w:rsidP="008A0393">
            <w:pPr>
              <w:spacing w:after="0" w:line="240" w:lineRule="auto"/>
              <w:jc w:val="center"/>
              <w:rPr>
                <w:rFonts w:ascii="Arial" w:hAnsi="Arial" w:cs="Arial"/>
                <w:b/>
                <w:bCs/>
                <w:sz w:val="16"/>
                <w:szCs w:val="16"/>
              </w:rPr>
            </w:pPr>
            <w:r w:rsidRPr="001B6518">
              <w:rPr>
                <w:rFonts w:ascii="Arial" w:hAnsi="Arial" w:cs="Arial"/>
                <w:b/>
                <w:bCs/>
                <w:sz w:val="16"/>
                <w:szCs w:val="16"/>
              </w:rPr>
              <w:t>BBVA México, S.A.</w:t>
            </w:r>
            <w:r w:rsidRPr="001B6518">
              <w:rPr>
                <w:rFonts w:ascii="Arial" w:hAnsi="Arial" w:cs="Arial"/>
                <w:b/>
                <w:bCs/>
                <w:sz w:val="16"/>
                <w:szCs w:val="16"/>
              </w:rPr>
              <w:br/>
              <w:t>1,735 mdp</w:t>
            </w:r>
          </w:p>
        </w:tc>
        <w:tc>
          <w:tcPr>
            <w:tcW w:w="0" w:type="auto"/>
            <w:tcBorders>
              <w:top w:val="nil"/>
              <w:left w:val="nil"/>
              <w:bottom w:val="single" w:sz="4" w:space="0" w:color="auto"/>
              <w:right w:val="single" w:sz="4" w:space="0" w:color="auto"/>
            </w:tcBorders>
            <w:vAlign w:val="center"/>
            <w:hideMark/>
          </w:tcPr>
          <w:p w14:paraId="148CC854" w14:textId="77777777" w:rsidR="001617C2" w:rsidRPr="001B6518" w:rsidRDefault="001617C2" w:rsidP="008A0393">
            <w:pPr>
              <w:spacing w:after="0" w:line="240" w:lineRule="auto"/>
              <w:jc w:val="center"/>
              <w:rPr>
                <w:rFonts w:ascii="Arial" w:hAnsi="Arial" w:cs="Arial"/>
                <w:b/>
                <w:bCs/>
                <w:sz w:val="16"/>
                <w:szCs w:val="16"/>
              </w:rPr>
            </w:pPr>
            <w:r w:rsidRPr="001B6518">
              <w:rPr>
                <w:rFonts w:ascii="Arial" w:hAnsi="Arial" w:cs="Arial"/>
                <w:b/>
                <w:bCs/>
                <w:sz w:val="16"/>
                <w:szCs w:val="16"/>
              </w:rPr>
              <w:t>BBVA México, S.A.</w:t>
            </w:r>
            <w:r w:rsidRPr="001B6518">
              <w:rPr>
                <w:rFonts w:ascii="Arial" w:hAnsi="Arial" w:cs="Arial"/>
                <w:b/>
                <w:bCs/>
                <w:sz w:val="16"/>
                <w:szCs w:val="16"/>
              </w:rPr>
              <w:br/>
              <w:t>1,765 mdp</w:t>
            </w:r>
          </w:p>
        </w:tc>
        <w:tc>
          <w:tcPr>
            <w:tcW w:w="1840" w:type="dxa"/>
            <w:tcBorders>
              <w:top w:val="nil"/>
              <w:left w:val="nil"/>
              <w:bottom w:val="nil"/>
              <w:right w:val="single" w:sz="4" w:space="0" w:color="auto"/>
            </w:tcBorders>
            <w:vAlign w:val="center"/>
            <w:hideMark/>
          </w:tcPr>
          <w:p w14:paraId="77EDE999" w14:textId="77777777" w:rsidR="001617C2" w:rsidRPr="001B6518" w:rsidRDefault="001617C2" w:rsidP="008A0393">
            <w:pPr>
              <w:spacing w:after="0" w:line="240" w:lineRule="auto"/>
              <w:jc w:val="center"/>
              <w:rPr>
                <w:rFonts w:ascii="Arial" w:hAnsi="Arial" w:cs="Arial"/>
                <w:b/>
                <w:bCs/>
                <w:sz w:val="16"/>
                <w:szCs w:val="16"/>
              </w:rPr>
            </w:pPr>
            <w:r w:rsidRPr="001B6518">
              <w:rPr>
                <w:rFonts w:ascii="Arial" w:hAnsi="Arial" w:cs="Arial"/>
                <w:b/>
                <w:bCs/>
                <w:sz w:val="16"/>
                <w:szCs w:val="16"/>
              </w:rPr>
              <w:t>Institución financiera autorizada</w:t>
            </w:r>
          </w:p>
        </w:tc>
        <w:tc>
          <w:tcPr>
            <w:tcW w:w="1560" w:type="dxa"/>
            <w:tcBorders>
              <w:top w:val="nil"/>
              <w:left w:val="nil"/>
              <w:bottom w:val="single" w:sz="4" w:space="0" w:color="auto"/>
              <w:right w:val="single" w:sz="4" w:space="0" w:color="auto"/>
            </w:tcBorders>
            <w:vAlign w:val="center"/>
            <w:hideMark/>
          </w:tcPr>
          <w:p w14:paraId="7D277D6D" w14:textId="77777777" w:rsidR="001617C2" w:rsidRPr="001B6518" w:rsidRDefault="001617C2" w:rsidP="008A0393">
            <w:pPr>
              <w:spacing w:after="0" w:line="240" w:lineRule="auto"/>
              <w:jc w:val="center"/>
              <w:rPr>
                <w:rFonts w:ascii="Arial" w:hAnsi="Arial" w:cs="Arial"/>
                <w:b/>
                <w:bCs/>
                <w:sz w:val="16"/>
                <w:szCs w:val="16"/>
              </w:rPr>
            </w:pPr>
            <w:r w:rsidRPr="001B6518">
              <w:rPr>
                <w:rFonts w:ascii="Arial" w:hAnsi="Arial" w:cs="Arial"/>
                <w:b/>
                <w:bCs/>
                <w:sz w:val="16"/>
                <w:szCs w:val="16"/>
              </w:rPr>
              <w:t>Banobras, S.N.C.</w:t>
            </w:r>
            <w:r w:rsidRPr="001B6518">
              <w:rPr>
                <w:rFonts w:ascii="Arial" w:hAnsi="Arial" w:cs="Arial"/>
                <w:b/>
                <w:bCs/>
                <w:sz w:val="16"/>
                <w:szCs w:val="16"/>
              </w:rPr>
              <w:br/>
              <w:t>(PROFISE)</w:t>
            </w:r>
          </w:p>
        </w:tc>
      </w:tr>
      <w:tr w:rsidR="001617C2" w:rsidRPr="001B6518" w14:paraId="2F9ED6C3" w14:textId="77777777" w:rsidTr="008A0393">
        <w:trPr>
          <w:trHeight w:val="200"/>
        </w:trPr>
        <w:tc>
          <w:tcPr>
            <w:tcW w:w="0" w:type="auto"/>
            <w:tcBorders>
              <w:top w:val="nil"/>
              <w:left w:val="single" w:sz="4" w:space="0" w:color="auto"/>
              <w:bottom w:val="single" w:sz="4" w:space="0" w:color="auto"/>
              <w:right w:val="single" w:sz="4" w:space="0" w:color="auto"/>
            </w:tcBorders>
            <w:noWrap/>
            <w:vAlign w:val="center"/>
            <w:hideMark/>
          </w:tcPr>
          <w:p w14:paraId="7DDE0EAA" w14:textId="77777777" w:rsidR="001617C2" w:rsidRPr="001B6518" w:rsidRDefault="001617C2" w:rsidP="008A0393">
            <w:pPr>
              <w:spacing w:after="0" w:line="240" w:lineRule="auto"/>
              <w:jc w:val="center"/>
              <w:rPr>
                <w:rFonts w:ascii="Arial" w:hAnsi="Arial" w:cs="Arial"/>
                <w:color w:val="000000"/>
                <w:sz w:val="16"/>
                <w:szCs w:val="16"/>
              </w:rPr>
            </w:pPr>
            <w:r w:rsidRPr="001B6518">
              <w:rPr>
                <w:rFonts w:ascii="Arial" w:hAnsi="Arial" w:cs="Arial"/>
                <w:color w:val="000000"/>
                <w:sz w:val="16"/>
                <w:szCs w:val="16"/>
              </w:rPr>
              <w:t>2026</w:t>
            </w:r>
          </w:p>
        </w:tc>
        <w:tc>
          <w:tcPr>
            <w:tcW w:w="0" w:type="auto"/>
            <w:tcBorders>
              <w:top w:val="nil"/>
              <w:left w:val="nil"/>
              <w:bottom w:val="single" w:sz="4" w:space="0" w:color="auto"/>
              <w:right w:val="single" w:sz="4" w:space="0" w:color="auto"/>
            </w:tcBorders>
            <w:noWrap/>
            <w:vAlign w:val="center"/>
            <w:hideMark/>
          </w:tcPr>
          <w:p w14:paraId="4AE58B77"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56,213,346</w:t>
            </w:r>
          </w:p>
        </w:tc>
        <w:tc>
          <w:tcPr>
            <w:tcW w:w="0" w:type="auto"/>
            <w:tcBorders>
              <w:top w:val="nil"/>
              <w:left w:val="nil"/>
              <w:bottom w:val="single" w:sz="4" w:space="0" w:color="auto"/>
              <w:right w:val="single" w:sz="4" w:space="0" w:color="auto"/>
            </w:tcBorders>
            <w:noWrap/>
            <w:vAlign w:val="center"/>
            <w:hideMark/>
          </w:tcPr>
          <w:p w14:paraId="632429DF"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15,029,306</w:t>
            </w:r>
          </w:p>
        </w:tc>
        <w:tc>
          <w:tcPr>
            <w:tcW w:w="0" w:type="auto"/>
            <w:tcBorders>
              <w:top w:val="nil"/>
              <w:left w:val="nil"/>
              <w:bottom w:val="single" w:sz="4" w:space="0" w:color="auto"/>
              <w:right w:val="single" w:sz="4" w:space="0" w:color="auto"/>
            </w:tcBorders>
            <w:noWrap/>
            <w:vAlign w:val="center"/>
            <w:hideMark/>
          </w:tcPr>
          <w:p w14:paraId="7D674173"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22,535,010</w:t>
            </w:r>
          </w:p>
        </w:tc>
        <w:tc>
          <w:tcPr>
            <w:tcW w:w="0" w:type="auto"/>
            <w:tcBorders>
              <w:top w:val="nil"/>
              <w:left w:val="nil"/>
              <w:bottom w:val="single" w:sz="4" w:space="0" w:color="auto"/>
              <w:right w:val="single" w:sz="4" w:space="0" w:color="auto"/>
            </w:tcBorders>
            <w:noWrap/>
            <w:vAlign w:val="center"/>
            <w:hideMark/>
          </w:tcPr>
          <w:p w14:paraId="7D46D920"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25,938,255</w:t>
            </w:r>
          </w:p>
        </w:tc>
        <w:tc>
          <w:tcPr>
            <w:tcW w:w="0" w:type="auto"/>
            <w:tcBorders>
              <w:top w:val="nil"/>
              <w:left w:val="nil"/>
              <w:bottom w:val="single" w:sz="4" w:space="0" w:color="auto"/>
              <w:right w:val="single" w:sz="4" w:space="0" w:color="auto"/>
            </w:tcBorders>
            <w:noWrap/>
            <w:vAlign w:val="center"/>
            <w:hideMark/>
          </w:tcPr>
          <w:p w14:paraId="2204A6AD"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24,704,670</w:t>
            </w:r>
          </w:p>
        </w:tc>
        <w:tc>
          <w:tcPr>
            <w:tcW w:w="0" w:type="auto"/>
            <w:tcBorders>
              <w:top w:val="nil"/>
              <w:left w:val="nil"/>
              <w:bottom w:val="single" w:sz="4" w:space="0" w:color="auto"/>
              <w:right w:val="nil"/>
            </w:tcBorders>
            <w:noWrap/>
            <w:vAlign w:val="center"/>
            <w:hideMark/>
          </w:tcPr>
          <w:p w14:paraId="277AECAD"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21,390,953</w:t>
            </w:r>
          </w:p>
        </w:tc>
        <w:tc>
          <w:tcPr>
            <w:tcW w:w="1840" w:type="dxa"/>
            <w:tcBorders>
              <w:top w:val="single" w:sz="4" w:space="0" w:color="auto"/>
              <w:left w:val="single" w:sz="4" w:space="0" w:color="auto"/>
              <w:bottom w:val="single" w:sz="4" w:space="0" w:color="auto"/>
              <w:right w:val="single" w:sz="4" w:space="0" w:color="auto"/>
            </w:tcBorders>
            <w:noWrap/>
            <w:vAlign w:val="center"/>
            <w:hideMark/>
          </w:tcPr>
          <w:p w14:paraId="31D67AAC"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60,000.00</w:t>
            </w:r>
          </w:p>
        </w:tc>
        <w:tc>
          <w:tcPr>
            <w:tcW w:w="1560" w:type="dxa"/>
            <w:tcBorders>
              <w:top w:val="nil"/>
              <w:left w:val="nil"/>
              <w:bottom w:val="single" w:sz="4" w:space="0" w:color="auto"/>
              <w:right w:val="single" w:sz="4" w:space="0" w:color="auto"/>
            </w:tcBorders>
            <w:noWrap/>
            <w:vAlign w:val="center"/>
            <w:hideMark/>
          </w:tcPr>
          <w:p w14:paraId="0C2CD973"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r>
      <w:tr w:rsidR="001617C2" w:rsidRPr="001B6518" w14:paraId="692E5D16" w14:textId="77777777" w:rsidTr="008A0393">
        <w:trPr>
          <w:trHeight w:val="200"/>
        </w:trPr>
        <w:tc>
          <w:tcPr>
            <w:tcW w:w="0" w:type="auto"/>
            <w:tcBorders>
              <w:top w:val="nil"/>
              <w:left w:val="single" w:sz="4" w:space="0" w:color="auto"/>
              <w:bottom w:val="single" w:sz="4" w:space="0" w:color="auto"/>
              <w:right w:val="single" w:sz="4" w:space="0" w:color="auto"/>
            </w:tcBorders>
            <w:noWrap/>
            <w:vAlign w:val="center"/>
            <w:hideMark/>
          </w:tcPr>
          <w:p w14:paraId="7BA1C357" w14:textId="77777777" w:rsidR="001617C2" w:rsidRPr="001B6518" w:rsidRDefault="001617C2" w:rsidP="008A0393">
            <w:pPr>
              <w:spacing w:after="0" w:line="240" w:lineRule="auto"/>
              <w:jc w:val="center"/>
              <w:rPr>
                <w:rFonts w:ascii="Arial" w:hAnsi="Arial" w:cs="Arial"/>
                <w:color w:val="000000"/>
                <w:sz w:val="16"/>
                <w:szCs w:val="16"/>
              </w:rPr>
            </w:pPr>
            <w:r w:rsidRPr="001B6518">
              <w:rPr>
                <w:rFonts w:ascii="Arial" w:hAnsi="Arial" w:cs="Arial"/>
                <w:color w:val="000000"/>
                <w:sz w:val="16"/>
                <w:szCs w:val="16"/>
              </w:rPr>
              <w:t>2027</w:t>
            </w:r>
          </w:p>
        </w:tc>
        <w:tc>
          <w:tcPr>
            <w:tcW w:w="0" w:type="auto"/>
            <w:tcBorders>
              <w:top w:val="nil"/>
              <w:left w:val="nil"/>
              <w:bottom w:val="single" w:sz="4" w:space="0" w:color="auto"/>
              <w:right w:val="single" w:sz="4" w:space="0" w:color="auto"/>
            </w:tcBorders>
            <w:noWrap/>
            <w:vAlign w:val="center"/>
            <w:hideMark/>
          </w:tcPr>
          <w:p w14:paraId="07CFCBE8"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65,249,895</w:t>
            </w:r>
          </w:p>
        </w:tc>
        <w:tc>
          <w:tcPr>
            <w:tcW w:w="0" w:type="auto"/>
            <w:tcBorders>
              <w:top w:val="nil"/>
              <w:left w:val="nil"/>
              <w:bottom w:val="single" w:sz="4" w:space="0" w:color="auto"/>
              <w:right w:val="single" w:sz="4" w:space="0" w:color="auto"/>
            </w:tcBorders>
            <w:noWrap/>
            <w:vAlign w:val="center"/>
            <w:hideMark/>
          </w:tcPr>
          <w:p w14:paraId="49CE3AF4"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17,445,334</w:t>
            </w:r>
          </w:p>
        </w:tc>
        <w:tc>
          <w:tcPr>
            <w:tcW w:w="0" w:type="auto"/>
            <w:tcBorders>
              <w:top w:val="nil"/>
              <w:left w:val="nil"/>
              <w:bottom w:val="single" w:sz="4" w:space="0" w:color="auto"/>
              <w:right w:val="single" w:sz="4" w:space="0" w:color="auto"/>
            </w:tcBorders>
            <w:noWrap/>
            <w:vAlign w:val="center"/>
            <w:hideMark/>
          </w:tcPr>
          <w:p w14:paraId="07B87AE9"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26,157,615</w:t>
            </w:r>
          </w:p>
        </w:tc>
        <w:tc>
          <w:tcPr>
            <w:tcW w:w="0" w:type="auto"/>
            <w:tcBorders>
              <w:top w:val="nil"/>
              <w:left w:val="nil"/>
              <w:bottom w:val="single" w:sz="4" w:space="0" w:color="auto"/>
              <w:right w:val="single" w:sz="4" w:space="0" w:color="auto"/>
            </w:tcBorders>
            <w:noWrap/>
            <w:vAlign w:val="center"/>
            <w:hideMark/>
          </w:tcPr>
          <w:p w14:paraId="4B4FEF12"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30,107,946</w:t>
            </w:r>
          </w:p>
        </w:tc>
        <w:tc>
          <w:tcPr>
            <w:tcW w:w="0" w:type="auto"/>
            <w:tcBorders>
              <w:top w:val="nil"/>
              <w:left w:val="nil"/>
              <w:bottom w:val="single" w:sz="4" w:space="0" w:color="auto"/>
              <w:right w:val="single" w:sz="4" w:space="0" w:color="auto"/>
            </w:tcBorders>
            <w:noWrap/>
            <w:vAlign w:val="center"/>
            <w:hideMark/>
          </w:tcPr>
          <w:p w14:paraId="549368BE"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28,676,057</w:t>
            </w:r>
          </w:p>
        </w:tc>
        <w:tc>
          <w:tcPr>
            <w:tcW w:w="0" w:type="auto"/>
            <w:tcBorders>
              <w:top w:val="nil"/>
              <w:left w:val="nil"/>
              <w:bottom w:val="single" w:sz="4" w:space="0" w:color="auto"/>
              <w:right w:val="nil"/>
            </w:tcBorders>
            <w:noWrap/>
            <w:vAlign w:val="center"/>
            <w:hideMark/>
          </w:tcPr>
          <w:p w14:paraId="36262DBF"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24,829,019</w:t>
            </w:r>
          </w:p>
        </w:tc>
        <w:tc>
          <w:tcPr>
            <w:tcW w:w="1840" w:type="dxa"/>
            <w:tcBorders>
              <w:top w:val="nil"/>
              <w:left w:val="single" w:sz="4" w:space="0" w:color="auto"/>
              <w:bottom w:val="single" w:sz="4" w:space="0" w:color="auto"/>
              <w:right w:val="single" w:sz="4" w:space="0" w:color="auto"/>
            </w:tcBorders>
            <w:noWrap/>
            <w:vAlign w:val="center"/>
            <w:hideMark/>
          </w:tcPr>
          <w:p w14:paraId="71B5C15D"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7,466,098</w:t>
            </w:r>
          </w:p>
        </w:tc>
        <w:tc>
          <w:tcPr>
            <w:tcW w:w="1560" w:type="dxa"/>
            <w:tcBorders>
              <w:top w:val="nil"/>
              <w:left w:val="nil"/>
              <w:bottom w:val="single" w:sz="4" w:space="0" w:color="auto"/>
              <w:right w:val="single" w:sz="4" w:space="0" w:color="auto"/>
            </w:tcBorders>
            <w:noWrap/>
            <w:vAlign w:val="center"/>
            <w:hideMark/>
          </w:tcPr>
          <w:p w14:paraId="64C809D7"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r>
      <w:tr w:rsidR="001617C2" w:rsidRPr="001B6518" w14:paraId="5056265A" w14:textId="77777777" w:rsidTr="008A0393">
        <w:trPr>
          <w:trHeight w:val="200"/>
        </w:trPr>
        <w:tc>
          <w:tcPr>
            <w:tcW w:w="0" w:type="auto"/>
            <w:tcBorders>
              <w:top w:val="nil"/>
              <w:left w:val="single" w:sz="4" w:space="0" w:color="auto"/>
              <w:bottom w:val="single" w:sz="4" w:space="0" w:color="auto"/>
              <w:right w:val="single" w:sz="4" w:space="0" w:color="auto"/>
            </w:tcBorders>
            <w:noWrap/>
            <w:vAlign w:val="center"/>
            <w:hideMark/>
          </w:tcPr>
          <w:p w14:paraId="32B608FB" w14:textId="77777777" w:rsidR="001617C2" w:rsidRPr="001B6518" w:rsidRDefault="001617C2" w:rsidP="008A0393">
            <w:pPr>
              <w:spacing w:after="0" w:line="240" w:lineRule="auto"/>
              <w:jc w:val="center"/>
              <w:rPr>
                <w:rFonts w:ascii="Arial" w:hAnsi="Arial" w:cs="Arial"/>
                <w:color w:val="000000"/>
                <w:sz w:val="16"/>
                <w:szCs w:val="16"/>
              </w:rPr>
            </w:pPr>
            <w:r w:rsidRPr="001B6518">
              <w:rPr>
                <w:rFonts w:ascii="Arial" w:hAnsi="Arial" w:cs="Arial"/>
                <w:color w:val="000000"/>
                <w:sz w:val="16"/>
                <w:szCs w:val="16"/>
              </w:rPr>
              <w:t>2028</w:t>
            </w:r>
          </w:p>
        </w:tc>
        <w:tc>
          <w:tcPr>
            <w:tcW w:w="0" w:type="auto"/>
            <w:tcBorders>
              <w:top w:val="nil"/>
              <w:left w:val="nil"/>
              <w:bottom w:val="single" w:sz="4" w:space="0" w:color="auto"/>
              <w:right w:val="single" w:sz="4" w:space="0" w:color="auto"/>
            </w:tcBorders>
            <w:noWrap/>
            <w:vAlign w:val="center"/>
            <w:hideMark/>
          </w:tcPr>
          <w:p w14:paraId="0C8365EB"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75,739,110</w:t>
            </w:r>
          </w:p>
        </w:tc>
        <w:tc>
          <w:tcPr>
            <w:tcW w:w="0" w:type="auto"/>
            <w:tcBorders>
              <w:top w:val="nil"/>
              <w:left w:val="nil"/>
              <w:bottom w:val="single" w:sz="4" w:space="0" w:color="auto"/>
              <w:right w:val="single" w:sz="4" w:space="0" w:color="auto"/>
            </w:tcBorders>
            <w:noWrap/>
            <w:vAlign w:val="center"/>
            <w:hideMark/>
          </w:tcPr>
          <w:p w14:paraId="27E9AEF5"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20,249,750</w:t>
            </w:r>
          </w:p>
        </w:tc>
        <w:tc>
          <w:tcPr>
            <w:tcW w:w="0" w:type="auto"/>
            <w:tcBorders>
              <w:top w:val="nil"/>
              <w:left w:val="nil"/>
              <w:bottom w:val="single" w:sz="4" w:space="0" w:color="auto"/>
              <w:right w:val="single" w:sz="4" w:space="0" w:color="auto"/>
            </w:tcBorders>
            <w:noWrap/>
            <w:vAlign w:val="center"/>
            <w:hideMark/>
          </w:tcPr>
          <w:p w14:paraId="4AE9A487"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30,362,569</w:t>
            </w:r>
          </w:p>
        </w:tc>
        <w:tc>
          <w:tcPr>
            <w:tcW w:w="0" w:type="auto"/>
            <w:tcBorders>
              <w:top w:val="nil"/>
              <w:left w:val="nil"/>
              <w:bottom w:val="single" w:sz="4" w:space="0" w:color="auto"/>
              <w:right w:val="single" w:sz="4" w:space="0" w:color="auto"/>
            </w:tcBorders>
            <w:noWrap/>
            <w:vAlign w:val="center"/>
            <w:hideMark/>
          </w:tcPr>
          <w:p w14:paraId="00599960"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34,947,934</w:t>
            </w:r>
          </w:p>
        </w:tc>
        <w:tc>
          <w:tcPr>
            <w:tcW w:w="0" w:type="auto"/>
            <w:tcBorders>
              <w:top w:val="nil"/>
              <w:left w:val="nil"/>
              <w:bottom w:val="single" w:sz="4" w:space="0" w:color="auto"/>
              <w:right w:val="single" w:sz="4" w:space="0" w:color="auto"/>
            </w:tcBorders>
            <w:noWrap/>
            <w:vAlign w:val="center"/>
            <w:hideMark/>
          </w:tcPr>
          <w:p w14:paraId="085DB28C"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33,285,863</w:t>
            </w:r>
          </w:p>
        </w:tc>
        <w:tc>
          <w:tcPr>
            <w:tcW w:w="0" w:type="auto"/>
            <w:tcBorders>
              <w:top w:val="nil"/>
              <w:left w:val="nil"/>
              <w:bottom w:val="single" w:sz="4" w:space="0" w:color="auto"/>
              <w:right w:val="nil"/>
            </w:tcBorders>
            <w:noWrap/>
            <w:vAlign w:val="center"/>
            <w:hideMark/>
          </w:tcPr>
          <w:p w14:paraId="0D9760F5"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28,819,670</w:t>
            </w:r>
          </w:p>
        </w:tc>
        <w:tc>
          <w:tcPr>
            <w:tcW w:w="1840" w:type="dxa"/>
            <w:tcBorders>
              <w:top w:val="nil"/>
              <w:left w:val="single" w:sz="4" w:space="0" w:color="auto"/>
              <w:bottom w:val="single" w:sz="4" w:space="0" w:color="auto"/>
              <w:right w:val="single" w:sz="4" w:space="0" w:color="auto"/>
            </w:tcBorders>
            <w:noWrap/>
            <w:vAlign w:val="center"/>
            <w:hideMark/>
          </w:tcPr>
          <w:p w14:paraId="036F4C6C"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16,575,868</w:t>
            </w:r>
          </w:p>
        </w:tc>
        <w:tc>
          <w:tcPr>
            <w:tcW w:w="1560" w:type="dxa"/>
            <w:tcBorders>
              <w:top w:val="nil"/>
              <w:left w:val="nil"/>
              <w:bottom w:val="single" w:sz="4" w:space="0" w:color="auto"/>
              <w:right w:val="single" w:sz="4" w:space="0" w:color="auto"/>
            </w:tcBorders>
            <w:noWrap/>
            <w:vAlign w:val="center"/>
            <w:hideMark/>
          </w:tcPr>
          <w:p w14:paraId="5FD38304"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r>
      <w:tr w:rsidR="001617C2" w:rsidRPr="001B6518" w14:paraId="72972FF4" w14:textId="77777777" w:rsidTr="008A0393">
        <w:trPr>
          <w:trHeight w:val="200"/>
        </w:trPr>
        <w:tc>
          <w:tcPr>
            <w:tcW w:w="0" w:type="auto"/>
            <w:tcBorders>
              <w:top w:val="nil"/>
              <w:left w:val="single" w:sz="4" w:space="0" w:color="auto"/>
              <w:bottom w:val="single" w:sz="4" w:space="0" w:color="auto"/>
              <w:right w:val="single" w:sz="4" w:space="0" w:color="auto"/>
            </w:tcBorders>
            <w:noWrap/>
            <w:vAlign w:val="center"/>
            <w:hideMark/>
          </w:tcPr>
          <w:p w14:paraId="140A3073" w14:textId="77777777" w:rsidR="001617C2" w:rsidRPr="001B6518" w:rsidRDefault="001617C2" w:rsidP="008A0393">
            <w:pPr>
              <w:spacing w:after="0" w:line="240" w:lineRule="auto"/>
              <w:jc w:val="center"/>
              <w:rPr>
                <w:rFonts w:ascii="Arial" w:hAnsi="Arial" w:cs="Arial"/>
                <w:color w:val="000000"/>
                <w:sz w:val="16"/>
                <w:szCs w:val="16"/>
              </w:rPr>
            </w:pPr>
            <w:r w:rsidRPr="001B6518">
              <w:rPr>
                <w:rFonts w:ascii="Arial" w:hAnsi="Arial" w:cs="Arial"/>
                <w:color w:val="000000"/>
                <w:sz w:val="16"/>
                <w:szCs w:val="16"/>
              </w:rPr>
              <w:t>2029</w:t>
            </w:r>
          </w:p>
        </w:tc>
        <w:tc>
          <w:tcPr>
            <w:tcW w:w="0" w:type="auto"/>
            <w:tcBorders>
              <w:top w:val="nil"/>
              <w:left w:val="nil"/>
              <w:bottom w:val="single" w:sz="4" w:space="0" w:color="auto"/>
              <w:right w:val="single" w:sz="4" w:space="0" w:color="auto"/>
            </w:tcBorders>
            <w:noWrap/>
            <w:vAlign w:val="center"/>
            <w:hideMark/>
          </w:tcPr>
          <w:p w14:paraId="65F178E0"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87,914,514</w:t>
            </w:r>
          </w:p>
        </w:tc>
        <w:tc>
          <w:tcPr>
            <w:tcW w:w="0" w:type="auto"/>
            <w:tcBorders>
              <w:top w:val="nil"/>
              <w:left w:val="nil"/>
              <w:bottom w:val="single" w:sz="4" w:space="0" w:color="auto"/>
              <w:right w:val="single" w:sz="4" w:space="0" w:color="auto"/>
            </w:tcBorders>
            <w:noWrap/>
            <w:vAlign w:val="center"/>
            <w:hideMark/>
          </w:tcPr>
          <w:p w14:paraId="7BB7260D"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23,504,990</w:t>
            </w:r>
          </w:p>
        </w:tc>
        <w:tc>
          <w:tcPr>
            <w:tcW w:w="0" w:type="auto"/>
            <w:tcBorders>
              <w:top w:val="nil"/>
              <w:left w:val="nil"/>
              <w:bottom w:val="single" w:sz="4" w:space="0" w:color="auto"/>
              <w:right w:val="single" w:sz="4" w:space="0" w:color="auto"/>
            </w:tcBorders>
            <w:noWrap/>
            <w:vAlign w:val="center"/>
            <w:hideMark/>
          </w:tcPr>
          <w:p w14:paraId="3C3BCA84"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35,243,490</w:t>
            </w:r>
          </w:p>
        </w:tc>
        <w:tc>
          <w:tcPr>
            <w:tcW w:w="0" w:type="auto"/>
            <w:tcBorders>
              <w:top w:val="nil"/>
              <w:left w:val="nil"/>
              <w:bottom w:val="single" w:sz="4" w:space="0" w:color="auto"/>
              <w:right w:val="single" w:sz="4" w:space="0" w:color="auto"/>
            </w:tcBorders>
            <w:noWrap/>
            <w:vAlign w:val="center"/>
            <w:hideMark/>
          </w:tcPr>
          <w:p w14:paraId="5CD5054A"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40,565,973</w:t>
            </w:r>
          </w:p>
        </w:tc>
        <w:tc>
          <w:tcPr>
            <w:tcW w:w="0" w:type="auto"/>
            <w:tcBorders>
              <w:top w:val="nil"/>
              <w:left w:val="nil"/>
              <w:bottom w:val="single" w:sz="4" w:space="0" w:color="auto"/>
              <w:right w:val="single" w:sz="4" w:space="0" w:color="auto"/>
            </w:tcBorders>
            <w:noWrap/>
            <w:vAlign w:val="center"/>
            <w:hideMark/>
          </w:tcPr>
          <w:p w14:paraId="7338D1D4"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38,636,716</w:t>
            </w:r>
          </w:p>
        </w:tc>
        <w:tc>
          <w:tcPr>
            <w:tcW w:w="0" w:type="auto"/>
            <w:tcBorders>
              <w:top w:val="nil"/>
              <w:left w:val="nil"/>
              <w:bottom w:val="single" w:sz="4" w:space="0" w:color="auto"/>
              <w:right w:val="nil"/>
            </w:tcBorders>
            <w:noWrap/>
            <w:vAlign w:val="center"/>
            <w:hideMark/>
          </w:tcPr>
          <w:p w14:paraId="65D6AC12"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33,451,720</w:t>
            </w:r>
          </w:p>
        </w:tc>
        <w:tc>
          <w:tcPr>
            <w:tcW w:w="1840" w:type="dxa"/>
            <w:tcBorders>
              <w:top w:val="nil"/>
              <w:left w:val="single" w:sz="4" w:space="0" w:color="auto"/>
              <w:bottom w:val="single" w:sz="4" w:space="0" w:color="auto"/>
              <w:right w:val="single" w:sz="4" w:space="0" w:color="auto"/>
            </w:tcBorders>
            <w:noWrap/>
            <w:vAlign w:val="center"/>
            <w:hideMark/>
          </w:tcPr>
          <w:p w14:paraId="77942AB1"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19,240,514</w:t>
            </w:r>
          </w:p>
        </w:tc>
        <w:tc>
          <w:tcPr>
            <w:tcW w:w="1560" w:type="dxa"/>
            <w:tcBorders>
              <w:top w:val="nil"/>
              <w:left w:val="nil"/>
              <w:bottom w:val="single" w:sz="4" w:space="0" w:color="auto"/>
              <w:right w:val="single" w:sz="4" w:space="0" w:color="auto"/>
            </w:tcBorders>
            <w:noWrap/>
            <w:vAlign w:val="center"/>
            <w:hideMark/>
          </w:tcPr>
          <w:p w14:paraId="0A36C7AF"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r>
      <w:tr w:rsidR="001617C2" w:rsidRPr="001B6518" w14:paraId="16D23E49" w14:textId="77777777" w:rsidTr="008A0393">
        <w:trPr>
          <w:trHeight w:val="200"/>
        </w:trPr>
        <w:tc>
          <w:tcPr>
            <w:tcW w:w="0" w:type="auto"/>
            <w:tcBorders>
              <w:top w:val="nil"/>
              <w:left w:val="single" w:sz="4" w:space="0" w:color="auto"/>
              <w:bottom w:val="single" w:sz="4" w:space="0" w:color="auto"/>
              <w:right w:val="single" w:sz="4" w:space="0" w:color="auto"/>
            </w:tcBorders>
            <w:noWrap/>
            <w:vAlign w:val="center"/>
            <w:hideMark/>
          </w:tcPr>
          <w:p w14:paraId="2D17AA5D" w14:textId="77777777" w:rsidR="001617C2" w:rsidRPr="001B6518" w:rsidRDefault="001617C2" w:rsidP="008A0393">
            <w:pPr>
              <w:spacing w:after="0" w:line="240" w:lineRule="auto"/>
              <w:jc w:val="center"/>
              <w:rPr>
                <w:rFonts w:ascii="Arial" w:hAnsi="Arial" w:cs="Arial"/>
                <w:color w:val="000000"/>
                <w:sz w:val="16"/>
                <w:szCs w:val="16"/>
              </w:rPr>
            </w:pPr>
            <w:r w:rsidRPr="001B6518">
              <w:rPr>
                <w:rFonts w:ascii="Arial" w:hAnsi="Arial" w:cs="Arial"/>
                <w:color w:val="000000"/>
                <w:sz w:val="16"/>
                <w:szCs w:val="16"/>
              </w:rPr>
              <w:t>2030</w:t>
            </w:r>
          </w:p>
        </w:tc>
        <w:tc>
          <w:tcPr>
            <w:tcW w:w="0" w:type="auto"/>
            <w:tcBorders>
              <w:top w:val="nil"/>
              <w:left w:val="nil"/>
              <w:bottom w:val="single" w:sz="4" w:space="0" w:color="auto"/>
              <w:right w:val="single" w:sz="4" w:space="0" w:color="auto"/>
            </w:tcBorders>
            <w:noWrap/>
            <w:vAlign w:val="center"/>
            <w:hideMark/>
          </w:tcPr>
          <w:p w14:paraId="7FEF7C09"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102,047,170</w:t>
            </w:r>
          </w:p>
        </w:tc>
        <w:tc>
          <w:tcPr>
            <w:tcW w:w="0" w:type="auto"/>
            <w:tcBorders>
              <w:top w:val="nil"/>
              <w:left w:val="nil"/>
              <w:bottom w:val="single" w:sz="4" w:space="0" w:color="auto"/>
              <w:right w:val="single" w:sz="4" w:space="0" w:color="auto"/>
            </w:tcBorders>
            <w:noWrap/>
            <w:vAlign w:val="center"/>
            <w:hideMark/>
          </w:tcPr>
          <w:p w14:paraId="217665B3"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27,283,522</w:t>
            </w:r>
          </w:p>
        </w:tc>
        <w:tc>
          <w:tcPr>
            <w:tcW w:w="0" w:type="auto"/>
            <w:tcBorders>
              <w:top w:val="nil"/>
              <w:left w:val="nil"/>
              <w:bottom w:val="single" w:sz="4" w:space="0" w:color="auto"/>
              <w:right w:val="single" w:sz="4" w:space="0" w:color="auto"/>
            </w:tcBorders>
            <w:noWrap/>
            <w:vAlign w:val="center"/>
            <w:hideMark/>
          </w:tcPr>
          <w:p w14:paraId="56284464"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40,909,040</w:t>
            </w:r>
          </w:p>
        </w:tc>
        <w:tc>
          <w:tcPr>
            <w:tcW w:w="0" w:type="auto"/>
            <w:tcBorders>
              <w:top w:val="nil"/>
              <w:left w:val="nil"/>
              <w:bottom w:val="single" w:sz="4" w:space="0" w:color="auto"/>
              <w:right w:val="single" w:sz="4" w:space="0" w:color="auto"/>
            </w:tcBorders>
            <w:noWrap/>
            <w:vAlign w:val="center"/>
            <w:hideMark/>
          </w:tcPr>
          <w:p w14:paraId="61D48B4A"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47,087,136</w:t>
            </w:r>
          </w:p>
        </w:tc>
        <w:tc>
          <w:tcPr>
            <w:tcW w:w="0" w:type="auto"/>
            <w:tcBorders>
              <w:top w:val="nil"/>
              <w:left w:val="nil"/>
              <w:bottom w:val="single" w:sz="4" w:space="0" w:color="auto"/>
              <w:right w:val="single" w:sz="4" w:space="0" w:color="auto"/>
            </w:tcBorders>
            <w:noWrap/>
            <w:vAlign w:val="center"/>
            <w:hideMark/>
          </w:tcPr>
          <w:p w14:paraId="31F0835B"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44,847,742</w:t>
            </w:r>
          </w:p>
        </w:tc>
        <w:tc>
          <w:tcPr>
            <w:tcW w:w="0" w:type="auto"/>
            <w:tcBorders>
              <w:top w:val="nil"/>
              <w:left w:val="nil"/>
              <w:bottom w:val="single" w:sz="4" w:space="0" w:color="auto"/>
              <w:right w:val="nil"/>
            </w:tcBorders>
            <w:noWrap/>
            <w:vAlign w:val="center"/>
            <w:hideMark/>
          </w:tcPr>
          <w:p w14:paraId="72EBFBFE"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38,828,256</w:t>
            </w:r>
          </w:p>
        </w:tc>
        <w:tc>
          <w:tcPr>
            <w:tcW w:w="1840" w:type="dxa"/>
            <w:tcBorders>
              <w:top w:val="nil"/>
              <w:left w:val="single" w:sz="4" w:space="0" w:color="auto"/>
              <w:bottom w:val="single" w:sz="4" w:space="0" w:color="auto"/>
              <w:right w:val="single" w:sz="4" w:space="0" w:color="auto"/>
            </w:tcBorders>
            <w:noWrap/>
            <w:vAlign w:val="center"/>
            <w:hideMark/>
          </w:tcPr>
          <w:p w14:paraId="622F397B"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22,333,513</w:t>
            </w:r>
          </w:p>
        </w:tc>
        <w:tc>
          <w:tcPr>
            <w:tcW w:w="1560" w:type="dxa"/>
            <w:tcBorders>
              <w:top w:val="nil"/>
              <w:left w:val="nil"/>
              <w:bottom w:val="single" w:sz="4" w:space="0" w:color="auto"/>
              <w:right w:val="single" w:sz="4" w:space="0" w:color="auto"/>
            </w:tcBorders>
            <w:noWrap/>
            <w:vAlign w:val="center"/>
            <w:hideMark/>
          </w:tcPr>
          <w:p w14:paraId="48BD076A"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r>
      <w:tr w:rsidR="001617C2" w:rsidRPr="001B6518" w14:paraId="57FB7D69" w14:textId="77777777" w:rsidTr="008A0393">
        <w:trPr>
          <w:trHeight w:val="200"/>
        </w:trPr>
        <w:tc>
          <w:tcPr>
            <w:tcW w:w="0" w:type="auto"/>
            <w:tcBorders>
              <w:top w:val="nil"/>
              <w:left w:val="single" w:sz="4" w:space="0" w:color="auto"/>
              <w:bottom w:val="single" w:sz="4" w:space="0" w:color="auto"/>
              <w:right w:val="single" w:sz="4" w:space="0" w:color="auto"/>
            </w:tcBorders>
            <w:noWrap/>
            <w:vAlign w:val="center"/>
            <w:hideMark/>
          </w:tcPr>
          <w:p w14:paraId="1AAC22A8" w14:textId="77777777" w:rsidR="001617C2" w:rsidRPr="001B6518" w:rsidRDefault="001617C2" w:rsidP="008A0393">
            <w:pPr>
              <w:spacing w:after="0" w:line="240" w:lineRule="auto"/>
              <w:jc w:val="center"/>
              <w:rPr>
                <w:rFonts w:ascii="Arial" w:hAnsi="Arial" w:cs="Arial"/>
                <w:color w:val="000000"/>
                <w:sz w:val="16"/>
                <w:szCs w:val="16"/>
              </w:rPr>
            </w:pPr>
            <w:r w:rsidRPr="001B6518">
              <w:rPr>
                <w:rFonts w:ascii="Arial" w:hAnsi="Arial" w:cs="Arial"/>
                <w:color w:val="000000"/>
                <w:sz w:val="16"/>
                <w:szCs w:val="16"/>
              </w:rPr>
              <w:t>2031</w:t>
            </w:r>
          </w:p>
        </w:tc>
        <w:tc>
          <w:tcPr>
            <w:tcW w:w="0" w:type="auto"/>
            <w:tcBorders>
              <w:top w:val="nil"/>
              <w:left w:val="nil"/>
              <w:bottom w:val="single" w:sz="4" w:space="0" w:color="auto"/>
              <w:right w:val="single" w:sz="4" w:space="0" w:color="auto"/>
            </w:tcBorders>
            <w:noWrap/>
            <w:vAlign w:val="center"/>
            <w:hideMark/>
          </w:tcPr>
          <w:p w14:paraId="58BA39FB"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118,451,713</w:t>
            </w:r>
          </w:p>
        </w:tc>
        <w:tc>
          <w:tcPr>
            <w:tcW w:w="0" w:type="auto"/>
            <w:tcBorders>
              <w:top w:val="nil"/>
              <w:left w:val="nil"/>
              <w:bottom w:val="single" w:sz="4" w:space="0" w:color="auto"/>
              <w:right w:val="single" w:sz="4" w:space="0" w:color="auto"/>
            </w:tcBorders>
            <w:noWrap/>
            <w:vAlign w:val="center"/>
            <w:hideMark/>
          </w:tcPr>
          <w:p w14:paraId="7B4F3FCD"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31,669,471</w:t>
            </w:r>
          </w:p>
        </w:tc>
        <w:tc>
          <w:tcPr>
            <w:tcW w:w="0" w:type="auto"/>
            <w:tcBorders>
              <w:top w:val="nil"/>
              <w:left w:val="nil"/>
              <w:bottom w:val="single" w:sz="4" w:space="0" w:color="auto"/>
              <w:right w:val="single" w:sz="4" w:space="0" w:color="auto"/>
            </w:tcBorders>
            <w:noWrap/>
            <w:vAlign w:val="center"/>
            <w:hideMark/>
          </w:tcPr>
          <w:p w14:paraId="2A4F91B6"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47,485,352</w:t>
            </w:r>
          </w:p>
        </w:tc>
        <w:tc>
          <w:tcPr>
            <w:tcW w:w="0" w:type="auto"/>
            <w:tcBorders>
              <w:top w:val="nil"/>
              <w:left w:val="nil"/>
              <w:bottom w:val="single" w:sz="4" w:space="0" w:color="auto"/>
              <w:right w:val="single" w:sz="4" w:space="0" w:color="auto"/>
            </w:tcBorders>
            <w:noWrap/>
            <w:vAlign w:val="center"/>
            <w:hideMark/>
          </w:tcPr>
          <w:p w14:paraId="4995BEDF"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54,656,605</w:t>
            </w:r>
          </w:p>
        </w:tc>
        <w:tc>
          <w:tcPr>
            <w:tcW w:w="0" w:type="auto"/>
            <w:tcBorders>
              <w:top w:val="nil"/>
              <w:left w:val="nil"/>
              <w:bottom w:val="single" w:sz="4" w:space="0" w:color="auto"/>
              <w:right w:val="single" w:sz="4" w:space="0" w:color="auto"/>
            </w:tcBorders>
            <w:noWrap/>
            <w:vAlign w:val="center"/>
            <w:hideMark/>
          </w:tcPr>
          <w:p w14:paraId="10C83CFE"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52,057,219</w:t>
            </w:r>
          </w:p>
        </w:tc>
        <w:tc>
          <w:tcPr>
            <w:tcW w:w="0" w:type="auto"/>
            <w:tcBorders>
              <w:top w:val="nil"/>
              <w:left w:val="nil"/>
              <w:bottom w:val="single" w:sz="4" w:space="0" w:color="auto"/>
              <w:right w:val="nil"/>
            </w:tcBorders>
            <w:noWrap/>
            <w:vAlign w:val="center"/>
            <w:hideMark/>
          </w:tcPr>
          <w:p w14:paraId="6CD896CA"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45,068,938</w:t>
            </w:r>
          </w:p>
        </w:tc>
        <w:tc>
          <w:tcPr>
            <w:tcW w:w="1840" w:type="dxa"/>
            <w:tcBorders>
              <w:top w:val="nil"/>
              <w:left w:val="single" w:sz="4" w:space="0" w:color="auto"/>
              <w:bottom w:val="single" w:sz="4" w:space="0" w:color="auto"/>
              <w:right w:val="single" w:sz="4" w:space="0" w:color="auto"/>
            </w:tcBorders>
            <w:noWrap/>
            <w:vAlign w:val="center"/>
            <w:hideMark/>
          </w:tcPr>
          <w:p w14:paraId="4C1DBE44"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25,923,726</w:t>
            </w:r>
          </w:p>
        </w:tc>
        <w:tc>
          <w:tcPr>
            <w:tcW w:w="1560" w:type="dxa"/>
            <w:tcBorders>
              <w:top w:val="nil"/>
              <w:left w:val="nil"/>
              <w:bottom w:val="single" w:sz="4" w:space="0" w:color="auto"/>
              <w:right w:val="single" w:sz="4" w:space="0" w:color="auto"/>
            </w:tcBorders>
            <w:noWrap/>
            <w:vAlign w:val="center"/>
            <w:hideMark/>
          </w:tcPr>
          <w:p w14:paraId="2C190C59"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r>
      <w:tr w:rsidR="001617C2" w:rsidRPr="001B6518" w14:paraId="3C7A0EAD" w14:textId="77777777" w:rsidTr="008A0393">
        <w:trPr>
          <w:trHeight w:val="200"/>
        </w:trPr>
        <w:tc>
          <w:tcPr>
            <w:tcW w:w="0" w:type="auto"/>
            <w:tcBorders>
              <w:top w:val="nil"/>
              <w:left w:val="single" w:sz="4" w:space="0" w:color="auto"/>
              <w:bottom w:val="single" w:sz="4" w:space="0" w:color="auto"/>
              <w:right w:val="single" w:sz="4" w:space="0" w:color="auto"/>
            </w:tcBorders>
            <w:noWrap/>
            <w:vAlign w:val="center"/>
            <w:hideMark/>
          </w:tcPr>
          <w:p w14:paraId="6606FF22" w14:textId="77777777" w:rsidR="001617C2" w:rsidRPr="001B6518" w:rsidRDefault="001617C2" w:rsidP="008A0393">
            <w:pPr>
              <w:spacing w:after="0" w:line="240" w:lineRule="auto"/>
              <w:jc w:val="center"/>
              <w:rPr>
                <w:rFonts w:ascii="Arial" w:hAnsi="Arial" w:cs="Arial"/>
                <w:color w:val="000000"/>
                <w:sz w:val="16"/>
                <w:szCs w:val="16"/>
              </w:rPr>
            </w:pPr>
            <w:r w:rsidRPr="001B6518">
              <w:rPr>
                <w:rFonts w:ascii="Arial" w:hAnsi="Arial" w:cs="Arial"/>
                <w:color w:val="000000"/>
                <w:sz w:val="16"/>
                <w:szCs w:val="16"/>
              </w:rPr>
              <w:t>2032</w:t>
            </w:r>
          </w:p>
        </w:tc>
        <w:tc>
          <w:tcPr>
            <w:tcW w:w="0" w:type="auto"/>
            <w:tcBorders>
              <w:top w:val="nil"/>
              <w:left w:val="nil"/>
              <w:bottom w:val="single" w:sz="4" w:space="0" w:color="auto"/>
              <w:right w:val="single" w:sz="4" w:space="0" w:color="auto"/>
            </w:tcBorders>
            <w:noWrap/>
            <w:vAlign w:val="center"/>
            <w:hideMark/>
          </w:tcPr>
          <w:p w14:paraId="35769AF6"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137,493,361</w:t>
            </w:r>
          </w:p>
        </w:tc>
        <w:tc>
          <w:tcPr>
            <w:tcW w:w="0" w:type="auto"/>
            <w:tcBorders>
              <w:top w:val="nil"/>
              <w:left w:val="nil"/>
              <w:bottom w:val="single" w:sz="4" w:space="0" w:color="auto"/>
              <w:right w:val="single" w:sz="4" w:space="0" w:color="auto"/>
            </w:tcBorders>
            <w:noWrap/>
            <w:vAlign w:val="center"/>
            <w:hideMark/>
          </w:tcPr>
          <w:p w14:paraId="2223A084"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36,760,481</w:t>
            </w:r>
          </w:p>
        </w:tc>
        <w:tc>
          <w:tcPr>
            <w:tcW w:w="0" w:type="auto"/>
            <w:tcBorders>
              <w:top w:val="nil"/>
              <w:left w:val="nil"/>
              <w:bottom w:val="single" w:sz="4" w:space="0" w:color="auto"/>
              <w:right w:val="single" w:sz="4" w:space="0" w:color="auto"/>
            </w:tcBorders>
            <w:noWrap/>
            <w:vAlign w:val="center"/>
            <w:hideMark/>
          </w:tcPr>
          <w:p w14:paraId="4BD1B6ED"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55,118,835</w:t>
            </w:r>
          </w:p>
        </w:tc>
        <w:tc>
          <w:tcPr>
            <w:tcW w:w="0" w:type="auto"/>
            <w:tcBorders>
              <w:top w:val="nil"/>
              <w:left w:val="nil"/>
              <w:bottom w:val="single" w:sz="4" w:space="0" w:color="auto"/>
              <w:right w:val="single" w:sz="4" w:space="0" w:color="auto"/>
            </w:tcBorders>
            <w:noWrap/>
            <w:vAlign w:val="center"/>
            <w:hideMark/>
          </w:tcPr>
          <w:p w14:paraId="47638D2C"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63,442,899</w:t>
            </w:r>
          </w:p>
        </w:tc>
        <w:tc>
          <w:tcPr>
            <w:tcW w:w="0" w:type="auto"/>
            <w:tcBorders>
              <w:top w:val="nil"/>
              <w:left w:val="nil"/>
              <w:bottom w:val="single" w:sz="4" w:space="0" w:color="auto"/>
              <w:right w:val="single" w:sz="4" w:space="0" w:color="auto"/>
            </w:tcBorders>
            <w:noWrap/>
            <w:vAlign w:val="center"/>
            <w:hideMark/>
          </w:tcPr>
          <w:p w14:paraId="512B9A1D"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60,425,653</w:t>
            </w:r>
          </w:p>
        </w:tc>
        <w:tc>
          <w:tcPr>
            <w:tcW w:w="0" w:type="auto"/>
            <w:tcBorders>
              <w:top w:val="nil"/>
              <w:left w:val="nil"/>
              <w:bottom w:val="single" w:sz="4" w:space="0" w:color="auto"/>
              <w:right w:val="nil"/>
            </w:tcBorders>
            <w:noWrap/>
            <w:vAlign w:val="center"/>
            <w:hideMark/>
          </w:tcPr>
          <w:p w14:paraId="10C42F2B"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52,312,655</w:t>
            </w:r>
          </w:p>
        </w:tc>
        <w:tc>
          <w:tcPr>
            <w:tcW w:w="1840" w:type="dxa"/>
            <w:tcBorders>
              <w:top w:val="nil"/>
              <w:left w:val="single" w:sz="4" w:space="0" w:color="auto"/>
              <w:bottom w:val="single" w:sz="4" w:space="0" w:color="auto"/>
              <w:right w:val="single" w:sz="4" w:space="0" w:color="auto"/>
            </w:tcBorders>
            <w:noWrap/>
            <w:vAlign w:val="center"/>
            <w:hideMark/>
          </w:tcPr>
          <w:p w14:paraId="515235EC"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30,091,082</w:t>
            </w:r>
          </w:p>
        </w:tc>
        <w:tc>
          <w:tcPr>
            <w:tcW w:w="1560" w:type="dxa"/>
            <w:tcBorders>
              <w:top w:val="nil"/>
              <w:left w:val="nil"/>
              <w:bottom w:val="single" w:sz="4" w:space="0" w:color="auto"/>
              <w:right w:val="single" w:sz="4" w:space="0" w:color="auto"/>
            </w:tcBorders>
            <w:noWrap/>
            <w:vAlign w:val="center"/>
            <w:hideMark/>
          </w:tcPr>
          <w:p w14:paraId="59EB8C81"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r>
      <w:tr w:rsidR="001617C2" w:rsidRPr="001B6518" w14:paraId="2DF49879" w14:textId="77777777" w:rsidTr="008A0393">
        <w:trPr>
          <w:trHeight w:val="200"/>
        </w:trPr>
        <w:tc>
          <w:tcPr>
            <w:tcW w:w="0" w:type="auto"/>
            <w:tcBorders>
              <w:top w:val="nil"/>
              <w:left w:val="single" w:sz="4" w:space="0" w:color="auto"/>
              <w:bottom w:val="single" w:sz="4" w:space="0" w:color="auto"/>
              <w:right w:val="single" w:sz="4" w:space="0" w:color="auto"/>
            </w:tcBorders>
            <w:noWrap/>
            <w:vAlign w:val="center"/>
            <w:hideMark/>
          </w:tcPr>
          <w:p w14:paraId="3191C636" w14:textId="77777777" w:rsidR="001617C2" w:rsidRPr="001B6518" w:rsidRDefault="001617C2" w:rsidP="008A0393">
            <w:pPr>
              <w:spacing w:after="0" w:line="240" w:lineRule="auto"/>
              <w:jc w:val="center"/>
              <w:rPr>
                <w:rFonts w:ascii="Arial" w:hAnsi="Arial" w:cs="Arial"/>
                <w:color w:val="000000"/>
                <w:sz w:val="16"/>
                <w:szCs w:val="16"/>
              </w:rPr>
            </w:pPr>
            <w:r w:rsidRPr="001B6518">
              <w:rPr>
                <w:rFonts w:ascii="Arial" w:hAnsi="Arial" w:cs="Arial"/>
                <w:color w:val="000000"/>
                <w:sz w:val="16"/>
                <w:szCs w:val="16"/>
              </w:rPr>
              <w:t>2033</w:t>
            </w:r>
          </w:p>
        </w:tc>
        <w:tc>
          <w:tcPr>
            <w:tcW w:w="0" w:type="auto"/>
            <w:tcBorders>
              <w:top w:val="nil"/>
              <w:left w:val="nil"/>
              <w:bottom w:val="single" w:sz="4" w:space="0" w:color="auto"/>
              <w:right w:val="single" w:sz="4" w:space="0" w:color="auto"/>
            </w:tcBorders>
            <w:noWrap/>
            <w:vAlign w:val="center"/>
            <w:hideMark/>
          </w:tcPr>
          <w:p w14:paraId="406DC468"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159,596,040</w:t>
            </w:r>
          </w:p>
        </w:tc>
        <w:tc>
          <w:tcPr>
            <w:tcW w:w="0" w:type="auto"/>
            <w:tcBorders>
              <w:top w:val="nil"/>
              <w:left w:val="nil"/>
              <w:bottom w:val="single" w:sz="4" w:space="0" w:color="auto"/>
              <w:right w:val="single" w:sz="4" w:space="0" w:color="auto"/>
            </w:tcBorders>
            <w:noWrap/>
            <w:vAlign w:val="center"/>
            <w:hideMark/>
          </w:tcPr>
          <w:p w14:paraId="4E14ABDD"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42,669,896</w:t>
            </w:r>
          </w:p>
        </w:tc>
        <w:tc>
          <w:tcPr>
            <w:tcW w:w="0" w:type="auto"/>
            <w:tcBorders>
              <w:top w:val="nil"/>
              <w:left w:val="nil"/>
              <w:bottom w:val="single" w:sz="4" w:space="0" w:color="auto"/>
              <w:right w:val="single" w:sz="4" w:space="0" w:color="auto"/>
            </w:tcBorders>
            <w:noWrap/>
            <w:vAlign w:val="center"/>
            <w:hideMark/>
          </w:tcPr>
          <w:p w14:paraId="0A120E36"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63,979,439</w:t>
            </w:r>
          </w:p>
        </w:tc>
        <w:tc>
          <w:tcPr>
            <w:tcW w:w="0" w:type="auto"/>
            <w:tcBorders>
              <w:top w:val="nil"/>
              <w:left w:val="nil"/>
              <w:bottom w:val="single" w:sz="4" w:space="0" w:color="auto"/>
              <w:right w:val="single" w:sz="4" w:space="0" w:color="auto"/>
            </w:tcBorders>
            <w:noWrap/>
            <w:vAlign w:val="center"/>
            <w:hideMark/>
          </w:tcPr>
          <w:p w14:paraId="71B7E7AF"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73,641,635</w:t>
            </w:r>
          </w:p>
        </w:tc>
        <w:tc>
          <w:tcPr>
            <w:tcW w:w="0" w:type="auto"/>
            <w:tcBorders>
              <w:top w:val="nil"/>
              <w:left w:val="nil"/>
              <w:bottom w:val="single" w:sz="4" w:space="0" w:color="auto"/>
              <w:right w:val="single" w:sz="4" w:space="0" w:color="auto"/>
            </w:tcBorders>
            <w:noWrap/>
            <w:vAlign w:val="center"/>
            <w:hideMark/>
          </w:tcPr>
          <w:p w14:paraId="37401C03"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70,139,349</w:t>
            </w:r>
          </w:p>
        </w:tc>
        <w:tc>
          <w:tcPr>
            <w:tcW w:w="0" w:type="auto"/>
            <w:tcBorders>
              <w:top w:val="nil"/>
              <w:left w:val="nil"/>
              <w:bottom w:val="single" w:sz="4" w:space="0" w:color="auto"/>
              <w:right w:val="nil"/>
            </w:tcBorders>
            <w:noWrap/>
            <w:vAlign w:val="center"/>
            <w:hideMark/>
          </w:tcPr>
          <w:p w14:paraId="317F673F"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60,720,620</w:t>
            </w:r>
          </w:p>
        </w:tc>
        <w:tc>
          <w:tcPr>
            <w:tcW w:w="1840" w:type="dxa"/>
            <w:tcBorders>
              <w:top w:val="nil"/>
              <w:left w:val="single" w:sz="4" w:space="0" w:color="auto"/>
              <w:bottom w:val="single" w:sz="4" w:space="0" w:color="auto"/>
              <w:right w:val="single" w:sz="4" w:space="0" w:color="auto"/>
            </w:tcBorders>
            <w:noWrap/>
            <w:vAlign w:val="center"/>
            <w:hideMark/>
          </w:tcPr>
          <w:p w14:paraId="7FA8B2A6"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34,928,360</w:t>
            </w:r>
          </w:p>
        </w:tc>
        <w:tc>
          <w:tcPr>
            <w:tcW w:w="1560" w:type="dxa"/>
            <w:tcBorders>
              <w:top w:val="nil"/>
              <w:left w:val="nil"/>
              <w:bottom w:val="single" w:sz="4" w:space="0" w:color="auto"/>
              <w:right w:val="single" w:sz="4" w:space="0" w:color="auto"/>
            </w:tcBorders>
            <w:noWrap/>
            <w:vAlign w:val="bottom"/>
            <w:hideMark/>
          </w:tcPr>
          <w:p w14:paraId="05DA978C"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306,931,762</w:t>
            </w:r>
          </w:p>
        </w:tc>
      </w:tr>
      <w:tr w:rsidR="001617C2" w:rsidRPr="001B6518" w14:paraId="47E07C5A" w14:textId="77777777" w:rsidTr="008A0393">
        <w:trPr>
          <w:trHeight w:val="200"/>
        </w:trPr>
        <w:tc>
          <w:tcPr>
            <w:tcW w:w="0" w:type="auto"/>
            <w:tcBorders>
              <w:top w:val="nil"/>
              <w:left w:val="single" w:sz="4" w:space="0" w:color="auto"/>
              <w:bottom w:val="single" w:sz="4" w:space="0" w:color="auto"/>
              <w:right w:val="single" w:sz="4" w:space="0" w:color="auto"/>
            </w:tcBorders>
            <w:noWrap/>
            <w:vAlign w:val="center"/>
            <w:hideMark/>
          </w:tcPr>
          <w:p w14:paraId="1B8A1FCB" w14:textId="77777777" w:rsidR="001617C2" w:rsidRPr="001B6518" w:rsidRDefault="001617C2" w:rsidP="008A0393">
            <w:pPr>
              <w:spacing w:after="0" w:line="240" w:lineRule="auto"/>
              <w:jc w:val="center"/>
              <w:rPr>
                <w:rFonts w:ascii="Arial" w:hAnsi="Arial" w:cs="Arial"/>
                <w:color w:val="000000"/>
                <w:sz w:val="16"/>
                <w:szCs w:val="16"/>
              </w:rPr>
            </w:pPr>
            <w:r w:rsidRPr="001B6518">
              <w:rPr>
                <w:rFonts w:ascii="Arial" w:hAnsi="Arial" w:cs="Arial"/>
                <w:color w:val="000000"/>
                <w:sz w:val="16"/>
                <w:szCs w:val="16"/>
              </w:rPr>
              <w:t>2034</w:t>
            </w:r>
          </w:p>
        </w:tc>
        <w:tc>
          <w:tcPr>
            <w:tcW w:w="0" w:type="auto"/>
            <w:tcBorders>
              <w:top w:val="nil"/>
              <w:left w:val="nil"/>
              <w:bottom w:val="single" w:sz="4" w:space="0" w:color="auto"/>
              <w:right w:val="single" w:sz="4" w:space="0" w:color="auto"/>
            </w:tcBorders>
            <w:noWrap/>
            <w:vAlign w:val="center"/>
            <w:hideMark/>
          </w:tcPr>
          <w:p w14:paraId="1CF26D50"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185,251,825</w:t>
            </w:r>
          </w:p>
        </w:tc>
        <w:tc>
          <w:tcPr>
            <w:tcW w:w="0" w:type="auto"/>
            <w:tcBorders>
              <w:top w:val="nil"/>
              <w:left w:val="nil"/>
              <w:bottom w:val="single" w:sz="4" w:space="0" w:color="auto"/>
              <w:right w:val="single" w:sz="4" w:space="0" w:color="auto"/>
            </w:tcBorders>
            <w:noWrap/>
            <w:vAlign w:val="center"/>
            <w:hideMark/>
          </w:tcPr>
          <w:p w14:paraId="1B58633E"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49,529,274</w:t>
            </w:r>
          </w:p>
        </w:tc>
        <w:tc>
          <w:tcPr>
            <w:tcW w:w="0" w:type="auto"/>
            <w:tcBorders>
              <w:top w:val="nil"/>
              <w:left w:val="nil"/>
              <w:bottom w:val="single" w:sz="4" w:space="0" w:color="auto"/>
              <w:right w:val="single" w:sz="4" w:space="0" w:color="auto"/>
            </w:tcBorders>
            <w:noWrap/>
            <w:vAlign w:val="center"/>
            <w:hideMark/>
          </w:tcPr>
          <w:p w14:paraId="28E3F873"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74,264,422</w:t>
            </w:r>
          </w:p>
        </w:tc>
        <w:tc>
          <w:tcPr>
            <w:tcW w:w="0" w:type="auto"/>
            <w:tcBorders>
              <w:top w:val="nil"/>
              <w:left w:val="nil"/>
              <w:bottom w:val="single" w:sz="4" w:space="0" w:color="auto"/>
              <w:right w:val="single" w:sz="4" w:space="0" w:color="auto"/>
            </w:tcBorders>
            <w:noWrap/>
            <w:vAlign w:val="center"/>
            <w:hideMark/>
          </w:tcPr>
          <w:p w14:paraId="4CBF0CB9"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85,479,859</w:t>
            </w:r>
          </w:p>
        </w:tc>
        <w:tc>
          <w:tcPr>
            <w:tcW w:w="0" w:type="auto"/>
            <w:tcBorders>
              <w:top w:val="nil"/>
              <w:left w:val="nil"/>
              <w:bottom w:val="single" w:sz="4" w:space="0" w:color="auto"/>
              <w:right w:val="single" w:sz="4" w:space="0" w:color="auto"/>
            </w:tcBorders>
            <w:noWrap/>
            <w:vAlign w:val="center"/>
            <w:hideMark/>
          </w:tcPr>
          <w:p w14:paraId="5857F0D8"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81,414,566</w:t>
            </w:r>
          </w:p>
        </w:tc>
        <w:tc>
          <w:tcPr>
            <w:tcW w:w="0" w:type="auto"/>
            <w:tcBorders>
              <w:top w:val="nil"/>
              <w:left w:val="nil"/>
              <w:bottom w:val="single" w:sz="4" w:space="0" w:color="auto"/>
              <w:right w:val="nil"/>
            </w:tcBorders>
            <w:noWrap/>
            <w:vAlign w:val="center"/>
            <w:hideMark/>
          </w:tcPr>
          <w:p w14:paraId="40BF6DED"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70,479,959</w:t>
            </w:r>
          </w:p>
        </w:tc>
        <w:tc>
          <w:tcPr>
            <w:tcW w:w="1840" w:type="dxa"/>
            <w:tcBorders>
              <w:top w:val="nil"/>
              <w:left w:val="single" w:sz="4" w:space="0" w:color="auto"/>
              <w:bottom w:val="single" w:sz="4" w:space="0" w:color="auto"/>
              <w:right w:val="single" w:sz="4" w:space="0" w:color="auto"/>
            </w:tcBorders>
            <w:noWrap/>
            <w:vAlign w:val="center"/>
            <w:hideMark/>
          </w:tcPr>
          <w:p w14:paraId="0AE906AD"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40,543,251</w:t>
            </w:r>
          </w:p>
        </w:tc>
        <w:tc>
          <w:tcPr>
            <w:tcW w:w="1560" w:type="dxa"/>
            <w:tcBorders>
              <w:top w:val="nil"/>
              <w:left w:val="nil"/>
              <w:bottom w:val="single" w:sz="4" w:space="0" w:color="auto"/>
              <w:right w:val="single" w:sz="4" w:space="0" w:color="auto"/>
            </w:tcBorders>
            <w:noWrap/>
            <w:vAlign w:val="center"/>
            <w:hideMark/>
          </w:tcPr>
          <w:p w14:paraId="28B1CBB4"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r>
      <w:tr w:rsidR="001617C2" w:rsidRPr="001B6518" w14:paraId="4C06A01D" w14:textId="77777777" w:rsidTr="008A0393">
        <w:trPr>
          <w:trHeight w:val="200"/>
        </w:trPr>
        <w:tc>
          <w:tcPr>
            <w:tcW w:w="0" w:type="auto"/>
            <w:tcBorders>
              <w:top w:val="nil"/>
              <w:left w:val="single" w:sz="4" w:space="0" w:color="auto"/>
              <w:bottom w:val="single" w:sz="4" w:space="0" w:color="auto"/>
              <w:right w:val="single" w:sz="4" w:space="0" w:color="auto"/>
            </w:tcBorders>
            <w:noWrap/>
            <w:vAlign w:val="center"/>
            <w:hideMark/>
          </w:tcPr>
          <w:p w14:paraId="0A0F58DF" w14:textId="77777777" w:rsidR="001617C2" w:rsidRPr="001B6518" w:rsidRDefault="001617C2" w:rsidP="008A0393">
            <w:pPr>
              <w:spacing w:after="0" w:line="240" w:lineRule="auto"/>
              <w:jc w:val="center"/>
              <w:rPr>
                <w:rFonts w:ascii="Arial" w:hAnsi="Arial" w:cs="Arial"/>
                <w:color w:val="000000"/>
                <w:sz w:val="16"/>
                <w:szCs w:val="16"/>
              </w:rPr>
            </w:pPr>
            <w:r w:rsidRPr="001B6518">
              <w:rPr>
                <w:rFonts w:ascii="Arial" w:hAnsi="Arial" w:cs="Arial"/>
                <w:color w:val="000000"/>
                <w:sz w:val="16"/>
                <w:szCs w:val="16"/>
              </w:rPr>
              <w:t>2035</w:t>
            </w:r>
          </w:p>
        </w:tc>
        <w:tc>
          <w:tcPr>
            <w:tcW w:w="0" w:type="auto"/>
            <w:tcBorders>
              <w:top w:val="nil"/>
              <w:left w:val="nil"/>
              <w:bottom w:val="single" w:sz="4" w:space="0" w:color="auto"/>
              <w:right w:val="single" w:sz="4" w:space="0" w:color="auto"/>
            </w:tcBorders>
            <w:noWrap/>
            <w:vAlign w:val="center"/>
            <w:hideMark/>
          </w:tcPr>
          <w:p w14:paraId="09D12421"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215,031,892</w:t>
            </w:r>
          </w:p>
        </w:tc>
        <w:tc>
          <w:tcPr>
            <w:tcW w:w="0" w:type="auto"/>
            <w:tcBorders>
              <w:top w:val="nil"/>
              <w:left w:val="nil"/>
              <w:bottom w:val="single" w:sz="4" w:space="0" w:color="auto"/>
              <w:right w:val="single" w:sz="4" w:space="0" w:color="auto"/>
            </w:tcBorders>
            <w:noWrap/>
            <w:vAlign w:val="center"/>
            <w:hideMark/>
          </w:tcPr>
          <w:p w14:paraId="3763B38C"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57,491,329</w:t>
            </w:r>
          </w:p>
        </w:tc>
        <w:tc>
          <w:tcPr>
            <w:tcW w:w="0" w:type="auto"/>
            <w:tcBorders>
              <w:top w:val="nil"/>
              <w:left w:val="nil"/>
              <w:bottom w:val="single" w:sz="4" w:space="0" w:color="auto"/>
              <w:right w:val="single" w:sz="4" w:space="0" w:color="auto"/>
            </w:tcBorders>
            <w:noWrap/>
            <w:vAlign w:val="center"/>
            <w:hideMark/>
          </w:tcPr>
          <w:p w14:paraId="06EBC61F"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86,202,764</w:t>
            </w:r>
          </w:p>
        </w:tc>
        <w:tc>
          <w:tcPr>
            <w:tcW w:w="0" w:type="auto"/>
            <w:tcBorders>
              <w:top w:val="nil"/>
              <w:left w:val="nil"/>
              <w:bottom w:val="single" w:sz="4" w:space="0" w:color="auto"/>
              <w:right w:val="single" w:sz="4" w:space="0" w:color="auto"/>
            </w:tcBorders>
            <w:noWrap/>
            <w:vAlign w:val="center"/>
            <w:hideMark/>
          </w:tcPr>
          <w:p w14:paraId="1E1C58F3"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99,221,133</w:t>
            </w:r>
          </w:p>
        </w:tc>
        <w:tc>
          <w:tcPr>
            <w:tcW w:w="0" w:type="auto"/>
            <w:tcBorders>
              <w:top w:val="nil"/>
              <w:left w:val="nil"/>
              <w:bottom w:val="single" w:sz="4" w:space="0" w:color="auto"/>
              <w:right w:val="single" w:sz="4" w:space="0" w:color="auto"/>
            </w:tcBorders>
            <w:noWrap/>
            <w:vAlign w:val="center"/>
            <w:hideMark/>
          </w:tcPr>
          <w:p w14:paraId="408D12E8"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94,502,326</w:t>
            </w:r>
          </w:p>
        </w:tc>
        <w:tc>
          <w:tcPr>
            <w:tcW w:w="0" w:type="auto"/>
            <w:tcBorders>
              <w:top w:val="nil"/>
              <w:left w:val="nil"/>
              <w:bottom w:val="single" w:sz="4" w:space="0" w:color="auto"/>
              <w:right w:val="nil"/>
            </w:tcBorders>
            <w:noWrap/>
            <w:vAlign w:val="center"/>
            <w:hideMark/>
          </w:tcPr>
          <w:p w14:paraId="7F1B23B2"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81,807,869</w:t>
            </w:r>
          </w:p>
        </w:tc>
        <w:tc>
          <w:tcPr>
            <w:tcW w:w="1840" w:type="dxa"/>
            <w:tcBorders>
              <w:top w:val="nil"/>
              <w:left w:val="single" w:sz="4" w:space="0" w:color="auto"/>
              <w:bottom w:val="single" w:sz="4" w:space="0" w:color="auto"/>
              <w:right w:val="single" w:sz="4" w:space="0" w:color="auto"/>
            </w:tcBorders>
            <w:noWrap/>
            <w:vAlign w:val="center"/>
            <w:hideMark/>
          </w:tcPr>
          <w:p w14:paraId="4F356690"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47,060,762</w:t>
            </w:r>
          </w:p>
        </w:tc>
        <w:tc>
          <w:tcPr>
            <w:tcW w:w="1560" w:type="dxa"/>
            <w:tcBorders>
              <w:top w:val="nil"/>
              <w:left w:val="nil"/>
              <w:bottom w:val="single" w:sz="4" w:space="0" w:color="auto"/>
              <w:right w:val="single" w:sz="4" w:space="0" w:color="auto"/>
            </w:tcBorders>
            <w:noWrap/>
            <w:vAlign w:val="center"/>
            <w:hideMark/>
          </w:tcPr>
          <w:p w14:paraId="4EAC88BD"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r>
      <w:tr w:rsidR="001617C2" w:rsidRPr="001B6518" w14:paraId="2D775772" w14:textId="77777777" w:rsidTr="008A0393">
        <w:trPr>
          <w:trHeight w:val="200"/>
        </w:trPr>
        <w:tc>
          <w:tcPr>
            <w:tcW w:w="0" w:type="auto"/>
            <w:tcBorders>
              <w:top w:val="nil"/>
              <w:left w:val="single" w:sz="4" w:space="0" w:color="auto"/>
              <w:bottom w:val="single" w:sz="4" w:space="0" w:color="auto"/>
              <w:right w:val="single" w:sz="4" w:space="0" w:color="auto"/>
            </w:tcBorders>
            <w:noWrap/>
            <w:vAlign w:val="center"/>
            <w:hideMark/>
          </w:tcPr>
          <w:p w14:paraId="35395021" w14:textId="77777777" w:rsidR="001617C2" w:rsidRPr="001B6518" w:rsidRDefault="001617C2" w:rsidP="008A0393">
            <w:pPr>
              <w:spacing w:after="0" w:line="240" w:lineRule="auto"/>
              <w:jc w:val="center"/>
              <w:rPr>
                <w:rFonts w:ascii="Arial" w:hAnsi="Arial" w:cs="Arial"/>
                <w:color w:val="000000"/>
                <w:sz w:val="16"/>
                <w:szCs w:val="16"/>
              </w:rPr>
            </w:pPr>
            <w:r w:rsidRPr="001B6518">
              <w:rPr>
                <w:rFonts w:ascii="Arial" w:hAnsi="Arial" w:cs="Arial"/>
                <w:color w:val="000000"/>
                <w:sz w:val="16"/>
                <w:szCs w:val="16"/>
              </w:rPr>
              <w:t>2036</w:t>
            </w:r>
          </w:p>
        </w:tc>
        <w:tc>
          <w:tcPr>
            <w:tcW w:w="0" w:type="auto"/>
            <w:tcBorders>
              <w:top w:val="nil"/>
              <w:left w:val="nil"/>
              <w:bottom w:val="single" w:sz="4" w:space="0" w:color="auto"/>
              <w:right w:val="single" w:sz="4" w:space="0" w:color="auto"/>
            </w:tcBorders>
            <w:noWrap/>
            <w:vAlign w:val="center"/>
            <w:hideMark/>
          </w:tcPr>
          <w:p w14:paraId="72C3C26D"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249,599,241</w:t>
            </w:r>
          </w:p>
        </w:tc>
        <w:tc>
          <w:tcPr>
            <w:tcW w:w="0" w:type="auto"/>
            <w:tcBorders>
              <w:top w:val="nil"/>
              <w:left w:val="nil"/>
              <w:bottom w:val="single" w:sz="4" w:space="0" w:color="auto"/>
              <w:right w:val="single" w:sz="4" w:space="0" w:color="auto"/>
            </w:tcBorders>
            <w:noWrap/>
            <w:vAlign w:val="center"/>
            <w:hideMark/>
          </w:tcPr>
          <w:p w14:paraId="5B06B187"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66,733,319</w:t>
            </w:r>
          </w:p>
        </w:tc>
        <w:tc>
          <w:tcPr>
            <w:tcW w:w="0" w:type="auto"/>
            <w:tcBorders>
              <w:top w:val="nil"/>
              <w:left w:val="nil"/>
              <w:bottom w:val="single" w:sz="4" w:space="0" w:color="auto"/>
              <w:right w:val="single" w:sz="4" w:space="0" w:color="auto"/>
            </w:tcBorders>
            <w:noWrap/>
            <w:vAlign w:val="center"/>
            <w:hideMark/>
          </w:tcPr>
          <w:p w14:paraId="2AD57178"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100,060,247</w:t>
            </w:r>
          </w:p>
        </w:tc>
        <w:tc>
          <w:tcPr>
            <w:tcW w:w="0" w:type="auto"/>
            <w:tcBorders>
              <w:top w:val="nil"/>
              <w:left w:val="nil"/>
              <w:bottom w:val="single" w:sz="4" w:space="0" w:color="auto"/>
              <w:right w:val="single" w:sz="4" w:space="0" w:color="auto"/>
            </w:tcBorders>
            <w:noWrap/>
            <w:vAlign w:val="center"/>
            <w:hideMark/>
          </w:tcPr>
          <w:p w14:paraId="596ED1DF"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115,171,378</w:t>
            </w:r>
          </w:p>
        </w:tc>
        <w:tc>
          <w:tcPr>
            <w:tcW w:w="0" w:type="auto"/>
            <w:tcBorders>
              <w:top w:val="nil"/>
              <w:left w:val="nil"/>
              <w:bottom w:val="single" w:sz="4" w:space="0" w:color="auto"/>
              <w:right w:val="single" w:sz="4" w:space="0" w:color="auto"/>
            </w:tcBorders>
            <w:noWrap/>
            <w:vAlign w:val="center"/>
            <w:hideMark/>
          </w:tcPr>
          <w:p w14:paraId="0B764A95"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109,694,002</w:t>
            </w:r>
          </w:p>
        </w:tc>
        <w:tc>
          <w:tcPr>
            <w:tcW w:w="0" w:type="auto"/>
            <w:tcBorders>
              <w:top w:val="nil"/>
              <w:left w:val="nil"/>
              <w:bottom w:val="single" w:sz="4" w:space="0" w:color="auto"/>
              <w:right w:val="nil"/>
            </w:tcBorders>
            <w:noWrap/>
            <w:vAlign w:val="center"/>
            <w:hideMark/>
          </w:tcPr>
          <w:p w14:paraId="5417DF30"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94,956,461</w:t>
            </w:r>
          </w:p>
        </w:tc>
        <w:tc>
          <w:tcPr>
            <w:tcW w:w="1840" w:type="dxa"/>
            <w:tcBorders>
              <w:top w:val="nil"/>
              <w:left w:val="single" w:sz="4" w:space="0" w:color="auto"/>
              <w:bottom w:val="single" w:sz="4" w:space="0" w:color="auto"/>
              <w:right w:val="single" w:sz="4" w:space="0" w:color="auto"/>
            </w:tcBorders>
            <w:noWrap/>
            <w:vAlign w:val="center"/>
            <w:hideMark/>
          </w:tcPr>
          <w:p w14:paraId="32DA22F5"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54,625,992</w:t>
            </w:r>
          </w:p>
        </w:tc>
        <w:tc>
          <w:tcPr>
            <w:tcW w:w="1560" w:type="dxa"/>
            <w:tcBorders>
              <w:top w:val="nil"/>
              <w:left w:val="nil"/>
              <w:bottom w:val="single" w:sz="4" w:space="0" w:color="auto"/>
              <w:right w:val="single" w:sz="4" w:space="0" w:color="auto"/>
            </w:tcBorders>
            <w:noWrap/>
            <w:vAlign w:val="center"/>
            <w:hideMark/>
          </w:tcPr>
          <w:p w14:paraId="757BE7C5"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r>
      <w:tr w:rsidR="001617C2" w:rsidRPr="001B6518" w14:paraId="02EFCD81" w14:textId="77777777" w:rsidTr="008A0393">
        <w:trPr>
          <w:trHeight w:val="200"/>
        </w:trPr>
        <w:tc>
          <w:tcPr>
            <w:tcW w:w="0" w:type="auto"/>
            <w:tcBorders>
              <w:top w:val="nil"/>
              <w:left w:val="single" w:sz="4" w:space="0" w:color="auto"/>
              <w:bottom w:val="single" w:sz="4" w:space="0" w:color="auto"/>
              <w:right w:val="single" w:sz="4" w:space="0" w:color="auto"/>
            </w:tcBorders>
            <w:noWrap/>
            <w:vAlign w:val="center"/>
            <w:hideMark/>
          </w:tcPr>
          <w:p w14:paraId="56627306" w14:textId="77777777" w:rsidR="001617C2" w:rsidRPr="001B6518" w:rsidRDefault="001617C2" w:rsidP="008A0393">
            <w:pPr>
              <w:spacing w:after="0" w:line="240" w:lineRule="auto"/>
              <w:jc w:val="center"/>
              <w:rPr>
                <w:rFonts w:ascii="Arial" w:hAnsi="Arial" w:cs="Arial"/>
                <w:color w:val="000000"/>
                <w:sz w:val="16"/>
                <w:szCs w:val="16"/>
              </w:rPr>
            </w:pPr>
            <w:r w:rsidRPr="001B6518">
              <w:rPr>
                <w:rFonts w:ascii="Arial" w:hAnsi="Arial" w:cs="Arial"/>
                <w:color w:val="000000"/>
                <w:sz w:val="16"/>
                <w:szCs w:val="16"/>
              </w:rPr>
              <w:t>2037</w:t>
            </w:r>
          </w:p>
        </w:tc>
        <w:tc>
          <w:tcPr>
            <w:tcW w:w="0" w:type="auto"/>
            <w:tcBorders>
              <w:top w:val="nil"/>
              <w:left w:val="nil"/>
              <w:bottom w:val="single" w:sz="4" w:space="0" w:color="auto"/>
              <w:right w:val="single" w:sz="4" w:space="0" w:color="auto"/>
            </w:tcBorders>
            <w:noWrap/>
            <w:vAlign w:val="center"/>
            <w:hideMark/>
          </w:tcPr>
          <w:p w14:paraId="19E39961"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289,723,446</w:t>
            </w:r>
          </w:p>
        </w:tc>
        <w:tc>
          <w:tcPr>
            <w:tcW w:w="0" w:type="auto"/>
            <w:tcBorders>
              <w:top w:val="nil"/>
              <w:left w:val="nil"/>
              <w:bottom w:val="single" w:sz="4" w:space="0" w:color="auto"/>
              <w:right w:val="single" w:sz="4" w:space="0" w:color="auto"/>
            </w:tcBorders>
            <w:noWrap/>
            <w:vAlign w:val="center"/>
            <w:hideMark/>
          </w:tcPr>
          <w:p w14:paraId="4B7FDCCE"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77,461,002</w:t>
            </w:r>
          </w:p>
        </w:tc>
        <w:tc>
          <w:tcPr>
            <w:tcW w:w="0" w:type="auto"/>
            <w:tcBorders>
              <w:top w:val="nil"/>
              <w:left w:val="nil"/>
              <w:bottom w:val="single" w:sz="4" w:space="0" w:color="auto"/>
              <w:right w:val="single" w:sz="4" w:space="0" w:color="auto"/>
            </w:tcBorders>
            <w:noWrap/>
            <w:vAlign w:val="center"/>
            <w:hideMark/>
          </w:tcPr>
          <w:p w14:paraId="03469804"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116,145,384</w:t>
            </w:r>
          </w:p>
        </w:tc>
        <w:tc>
          <w:tcPr>
            <w:tcW w:w="0" w:type="auto"/>
            <w:tcBorders>
              <w:top w:val="nil"/>
              <w:left w:val="nil"/>
              <w:bottom w:val="single" w:sz="4" w:space="0" w:color="auto"/>
              <w:right w:val="single" w:sz="4" w:space="0" w:color="auto"/>
            </w:tcBorders>
            <w:noWrap/>
            <w:vAlign w:val="center"/>
            <w:hideMark/>
          </w:tcPr>
          <w:p w14:paraId="46428860"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133,685,697</w:t>
            </w:r>
          </w:p>
        </w:tc>
        <w:tc>
          <w:tcPr>
            <w:tcW w:w="0" w:type="auto"/>
            <w:tcBorders>
              <w:top w:val="nil"/>
              <w:left w:val="nil"/>
              <w:bottom w:val="single" w:sz="4" w:space="0" w:color="auto"/>
              <w:right w:val="single" w:sz="4" w:space="0" w:color="auto"/>
            </w:tcBorders>
            <w:noWrap/>
            <w:vAlign w:val="center"/>
            <w:hideMark/>
          </w:tcPr>
          <w:p w14:paraId="0176AA31"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127,327,808</w:t>
            </w:r>
          </w:p>
        </w:tc>
        <w:tc>
          <w:tcPr>
            <w:tcW w:w="0" w:type="auto"/>
            <w:tcBorders>
              <w:top w:val="nil"/>
              <w:left w:val="nil"/>
              <w:bottom w:val="single" w:sz="4" w:space="0" w:color="auto"/>
              <w:right w:val="nil"/>
            </w:tcBorders>
            <w:noWrap/>
            <w:vAlign w:val="center"/>
            <w:hideMark/>
          </w:tcPr>
          <w:p w14:paraId="406BBFB7"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110,218,363</w:t>
            </w:r>
          </w:p>
        </w:tc>
        <w:tc>
          <w:tcPr>
            <w:tcW w:w="1840" w:type="dxa"/>
            <w:tcBorders>
              <w:top w:val="nil"/>
              <w:left w:val="single" w:sz="4" w:space="0" w:color="auto"/>
              <w:bottom w:val="single" w:sz="4" w:space="0" w:color="auto"/>
              <w:right w:val="single" w:sz="4" w:space="0" w:color="auto"/>
            </w:tcBorders>
            <w:noWrap/>
            <w:vAlign w:val="center"/>
            <w:hideMark/>
          </w:tcPr>
          <w:p w14:paraId="00A6A5E1"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63,407,367</w:t>
            </w:r>
          </w:p>
        </w:tc>
        <w:tc>
          <w:tcPr>
            <w:tcW w:w="1560" w:type="dxa"/>
            <w:tcBorders>
              <w:top w:val="nil"/>
              <w:left w:val="nil"/>
              <w:bottom w:val="single" w:sz="4" w:space="0" w:color="auto"/>
              <w:right w:val="single" w:sz="4" w:space="0" w:color="auto"/>
            </w:tcBorders>
            <w:noWrap/>
            <w:vAlign w:val="center"/>
            <w:hideMark/>
          </w:tcPr>
          <w:p w14:paraId="143651E0"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r>
      <w:tr w:rsidR="001617C2" w:rsidRPr="001B6518" w14:paraId="386A56B4" w14:textId="77777777" w:rsidTr="008A0393">
        <w:trPr>
          <w:trHeight w:val="200"/>
        </w:trPr>
        <w:tc>
          <w:tcPr>
            <w:tcW w:w="0" w:type="auto"/>
            <w:tcBorders>
              <w:top w:val="nil"/>
              <w:left w:val="single" w:sz="4" w:space="0" w:color="auto"/>
              <w:bottom w:val="single" w:sz="4" w:space="0" w:color="auto"/>
              <w:right w:val="single" w:sz="4" w:space="0" w:color="auto"/>
            </w:tcBorders>
            <w:noWrap/>
            <w:vAlign w:val="center"/>
            <w:hideMark/>
          </w:tcPr>
          <w:p w14:paraId="44AB85A6" w14:textId="77777777" w:rsidR="001617C2" w:rsidRPr="001B6518" w:rsidRDefault="001617C2" w:rsidP="008A0393">
            <w:pPr>
              <w:spacing w:after="0" w:line="240" w:lineRule="auto"/>
              <w:jc w:val="center"/>
              <w:rPr>
                <w:rFonts w:ascii="Arial" w:hAnsi="Arial" w:cs="Arial"/>
                <w:color w:val="000000"/>
                <w:sz w:val="16"/>
                <w:szCs w:val="16"/>
              </w:rPr>
            </w:pPr>
            <w:r w:rsidRPr="001B6518">
              <w:rPr>
                <w:rFonts w:ascii="Arial" w:hAnsi="Arial" w:cs="Arial"/>
                <w:color w:val="000000"/>
                <w:sz w:val="16"/>
                <w:szCs w:val="16"/>
              </w:rPr>
              <w:t>2038</w:t>
            </w:r>
          </w:p>
        </w:tc>
        <w:tc>
          <w:tcPr>
            <w:tcW w:w="0" w:type="auto"/>
            <w:tcBorders>
              <w:top w:val="nil"/>
              <w:left w:val="nil"/>
              <w:bottom w:val="single" w:sz="4" w:space="0" w:color="auto"/>
              <w:right w:val="single" w:sz="4" w:space="0" w:color="auto"/>
            </w:tcBorders>
            <w:noWrap/>
            <w:vAlign w:val="center"/>
            <w:hideMark/>
          </w:tcPr>
          <w:p w14:paraId="033300D9"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336,297,799</w:t>
            </w:r>
          </w:p>
        </w:tc>
        <w:tc>
          <w:tcPr>
            <w:tcW w:w="0" w:type="auto"/>
            <w:tcBorders>
              <w:top w:val="nil"/>
              <w:left w:val="nil"/>
              <w:bottom w:val="single" w:sz="4" w:space="0" w:color="auto"/>
              <w:right w:val="single" w:sz="4" w:space="0" w:color="auto"/>
            </w:tcBorders>
            <w:noWrap/>
            <w:vAlign w:val="center"/>
            <w:hideMark/>
          </w:tcPr>
          <w:p w14:paraId="56B434DC"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89,913,206</w:t>
            </w:r>
          </w:p>
        </w:tc>
        <w:tc>
          <w:tcPr>
            <w:tcW w:w="0" w:type="auto"/>
            <w:tcBorders>
              <w:top w:val="nil"/>
              <w:left w:val="nil"/>
              <w:bottom w:val="single" w:sz="4" w:space="0" w:color="auto"/>
              <w:right w:val="single" w:sz="4" w:space="0" w:color="auto"/>
            </w:tcBorders>
            <w:noWrap/>
            <w:vAlign w:val="center"/>
            <w:hideMark/>
          </w:tcPr>
          <w:p w14:paraId="5A5CC652"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134,816,277</w:t>
            </w:r>
          </w:p>
        </w:tc>
        <w:tc>
          <w:tcPr>
            <w:tcW w:w="0" w:type="auto"/>
            <w:tcBorders>
              <w:top w:val="nil"/>
              <w:left w:val="nil"/>
              <w:bottom w:val="single" w:sz="4" w:space="0" w:color="auto"/>
              <w:right w:val="single" w:sz="4" w:space="0" w:color="auto"/>
            </w:tcBorders>
            <w:noWrap/>
            <w:vAlign w:val="center"/>
            <w:hideMark/>
          </w:tcPr>
          <w:p w14:paraId="343125EF"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155,176,275</w:t>
            </w:r>
          </w:p>
        </w:tc>
        <w:tc>
          <w:tcPr>
            <w:tcW w:w="0" w:type="auto"/>
            <w:tcBorders>
              <w:top w:val="nil"/>
              <w:left w:val="nil"/>
              <w:bottom w:val="single" w:sz="4" w:space="0" w:color="auto"/>
              <w:right w:val="single" w:sz="4" w:space="0" w:color="auto"/>
            </w:tcBorders>
            <w:noWrap/>
            <w:vAlign w:val="center"/>
            <w:hideMark/>
          </w:tcPr>
          <w:p w14:paraId="5C891C1D"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147,796,328</w:t>
            </w:r>
          </w:p>
        </w:tc>
        <w:tc>
          <w:tcPr>
            <w:tcW w:w="0" w:type="auto"/>
            <w:tcBorders>
              <w:top w:val="nil"/>
              <w:left w:val="nil"/>
              <w:bottom w:val="single" w:sz="4" w:space="0" w:color="auto"/>
              <w:right w:val="nil"/>
            </w:tcBorders>
            <w:noWrap/>
            <w:vAlign w:val="center"/>
            <w:hideMark/>
          </w:tcPr>
          <w:p w14:paraId="130859A8"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127,933,240</w:t>
            </w:r>
          </w:p>
        </w:tc>
        <w:tc>
          <w:tcPr>
            <w:tcW w:w="1840" w:type="dxa"/>
            <w:tcBorders>
              <w:top w:val="nil"/>
              <w:left w:val="single" w:sz="4" w:space="0" w:color="auto"/>
              <w:bottom w:val="single" w:sz="4" w:space="0" w:color="auto"/>
              <w:right w:val="single" w:sz="4" w:space="0" w:color="auto"/>
            </w:tcBorders>
            <w:noWrap/>
            <w:vAlign w:val="center"/>
            <w:hideMark/>
          </w:tcPr>
          <w:p w14:paraId="426442B2"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73,600,388</w:t>
            </w:r>
          </w:p>
        </w:tc>
        <w:tc>
          <w:tcPr>
            <w:tcW w:w="1560" w:type="dxa"/>
            <w:tcBorders>
              <w:top w:val="nil"/>
              <w:left w:val="nil"/>
              <w:bottom w:val="single" w:sz="4" w:space="0" w:color="auto"/>
              <w:right w:val="single" w:sz="4" w:space="0" w:color="auto"/>
            </w:tcBorders>
            <w:noWrap/>
            <w:vAlign w:val="center"/>
            <w:hideMark/>
          </w:tcPr>
          <w:p w14:paraId="1B5F7724"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r>
      <w:tr w:rsidR="001617C2" w:rsidRPr="001B6518" w14:paraId="7A4BF455" w14:textId="77777777" w:rsidTr="008A0393">
        <w:trPr>
          <w:trHeight w:val="200"/>
        </w:trPr>
        <w:tc>
          <w:tcPr>
            <w:tcW w:w="0" w:type="auto"/>
            <w:tcBorders>
              <w:top w:val="nil"/>
              <w:left w:val="single" w:sz="4" w:space="0" w:color="auto"/>
              <w:bottom w:val="single" w:sz="4" w:space="0" w:color="auto"/>
              <w:right w:val="single" w:sz="4" w:space="0" w:color="auto"/>
            </w:tcBorders>
            <w:noWrap/>
            <w:vAlign w:val="center"/>
            <w:hideMark/>
          </w:tcPr>
          <w:p w14:paraId="628CFAD3" w14:textId="77777777" w:rsidR="001617C2" w:rsidRPr="001B6518" w:rsidRDefault="001617C2" w:rsidP="008A0393">
            <w:pPr>
              <w:spacing w:after="0" w:line="240" w:lineRule="auto"/>
              <w:jc w:val="center"/>
              <w:rPr>
                <w:rFonts w:ascii="Arial" w:hAnsi="Arial" w:cs="Arial"/>
                <w:color w:val="000000"/>
                <w:sz w:val="16"/>
                <w:szCs w:val="16"/>
              </w:rPr>
            </w:pPr>
            <w:r w:rsidRPr="001B6518">
              <w:rPr>
                <w:rFonts w:ascii="Arial" w:hAnsi="Arial" w:cs="Arial"/>
                <w:color w:val="000000"/>
                <w:sz w:val="16"/>
                <w:szCs w:val="16"/>
              </w:rPr>
              <w:t>2039</w:t>
            </w:r>
          </w:p>
        </w:tc>
        <w:tc>
          <w:tcPr>
            <w:tcW w:w="0" w:type="auto"/>
            <w:tcBorders>
              <w:top w:val="nil"/>
              <w:left w:val="nil"/>
              <w:bottom w:val="single" w:sz="4" w:space="0" w:color="auto"/>
              <w:right w:val="single" w:sz="4" w:space="0" w:color="auto"/>
            </w:tcBorders>
            <w:noWrap/>
            <w:vAlign w:val="center"/>
            <w:hideMark/>
          </w:tcPr>
          <w:p w14:paraId="557F5CC6"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355,561,005</w:t>
            </w:r>
          </w:p>
        </w:tc>
        <w:tc>
          <w:tcPr>
            <w:tcW w:w="0" w:type="auto"/>
            <w:tcBorders>
              <w:top w:val="nil"/>
              <w:left w:val="nil"/>
              <w:bottom w:val="single" w:sz="4" w:space="0" w:color="auto"/>
              <w:right w:val="single" w:sz="4" w:space="0" w:color="auto"/>
            </w:tcBorders>
            <w:noWrap/>
            <w:vAlign w:val="center"/>
            <w:hideMark/>
          </w:tcPr>
          <w:p w14:paraId="1216F5E5"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104,367,162</w:t>
            </w:r>
          </w:p>
        </w:tc>
        <w:tc>
          <w:tcPr>
            <w:tcW w:w="0" w:type="auto"/>
            <w:tcBorders>
              <w:top w:val="nil"/>
              <w:left w:val="nil"/>
              <w:bottom w:val="single" w:sz="4" w:space="0" w:color="auto"/>
              <w:right w:val="single" w:sz="4" w:space="0" w:color="auto"/>
            </w:tcBorders>
            <w:noWrap/>
            <w:vAlign w:val="center"/>
            <w:hideMark/>
          </w:tcPr>
          <w:p w14:paraId="15E3FD21"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156,488,605</w:t>
            </w:r>
          </w:p>
        </w:tc>
        <w:tc>
          <w:tcPr>
            <w:tcW w:w="0" w:type="auto"/>
            <w:tcBorders>
              <w:top w:val="nil"/>
              <w:left w:val="nil"/>
              <w:bottom w:val="single" w:sz="4" w:space="0" w:color="auto"/>
              <w:right w:val="single" w:sz="4" w:space="0" w:color="auto"/>
            </w:tcBorders>
            <w:noWrap/>
            <w:vAlign w:val="center"/>
            <w:hideMark/>
          </w:tcPr>
          <w:p w14:paraId="66729189"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180,121,564</w:t>
            </w:r>
          </w:p>
        </w:tc>
        <w:tc>
          <w:tcPr>
            <w:tcW w:w="0" w:type="auto"/>
            <w:tcBorders>
              <w:top w:val="nil"/>
              <w:left w:val="nil"/>
              <w:bottom w:val="single" w:sz="4" w:space="0" w:color="auto"/>
              <w:right w:val="single" w:sz="4" w:space="0" w:color="auto"/>
            </w:tcBorders>
            <w:noWrap/>
            <w:vAlign w:val="center"/>
            <w:hideMark/>
          </w:tcPr>
          <w:p w14:paraId="54461799"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171,555,256</w:t>
            </w:r>
          </w:p>
        </w:tc>
        <w:tc>
          <w:tcPr>
            <w:tcW w:w="0" w:type="auto"/>
            <w:tcBorders>
              <w:top w:val="nil"/>
              <w:left w:val="nil"/>
              <w:bottom w:val="single" w:sz="4" w:space="0" w:color="auto"/>
              <w:right w:val="nil"/>
            </w:tcBorders>
            <w:noWrap/>
            <w:vAlign w:val="center"/>
            <w:hideMark/>
          </w:tcPr>
          <w:p w14:paraId="200438D4"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148,495,344</w:t>
            </w:r>
          </w:p>
        </w:tc>
        <w:tc>
          <w:tcPr>
            <w:tcW w:w="1840" w:type="dxa"/>
            <w:tcBorders>
              <w:top w:val="nil"/>
              <w:left w:val="single" w:sz="4" w:space="0" w:color="auto"/>
              <w:bottom w:val="single" w:sz="4" w:space="0" w:color="auto"/>
              <w:right w:val="single" w:sz="4" w:space="0" w:color="auto"/>
            </w:tcBorders>
            <w:noWrap/>
            <w:vAlign w:val="center"/>
            <w:hideMark/>
          </w:tcPr>
          <w:p w14:paraId="5D04D43D"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85,431,983</w:t>
            </w:r>
          </w:p>
        </w:tc>
        <w:tc>
          <w:tcPr>
            <w:tcW w:w="1560" w:type="dxa"/>
            <w:tcBorders>
              <w:top w:val="nil"/>
              <w:left w:val="nil"/>
              <w:bottom w:val="single" w:sz="4" w:space="0" w:color="auto"/>
              <w:right w:val="single" w:sz="4" w:space="0" w:color="auto"/>
            </w:tcBorders>
            <w:noWrap/>
            <w:vAlign w:val="center"/>
            <w:hideMark/>
          </w:tcPr>
          <w:p w14:paraId="1D4EFCFB"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r>
      <w:tr w:rsidR="001617C2" w:rsidRPr="001B6518" w14:paraId="65D540DE" w14:textId="77777777" w:rsidTr="008A0393">
        <w:trPr>
          <w:trHeight w:val="200"/>
        </w:trPr>
        <w:tc>
          <w:tcPr>
            <w:tcW w:w="0" w:type="auto"/>
            <w:tcBorders>
              <w:top w:val="nil"/>
              <w:left w:val="single" w:sz="4" w:space="0" w:color="auto"/>
              <w:bottom w:val="single" w:sz="4" w:space="0" w:color="auto"/>
              <w:right w:val="single" w:sz="4" w:space="0" w:color="auto"/>
            </w:tcBorders>
            <w:noWrap/>
            <w:vAlign w:val="center"/>
            <w:hideMark/>
          </w:tcPr>
          <w:p w14:paraId="4EE96833" w14:textId="77777777" w:rsidR="001617C2" w:rsidRPr="001B6518" w:rsidRDefault="001617C2" w:rsidP="008A0393">
            <w:pPr>
              <w:spacing w:after="0" w:line="240" w:lineRule="auto"/>
              <w:jc w:val="center"/>
              <w:rPr>
                <w:rFonts w:ascii="Arial" w:hAnsi="Arial" w:cs="Arial"/>
                <w:color w:val="000000"/>
                <w:sz w:val="16"/>
                <w:szCs w:val="16"/>
              </w:rPr>
            </w:pPr>
            <w:r w:rsidRPr="001B6518">
              <w:rPr>
                <w:rFonts w:ascii="Arial" w:hAnsi="Arial" w:cs="Arial"/>
                <w:color w:val="000000"/>
                <w:sz w:val="16"/>
                <w:szCs w:val="16"/>
              </w:rPr>
              <w:t>2040</w:t>
            </w:r>
          </w:p>
        </w:tc>
        <w:tc>
          <w:tcPr>
            <w:tcW w:w="0" w:type="auto"/>
            <w:tcBorders>
              <w:top w:val="nil"/>
              <w:left w:val="nil"/>
              <w:bottom w:val="single" w:sz="4" w:space="0" w:color="auto"/>
              <w:right w:val="single" w:sz="4" w:space="0" w:color="auto"/>
            </w:tcBorders>
            <w:noWrap/>
            <w:vAlign w:val="center"/>
            <w:hideMark/>
          </w:tcPr>
          <w:p w14:paraId="6B4F482A"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5B9052B7"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89,679,333</w:t>
            </w:r>
          </w:p>
        </w:tc>
        <w:tc>
          <w:tcPr>
            <w:tcW w:w="0" w:type="auto"/>
            <w:tcBorders>
              <w:top w:val="nil"/>
              <w:left w:val="nil"/>
              <w:bottom w:val="single" w:sz="4" w:space="0" w:color="auto"/>
              <w:right w:val="single" w:sz="4" w:space="0" w:color="auto"/>
            </w:tcBorders>
            <w:noWrap/>
            <w:vAlign w:val="center"/>
            <w:hideMark/>
          </w:tcPr>
          <w:p w14:paraId="4AC22034"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135,276,780</w:t>
            </w:r>
          </w:p>
        </w:tc>
        <w:tc>
          <w:tcPr>
            <w:tcW w:w="0" w:type="auto"/>
            <w:tcBorders>
              <w:top w:val="nil"/>
              <w:left w:val="nil"/>
              <w:bottom w:val="single" w:sz="4" w:space="0" w:color="auto"/>
              <w:right w:val="single" w:sz="4" w:space="0" w:color="auto"/>
            </w:tcBorders>
            <w:noWrap/>
            <w:vAlign w:val="center"/>
            <w:hideMark/>
          </w:tcPr>
          <w:p w14:paraId="145A500C"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154,772,647</w:t>
            </w:r>
          </w:p>
        </w:tc>
        <w:tc>
          <w:tcPr>
            <w:tcW w:w="0" w:type="auto"/>
            <w:tcBorders>
              <w:top w:val="nil"/>
              <w:left w:val="nil"/>
              <w:bottom w:val="single" w:sz="4" w:space="0" w:color="auto"/>
              <w:right w:val="single" w:sz="4" w:space="0" w:color="auto"/>
            </w:tcBorders>
            <w:noWrap/>
            <w:vAlign w:val="center"/>
            <w:hideMark/>
          </w:tcPr>
          <w:p w14:paraId="67BD9813"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199,133,538</w:t>
            </w:r>
          </w:p>
        </w:tc>
        <w:tc>
          <w:tcPr>
            <w:tcW w:w="0" w:type="auto"/>
            <w:tcBorders>
              <w:top w:val="nil"/>
              <w:left w:val="nil"/>
              <w:bottom w:val="single" w:sz="4" w:space="0" w:color="auto"/>
              <w:right w:val="nil"/>
            </w:tcBorders>
            <w:noWrap/>
            <w:vAlign w:val="center"/>
            <w:hideMark/>
          </w:tcPr>
          <w:p w14:paraId="6F800830"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172,362,298</w:t>
            </w:r>
          </w:p>
        </w:tc>
        <w:tc>
          <w:tcPr>
            <w:tcW w:w="1840" w:type="dxa"/>
            <w:tcBorders>
              <w:top w:val="nil"/>
              <w:left w:val="single" w:sz="4" w:space="0" w:color="auto"/>
              <w:bottom w:val="single" w:sz="4" w:space="0" w:color="auto"/>
              <w:right w:val="single" w:sz="4" w:space="0" w:color="auto"/>
            </w:tcBorders>
            <w:noWrap/>
            <w:vAlign w:val="center"/>
            <w:hideMark/>
          </w:tcPr>
          <w:p w14:paraId="1DC6F9DF"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99,165,560</w:t>
            </w:r>
          </w:p>
        </w:tc>
        <w:tc>
          <w:tcPr>
            <w:tcW w:w="1560" w:type="dxa"/>
            <w:tcBorders>
              <w:top w:val="nil"/>
              <w:left w:val="nil"/>
              <w:bottom w:val="single" w:sz="4" w:space="0" w:color="auto"/>
              <w:right w:val="single" w:sz="4" w:space="0" w:color="auto"/>
            </w:tcBorders>
            <w:noWrap/>
            <w:vAlign w:val="center"/>
            <w:hideMark/>
          </w:tcPr>
          <w:p w14:paraId="756CB128"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r>
      <w:tr w:rsidR="001617C2" w:rsidRPr="001B6518" w14:paraId="025C9E09" w14:textId="77777777" w:rsidTr="008A0393">
        <w:trPr>
          <w:trHeight w:val="200"/>
        </w:trPr>
        <w:tc>
          <w:tcPr>
            <w:tcW w:w="0" w:type="auto"/>
            <w:tcBorders>
              <w:top w:val="nil"/>
              <w:left w:val="single" w:sz="4" w:space="0" w:color="auto"/>
              <w:bottom w:val="single" w:sz="4" w:space="0" w:color="auto"/>
              <w:right w:val="single" w:sz="4" w:space="0" w:color="auto"/>
            </w:tcBorders>
            <w:noWrap/>
            <w:vAlign w:val="center"/>
            <w:hideMark/>
          </w:tcPr>
          <w:p w14:paraId="41266FDF" w14:textId="77777777" w:rsidR="001617C2" w:rsidRPr="001B6518" w:rsidRDefault="001617C2" w:rsidP="008A0393">
            <w:pPr>
              <w:spacing w:after="0" w:line="240" w:lineRule="auto"/>
              <w:jc w:val="center"/>
              <w:rPr>
                <w:rFonts w:ascii="Arial" w:hAnsi="Arial" w:cs="Arial"/>
                <w:color w:val="000000"/>
                <w:sz w:val="16"/>
                <w:szCs w:val="16"/>
              </w:rPr>
            </w:pPr>
            <w:r w:rsidRPr="001B6518">
              <w:rPr>
                <w:rFonts w:ascii="Arial" w:hAnsi="Arial" w:cs="Arial"/>
                <w:color w:val="000000"/>
                <w:sz w:val="16"/>
                <w:szCs w:val="16"/>
              </w:rPr>
              <w:t>2041</w:t>
            </w:r>
          </w:p>
        </w:tc>
        <w:tc>
          <w:tcPr>
            <w:tcW w:w="0" w:type="auto"/>
            <w:tcBorders>
              <w:top w:val="nil"/>
              <w:left w:val="nil"/>
              <w:bottom w:val="single" w:sz="4" w:space="0" w:color="auto"/>
              <w:right w:val="single" w:sz="4" w:space="0" w:color="auto"/>
            </w:tcBorders>
            <w:noWrap/>
            <w:vAlign w:val="center"/>
            <w:hideMark/>
          </w:tcPr>
          <w:p w14:paraId="7A9E9513"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30C9FCA7"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4FEE6B28"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0891CB3B"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5C2E46E9"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231,145,154</w:t>
            </w:r>
          </w:p>
        </w:tc>
        <w:tc>
          <w:tcPr>
            <w:tcW w:w="0" w:type="auto"/>
            <w:tcBorders>
              <w:top w:val="nil"/>
              <w:left w:val="nil"/>
              <w:bottom w:val="single" w:sz="4" w:space="0" w:color="auto"/>
              <w:right w:val="nil"/>
            </w:tcBorders>
            <w:noWrap/>
            <w:vAlign w:val="center"/>
            <w:hideMark/>
          </w:tcPr>
          <w:p w14:paraId="7663467D"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200,065,275</w:t>
            </w:r>
          </w:p>
        </w:tc>
        <w:tc>
          <w:tcPr>
            <w:tcW w:w="1840" w:type="dxa"/>
            <w:tcBorders>
              <w:top w:val="nil"/>
              <w:left w:val="single" w:sz="4" w:space="0" w:color="auto"/>
              <w:bottom w:val="single" w:sz="4" w:space="0" w:color="auto"/>
              <w:right w:val="single" w:sz="4" w:space="0" w:color="auto"/>
            </w:tcBorders>
            <w:noWrap/>
            <w:vAlign w:val="center"/>
            <w:hideMark/>
          </w:tcPr>
          <w:p w14:paraId="59940E30"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115,106,872</w:t>
            </w:r>
          </w:p>
        </w:tc>
        <w:tc>
          <w:tcPr>
            <w:tcW w:w="1560" w:type="dxa"/>
            <w:tcBorders>
              <w:top w:val="nil"/>
              <w:left w:val="nil"/>
              <w:bottom w:val="single" w:sz="4" w:space="0" w:color="auto"/>
              <w:right w:val="single" w:sz="4" w:space="0" w:color="auto"/>
            </w:tcBorders>
            <w:noWrap/>
            <w:vAlign w:val="center"/>
            <w:hideMark/>
          </w:tcPr>
          <w:p w14:paraId="1FF12D1E"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r>
      <w:tr w:rsidR="001617C2" w:rsidRPr="001B6518" w14:paraId="32A28722" w14:textId="77777777" w:rsidTr="008A0393">
        <w:trPr>
          <w:trHeight w:val="200"/>
        </w:trPr>
        <w:tc>
          <w:tcPr>
            <w:tcW w:w="0" w:type="auto"/>
            <w:tcBorders>
              <w:top w:val="nil"/>
              <w:left w:val="single" w:sz="4" w:space="0" w:color="auto"/>
              <w:bottom w:val="single" w:sz="4" w:space="0" w:color="auto"/>
              <w:right w:val="single" w:sz="4" w:space="0" w:color="auto"/>
            </w:tcBorders>
            <w:noWrap/>
            <w:vAlign w:val="center"/>
            <w:hideMark/>
          </w:tcPr>
          <w:p w14:paraId="36277358" w14:textId="77777777" w:rsidR="001617C2" w:rsidRPr="001B6518" w:rsidRDefault="001617C2" w:rsidP="008A0393">
            <w:pPr>
              <w:spacing w:after="0" w:line="240" w:lineRule="auto"/>
              <w:jc w:val="center"/>
              <w:rPr>
                <w:rFonts w:ascii="Arial" w:hAnsi="Arial" w:cs="Arial"/>
                <w:color w:val="000000"/>
                <w:sz w:val="16"/>
                <w:szCs w:val="16"/>
              </w:rPr>
            </w:pPr>
            <w:r w:rsidRPr="001B6518">
              <w:rPr>
                <w:rFonts w:ascii="Arial" w:hAnsi="Arial" w:cs="Arial"/>
                <w:color w:val="000000"/>
                <w:sz w:val="16"/>
                <w:szCs w:val="16"/>
              </w:rPr>
              <w:t>2042</w:t>
            </w:r>
          </w:p>
        </w:tc>
        <w:tc>
          <w:tcPr>
            <w:tcW w:w="0" w:type="auto"/>
            <w:tcBorders>
              <w:top w:val="nil"/>
              <w:left w:val="nil"/>
              <w:bottom w:val="single" w:sz="4" w:space="0" w:color="auto"/>
              <w:right w:val="single" w:sz="4" w:space="0" w:color="auto"/>
            </w:tcBorders>
            <w:noWrap/>
            <w:vAlign w:val="center"/>
            <w:hideMark/>
          </w:tcPr>
          <w:p w14:paraId="2280DA07"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44390DF8"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5BD9AB40"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488B8D04"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2CADB955"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174,428,787</w:t>
            </w:r>
          </w:p>
        </w:tc>
        <w:tc>
          <w:tcPr>
            <w:tcW w:w="0" w:type="auto"/>
            <w:tcBorders>
              <w:top w:val="nil"/>
              <w:left w:val="nil"/>
              <w:bottom w:val="single" w:sz="4" w:space="0" w:color="auto"/>
              <w:right w:val="nil"/>
            </w:tcBorders>
            <w:noWrap/>
            <w:vAlign w:val="center"/>
            <w:hideMark/>
          </w:tcPr>
          <w:p w14:paraId="1FABB46B"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232,220,821</w:t>
            </w:r>
          </w:p>
        </w:tc>
        <w:tc>
          <w:tcPr>
            <w:tcW w:w="1840" w:type="dxa"/>
            <w:tcBorders>
              <w:top w:val="nil"/>
              <w:left w:val="single" w:sz="4" w:space="0" w:color="auto"/>
              <w:bottom w:val="single" w:sz="4" w:space="0" w:color="auto"/>
              <w:right w:val="single" w:sz="4" w:space="0" w:color="auto"/>
            </w:tcBorders>
            <w:noWrap/>
            <w:vAlign w:val="center"/>
            <w:hideMark/>
          </w:tcPr>
          <w:p w14:paraId="19352BBD"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133,610,822</w:t>
            </w:r>
          </w:p>
        </w:tc>
        <w:tc>
          <w:tcPr>
            <w:tcW w:w="1560" w:type="dxa"/>
            <w:tcBorders>
              <w:top w:val="nil"/>
              <w:left w:val="nil"/>
              <w:bottom w:val="single" w:sz="4" w:space="0" w:color="auto"/>
              <w:right w:val="single" w:sz="4" w:space="0" w:color="auto"/>
            </w:tcBorders>
            <w:noWrap/>
            <w:vAlign w:val="center"/>
            <w:hideMark/>
          </w:tcPr>
          <w:p w14:paraId="27DBB459"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r>
      <w:tr w:rsidR="001617C2" w:rsidRPr="001B6518" w14:paraId="3D3155D1" w14:textId="77777777" w:rsidTr="008A0393">
        <w:trPr>
          <w:trHeight w:val="200"/>
        </w:trPr>
        <w:tc>
          <w:tcPr>
            <w:tcW w:w="0" w:type="auto"/>
            <w:tcBorders>
              <w:top w:val="nil"/>
              <w:left w:val="single" w:sz="4" w:space="0" w:color="auto"/>
              <w:bottom w:val="single" w:sz="4" w:space="0" w:color="auto"/>
              <w:right w:val="single" w:sz="4" w:space="0" w:color="auto"/>
            </w:tcBorders>
            <w:noWrap/>
            <w:vAlign w:val="center"/>
            <w:hideMark/>
          </w:tcPr>
          <w:p w14:paraId="20270429" w14:textId="77777777" w:rsidR="001617C2" w:rsidRPr="001B6518" w:rsidRDefault="001617C2" w:rsidP="008A0393">
            <w:pPr>
              <w:spacing w:after="0" w:line="240" w:lineRule="auto"/>
              <w:jc w:val="center"/>
              <w:rPr>
                <w:rFonts w:ascii="Arial" w:hAnsi="Arial" w:cs="Arial"/>
                <w:color w:val="000000"/>
                <w:sz w:val="16"/>
                <w:szCs w:val="16"/>
              </w:rPr>
            </w:pPr>
            <w:r w:rsidRPr="001B6518">
              <w:rPr>
                <w:rFonts w:ascii="Arial" w:hAnsi="Arial" w:cs="Arial"/>
                <w:color w:val="000000"/>
                <w:sz w:val="16"/>
                <w:szCs w:val="16"/>
              </w:rPr>
              <w:t>2043</w:t>
            </w:r>
          </w:p>
        </w:tc>
        <w:tc>
          <w:tcPr>
            <w:tcW w:w="0" w:type="auto"/>
            <w:tcBorders>
              <w:top w:val="nil"/>
              <w:left w:val="nil"/>
              <w:bottom w:val="single" w:sz="4" w:space="0" w:color="auto"/>
              <w:right w:val="single" w:sz="4" w:space="0" w:color="auto"/>
            </w:tcBorders>
            <w:noWrap/>
            <w:vAlign w:val="center"/>
            <w:hideMark/>
          </w:tcPr>
          <w:p w14:paraId="13D76673"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4981FD2E"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1ADA986B"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4F15F805"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18D8A5AB"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nil"/>
            </w:tcBorders>
            <w:noWrap/>
            <w:vAlign w:val="center"/>
            <w:hideMark/>
          </w:tcPr>
          <w:p w14:paraId="4A586065"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203,987,841</w:t>
            </w:r>
          </w:p>
        </w:tc>
        <w:tc>
          <w:tcPr>
            <w:tcW w:w="1840" w:type="dxa"/>
            <w:tcBorders>
              <w:top w:val="nil"/>
              <w:left w:val="single" w:sz="4" w:space="0" w:color="auto"/>
              <w:bottom w:val="single" w:sz="4" w:space="0" w:color="auto"/>
              <w:right w:val="single" w:sz="4" w:space="0" w:color="auto"/>
            </w:tcBorders>
            <w:noWrap/>
            <w:vAlign w:val="center"/>
            <w:hideMark/>
          </w:tcPr>
          <w:p w14:paraId="3B76E346"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169,087,469</w:t>
            </w:r>
          </w:p>
        </w:tc>
        <w:tc>
          <w:tcPr>
            <w:tcW w:w="1560" w:type="dxa"/>
            <w:tcBorders>
              <w:top w:val="nil"/>
              <w:left w:val="nil"/>
              <w:bottom w:val="single" w:sz="4" w:space="0" w:color="auto"/>
              <w:right w:val="single" w:sz="4" w:space="0" w:color="auto"/>
            </w:tcBorders>
            <w:noWrap/>
            <w:vAlign w:val="center"/>
            <w:hideMark/>
          </w:tcPr>
          <w:p w14:paraId="5AF9D370"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r>
      <w:tr w:rsidR="001617C2" w:rsidRPr="001B6518" w14:paraId="04B29D38" w14:textId="77777777" w:rsidTr="008A0393">
        <w:trPr>
          <w:trHeight w:val="200"/>
        </w:trPr>
        <w:tc>
          <w:tcPr>
            <w:tcW w:w="0" w:type="auto"/>
            <w:tcBorders>
              <w:top w:val="nil"/>
              <w:left w:val="single" w:sz="4" w:space="0" w:color="auto"/>
              <w:bottom w:val="single" w:sz="4" w:space="0" w:color="auto"/>
              <w:right w:val="single" w:sz="4" w:space="0" w:color="auto"/>
            </w:tcBorders>
            <w:noWrap/>
            <w:vAlign w:val="center"/>
            <w:hideMark/>
          </w:tcPr>
          <w:p w14:paraId="28B5FC82" w14:textId="77777777" w:rsidR="001617C2" w:rsidRPr="001B6518" w:rsidRDefault="001617C2" w:rsidP="008A0393">
            <w:pPr>
              <w:spacing w:after="0" w:line="240" w:lineRule="auto"/>
              <w:jc w:val="center"/>
              <w:rPr>
                <w:rFonts w:ascii="Arial" w:hAnsi="Arial" w:cs="Arial"/>
                <w:color w:val="000000"/>
                <w:sz w:val="16"/>
                <w:szCs w:val="16"/>
              </w:rPr>
            </w:pPr>
            <w:r w:rsidRPr="001B6518">
              <w:rPr>
                <w:rFonts w:ascii="Arial" w:hAnsi="Arial" w:cs="Arial"/>
                <w:color w:val="000000"/>
                <w:sz w:val="16"/>
                <w:szCs w:val="16"/>
              </w:rPr>
              <w:t>2044</w:t>
            </w:r>
          </w:p>
        </w:tc>
        <w:tc>
          <w:tcPr>
            <w:tcW w:w="0" w:type="auto"/>
            <w:tcBorders>
              <w:top w:val="nil"/>
              <w:left w:val="nil"/>
              <w:bottom w:val="single" w:sz="4" w:space="0" w:color="auto"/>
              <w:right w:val="single" w:sz="4" w:space="0" w:color="auto"/>
            </w:tcBorders>
            <w:noWrap/>
            <w:vAlign w:val="center"/>
            <w:hideMark/>
          </w:tcPr>
          <w:p w14:paraId="68A4C8F0"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14BD847E"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45909F6E"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584107A4"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51CEFFC2"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nil"/>
            </w:tcBorders>
            <w:noWrap/>
            <w:vAlign w:val="center"/>
            <w:hideMark/>
          </w:tcPr>
          <w:p w14:paraId="0D36A5DF"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 </w:t>
            </w:r>
          </w:p>
        </w:tc>
        <w:tc>
          <w:tcPr>
            <w:tcW w:w="1840" w:type="dxa"/>
            <w:tcBorders>
              <w:top w:val="nil"/>
              <w:left w:val="single" w:sz="4" w:space="0" w:color="auto"/>
              <w:bottom w:val="single" w:sz="4" w:space="0" w:color="auto"/>
              <w:right w:val="single" w:sz="4" w:space="0" w:color="auto"/>
            </w:tcBorders>
            <w:noWrap/>
            <w:vAlign w:val="center"/>
            <w:hideMark/>
          </w:tcPr>
          <w:p w14:paraId="0486212D"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182,270,940</w:t>
            </w:r>
          </w:p>
        </w:tc>
        <w:tc>
          <w:tcPr>
            <w:tcW w:w="1560" w:type="dxa"/>
            <w:tcBorders>
              <w:top w:val="nil"/>
              <w:left w:val="nil"/>
              <w:bottom w:val="single" w:sz="4" w:space="0" w:color="auto"/>
              <w:right w:val="single" w:sz="4" w:space="0" w:color="auto"/>
            </w:tcBorders>
            <w:noWrap/>
            <w:vAlign w:val="center"/>
            <w:hideMark/>
          </w:tcPr>
          <w:p w14:paraId="28B36190"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r>
      <w:tr w:rsidR="001617C2" w:rsidRPr="001B6518" w14:paraId="5A1D1DF8" w14:textId="77777777" w:rsidTr="008A0393">
        <w:trPr>
          <w:trHeight w:val="200"/>
        </w:trPr>
        <w:tc>
          <w:tcPr>
            <w:tcW w:w="0" w:type="auto"/>
            <w:tcBorders>
              <w:top w:val="nil"/>
              <w:left w:val="single" w:sz="4" w:space="0" w:color="auto"/>
              <w:bottom w:val="single" w:sz="4" w:space="0" w:color="auto"/>
              <w:right w:val="single" w:sz="4" w:space="0" w:color="auto"/>
            </w:tcBorders>
            <w:noWrap/>
            <w:vAlign w:val="center"/>
            <w:hideMark/>
          </w:tcPr>
          <w:p w14:paraId="534620E5" w14:textId="77777777" w:rsidR="001617C2" w:rsidRPr="001B6518" w:rsidRDefault="001617C2" w:rsidP="008A0393">
            <w:pPr>
              <w:spacing w:after="0" w:line="240" w:lineRule="auto"/>
              <w:jc w:val="center"/>
              <w:rPr>
                <w:rFonts w:ascii="Arial" w:hAnsi="Arial" w:cs="Arial"/>
                <w:color w:val="000000"/>
                <w:sz w:val="16"/>
                <w:szCs w:val="16"/>
              </w:rPr>
            </w:pPr>
            <w:r w:rsidRPr="001B6518">
              <w:rPr>
                <w:rFonts w:ascii="Arial" w:hAnsi="Arial" w:cs="Arial"/>
                <w:color w:val="000000"/>
                <w:sz w:val="16"/>
                <w:szCs w:val="16"/>
              </w:rPr>
              <w:t>2045</w:t>
            </w:r>
          </w:p>
        </w:tc>
        <w:tc>
          <w:tcPr>
            <w:tcW w:w="0" w:type="auto"/>
            <w:tcBorders>
              <w:top w:val="nil"/>
              <w:left w:val="nil"/>
              <w:bottom w:val="single" w:sz="4" w:space="0" w:color="auto"/>
              <w:right w:val="single" w:sz="4" w:space="0" w:color="auto"/>
            </w:tcBorders>
            <w:noWrap/>
            <w:vAlign w:val="center"/>
            <w:hideMark/>
          </w:tcPr>
          <w:p w14:paraId="4468C9D5"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0313C5A7"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28923FE8"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0DAA6F85"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5E84E954"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nil"/>
            </w:tcBorders>
            <w:noWrap/>
            <w:vAlign w:val="center"/>
            <w:hideMark/>
          </w:tcPr>
          <w:p w14:paraId="2BF81535"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 </w:t>
            </w:r>
          </w:p>
        </w:tc>
        <w:tc>
          <w:tcPr>
            <w:tcW w:w="1840" w:type="dxa"/>
            <w:tcBorders>
              <w:top w:val="nil"/>
              <w:left w:val="single" w:sz="4" w:space="0" w:color="auto"/>
              <w:bottom w:val="single" w:sz="4" w:space="0" w:color="auto"/>
              <w:right w:val="single" w:sz="4" w:space="0" w:color="auto"/>
            </w:tcBorders>
            <w:noWrap/>
            <w:vAlign w:val="center"/>
            <w:hideMark/>
          </w:tcPr>
          <w:p w14:paraId="675255FD"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211,571,817</w:t>
            </w:r>
          </w:p>
        </w:tc>
        <w:tc>
          <w:tcPr>
            <w:tcW w:w="1560" w:type="dxa"/>
            <w:tcBorders>
              <w:top w:val="nil"/>
              <w:left w:val="nil"/>
              <w:bottom w:val="single" w:sz="4" w:space="0" w:color="auto"/>
              <w:right w:val="single" w:sz="4" w:space="0" w:color="auto"/>
            </w:tcBorders>
            <w:noWrap/>
            <w:vAlign w:val="center"/>
            <w:hideMark/>
          </w:tcPr>
          <w:p w14:paraId="5CB9AC8A"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r>
      <w:tr w:rsidR="001617C2" w:rsidRPr="001B6518" w14:paraId="5AC0EC18" w14:textId="77777777" w:rsidTr="008A0393">
        <w:trPr>
          <w:trHeight w:val="200"/>
        </w:trPr>
        <w:tc>
          <w:tcPr>
            <w:tcW w:w="0" w:type="auto"/>
            <w:tcBorders>
              <w:top w:val="nil"/>
              <w:left w:val="single" w:sz="4" w:space="0" w:color="auto"/>
              <w:bottom w:val="single" w:sz="4" w:space="0" w:color="auto"/>
              <w:right w:val="single" w:sz="4" w:space="0" w:color="auto"/>
            </w:tcBorders>
            <w:noWrap/>
            <w:vAlign w:val="center"/>
            <w:hideMark/>
          </w:tcPr>
          <w:p w14:paraId="2A13AC41" w14:textId="77777777" w:rsidR="001617C2" w:rsidRPr="001B6518" w:rsidRDefault="001617C2" w:rsidP="008A0393">
            <w:pPr>
              <w:spacing w:after="0" w:line="240" w:lineRule="auto"/>
              <w:jc w:val="center"/>
              <w:rPr>
                <w:rFonts w:ascii="Arial" w:hAnsi="Arial" w:cs="Arial"/>
                <w:color w:val="000000"/>
                <w:sz w:val="16"/>
                <w:szCs w:val="16"/>
              </w:rPr>
            </w:pPr>
            <w:r w:rsidRPr="001B6518">
              <w:rPr>
                <w:rFonts w:ascii="Arial" w:hAnsi="Arial" w:cs="Arial"/>
                <w:color w:val="000000"/>
                <w:sz w:val="16"/>
                <w:szCs w:val="16"/>
              </w:rPr>
              <w:t>2046</w:t>
            </w:r>
          </w:p>
        </w:tc>
        <w:tc>
          <w:tcPr>
            <w:tcW w:w="0" w:type="auto"/>
            <w:tcBorders>
              <w:top w:val="nil"/>
              <w:left w:val="nil"/>
              <w:bottom w:val="single" w:sz="4" w:space="0" w:color="auto"/>
              <w:right w:val="single" w:sz="4" w:space="0" w:color="auto"/>
            </w:tcBorders>
            <w:noWrap/>
            <w:vAlign w:val="center"/>
            <w:hideMark/>
          </w:tcPr>
          <w:p w14:paraId="4FC40870"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2E848DD3"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2E41A907"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27FE2F10"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single" w:sz="4" w:space="0" w:color="auto"/>
            </w:tcBorders>
            <w:noWrap/>
            <w:vAlign w:val="center"/>
            <w:hideMark/>
          </w:tcPr>
          <w:p w14:paraId="5D603128"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c>
          <w:tcPr>
            <w:tcW w:w="0" w:type="auto"/>
            <w:tcBorders>
              <w:top w:val="nil"/>
              <w:left w:val="nil"/>
              <w:bottom w:val="single" w:sz="4" w:space="0" w:color="auto"/>
              <w:right w:val="nil"/>
            </w:tcBorders>
            <w:noWrap/>
            <w:vAlign w:val="center"/>
            <w:hideMark/>
          </w:tcPr>
          <w:p w14:paraId="4E4ABC26"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 </w:t>
            </w:r>
          </w:p>
        </w:tc>
        <w:tc>
          <w:tcPr>
            <w:tcW w:w="1840" w:type="dxa"/>
            <w:tcBorders>
              <w:top w:val="nil"/>
              <w:left w:val="single" w:sz="4" w:space="0" w:color="auto"/>
              <w:bottom w:val="single" w:sz="4" w:space="0" w:color="auto"/>
              <w:right w:val="single" w:sz="4" w:space="0" w:color="auto"/>
            </w:tcBorders>
            <w:noWrap/>
            <w:vAlign w:val="center"/>
            <w:hideMark/>
          </w:tcPr>
          <w:p w14:paraId="2420D7DF"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97,897,616</w:t>
            </w:r>
          </w:p>
        </w:tc>
        <w:tc>
          <w:tcPr>
            <w:tcW w:w="1560" w:type="dxa"/>
            <w:tcBorders>
              <w:top w:val="nil"/>
              <w:left w:val="nil"/>
              <w:bottom w:val="single" w:sz="4" w:space="0" w:color="auto"/>
              <w:right w:val="single" w:sz="4" w:space="0" w:color="auto"/>
            </w:tcBorders>
            <w:noWrap/>
            <w:vAlign w:val="center"/>
            <w:hideMark/>
          </w:tcPr>
          <w:p w14:paraId="1B06463A" w14:textId="77777777" w:rsidR="001617C2" w:rsidRPr="001B6518" w:rsidRDefault="001617C2" w:rsidP="008A0393">
            <w:pPr>
              <w:spacing w:after="0" w:line="240" w:lineRule="auto"/>
              <w:jc w:val="right"/>
              <w:rPr>
                <w:rFonts w:ascii="Arial" w:hAnsi="Arial" w:cs="Arial"/>
                <w:color w:val="000000"/>
                <w:sz w:val="16"/>
                <w:szCs w:val="16"/>
              </w:rPr>
            </w:pPr>
            <w:r w:rsidRPr="001B6518">
              <w:rPr>
                <w:rFonts w:ascii="Arial" w:hAnsi="Arial" w:cs="Arial"/>
                <w:color w:val="000000"/>
                <w:sz w:val="16"/>
                <w:szCs w:val="16"/>
              </w:rPr>
              <w:t>0</w:t>
            </w:r>
          </w:p>
        </w:tc>
      </w:tr>
    </w:tbl>
    <w:p w14:paraId="69960F8B" w14:textId="77777777" w:rsidR="00C20D77" w:rsidRPr="001B6518" w:rsidRDefault="00C20D77" w:rsidP="00C20D77">
      <w:pPr>
        <w:spacing w:after="0" w:line="240" w:lineRule="auto"/>
        <w:ind w:left="567"/>
        <w:rPr>
          <w:rFonts w:ascii="Arial" w:eastAsia="Arial" w:hAnsi="Arial" w:cs="Arial"/>
          <w:sz w:val="16"/>
          <w:szCs w:val="16"/>
        </w:rPr>
      </w:pPr>
      <w:r w:rsidRPr="001B6518">
        <w:rPr>
          <w:rFonts w:ascii="Arial" w:eastAsia="Arial" w:hAnsi="Arial" w:cs="Arial"/>
          <w:sz w:val="16"/>
          <w:szCs w:val="16"/>
        </w:rPr>
        <w:t>Esta hoja pertenece a la Iniciativa para expedir la Ley de Ingresos Estado de Yucatán para el Ejercicio Fiscal 2026.</w:t>
      </w:r>
    </w:p>
    <w:p w14:paraId="3CDF3C9C" w14:textId="77777777" w:rsidR="00C20D77" w:rsidRPr="001B6518" w:rsidRDefault="00C20D77" w:rsidP="00C20D77">
      <w:pPr>
        <w:spacing w:line="240" w:lineRule="auto"/>
        <w:rPr>
          <w:rFonts w:ascii="Arial" w:eastAsia="Arial" w:hAnsi="Arial" w:cs="Arial"/>
          <w:sz w:val="16"/>
          <w:szCs w:val="16"/>
        </w:rPr>
      </w:pPr>
    </w:p>
    <w:p w14:paraId="49FB3936" w14:textId="77777777" w:rsidR="00C20D77" w:rsidRPr="001B6518" w:rsidRDefault="00C20D77">
      <w:pPr>
        <w:spacing w:line="240" w:lineRule="auto"/>
        <w:rPr>
          <w:rFonts w:ascii="Arial" w:eastAsia="Arial" w:hAnsi="Arial" w:cs="Arial"/>
          <w:sz w:val="16"/>
          <w:szCs w:val="16"/>
        </w:rPr>
      </w:pPr>
    </w:p>
    <w:sectPr w:rsidR="00C20D77" w:rsidRPr="001B6518" w:rsidSect="00C6489A">
      <w:headerReference w:type="default" r:id="rId11"/>
      <w:pgSz w:w="15840" w:h="12240" w:orient="landscape"/>
      <w:pgMar w:top="1701" w:right="3402" w:bottom="1701" w:left="1418"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0D2AC" w14:textId="77777777" w:rsidR="007E01F0" w:rsidRDefault="007E01F0">
      <w:pPr>
        <w:spacing w:after="0" w:line="240" w:lineRule="auto"/>
      </w:pPr>
      <w:r>
        <w:separator/>
      </w:r>
    </w:p>
  </w:endnote>
  <w:endnote w:type="continuationSeparator" w:id="0">
    <w:p w14:paraId="1610379A" w14:textId="77777777" w:rsidR="007E01F0" w:rsidRDefault="007E0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E25BB8D-6BFF-41A2-AF76-94C35B1D3CDE}"/>
    <w:embedBold r:id="rId2" w:fontKey="{85DE7B4A-A166-48F2-AE04-458BA050CAC1}"/>
  </w:font>
  <w:font w:name="Times">
    <w:panose1 w:val="02020603050405020304"/>
    <w:charset w:val="00"/>
    <w:family w:val="roman"/>
    <w:pitch w:val="variable"/>
    <w:sig w:usb0="E0002EFF" w:usb1="C000785B" w:usb2="00000009" w:usb3="00000000" w:csb0="000001FF" w:csb1="00000000"/>
    <w:embedRegular r:id="rId3" w:fontKey="{51AF30B6-F10F-4E39-87A9-FE1C7EC720B5}"/>
  </w:font>
  <w:font w:name="Segoe UI">
    <w:panose1 w:val="020B0502040204020203"/>
    <w:charset w:val="00"/>
    <w:family w:val="swiss"/>
    <w:pitch w:val="variable"/>
    <w:sig w:usb0="E4002EFF" w:usb1="C000E47F" w:usb2="00000009" w:usb3="00000000" w:csb0="000001FF" w:csb1="00000000"/>
    <w:embedRegular r:id="rId4" w:fontKey="{9F4B6B66-C064-4204-B113-9BE546F75884}"/>
  </w:font>
  <w:font w:name="Barlow">
    <w:altName w:val="Courier New"/>
    <w:charset w:val="00"/>
    <w:family w:val="auto"/>
    <w:pitch w:val="variable"/>
    <w:sig w:usb0="00000007" w:usb1="00000000" w:usb2="00000000" w:usb3="00000000" w:csb0="00000093" w:csb1="00000000"/>
    <w:embedRegular r:id="rId5" w:fontKey="{B747F5C3-788C-4961-B439-098266C39780}"/>
    <w:embedBold r:id="rId6" w:fontKey="{D0532FB0-3F9C-4B19-934B-F2F1DA4AFB57}"/>
  </w:font>
  <w:font w:name="Tahoma">
    <w:panose1 w:val="020B0604030504040204"/>
    <w:charset w:val="00"/>
    <w:family w:val="swiss"/>
    <w:pitch w:val="variable"/>
    <w:sig w:usb0="E1002EFF" w:usb1="C000605B" w:usb2="00000029" w:usb3="00000000" w:csb0="000101FF" w:csb1="00000000"/>
    <w:embedRegular r:id="rId7" w:fontKey="{6420DE09-A029-4B6B-B91D-4C6FC80F0A80}"/>
    <w:embedBold r:id="rId8" w:fontKey="{69FDCED5-5BC8-4DAF-9F8B-CA3D6141220F}"/>
  </w:font>
  <w:font w:name="Cambria">
    <w:panose1 w:val="02040503050406030204"/>
    <w:charset w:val="00"/>
    <w:family w:val="roman"/>
    <w:pitch w:val="variable"/>
    <w:sig w:usb0="E00006FF" w:usb1="420024FF" w:usb2="02000000" w:usb3="00000000" w:csb0="0000019F" w:csb1="00000000"/>
    <w:embedRegular r:id="rId9" w:fontKey="{16541011-0379-46DD-967C-20F713B87164}"/>
    <w:embedBold r:id="rId10" w:fontKey="{B454B5CA-4DAB-4EFE-8CE4-E1CA10FC3D70}"/>
  </w:font>
  <w:font w:name="Georgia">
    <w:panose1 w:val="02040502050405020303"/>
    <w:charset w:val="00"/>
    <w:family w:val="roman"/>
    <w:pitch w:val="variable"/>
    <w:sig w:usb0="00000287" w:usb1="00000000" w:usb2="00000000" w:usb3="00000000" w:csb0="0000009F" w:csb1="00000000"/>
    <w:embedRegular r:id="rId11" w:fontKey="{E8EACE64-26F3-47CD-9BD4-28D21E293B2E}"/>
    <w:embedItalic r:id="rId12" w:fontKey="{2B84BFBC-FEAE-435C-821B-DCFB77E0069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B8" w14:textId="642931D2" w:rsidR="00B411AD" w:rsidRPr="00B04627" w:rsidRDefault="00B411AD" w:rsidP="00B04627">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EA279" w14:textId="77777777" w:rsidR="007E01F0" w:rsidRDefault="007E01F0">
      <w:pPr>
        <w:spacing w:after="0" w:line="240" w:lineRule="auto"/>
      </w:pPr>
      <w:r>
        <w:separator/>
      </w:r>
    </w:p>
  </w:footnote>
  <w:footnote w:type="continuationSeparator" w:id="0">
    <w:p w14:paraId="2F93BA82" w14:textId="77777777" w:rsidR="007E01F0" w:rsidRDefault="007E01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AD" w14:textId="77777777" w:rsidR="00B411AD" w:rsidRDefault="00B411AD">
    <w:pPr>
      <w:widowControl w:val="0"/>
      <w:pBdr>
        <w:top w:val="nil"/>
        <w:left w:val="nil"/>
        <w:bottom w:val="nil"/>
        <w:right w:val="nil"/>
        <w:between w:val="nil"/>
      </w:pBdr>
      <w:spacing w:after="0" w:line="276" w:lineRule="auto"/>
      <w:rPr>
        <w:rFonts w:ascii="Arial" w:eastAsia="Arial" w:hAnsi="Arial" w:cs="Arial"/>
        <w:sz w:val="16"/>
        <w:szCs w:val="16"/>
      </w:rPr>
    </w:pPr>
  </w:p>
  <w:tbl>
    <w:tblPr>
      <w:tblStyle w:val="a4"/>
      <w:tblW w:w="9390" w:type="dxa"/>
      <w:tblInd w:w="0" w:type="dxa"/>
      <w:tblLayout w:type="fixed"/>
      <w:tblLook w:val="0600" w:firstRow="0" w:lastRow="0" w:firstColumn="0" w:lastColumn="0" w:noHBand="1" w:noVBand="1"/>
    </w:tblPr>
    <w:tblGrid>
      <w:gridCol w:w="3130"/>
      <w:gridCol w:w="3130"/>
      <w:gridCol w:w="3130"/>
    </w:tblGrid>
    <w:tr w:rsidR="00B411AD" w14:paraId="6A6A4927" w14:textId="77777777">
      <w:trPr>
        <w:trHeight w:val="300"/>
      </w:trPr>
      <w:tc>
        <w:tcPr>
          <w:tcW w:w="3130" w:type="dxa"/>
        </w:tcPr>
        <w:p w14:paraId="000007AE" w14:textId="77777777" w:rsidR="00B411AD" w:rsidRDefault="00B411AD">
          <w:pPr>
            <w:pBdr>
              <w:top w:val="nil"/>
              <w:left w:val="nil"/>
              <w:bottom w:val="nil"/>
              <w:right w:val="nil"/>
              <w:between w:val="nil"/>
            </w:pBdr>
            <w:tabs>
              <w:tab w:val="center" w:pos="4419"/>
              <w:tab w:val="right" w:pos="8838"/>
            </w:tabs>
            <w:spacing w:after="0" w:line="240" w:lineRule="auto"/>
            <w:ind w:left="-115"/>
            <w:rPr>
              <w:color w:val="000000"/>
            </w:rPr>
          </w:pPr>
        </w:p>
      </w:tc>
      <w:tc>
        <w:tcPr>
          <w:tcW w:w="3130" w:type="dxa"/>
        </w:tcPr>
        <w:p w14:paraId="000007AF" w14:textId="77777777" w:rsidR="00B411AD" w:rsidRDefault="00B411AD">
          <w:pPr>
            <w:pBdr>
              <w:top w:val="nil"/>
              <w:left w:val="nil"/>
              <w:bottom w:val="nil"/>
              <w:right w:val="nil"/>
              <w:between w:val="nil"/>
            </w:pBdr>
            <w:tabs>
              <w:tab w:val="center" w:pos="4419"/>
              <w:tab w:val="right" w:pos="8838"/>
            </w:tabs>
            <w:spacing w:after="0" w:line="240" w:lineRule="auto"/>
            <w:jc w:val="center"/>
            <w:rPr>
              <w:color w:val="000000"/>
            </w:rPr>
          </w:pPr>
        </w:p>
      </w:tc>
      <w:tc>
        <w:tcPr>
          <w:tcW w:w="3130" w:type="dxa"/>
        </w:tcPr>
        <w:p w14:paraId="000007B0" w14:textId="77777777" w:rsidR="00B411AD" w:rsidRDefault="00B411AD">
          <w:pPr>
            <w:pBdr>
              <w:top w:val="nil"/>
              <w:left w:val="nil"/>
              <w:bottom w:val="nil"/>
              <w:right w:val="nil"/>
              <w:between w:val="nil"/>
            </w:pBdr>
            <w:tabs>
              <w:tab w:val="center" w:pos="4419"/>
              <w:tab w:val="right" w:pos="8838"/>
            </w:tabs>
            <w:spacing w:after="0" w:line="240" w:lineRule="auto"/>
            <w:ind w:right="-115"/>
            <w:jc w:val="right"/>
            <w:rPr>
              <w:color w:val="000000"/>
            </w:rPr>
          </w:pPr>
        </w:p>
      </w:tc>
    </w:tr>
  </w:tbl>
  <w:p w14:paraId="000007B1" w14:textId="77777777" w:rsidR="00B411AD" w:rsidRDefault="00B411AD">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B2" w14:textId="77777777" w:rsidR="00B411AD" w:rsidRDefault="00B411AD">
    <w:pPr>
      <w:widowControl w:val="0"/>
      <w:pBdr>
        <w:top w:val="nil"/>
        <w:left w:val="nil"/>
        <w:bottom w:val="nil"/>
        <w:right w:val="nil"/>
        <w:between w:val="nil"/>
      </w:pBdr>
      <w:spacing w:after="0" w:line="276" w:lineRule="auto"/>
      <w:rPr>
        <w:color w:val="000000"/>
      </w:rPr>
    </w:pPr>
  </w:p>
  <w:tbl>
    <w:tblPr>
      <w:tblStyle w:val="a5"/>
      <w:tblW w:w="14400" w:type="dxa"/>
      <w:tblInd w:w="0" w:type="dxa"/>
      <w:tblLayout w:type="fixed"/>
      <w:tblLook w:val="0600" w:firstRow="0" w:lastRow="0" w:firstColumn="0" w:lastColumn="0" w:noHBand="1" w:noVBand="1"/>
    </w:tblPr>
    <w:tblGrid>
      <w:gridCol w:w="4800"/>
      <w:gridCol w:w="4800"/>
      <w:gridCol w:w="4800"/>
    </w:tblGrid>
    <w:tr w:rsidR="00B411AD" w14:paraId="74578CF1" w14:textId="77777777">
      <w:trPr>
        <w:trHeight w:val="300"/>
      </w:trPr>
      <w:tc>
        <w:tcPr>
          <w:tcW w:w="4800" w:type="dxa"/>
        </w:tcPr>
        <w:p w14:paraId="000007B3" w14:textId="77777777" w:rsidR="00B411AD" w:rsidRDefault="00B411AD">
          <w:pPr>
            <w:pBdr>
              <w:top w:val="nil"/>
              <w:left w:val="nil"/>
              <w:bottom w:val="nil"/>
              <w:right w:val="nil"/>
              <w:between w:val="nil"/>
            </w:pBdr>
            <w:tabs>
              <w:tab w:val="center" w:pos="4419"/>
              <w:tab w:val="right" w:pos="8838"/>
            </w:tabs>
            <w:spacing w:after="0" w:line="240" w:lineRule="auto"/>
            <w:ind w:left="-115"/>
            <w:rPr>
              <w:color w:val="000000"/>
            </w:rPr>
          </w:pPr>
        </w:p>
      </w:tc>
      <w:tc>
        <w:tcPr>
          <w:tcW w:w="4800" w:type="dxa"/>
        </w:tcPr>
        <w:p w14:paraId="000007B4" w14:textId="77777777" w:rsidR="00B411AD" w:rsidRDefault="00B411AD">
          <w:pPr>
            <w:pBdr>
              <w:top w:val="nil"/>
              <w:left w:val="nil"/>
              <w:bottom w:val="nil"/>
              <w:right w:val="nil"/>
              <w:between w:val="nil"/>
            </w:pBdr>
            <w:tabs>
              <w:tab w:val="center" w:pos="4419"/>
              <w:tab w:val="right" w:pos="8838"/>
            </w:tabs>
            <w:spacing w:after="0" w:line="240" w:lineRule="auto"/>
            <w:jc w:val="center"/>
            <w:rPr>
              <w:color w:val="000000"/>
            </w:rPr>
          </w:pPr>
        </w:p>
      </w:tc>
      <w:tc>
        <w:tcPr>
          <w:tcW w:w="4800" w:type="dxa"/>
        </w:tcPr>
        <w:p w14:paraId="000007B5" w14:textId="77777777" w:rsidR="00B411AD" w:rsidRDefault="00B411AD">
          <w:pPr>
            <w:pBdr>
              <w:top w:val="nil"/>
              <w:left w:val="nil"/>
              <w:bottom w:val="nil"/>
              <w:right w:val="nil"/>
              <w:between w:val="nil"/>
            </w:pBdr>
            <w:tabs>
              <w:tab w:val="center" w:pos="4419"/>
              <w:tab w:val="right" w:pos="8838"/>
            </w:tabs>
            <w:spacing w:after="0" w:line="240" w:lineRule="auto"/>
            <w:ind w:right="-115"/>
            <w:jc w:val="right"/>
            <w:rPr>
              <w:color w:val="000000"/>
            </w:rPr>
          </w:pPr>
        </w:p>
      </w:tc>
    </w:tr>
  </w:tbl>
  <w:p w14:paraId="000007B6" w14:textId="77777777" w:rsidR="00B411AD" w:rsidRDefault="00B411AD">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52566F"/>
    <w:multiLevelType w:val="hybridMultilevel"/>
    <w:tmpl w:val="5EC2AB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4630F61"/>
    <w:multiLevelType w:val="multilevel"/>
    <w:tmpl w:val="4E9E6B56"/>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5FF470E8"/>
    <w:multiLevelType w:val="multilevel"/>
    <w:tmpl w:val="7F18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6D21B3"/>
    <w:multiLevelType w:val="hybridMultilevel"/>
    <w:tmpl w:val="31A25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D17488B"/>
    <w:multiLevelType w:val="multilevel"/>
    <w:tmpl w:val="9426E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C42"/>
    <w:rsid w:val="00002E8E"/>
    <w:rsid w:val="00005897"/>
    <w:rsid w:val="0000752B"/>
    <w:rsid w:val="00016EC1"/>
    <w:rsid w:val="0001713F"/>
    <w:rsid w:val="00031496"/>
    <w:rsid w:val="00034C25"/>
    <w:rsid w:val="00034F68"/>
    <w:rsid w:val="00040D9D"/>
    <w:rsid w:val="00043168"/>
    <w:rsid w:val="000437BB"/>
    <w:rsid w:val="000525F8"/>
    <w:rsid w:val="00054934"/>
    <w:rsid w:val="00061872"/>
    <w:rsid w:val="00066765"/>
    <w:rsid w:val="000677D9"/>
    <w:rsid w:val="00070385"/>
    <w:rsid w:val="00071AE1"/>
    <w:rsid w:val="00082C06"/>
    <w:rsid w:val="0008679C"/>
    <w:rsid w:val="00086C4B"/>
    <w:rsid w:val="000A0487"/>
    <w:rsid w:val="000A6E9E"/>
    <w:rsid w:val="000B1CAE"/>
    <w:rsid w:val="000B6E17"/>
    <w:rsid w:val="000C6827"/>
    <w:rsid w:val="000D07E3"/>
    <w:rsid w:val="000D35EF"/>
    <w:rsid w:val="000D3E6B"/>
    <w:rsid w:val="000D5784"/>
    <w:rsid w:val="000E0FED"/>
    <w:rsid w:val="000F0AE6"/>
    <w:rsid w:val="000F1C7B"/>
    <w:rsid w:val="0010280C"/>
    <w:rsid w:val="001066CF"/>
    <w:rsid w:val="00110688"/>
    <w:rsid w:val="00111C3C"/>
    <w:rsid w:val="00114074"/>
    <w:rsid w:val="001207A7"/>
    <w:rsid w:val="00121E61"/>
    <w:rsid w:val="001246F3"/>
    <w:rsid w:val="0012479D"/>
    <w:rsid w:val="00133608"/>
    <w:rsid w:val="00133EEC"/>
    <w:rsid w:val="0013601C"/>
    <w:rsid w:val="001370C1"/>
    <w:rsid w:val="00137304"/>
    <w:rsid w:val="00144608"/>
    <w:rsid w:val="00144A47"/>
    <w:rsid w:val="00147FE1"/>
    <w:rsid w:val="0015042C"/>
    <w:rsid w:val="00151130"/>
    <w:rsid w:val="00153118"/>
    <w:rsid w:val="00153FA2"/>
    <w:rsid w:val="0016179E"/>
    <w:rsid w:val="001617C2"/>
    <w:rsid w:val="0016251E"/>
    <w:rsid w:val="001736AB"/>
    <w:rsid w:val="00173828"/>
    <w:rsid w:val="00175197"/>
    <w:rsid w:val="00177AAD"/>
    <w:rsid w:val="001A2873"/>
    <w:rsid w:val="001A524E"/>
    <w:rsid w:val="001A6658"/>
    <w:rsid w:val="001B1A13"/>
    <w:rsid w:val="001B2632"/>
    <w:rsid w:val="001B6518"/>
    <w:rsid w:val="001C08D5"/>
    <w:rsid w:val="001C151C"/>
    <w:rsid w:val="001C4EC0"/>
    <w:rsid w:val="001D078C"/>
    <w:rsid w:val="001D717E"/>
    <w:rsid w:val="001D7E18"/>
    <w:rsid w:val="001F4BB5"/>
    <w:rsid w:val="00201203"/>
    <w:rsid w:val="00204327"/>
    <w:rsid w:val="00204B1F"/>
    <w:rsid w:val="00210A06"/>
    <w:rsid w:val="00211805"/>
    <w:rsid w:val="0022714F"/>
    <w:rsid w:val="00230D75"/>
    <w:rsid w:val="00232190"/>
    <w:rsid w:val="00234974"/>
    <w:rsid w:val="00241286"/>
    <w:rsid w:val="00254867"/>
    <w:rsid w:val="00264E44"/>
    <w:rsid w:val="00275B73"/>
    <w:rsid w:val="002951FA"/>
    <w:rsid w:val="002A4E05"/>
    <w:rsid w:val="002A5EC4"/>
    <w:rsid w:val="002A5EE7"/>
    <w:rsid w:val="002A5F4A"/>
    <w:rsid w:val="002A68EC"/>
    <w:rsid w:val="002B38D4"/>
    <w:rsid w:val="002B421C"/>
    <w:rsid w:val="002C0400"/>
    <w:rsid w:val="002C0AC1"/>
    <w:rsid w:val="002D5A1C"/>
    <w:rsid w:val="002E1B5C"/>
    <w:rsid w:val="002E4416"/>
    <w:rsid w:val="00301917"/>
    <w:rsid w:val="00302371"/>
    <w:rsid w:val="003039B5"/>
    <w:rsid w:val="00304CDA"/>
    <w:rsid w:val="003071E5"/>
    <w:rsid w:val="003162AE"/>
    <w:rsid w:val="0035035C"/>
    <w:rsid w:val="0035285A"/>
    <w:rsid w:val="00356588"/>
    <w:rsid w:val="00357B3F"/>
    <w:rsid w:val="00357E2F"/>
    <w:rsid w:val="003700A3"/>
    <w:rsid w:val="00372BF7"/>
    <w:rsid w:val="00373562"/>
    <w:rsid w:val="003821B4"/>
    <w:rsid w:val="00383DC3"/>
    <w:rsid w:val="003908C4"/>
    <w:rsid w:val="003917B2"/>
    <w:rsid w:val="003A2C77"/>
    <w:rsid w:val="003A7DA2"/>
    <w:rsid w:val="003C63F8"/>
    <w:rsid w:val="003C70B4"/>
    <w:rsid w:val="003E3707"/>
    <w:rsid w:val="003E3C0A"/>
    <w:rsid w:val="003F167A"/>
    <w:rsid w:val="003F39EE"/>
    <w:rsid w:val="003F49E3"/>
    <w:rsid w:val="003F692B"/>
    <w:rsid w:val="003F74B5"/>
    <w:rsid w:val="00403A90"/>
    <w:rsid w:val="004152D8"/>
    <w:rsid w:val="00416747"/>
    <w:rsid w:val="00421A55"/>
    <w:rsid w:val="00423222"/>
    <w:rsid w:val="00433805"/>
    <w:rsid w:val="004371DA"/>
    <w:rsid w:val="004372A9"/>
    <w:rsid w:val="00441A21"/>
    <w:rsid w:val="00443C19"/>
    <w:rsid w:val="00453D7B"/>
    <w:rsid w:val="004544A1"/>
    <w:rsid w:val="004557C5"/>
    <w:rsid w:val="00465E59"/>
    <w:rsid w:val="004728D7"/>
    <w:rsid w:val="00473BBE"/>
    <w:rsid w:val="00475203"/>
    <w:rsid w:val="00482CEB"/>
    <w:rsid w:val="00485A03"/>
    <w:rsid w:val="004A4647"/>
    <w:rsid w:val="004B0B37"/>
    <w:rsid w:val="004B14D4"/>
    <w:rsid w:val="004B3F7D"/>
    <w:rsid w:val="004B5CB8"/>
    <w:rsid w:val="004C37ED"/>
    <w:rsid w:val="004C5465"/>
    <w:rsid w:val="004D70D5"/>
    <w:rsid w:val="004E3EE1"/>
    <w:rsid w:val="004E5F79"/>
    <w:rsid w:val="004E6F99"/>
    <w:rsid w:val="004F4FF3"/>
    <w:rsid w:val="004F74EF"/>
    <w:rsid w:val="005015A3"/>
    <w:rsid w:val="00504582"/>
    <w:rsid w:val="00510780"/>
    <w:rsid w:val="00511491"/>
    <w:rsid w:val="00516BC3"/>
    <w:rsid w:val="00520395"/>
    <w:rsid w:val="00520834"/>
    <w:rsid w:val="00523259"/>
    <w:rsid w:val="0052360A"/>
    <w:rsid w:val="005249DA"/>
    <w:rsid w:val="00530F05"/>
    <w:rsid w:val="005369EE"/>
    <w:rsid w:val="00542682"/>
    <w:rsid w:val="00545140"/>
    <w:rsid w:val="00555504"/>
    <w:rsid w:val="00557CB4"/>
    <w:rsid w:val="00560A3B"/>
    <w:rsid w:val="005612B1"/>
    <w:rsid w:val="0056290C"/>
    <w:rsid w:val="00562A65"/>
    <w:rsid w:val="005648BD"/>
    <w:rsid w:val="00566899"/>
    <w:rsid w:val="005712F3"/>
    <w:rsid w:val="00576A41"/>
    <w:rsid w:val="00581A73"/>
    <w:rsid w:val="00592564"/>
    <w:rsid w:val="005A1EF2"/>
    <w:rsid w:val="005A31E6"/>
    <w:rsid w:val="005C16F0"/>
    <w:rsid w:val="005D2002"/>
    <w:rsid w:val="005D2345"/>
    <w:rsid w:val="005D235A"/>
    <w:rsid w:val="005D2E87"/>
    <w:rsid w:val="005D3369"/>
    <w:rsid w:val="005D6008"/>
    <w:rsid w:val="005E278E"/>
    <w:rsid w:val="005E28C6"/>
    <w:rsid w:val="005F17A0"/>
    <w:rsid w:val="005F4EEF"/>
    <w:rsid w:val="005F649F"/>
    <w:rsid w:val="005F6626"/>
    <w:rsid w:val="006021DF"/>
    <w:rsid w:val="0060423E"/>
    <w:rsid w:val="00613740"/>
    <w:rsid w:val="00624F56"/>
    <w:rsid w:val="00630F4D"/>
    <w:rsid w:val="00631D18"/>
    <w:rsid w:val="0063338B"/>
    <w:rsid w:val="006418A0"/>
    <w:rsid w:val="00642CC5"/>
    <w:rsid w:val="0065453B"/>
    <w:rsid w:val="0066210A"/>
    <w:rsid w:val="006726B2"/>
    <w:rsid w:val="0067479A"/>
    <w:rsid w:val="00684190"/>
    <w:rsid w:val="00693167"/>
    <w:rsid w:val="0069525C"/>
    <w:rsid w:val="006A1100"/>
    <w:rsid w:val="006A1537"/>
    <w:rsid w:val="006B42C9"/>
    <w:rsid w:val="006B6C42"/>
    <w:rsid w:val="006C0716"/>
    <w:rsid w:val="006C1F9A"/>
    <w:rsid w:val="006C5638"/>
    <w:rsid w:val="006C6418"/>
    <w:rsid w:val="006C6922"/>
    <w:rsid w:val="006C6A39"/>
    <w:rsid w:val="006D08CE"/>
    <w:rsid w:val="006D0CBD"/>
    <w:rsid w:val="006D7113"/>
    <w:rsid w:val="006E2E6D"/>
    <w:rsid w:val="00700478"/>
    <w:rsid w:val="00700B9D"/>
    <w:rsid w:val="007016A7"/>
    <w:rsid w:val="007120ED"/>
    <w:rsid w:val="007171F7"/>
    <w:rsid w:val="007174BF"/>
    <w:rsid w:val="00721F10"/>
    <w:rsid w:val="00737815"/>
    <w:rsid w:val="00741763"/>
    <w:rsid w:val="00741B96"/>
    <w:rsid w:val="00746908"/>
    <w:rsid w:val="00746CF5"/>
    <w:rsid w:val="00753CF4"/>
    <w:rsid w:val="00755A32"/>
    <w:rsid w:val="00772E1A"/>
    <w:rsid w:val="00775CA8"/>
    <w:rsid w:val="007761D4"/>
    <w:rsid w:val="0078391A"/>
    <w:rsid w:val="00795487"/>
    <w:rsid w:val="007C2270"/>
    <w:rsid w:val="007D2F7E"/>
    <w:rsid w:val="007E01F0"/>
    <w:rsid w:val="00801470"/>
    <w:rsid w:val="00810B71"/>
    <w:rsid w:val="008148E7"/>
    <w:rsid w:val="00817A58"/>
    <w:rsid w:val="00824378"/>
    <w:rsid w:val="00826010"/>
    <w:rsid w:val="008329AA"/>
    <w:rsid w:val="008377C7"/>
    <w:rsid w:val="00845374"/>
    <w:rsid w:val="00847B57"/>
    <w:rsid w:val="0085162F"/>
    <w:rsid w:val="00854053"/>
    <w:rsid w:val="00880A73"/>
    <w:rsid w:val="0088504B"/>
    <w:rsid w:val="00887169"/>
    <w:rsid w:val="008932AC"/>
    <w:rsid w:val="00893AD4"/>
    <w:rsid w:val="00894D2D"/>
    <w:rsid w:val="008A0393"/>
    <w:rsid w:val="008A5FBB"/>
    <w:rsid w:val="008B1BA0"/>
    <w:rsid w:val="008B28FF"/>
    <w:rsid w:val="008B33A2"/>
    <w:rsid w:val="008B4552"/>
    <w:rsid w:val="008B4820"/>
    <w:rsid w:val="008C25BA"/>
    <w:rsid w:val="008C42C8"/>
    <w:rsid w:val="008D11D9"/>
    <w:rsid w:val="008D492E"/>
    <w:rsid w:val="008D4A7C"/>
    <w:rsid w:val="008D70BA"/>
    <w:rsid w:val="008E2277"/>
    <w:rsid w:val="008F49C7"/>
    <w:rsid w:val="00905121"/>
    <w:rsid w:val="009068DE"/>
    <w:rsid w:val="00931023"/>
    <w:rsid w:val="009345AF"/>
    <w:rsid w:val="00944DDD"/>
    <w:rsid w:val="00944FAD"/>
    <w:rsid w:val="00950396"/>
    <w:rsid w:val="00952237"/>
    <w:rsid w:val="0096062F"/>
    <w:rsid w:val="0096321B"/>
    <w:rsid w:val="00977432"/>
    <w:rsid w:val="009809C0"/>
    <w:rsid w:val="009812C1"/>
    <w:rsid w:val="00986EB8"/>
    <w:rsid w:val="009908BE"/>
    <w:rsid w:val="009908E8"/>
    <w:rsid w:val="009B51B4"/>
    <w:rsid w:val="009B57FF"/>
    <w:rsid w:val="009C1434"/>
    <w:rsid w:val="009C3AA9"/>
    <w:rsid w:val="009C3C5A"/>
    <w:rsid w:val="009C5FEF"/>
    <w:rsid w:val="009E0EAB"/>
    <w:rsid w:val="009E1AD1"/>
    <w:rsid w:val="009E7F2A"/>
    <w:rsid w:val="009F1DD9"/>
    <w:rsid w:val="009F3B4D"/>
    <w:rsid w:val="009F4507"/>
    <w:rsid w:val="009F52D8"/>
    <w:rsid w:val="00A123C4"/>
    <w:rsid w:val="00A163DE"/>
    <w:rsid w:val="00A21204"/>
    <w:rsid w:val="00A26F5A"/>
    <w:rsid w:val="00A40DE9"/>
    <w:rsid w:val="00A46BF5"/>
    <w:rsid w:val="00A47EED"/>
    <w:rsid w:val="00A5211E"/>
    <w:rsid w:val="00A6005F"/>
    <w:rsid w:val="00A770C2"/>
    <w:rsid w:val="00A805BC"/>
    <w:rsid w:val="00A80C51"/>
    <w:rsid w:val="00AB0948"/>
    <w:rsid w:val="00AB1988"/>
    <w:rsid w:val="00AB3014"/>
    <w:rsid w:val="00AC22BB"/>
    <w:rsid w:val="00AC33E1"/>
    <w:rsid w:val="00AD5E60"/>
    <w:rsid w:val="00AE1DDD"/>
    <w:rsid w:val="00AE20F7"/>
    <w:rsid w:val="00AE6A09"/>
    <w:rsid w:val="00B04627"/>
    <w:rsid w:val="00B04A7C"/>
    <w:rsid w:val="00B10CFB"/>
    <w:rsid w:val="00B111DC"/>
    <w:rsid w:val="00B160B2"/>
    <w:rsid w:val="00B17E69"/>
    <w:rsid w:val="00B244AE"/>
    <w:rsid w:val="00B318E9"/>
    <w:rsid w:val="00B370CD"/>
    <w:rsid w:val="00B404E4"/>
    <w:rsid w:val="00B411AD"/>
    <w:rsid w:val="00B436D2"/>
    <w:rsid w:val="00B4407D"/>
    <w:rsid w:val="00B4466D"/>
    <w:rsid w:val="00B447AA"/>
    <w:rsid w:val="00B4489B"/>
    <w:rsid w:val="00B53F48"/>
    <w:rsid w:val="00B5576E"/>
    <w:rsid w:val="00B66CBF"/>
    <w:rsid w:val="00B7414E"/>
    <w:rsid w:val="00B90CE9"/>
    <w:rsid w:val="00B922C0"/>
    <w:rsid w:val="00B92434"/>
    <w:rsid w:val="00B97EC4"/>
    <w:rsid w:val="00BA412A"/>
    <w:rsid w:val="00BB0753"/>
    <w:rsid w:val="00BB09E2"/>
    <w:rsid w:val="00BB0E7B"/>
    <w:rsid w:val="00BC001B"/>
    <w:rsid w:val="00BC1AD7"/>
    <w:rsid w:val="00BC3BBF"/>
    <w:rsid w:val="00BD6820"/>
    <w:rsid w:val="00BE454B"/>
    <w:rsid w:val="00BF3B83"/>
    <w:rsid w:val="00C038F2"/>
    <w:rsid w:val="00C11677"/>
    <w:rsid w:val="00C17959"/>
    <w:rsid w:val="00C17F6A"/>
    <w:rsid w:val="00C20D77"/>
    <w:rsid w:val="00C22640"/>
    <w:rsid w:val="00C2634D"/>
    <w:rsid w:val="00C27B67"/>
    <w:rsid w:val="00C301DE"/>
    <w:rsid w:val="00C30448"/>
    <w:rsid w:val="00C312ED"/>
    <w:rsid w:val="00C31C04"/>
    <w:rsid w:val="00C3277D"/>
    <w:rsid w:val="00C46A35"/>
    <w:rsid w:val="00C52187"/>
    <w:rsid w:val="00C535CE"/>
    <w:rsid w:val="00C634F7"/>
    <w:rsid w:val="00C63776"/>
    <w:rsid w:val="00C6489A"/>
    <w:rsid w:val="00C72822"/>
    <w:rsid w:val="00C7477A"/>
    <w:rsid w:val="00C74A13"/>
    <w:rsid w:val="00C772B1"/>
    <w:rsid w:val="00C8275A"/>
    <w:rsid w:val="00C82E97"/>
    <w:rsid w:val="00C858F2"/>
    <w:rsid w:val="00C91A4A"/>
    <w:rsid w:val="00CA0072"/>
    <w:rsid w:val="00CA6792"/>
    <w:rsid w:val="00CB0F34"/>
    <w:rsid w:val="00CB5737"/>
    <w:rsid w:val="00CC1243"/>
    <w:rsid w:val="00CC2E0F"/>
    <w:rsid w:val="00CC4247"/>
    <w:rsid w:val="00CC4865"/>
    <w:rsid w:val="00CC50F1"/>
    <w:rsid w:val="00CD49D4"/>
    <w:rsid w:val="00CD4FA6"/>
    <w:rsid w:val="00CD7714"/>
    <w:rsid w:val="00CE350C"/>
    <w:rsid w:val="00CE5AC6"/>
    <w:rsid w:val="00CF2874"/>
    <w:rsid w:val="00D00EDF"/>
    <w:rsid w:val="00D052C4"/>
    <w:rsid w:val="00D064D5"/>
    <w:rsid w:val="00D125F9"/>
    <w:rsid w:val="00D131F3"/>
    <w:rsid w:val="00D17C4F"/>
    <w:rsid w:val="00D17C7E"/>
    <w:rsid w:val="00D17EFB"/>
    <w:rsid w:val="00D20C4B"/>
    <w:rsid w:val="00D21C1E"/>
    <w:rsid w:val="00D30629"/>
    <w:rsid w:val="00D34510"/>
    <w:rsid w:val="00D42559"/>
    <w:rsid w:val="00D542F1"/>
    <w:rsid w:val="00D547D5"/>
    <w:rsid w:val="00D54DC8"/>
    <w:rsid w:val="00D64EED"/>
    <w:rsid w:val="00D663FD"/>
    <w:rsid w:val="00D672CB"/>
    <w:rsid w:val="00D7288B"/>
    <w:rsid w:val="00D72F07"/>
    <w:rsid w:val="00D739F9"/>
    <w:rsid w:val="00D76C79"/>
    <w:rsid w:val="00D81C95"/>
    <w:rsid w:val="00D842EA"/>
    <w:rsid w:val="00D94503"/>
    <w:rsid w:val="00D94793"/>
    <w:rsid w:val="00D94A92"/>
    <w:rsid w:val="00DA1D86"/>
    <w:rsid w:val="00DA2020"/>
    <w:rsid w:val="00DA274E"/>
    <w:rsid w:val="00DA2822"/>
    <w:rsid w:val="00DB6063"/>
    <w:rsid w:val="00DC20AD"/>
    <w:rsid w:val="00DC6F10"/>
    <w:rsid w:val="00DD523F"/>
    <w:rsid w:val="00DF0AD5"/>
    <w:rsid w:val="00DF1946"/>
    <w:rsid w:val="00DF3ADE"/>
    <w:rsid w:val="00DF53FC"/>
    <w:rsid w:val="00E07BCD"/>
    <w:rsid w:val="00E15DC5"/>
    <w:rsid w:val="00E20EE0"/>
    <w:rsid w:val="00E23F6E"/>
    <w:rsid w:val="00E26F44"/>
    <w:rsid w:val="00E30E85"/>
    <w:rsid w:val="00E31CBB"/>
    <w:rsid w:val="00E32A0C"/>
    <w:rsid w:val="00E35D58"/>
    <w:rsid w:val="00E37489"/>
    <w:rsid w:val="00E462E6"/>
    <w:rsid w:val="00E60A08"/>
    <w:rsid w:val="00E61918"/>
    <w:rsid w:val="00E63EFB"/>
    <w:rsid w:val="00E73864"/>
    <w:rsid w:val="00E816AA"/>
    <w:rsid w:val="00E90434"/>
    <w:rsid w:val="00EB288F"/>
    <w:rsid w:val="00ED0C1B"/>
    <w:rsid w:val="00ED0E07"/>
    <w:rsid w:val="00ED48F7"/>
    <w:rsid w:val="00ED55B6"/>
    <w:rsid w:val="00ED64B7"/>
    <w:rsid w:val="00EE7256"/>
    <w:rsid w:val="00EE7C38"/>
    <w:rsid w:val="00F0749F"/>
    <w:rsid w:val="00F20FF7"/>
    <w:rsid w:val="00F27A5D"/>
    <w:rsid w:val="00F30BC2"/>
    <w:rsid w:val="00F33EB0"/>
    <w:rsid w:val="00F402F6"/>
    <w:rsid w:val="00F463CB"/>
    <w:rsid w:val="00F475AF"/>
    <w:rsid w:val="00F5075F"/>
    <w:rsid w:val="00F564FA"/>
    <w:rsid w:val="00F6219A"/>
    <w:rsid w:val="00F64A3C"/>
    <w:rsid w:val="00F67BCD"/>
    <w:rsid w:val="00F70405"/>
    <w:rsid w:val="00F74A5F"/>
    <w:rsid w:val="00F80116"/>
    <w:rsid w:val="00F946D7"/>
    <w:rsid w:val="00FA02D0"/>
    <w:rsid w:val="00FA4250"/>
    <w:rsid w:val="00FB0E0A"/>
    <w:rsid w:val="00FB3119"/>
    <w:rsid w:val="00FB4095"/>
    <w:rsid w:val="00FB7804"/>
    <w:rsid w:val="00FC05E9"/>
    <w:rsid w:val="00FD3447"/>
    <w:rsid w:val="00FD416C"/>
    <w:rsid w:val="00FE0C12"/>
    <w:rsid w:val="00FE4220"/>
    <w:rsid w:val="00FE508A"/>
    <w:rsid w:val="00FF09B5"/>
    <w:rsid w:val="00FF3F9D"/>
    <w:rsid w:val="00FF52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3CCD3"/>
  <w15:docId w15:val="{113415F4-0B29-4C2C-9096-85F21F5F7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0"/>
      <w:outlineLvl w:val="0"/>
    </w:pPr>
    <w:rPr>
      <w:rFonts w:ascii="Arial" w:eastAsia="Arial" w:hAnsi="Arial" w:cs="Arial"/>
      <w:b/>
    </w:rPr>
  </w:style>
  <w:style w:type="paragraph" w:styleId="Ttulo2">
    <w:name w:val="heading 2"/>
    <w:basedOn w:val="Normal"/>
    <w:next w:val="Normal"/>
    <w:pPr>
      <w:keepNext/>
      <w:keepLines/>
      <w:spacing w:before="200" w:after="0"/>
      <w:outlineLvl w:val="1"/>
    </w:pPr>
    <w:rPr>
      <w:rFonts w:ascii="Arial" w:eastAsia="Arial" w:hAnsi="Arial" w:cs="Arial"/>
      <w:i/>
    </w:rPr>
  </w:style>
  <w:style w:type="paragraph" w:styleId="Ttulo3">
    <w:name w:val="heading 3"/>
    <w:basedOn w:val="Normal"/>
    <w:next w:val="Normal"/>
    <w:pPr>
      <w:spacing w:before="120" w:after="120" w:line="240" w:lineRule="auto"/>
      <w:outlineLvl w:val="2"/>
    </w:pPr>
    <w:rPr>
      <w:rFonts w:ascii="Arial" w:eastAsia="Arial" w:hAnsi="Arial" w:cs="Arial"/>
      <w:i/>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3D6F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6FFD"/>
    <w:rPr>
      <w:rFonts w:eastAsiaTheme="minorEastAsia"/>
      <w:lang w:eastAsia="es-MX"/>
    </w:rPr>
  </w:style>
  <w:style w:type="paragraph" w:styleId="Piedepgina">
    <w:name w:val="footer"/>
    <w:basedOn w:val="Normal"/>
    <w:link w:val="PiedepginaCar"/>
    <w:uiPriority w:val="99"/>
    <w:unhideWhenUsed/>
    <w:rsid w:val="003D6F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6FFD"/>
    <w:rPr>
      <w:rFonts w:eastAsiaTheme="minorEastAsia"/>
      <w:lang w:eastAsia="es-MX"/>
    </w:rPr>
  </w:style>
  <w:style w:type="paragraph" w:customStyle="1" w:styleId="Ttulo11">
    <w:name w:val="Título 11"/>
    <w:basedOn w:val="Normal"/>
    <w:next w:val="Normal"/>
    <w:uiPriority w:val="9"/>
    <w:qFormat/>
    <w:rsid w:val="00723916"/>
    <w:pPr>
      <w:keepNext/>
      <w:keepLines/>
      <w:spacing w:before="120" w:after="120" w:line="240" w:lineRule="auto"/>
      <w:outlineLvl w:val="0"/>
    </w:pPr>
    <w:rPr>
      <w:rFonts w:ascii="Arial" w:hAnsi="Arial"/>
      <w:b/>
      <w:szCs w:val="32"/>
      <w:lang w:eastAsia="en-US"/>
    </w:rPr>
  </w:style>
  <w:style w:type="paragraph" w:customStyle="1" w:styleId="Ttulo21">
    <w:name w:val="Título 21"/>
    <w:basedOn w:val="Normal"/>
    <w:next w:val="Normal"/>
    <w:uiPriority w:val="9"/>
    <w:unhideWhenUsed/>
    <w:qFormat/>
    <w:rsid w:val="00723916"/>
    <w:pPr>
      <w:keepNext/>
      <w:keepLines/>
      <w:spacing w:before="120" w:after="120" w:line="240" w:lineRule="auto"/>
      <w:outlineLvl w:val="1"/>
    </w:pPr>
    <w:rPr>
      <w:rFonts w:ascii="Arial" w:hAnsi="Arial"/>
      <w:i/>
      <w:szCs w:val="26"/>
      <w:lang w:eastAsia="en-US"/>
    </w:rPr>
  </w:style>
  <w:style w:type="character" w:customStyle="1" w:styleId="Ttulo3Car">
    <w:name w:val="Título 3 Car"/>
    <w:basedOn w:val="Fuentedeprrafopredeter"/>
    <w:uiPriority w:val="9"/>
    <w:rsid w:val="00723916"/>
    <w:rPr>
      <w:rFonts w:ascii="Arial" w:eastAsia="Times New Roman" w:hAnsi="Arial" w:cs="Times New Roman"/>
      <w:bCs/>
      <w:i/>
      <w:szCs w:val="27"/>
      <w:lang w:eastAsia="es-MX"/>
    </w:rPr>
  </w:style>
  <w:style w:type="numbering" w:customStyle="1" w:styleId="Sinlista1">
    <w:name w:val="Sin lista1"/>
    <w:next w:val="Sinlista"/>
    <w:uiPriority w:val="99"/>
    <w:semiHidden/>
    <w:unhideWhenUsed/>
    <w:rsid w:val="00723916"/>
  </w:style>
  <w:style w:type="paragraph" w:styleId="Textonotapie">
    <w:name w:val="footnote text"/>
    <w:basedOn w:val="Normal"/>
    <w:link w:val="TextonotapieCar"/>
    <w:uiPriority w:val="99"/>
    <w:unhideWhenUsed/>
    <w:rsid w:val="00723916"/>
    <w:pPr>
      <w:spacing w:after="0" w:line="240" w:lineRule="auto"/>
    </w:pPr>
    <w:rPr>
      <w:rFonts w:ascii="Calibri" w:eastAsia="Calibri" w:hAnsi="Calibri"/>
      <w:sz w:val="20"/>
      <w:szCs w:val="20"/>
      <w:lang w:eastAsia="en-US"/>
    </w:rPr>
  </w:style>
  <w:style w:type="character" w:customStyle="1" w:styleId="TextonotapieCar">
    <w:name w:val="Texto nota pie Car"/>
    <w:basedOn w:val="Fuentedeprrafopredeter"/>
    <w:link w:val="Textonotapie"/>
    <w:uiPriority w:val="99"/>
    <w:rsid w:val="00723916"/>
    <w:rPr>
      <w:rFonts w:ascii="Calibri" w:eastAsia="Calibri" w:hAnsi="Calibri" w:cs="Times New Roman"/>
      <w:sz w:val="20"/>
      <w:szCs w:val="20"/>
    </w:rPr>
  </w:style>
  <w:style w:type="character" w:styleId="Refdenotaalpie">
    <w:name w:val="footnote reference"/>
    <w:uiPriority w:val="99"/>
    <w:semiHidden/>
    <w:unhideWhenUsed/>
    <w:rsid w:val="00723916"/>
    <w:rPr>
      <w:vertAlign w:val="superscript"/>
    </w:rPr>
  </w:style>
  <w:style w:type="paragraph" w:styleId="Prrafodelista">
    <w:name w:val="List Paragraph"/>
    <w:basedOn w:val="Normal"/>
    <w:uiPriority w:val="34"/>
    <w:qFormat/>
    <w:rsid w:val="00723916"/>
    <w:pPr>
      <w:spacing w:line="276" w:lineRule="auto"/>
      <w:ind w:left="720"/>
      <w:contextualSpacing/>
    </w:pPr>
    <w:rPr>
      <w:rFonts w:ascii="Calibri" w:eastAsia="Calibri" w:hAnsi="Calibri"/>
      <w:sz w:val="22"/>
      <w:lang w:eastAsia="en-US"/>
    </w:rPr>
  </w:style>
  <w:style w:type="paragraph" w:styleId="NormalWeb">
    <w:name w:val="Normal (Web)"/>
    <w:aliases w:val="Normal (Web)1 Car,Normal (Web)1 Car Car,Normal (Web)1 Car Car Car Car Car Car Car Car Car Car Car Car Car Car Car Car Car Car Car Car Car Car Car Car Car Car Car Car Car"/>
    <w:basedOn w:val="Normal"/>
    <w:link w:val="NormalWebCar"/>
    <w:uiPriority w:val="99"/>
    <w:rsid w:val="00723916"/>
    <w:pPr>
      <w:spacing w:beforeLines="1" w:afterLines="1" w:line="240" w:lineRule="auto"/>
    </w:pPr>
    <w:rPr>
      <w:rFonts w:ascii="Times" w:hAnsi="Times"/>
      <w:sz w:val="20"/>
      <w:szCs w:val="20"/>
      <w:lang w:val="es-ES_tradnl" w:eastAsia="es-ES_tradnl"/>
    </w:rPr>
  </w:style>
  <w:style w:type="character" w:customStyle="1" w:styleId="NormalWebCar">
    <w:name w:val="Normal (Web) Car"/>
    <w:aliases w:val="Normal (Web)1 Car Car1,Normal (Web)1 Car Car Car,Normal (Web)1 Car Car Car Car Car Car Car Car Car Car Car Car Car Car Car Car Car Car Car Car Car Car Car Car Car Car Car Car Car Car"/>
    <w:link w:val="NormalWeb"/>
    <w:uiPriority w:val="99"/>
    <w:rsid w:val="00723916"/>
    <w:rPr>
      <w:rFonts w:ascii="Times" w:eastAsia="Times New Roman" w:hAnsi="Times" w:cs="Times New Roman"/>
      <w:sz w:val="20"/>
      <w:szCs w:val="20"/>
      <w:lang w:val="es-ES_tradnl" w:eastAsia="es-ES_tradnl"/>
    </w:rPr>
  </w:style>
  <w:style w:type="paragraph" w:styleId="Textodeglobo">
    <w:name w:val="Balloon Text"/>
    <w:basedOn w:val="Normal"/>
    <w:link w:val="TextodegloboCar"/>
    <w:uiPriority w:val="99"/>
    <w:semiHidden/>
    <w:unhideWhenUsed/>
    <w:rsid w:val="00723916"/>
    <w:pPr>
      <w:spacing w:after="0" w:line="240" w:lineRule="auto"/>
    </w:pPr>
    <w:rPr>
      <w:rFonts w:ascii="Segoe UI" w:eastAsia="Calibri" w:hAnsi="Segoe UI"/>
      <w:sz w:val="18"/>
      <w:szCs w:val="18"/>
      <w:lang w:eastAsia="en-US"/>
    </w:rPr>
  </w:style>
  <w:style w:type="character" w:customStyle="1" w:styleId="TextodegloboCar">
    <w:name w:val="Texto de globo Car"/>
    <w:basedOn w:val="Fuentedeprrafopredeter"/>
    <w:link w:val="Textodeglobo"/>
    <w:uiPriority w:val="99"/>
    <w:semiHidden/>
    <w:rsid w:val="00723916"/>
    <w:rPr>
      <w:rFonts w:ascii="Segoe UI" w:eastAsia="Calibri" w:hAnsi="Segoe UI" w:cs="Times New Roman"/>
      <w:sz w:val="18"/>
      <w:szCs w:val="18"/>
    </w:rPr>
  </w:style>
  <w:style w:type="table" w:styleId="Tablaconcuadrcula">
    <w:name w:val="Table Grid"/>
    <w:basedOn w:val="Tablanormal"/>
    <w:uiPriority w:val="39"/>
    <w:rsid w:val="00723916"/>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723916"/>
    <w:rPr>
      <w:sz w:val="16"/>
      <w:szCs w:val="16"/>
    </w:rPr>
  </w:style>
  <w:style w:type="paragraph" w:styleId="Textocomentario">
    <w:name w:val="annotation text"/>
    <w:basedOn w:val="Normal"/>
    <w:link w:val="TextocomentarioCar"/>
    <w:uiPriority w:val="99"/>
    <w:unhideWhenUsed/>
    <w:rsid w:val="005F76D9"/>
    <w:pPr>
      <w:spacing w:after="160" w:line="240" w:lineRule="auto"/>
    </w:pPr>
    <w:rPr>
      <w:rFonts w:ascii="Barlow" w:eastAsia="Calibri" w:hAnsi="Barlow"/>
      <w:sz w:val="20"/>
      <w:szCs w:val="20"/>
      <w:lang w:eastAsia="en-US"/>
    </w:rPr>
  </w:style>
  <w:style w:type="character" w:customStyle="1" w:styleId="TextocomentarioCar">
    <w:name w:val="Texto comentario Car"/>
    <w:basedOn w:val="Fuentedeprrafopredeter"/>
    <w:link w:val="Textocomentario"/>
    <w:uiPriority w:val="99"/>
    <w:rsid w:val="00723916"/>
    <w:rPr>
      <w:rFonts w:ascii="Barlow" w:eastAsia="Calibri" w:hAnsi="Barlow"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723916"/>
    <w:rPr>
      <w:b/>
      <w:bCs/>
    </w:rPr>
  </w:style>
  <w:style w:type="character" w:customStyle="1" w:styleId="AsuntodelcomentarioCar">
    <w:name w:val="Asunto del comentario Car"/>
    <w:basedOn w:val="TextocomentarioCar"/>
    <w:link w:val="Asuntodelcomentario"/>
    <w:uiPriority w:val="99"/>
    <w:semiHidden/>
    <w:rsid w:val="00723916"/>
    <w:rPr>
      <w:rFonts w:ascii="Barlow" w:eastAsia="Calibri" w:hAnsi="Barlow" w:cs="Times New Roman"/>
      <w:b/>
      <w:bCs/>
      <w:sz w:val="20"/>
      <w:szCs w:val="20"/>
    </w:rPr>
  </w:style>
  <w:style w:type="paragraph" w:customStyle="1" w:styleId="paragraph">
    <w:name w:val="paragraph"/>
    <w:basedOn w:val="Normal"/>
    <w:rsid w:val="00723916"/>
    <w:pPr>
      <w:spacing w:before="100" w:beforeAutospacing="1" w:after="100" w:afterAutospacing="1" w:line="240" w:lineRule="auto"/>
    </w:pPr>
  </w:style>
  <w:style w:type="character" w:customStyle="1" w:styleId="normaltextrun">
    <w:name w:val="normaltextrun"/>
    <w:basedOn w:val="Fuentedeprrafopredeter"/>
    <w:rsid w:val="00723916"/>
  </w:style>
  <w:style w:type="character" w:customStyle="1" w:styleId="eop">
    <w:name w:val="eop"/>
    <w:basedOn w:val="Fuentedeprrafopredeter"/>
    <w:rsid w:val="00723916"/>
  </w:style>
  <w:style w:type="character" w:customStyle="1" w:styleId="spellingerror">
    <w:name w:val="spellingerror"/>
    <w:basedOn w:val="Fuentedeprrafopredeter"/>
    <w:rsid w:val="00723916"/>
  </w:style>
  <w:style w:type="character" w:customStyle="1" w:styleId="findhit">
    <w:name w:val="findhit"/>
    <w:basedOn w:val="Fuentedeprrafopredeter"/>
    <w:rsid w:val="00723916"/>
  </w:style>
  <w:style w:type="character" w:styleId="Hipervnculo">
    <w:name w:val="Hyperlink"/>
    <w:uiPriority w:val="99"/>
    <w:unhideWhenUsed/>
    <w:rsid w:val="00723916"/>
    <w:rPr>
      <w:color w:val="0563C1"/>
      <w:u w:val="single"/>
    </w:rPr>
  </w:style>
  <w:style w:type="character" w:styleId="Hipervnculovisitado">
    <w:name w:val="FollowedHyperlink"/>
    <w:uiPriority w:val="99"/>
    <w:semiHidden/>
    <w:unhideWhenUsed/>
    <w:rsid w:val="00723916"/>
    <w:rPr>
      <w:color w:val="954F72"/>
      <w:u w:val="single"/>
    </w:rPr>
  </w:style>
  <w:style w:type="paragraph" w:customStyle="1" w:styleId="msonormal0">
    <w:name w:val="msonormal"/>
    <w:basedOn w:val="Normal"/>
    <w:rsid w:val="00723916"/>
    <w:pPr>
      <w:spacing w:before="100" w:beforeAutospacing="1" w:after="100" w:afterAutospacing="1" w:line="240" w:lineRule="auto"/>
    </w:pPr>
  </w:style>
  <w:style w:type="paragraph" w:customStyle="1" w:styleId="xl65">
    <w:name w:val="xl65"/>
    <w:basedOn w:val="Normal"/>
    <w:rsid w:val="00723916"/>
    <w:pPr>
      <w:spacing w:before="100" w:beforeAutospacing="1" w:after="100" w:afterAutospacing="1" w:line="240" w:lineRule="auto"/>
    </w:pPr>
    <w:rPr>
      <w:rFonts w:ascii="Barlow" w:hAnsi="Barlow"/>
    </w:rPr>
  </w:style>
  <w:style w:type="paragraph" w:customStyle="1" w:styleId="xl66">
    <w:name w:val="xl66"/>
    <w:basedOn w:val="Normal"/>
    <w:rsid w:val="00723916"/>
    <w:pPr>
      <w:pBdr>
        <w:top w:val="single" w:sz="4" w:space="0" w:color="BFBFBF"/>
        <w:left w:val="single" w:sz="4" w:space="0" w:color="BFBFBF"/>
        <w:right w:val="single" w:sz="4" w:space="0" w:color="BFBFBF"/>
      </w:pBdr>
      <w:shd w:val="clear" w:color="000000" w:fill="002060"/>
      <w:spacing w:before="100" w:beforeAutospacing="1" w:after="100" w:afterAutospacing="1" w:line="240" w:lineRule="auto"/>
      <w:jc w:val="center"/>
      <w:textAlignment w:val="center"/>
    </w:pPr>
    <w:rPr>
      <w:rFonts w:ascii="Barlow" w:hAnsi="Barlow"/>
      <w:b/>
      <w:bCs/>
      <w:color w:val="FFFFFF"/>
    </w:rPr>
  </w:style>
  <w:style w:type="paragraph" w:customStyle="1" w:styleId="xl67">
    <w:name w:val="xl67"/>
    <w:basedOn w:val="Normal"/>
    <w:rsid w:val="00723916"/>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pPr>
    <w:rPr>
      <w:rFonts w:ascii="Barlow" w:hAnsi="Barlow"/>
    </w:rPr>
  </w:style>
  <w:style w:type="paragraph" w:customStyle="1" w:styleId="xl68">
    <w:name w:val="xl68"/>
    <w:basedOn w:val="Normal"/>
    <w:rsid w:val="00723916"/>
    <w:pPr>
      <w:pBdr>
        <w:top w:val="single" w:sz="4" w:space="0" w:color="BFBFBF"/>
        <w:left w:val="single" w:sz="4" w:space="0" w:color="BFBFBF"/>
        <w:bottom w:val="single" w:sz="4" w:space="0" w:color="BFBFBF"/>
        <w:right w:val="single" w:sz="4" w:space="0" w:color="BFBFBF"/>
      </w:pBdr>
      <w:shd w:val="clear" w:color="000000" w:fill="BFBFBF"/>
      <w:spacing w:before="100" w:beforeAutospacing="1" w:after="100" w:afterAutospacing="1" w:line="240" w:lineRule="auto"/>
      <w:jc w:val="center"/>
    </w:pPr>
    <w:rPr>
      <w:rFonts w:ascii="Barlow" w:hAnsi="Barlow"/>
      <w:b/>
      <w:bCs/>
    </w:rPr>
  </w:style>
  <w:style w:type="paragraph" w:customStyle="1" w:styleId="xl69">
    <w:name w:val="xl69"/>
    <w:basedOn w:val="Normal"/>
    <w:rsid w:val="00723916"/>
    <w:pPr>
      <w:spacing w:before="100" w:beforeAutospacing="1" w:after="100" w:afterAutospacing="1" w:line="240" w:lineRule="auto"/>
      <w:jc w:val="center"/>
    </w:pPr>
    <w:rPr>
      <w:rFonts w:ascii="Barlow" w:hAnsi="Barlow"/>
    </w:rPr>
  </w:style>
  <w:style w:type="paragraph" w:customStyle="1" w:styleId="xl70">
    <w:name w:val="xl70"/>
    <w:basedOn w:val="Normal"/>
    <w:rsid w:val="00723916"/>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Barlow" w:hAnsi="Barlow"/>
    </w:rPr>
  </w:style>
  <w:style w:type="paragraph" w:customStyle="1" w:styleId="xl71">
    <w:name w:val="xl71"/>
    <w:basedOn w:val="Normal"/>
    <w:rsid w:val="00723916"/>
    <w:pPr>
      <w:spacing w:before="100" w:beforeAutospacing="1" w:after="100" w:afterAutospacing="1" w:line="240" w:lineRule="auto"/>
    </w:pPr>
    <w:rPr>
      <w:rFonts w:ascii="Barlow" w:hAnsi="Barlow"/>
    </w:rPr>
  </w:style>
  <w:style w:type="paragraph" w:customStyle="1" w:styleId="xl72">
    <w:name w:val="xl72"/>
    <w:basedOn w:val="Normal"/>
    <w:rsid w:val="00723916"/>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pPr>
    <w:rPr>
      <w:rFonts w:ascii="Barlow" w:hAnsi="Barlow"/>
    </w:rPr>
  </w:style>
  <w:style w:type="paragraph" w:customStyle="1" w:styleId="xl73">
    <w:name w:val="xl73"/>
    <w:basedOn w:val="Normal"/>
    <w:rsid w:val="00723916"/>
    <w:pPr>
      <w:pBdr>
        <w:top w:val="single" w:sz="4" w:space="0" w:color="BFBFBF"/>
        <w:left w:val="single" w:sz="4" w:space="0" w:color="BFBFBF"/>
        <w:bottom w:val="single" w:sz="4" w:space="0" w:color="BFBFBF"/>
        <w:right w:val="single" w:sz="4" w:space="0" w:color="BFBFBF"/>
      </w:pBdr>
      <w:shd w:val="clear" w:color="000000" w:fill="BFBFBF"/>
      <w:spacing w:before="100" w:beforeAutospacing="1" w:after="100" w:afterAutospacing="1" w:line="240" w:lineRule="auto"/>
    </w:pPr>
    <w:rPr>
      <w:rFonts w:ascii="Barlow" w:hAnsi="Barlow"/>
    </w:rPr>
  </w:style>
  <w:style w:type="paragraph" w:customStyle="1" w:styleId="xl74">
    <w:name w:val="xl74"/>
    <w:basedOn w:val="Normal"/>
    <w:rsid w:val="00723916"/>
    <w:pPr>
      <w:pBdr>
        <w:top w:val="single" w:sz="4" w:space="0" w:color="BFBFBF"/>
        <w:left w:val="single" w:sz="4" w:space="0" w:color="BFBFBF"/>
        <w:bottom w:val="single" w:sz="4" w:space="0" w:color="BFBFBF"/>
        <w:right w:val="single" w:sz="4" w:space="0" w:color="BFBFBF"/>
      </w:pBdr>
      <w:shd w:val="clear" w:color="000000" w:fill="auto"/>
      <w:spacing w:before="100" w:beforeAutospacing="1" w:after="100" w:afterAutospacing="1" w:line="240" w:lineRule="auto"/>
    </w:pPr>
    <w:rPr>
      <w:rFonts w:ascii="Barlow" w:hAnsi="Barlow"/>
    </w:rPr>
  </w:style>
  <w:style w:type="paragraph" w:customStyle="1" w:styleId="xl75">
    <w:name w:val="xl75"/>
    <w:basedOn w:val="Normal"/>
    <w:rsid w:val="00723916"/>
    <w:pPr>
      <w:pBdr>
        <w:top w:val="single" w:sz="4" w:space="0" w:color="BFBFBF"/>
        <w:left w:val="single" w:sz="4" w:space="0" w:color="BFBFBF"/>
        <w:bottom w:val="single" w:sz="4" w:space="0" w:color="BFBFBF"/>
      </w:pBdr>
      <w:shd w:val="clear" w:color="000000" w:fill="002060"/>
      <w:spacing w:before="100" w:beforeAutospacing="1" w:after="100" w:afterAutospacing="1" w:line="240" w:lineRule="auto"/>
      <w:jc w:val="center"/>
      <w:textAlignment w:val="center"/>
    </w:pPr>
    <w:rPr>
      <w:rFonts w:ascii="Barlow" w:hAnsi="Barlow"/>
      <w:b/>
      <w:bCs/>
      <w:color w:val="FFFFFF"/>
    </w:rPr>
  </w:style>
  <w:style w:type="paragraph" w:customStyle="1" w:styleId="xl76">
    <w:name w:val="xl76"/>
    <w:basedOn w:val="Normal"/>
    <w:rsid w:val="00723916"/>
    <w:pPr>
      <w:pBdr>
        <w:top w:val="single" w:sz="4" w:space="0" w:color="BFBFBF"/>
        <w:bottom w:val="single" w:sz="4" w:space="0" w:color="BFBFBF"/>
      </w:pBdr>
      <w:shd w:val="clear" w:color="000000" w:fill="002060"/>
      <w:spacing w:before="100" w:beforeAutospacing="1" w:after="100" w:afterAutospacing="1" w:line="240" w:lineRule="auto"/>
      <w:jc w:val="center"/>
      <w:textAlignment w:val="center"/>
    </w:pPr>
    <w:rPr>
      <w:rFonts w:ascii="Barlow" w:hAnsi="Barlow"/>
      <w:b/>
      <w:bCs/>
      <w:color w:val="FFFFFF"/>
    </w:rPr>
  </w:style>
  <w:style w:type="paragraph" w:customStyle="1" w:styleId="xl77">
    <w:name w:val="xl77"/>
    <w:basedOn w:val="Normal"/>
    <w:rsid w:val="00723916"/>
    <w:pPr>
      <w:pBdr>
        <w:top w:val="single" w:sz="4" w:space="0" w:color="BFBFBF"/>
        <w:bottom w:val="single" w:sz="4" w:space="0" w:color="BFBFBF"/>
        <w:right w:val="single" w:sz="4" w:space="0" w:color="BFBFBF"/>
      </w:pBdr>
      <w:shd w:val="clear" w:color="000000" w:fill="002060"/>
      <w:spacing w:before="100" w:beforeAutospacing="1" w:after="100" w:afterAutospacing="1" w:line="240" w:lineRule="auto"/>
      <w:jc w:val="center"/>
      <w:textAlignment w:val="center"/>
    </w:pPr>
    <w:rPr>
      <w:rFonts w:ascii="Barlow" w:hAnsi="Barlow"/>
      <w:b/>
      <w:bCs/>
      <w:color w:val="FFFFFF"/>
    </w:rPr>
  </w:style>
  <w:style w:type="paragraph" w:customStyle="1" w:styleId="xl78">
    <w:name w:val="xl78"/>
    <w:basedOn w:val="Normal"/>
    <w:rsid w:val="00723916"/>
    <w:pPr>
      <w:pBdr>
        <w:left w:val="single" w:sz="4" w:space="0" w:color="BFBFBF"/>
        <w:bottom w:val="single" w:sz="4" w:space="0" w:color="BFBFBF"/>
        <w:right w:val="single" w:sz="4" w:space="0" w:color="BFBFBF"/>
      </w:pBdr>
      <w:shd w:val="clear" w:color="000000" w:fill="002060"/>
      <w:spacing w:before="100" w:beforeAutospacing="1" w:after="100" w:afterAutospacing="1" w:line="240" w:lineRule="auto"/>
      <w:jc w:val="center"/>
      <w:textAlignment w:val="center"/>
    </w:pPr>
    <w:rPr>
      <w:rFonts w:ascii="Barlow" w:hAnsi="Barlow"/>
      <w:b/>
      <w:bCs/>
      <w:color w:val="FFFFFF"/>
    </w:rPr>
  </w:style>
  <w:style w:type="paragraph" w:customStyle="1" w:styleId="xl79">
    <w:name w:val="xl79"/>
    <w:basedOn w:val="Normal"/>
    <w:rsid w:val="00723916"/>
    <w:pPr>
      <w:spacing w:before="100" w:beforeAutospacing="1" w:after="100" w:afterAutospacing="1" w:line="240" w:lineRule="auto"/>
      <w:ind w:firstLineChars="200" w:firstLine="200"/>
      <w:textAlignment w:val="top"/>
    </w:pPr>
    <w:rPr>
      <w:rFonts w:ascii="Barlow" w:hAnsi="Barlow"/>
      <w:b/>
      <w:bCs/>
      <w:sz w:val="18"/>
      <w:szCs w:val="18"/>
    </w:rPr>
  </w:style>
  <w:style w:type="paragraph" w:customStyle="1" w:styleId="xl80">
    <w:name w:val="xl80"/>
    <w:basedOn w:val="Normal"/>
    <w:rsid w:val="00723916"/>
    <w:pPr>
      <w:spacing w:before="100" w:beforeAutospacing="1" w:after="100" w:afterAutospacing="1" w:line="240" w:lineRule="auto"/>
      <w:ind w:firstLineChars="400" w:firstLine="400"/>
      <w:textAlignment w:val="top"/>
    </w:pPr>
    <w:rPr>
      <w:rFonts w:ascii="Barlow" w:hAnsi="Barlow"/>
      <w:b/>
      <w:bCs/>
      <w:sz w:val="18"/>
      <w:szCs w:val="18"/>
    </w:rPr>
  </w:style>
  <w:style w:type="paragraph" w:customStyle="1" w:styleId="xl81">
    <w:name w:val="xl81"/>
    <w:basedOn w:val="Normal"/>
    <w:rsid w:val="00723916"/>
    <w:pPr>
      <w:spacing w:before="100" w:beforeAutospacing="1" w:after="100" w:afterAutospacing="1" w:line="240" w:lineRule="auto"/>
      <w:ind w:firstLineChars="400" w:firstLine="400"/>
      <w:textAlignment w:val="top"/>
    </w:pPr>
    <w:rPr>
      <w:rFonts w:ascii="Barlow" w:hAnsi="Barlow"/>
      <w:b/>
      <w:bCs/>
      <w:sz w:val="18"/>
      <w:szCs w:val="18"/>
    </w:rPr>
  </w:style>
  <w:style w:type="paragraph" w:customStyle="1" w:styleId="xl82">
    <w:name w:val="xl82"/>
    <w:basedOn w:val="Normal"/>
    <w:rsid w:val="00723916"/>
    <w:pPr>
      <w:spacing w:before="100" w:beforeAutospacing="1" w:after="100" w:afterAutospacing="1" w:line="240" w:lineRule="auto"/>
      <w:jc w:val="right"/>
      <w:textAlignment w:val="top"/>
    </w:pPr>
    <w:rPr>
      <w:rFonts w:ascii="Barlow" w:hAnsi="Barlow"/>
      <w:sz w:val="18"/>
      <w:szCs w:val="18"/>
    </w:rPr>
  </w:style>
  <w:style w:type="paragraph" w:customStyle="1" w:styleId="xl83">
    <w:name w:val="xl83"/>
    <w:basedOn w:val="Normal"/>
    <w:rsid w:val="00723916"/>
    <w:pPr>
      <w:spacing w:before="100" w:beforeAutospacing="1" w:after="100" w:afterAutospacing="1" w:line="240" w:lineRule="auto"/>
      <w:jc w:val="right"/>
      <w:textAlignment w:val="top"/>
    </w:pPr>
    <w:rPr>
      <w:rFonts w:ascii="Barlow" w:hAnsi="Barlow"/>
      <w:sz w:val="18"/>
      <w:szCs w:val="18"/>
    </w:rPr>
  </w:style>
  <w:style w:type="paragraph" w:customStyle="1" w:styleId="xl84">
    <w:name w:val="xl84"/>
    <w:basedOn w:val="Normal"/>
    <w:rsid w:val="00723916"/>
    <w:pPr>
      <w:spacing w:before="100" w:beforeAutospacing="1" w:after="100" w:afterAutospacing="1" w:line="240" w:lineRule="auto"/>
      <w:textAlignment w:val="top"/>
    </w:pPr>
    <w:rPr>
      <w:rFonts w:ascii="Barlow" w:hAnsi="Barlow"/>
      <w:b/>
      <w:bCs/>
      <w:color w:val="FFFFFF"/>
      <w:sz w:val="18"/>
      <w:szCs w:val="18"/>
    </w:rPr>
  </w:style>
  <w:style w:type="paragraph" w:customStyle="1" w:styleId="xl85">
    <w:name w:val="xl85"/>
    <w:basedOn w:val="Normal"/>
    <w:rsid w:val="00723916"/>
    <w:pPr>
      <w:spacing w:before="100" w:beforeAutospacing="1" w:after="100" w:afterAutospacing="1" w:line="240" w:lineRule="auto"/>
      <w:textAlignment w:val="top"/>
    </w:pPr>
    <w:rPr>
      <w:rFonts w:ascii="Barlow" w:hAnsi="Barlow"/>
      <w:sz w:val="18"/>
      <w:szCs w:val="18"/>
    </w:rPr>
  </w:style>
  <w:style w:type="paragraph" w:customStyle="1" w:styleId="xl86">
    <w:name w:val="xl86"/>
    <w:basedOn w:val="Normal"/>
    <w:rsid w:val="00723916"/>
    <w:pPr>
      <w:spacing w:before="100" w:beforeAutospacing="1" w:after="100" w:afterAutospacing="1" w:line="240" w:lineRule="auto"/>
      <w:textAlignment w:val="top"/>
    </w:pPr>
    <w:rPr>
      <w:rFonts w:ascii="Barlow" w:hAnsi="Barlow"/>
      <w:sz w:val="18"/>
      <w:szCs w:val="18"/>
    </w:rPr>
  </w:style>
  <w:style w:type="paragraph" w:customStyle="1" w:styleId="xl87">
    <w:name w:val="xl87"/>
    <w:basedOn w:val="Normal"/>
    <w:rsid w:val="00723916"/>
    <w:pPr>
      <w:spacing w:before="100" w:beforeAutospacing="1" w:after="100" w:afterAutospacing="1" w:line="240" w:lineRule="auto"/>
      <w:textAlignment w:val="top"/>
    </w:pPr>
    <w:rPr>
      <w:rFonts w:ascii="Barlow" w:hAnsi="Barlow"/>
      <w:sz w:val="18"/>
      <w:szCs w:val="18"/>
    </w:rPr>
  </w:style>
  <w:style w:type="paragraph" w:customStyle="1" w:styleId="xl88">
    <w:name w:val="xl88"/>
    <w:basedOn w:val="Normal"/>
    <w:rsid w:val="00723916"/>
    <w:pPr>
      <w:spacing w:before="100" w:beforeAutospacing="1" w:after="100" w:afterAutospacing="1" w:line="240" w:lineRule="auto"/>
    </w:pPr>
  </w:style>
  <w:style w:type="paragraph" w:customStyle="1" w:styleId="xl89">
    <w:name w:val="xl89"/>
    <w:basedOn w:val="Normal"/>
    <w:rsid w:val="00723916"/>
    <w:pPr>
      <w:shd w:val="clear" w:color="000000" w:fill="FFFF00"/>
      <w:spacing w:before="100" w:beforeAutospacing="1" w:after="100" w:afterAutospacing="1" w:line="240" w:lineRule="auto"/>
      <w:textAlignment w:val="top"/>
    </w:pPr>
    <w:rPr>
      <w:rFonts w:ascii="Barlow" w:hAnsi="Barlow"/>
      <w:sz w:val="18"/>
      <w:szCs w:val="18"/>
    </w:rPr>
  </w:style>
  <w:style w:type="paragraph" w:customStyle="1" w:styleId="font5">
    <w:name w:val="font5"/>
    <w:basedOn w:val="Normal"/>
    <w:rsid w:val="00723916"/>
    <w:pPr>
      <w:spacing w:before="100" w:beforeAutospacing="1" w:after="100" w:afterAutospacing="1" w:line="240" w:lineRule="auto"/>
    </w:pPr>
    <w:rPr>
      <w:rFonts w:ascii="Calibri" w:hAnsi="Calibri"/>
      <w:color w:val="000000"/>
      <w:sz w:val="22"/>
      <w:lang w:val="en-US" w:eastAsia="en-US"/>
    </w:rPr>
  </w:style>
  <w:style w:type="paragraph" w:customStyle="1" w:styleId="font6">
    <w:name w:val="font6"/>
    <w:basedOn w:val="Normal"/>
    <w:rsid w:val="00723916"/>
    <w:pPr>
      <w:spacing w:before="100" w:beforeAutospacing="1" w:after="100" w:afterAutospacing="1" w:line="240" w:lineRule="auto"/>
    </w:pPr>
    <w:rPr>
      <w:rFonts w:ascii="Tahoma" w:hAnsi="Tahoma" w:cs="Tahoma"/>
      <w:b/>
      <w:bCs/>
      <w:color w:val="000000"/>
      <w:sz w:val="18"/>
      <w:szCs w:val="18"/>
      <w:lang w:val="en-US" w:eastAsia="en-US"/>
    </w:rPr>
  </w:style>
  <w:style w:type="character" w:customStyle="1" w:styleId="Ttulo1Car">
    <w:name w:val="Título 1 Car"/>
    <w:basedOn w:val="Fuentedeprrafopredeter"/>
    <w:uiPriority w:val="9"/>
    <w:rsid w:val="00723916"/>
    <w:rPr>
      <w:rFonts w:ascii="Arial" w:eastAsia="Times New Roman" w:hAnsi="Arial" w:cs="Times New Roman"/>
      <w:b/>
      <w:sz w:val="24"/>
      <w:szCs w:val="32"/>
    </w:rPr>
  </w:style>
  <w:style w:type="character" w:customStyle="1" w:styleId="Ttulo2Car">
    <w:name w:val="Título 2 Car"/>
    <w:basedOn w:val="Fuentedeprrafopredeter"/>
    <w:uiPriority w:val="9"/>
    <w:rsid w:val="00723916"/>
    <w:rPr>
      <w:rFonts w:ascii="Arial" w:eastAsia="Times New Roman" w:hAnsi="Arial" w:cs="Times New Roman"/>
      <w:i/>
      <w:sz w:val="24"/>
      <w:szCs w:val="26"/>
    </w:rPr>
  </w:style>
  <w:style w:type="paragraph" w:customStyle="1" w:styleId="TtulodeTDC1">
    <w:name w:val="Título de TDC1"/>
    <w:next w:val="Normal"/>
    <w:uiPriority w:val="39"/>
    <w:unhideWhenUsed/>
    <w:qFormat/>
    <w:rsid w:val="00723916"/>
  </w:style>
  <w:style w:type="paragraph" w:styleId="TDC1">
    <w:name w:val="toc 1"/>
    <w:basedOn w:val="Normal"/>
    <w:next w:val="Normal"/>
    <w:autoRedefine/>
    <w:uiPriority w:val="39"/>
    <w:unhideWhenUsed/>
    <w:rsid w:val="00723916"/>
    <w:pPr>
      <w:spacing w:after="100" w:line="259" w:lineRule="auto"/>
    </w:pPr>
    <w:rPr>
      <w:rFonts w:ascii="Barlow" w:eastAsia="Calibri" w:hAnsi="Barlow"/>
      <w:sz w:val="22"/>
      <w:lang w:eastAsia="en-US"/>
    </w:rPr>
  </w:style>
  <w:style w:type="paragraph" w:styleId="TDC2">
    <w:name w:val="toc 2"/>
    <w:basedOn w:val="Normal"/>
    <w:next w:val="Normal"/>
    <w:autoRedefine/>
    <w:uiPriority w:val="39"/>
    <w:unhideWhenUsed/>
    <w:rsid w:val="00723916"/>
    <w:pPr>
      <w:spacing w:after="100" w:line="259" w:lineRule="auto"/>
      <w:ind w:left="220"/>
    </w:pPr>
    <w:rPr>
      <w:rFonts w:ascii="Barlow" w:eastAsia="Calibri" w:hAnsi="Barlow"/>
      <w:sz w:val="22"/>
      <w:lang w:eastAsia="en-US"/>
    </w:rPr>
  </w:style>
  <w:style w:type="paragraph" w:styleId="TDC3">
    <w:name w:val="toc 3"/>
    <w:basedOn w:val="Normal"/>
    <w:next w:val="Normal"/>
    <w:autoRedefine/>
    <w:uiPriority w:val="39"/>
    <w:unhideWhenUsed/>
    <w:rsid w:val="00723916"/>
    <w:pPr>
      <w:spacing w:after="100" w:line="259" w:lineRule="auto"/>
      <w:ind w:left="440"/>
    </w:pPr>
    <w:rPr>
      <w:rFonts w:ascii="Barlow" w:eastAsia="Calibri" w:hAnsi="Barlow"/>
      <w:sz w:val="22"/>
      <w:lang w:eastAsia="en-US"/>
    </w:rPr>
  </w:style>
  <w:style w:type="paragraph" w:customStyle="1" w:styleId="xl63">
    <w:name w:val="xl63"/>
    <w:basedOn w:val="Normal"/>
    <w:rsid w:val="00723916"/>
    <w:pPr>
      <w:pBdr>
        <w:top w:val="single" w:sz="8" w:space="0" w:color="auto"/>
        <w:left w:val="single" w:sz="8" w:space="0" w:color="auto"/>
        <w:bottom w:val="single" w:sz="8" w:space="0" w:color="auto"/>
      </w:pBdr>
      <w:shd w:val="clear" w:color="00008B" w:fill="00008B"/>
      <w:spacing w:before="100" w:beforeAutospacing="1" w:after="100" w:afterAutospacing="1" w:line="240" w:lineRule="auto"/>
      <w:textAlignment w:val="center"/>
    </w:pPr>
    <w:rPr>
      <w:b/>
      <w:bCs/>
      <w:color w:val="FFFFFF"/>
    </w:rPr>
  </w:style>
  <w:style w:type="paragraph" w:customStyle="1" w:styleId="xl64">
    <w:name w:val="xl64"/>
    <w:basedOn w:val="Normal"/>
    <w:rsid w:val="00723916"/>
    <w:pPr>
      <w:pBdr>
        <w:top w:val="single" w:sz="8" w:space="0" w:color="auto"/>
        <w:bottom w:val="single" w:sz="8" w:space="0" w:color="auto"/>
      </w:pBdr>
      <w:shd w:val="clear" w:color="00008B" w:fill="00008B"/>
      <w:spacing w:before="100" w:beforeAutospacing="1" w:after="100" w:afterAutospacing="1" w:line="240" w:lineRule="auto"/>
      <w:textAlignment w:val="center"/>
    </w:pPr>
    <w:rPr>
      <w:b/>
      <w:bCs/>
      <w:color w:val="FFFFFF"/>
    </w:rPr>
  </w:style>
  <w:style w:type="paragraph" w:customStyle="1" w:styleId="xl90">
    <w:name w:val="xl90"/>
    <w:basedOn w:val="Normal"/>
    <w:rsid w:val="00723916"/>
    <w:pPr>
      <w:shd w:val="clear" w:color="000000" w:fill="FFFFFF"/>
      <w:spacing w:before="100" w:beforeAutospacing="1" w:after="100" w:afterAutospacing="1" w:line="240" w:lineRule="auto"/>
      <w:textAlignment w:val="center"/>
    </w:pPr>
  </w:style>
  <w:style w:type="paragraph" w:customStyle="1" w:styleId="xl91">
    <w:name w:val="xl91"/>
    <w:basedOn w:val="Normal"/>
    <w:rsid w:val="00723916"/>
    <w:pPr>
      <w:pBdr>
        <w:top w:val="single" w:sz="8" w:space="0" w:color="auto"/>
        <w:bottom w:val="single" w:sz="8" w:space="0" w:color="auto"/>
      </w:pBdr>
      <w:shd w:val="clear" w:color="00008B" w:fill="00008B"/>
      <w:spacing w:before="100" w:beforeAutospacing="1" w:after="100" w:afterAutospacing="1" w:line="240" w:lineRule="auto"/>
      <w:textAlignment w:val="center"/>
    </w:pPr>
    <w:rPr>
      <w:b/>
      <w:bCs/>
      <w:color w:val="FFFFFF"/>
    </w:rPr>
  </w:style>
  <w:style w:type="paragraph" w:customStyle="1" w:styleId="xl92">
    <w:name w:val="xl92"/>
    <w:basedOn w:val="Normal"/>
    <w:rsid w:val="00723916"/>
    <w:pPr>
      <w:shd w:val="clear" w:color="000000" w:fill="FFFFFF"/>
      <w:spacing w:before="100" w:beforeAutospacing="1" w:after="100" w:afterAutospacing="1" w:line="240" w:lineRule="auto"/>
      <w:jc w:val="right"/>
      <w:textAlignment w:val="center"/>
    </w:pPr>
    <w:rPr>
      <w:b/>
      <w:bCs/>
    </w:rPr>
  </w:style>
  <w:style w:type="paragraph" w:customStyle="1" w:styleId="xl93">
    <w:name w:val="xl93"/>
    <w:basedOn w:val="Normal"/>
    <w:rsid w:val="00723916"/>
    <w:pPr>
      <w:pBdr>
        <w:right w:val="single" w:sz="8" w:space="0" w:color="auto"/>
      </w:pBdr>
      <w:shd w:val="clear" w:color="000000" w:fill="FFFFFF"/>
      <w:spacing w:before="100" w:beforeAutospacing="1" w:after="100" w:afterAutospacing="1" w:line="240" w:lineRule="auto"/>
      <w:jc w:val="right"/>
      <w:textAlignment w:val="center"/>
    </w:pPr>
    <w:rPr>
      <w:b/>
      <w:bCs/>
    </w:rPr>
  </w:style>
  <w:style w:type="paragraph" w:customStyle="1" w:styleId="xl94">
    <w:name w:val="xl94"/>
    <w:basedOn w:val="Normal"/>
    <w:rsid w:val="00723916"/>
    <w:pPr>
      <w:shd w:val="clear" w:color="000000" w:fill="FFFFFF"/>
      <w:spacing w:before="100" w:beforeAutospacing="1" w:after="100" w:afterAutospacing="1" w:line="240" w:lineRule="auto"/>
      <w:jc w:val="right"/>
      <w:textAlignment w:val="center"/>
    </w:pPr>
  </w:style>
  <w:style w:type="paragraph" w:customStyle="1" w:styleId="xl95">
    <w:name w:val="xl95"/>
    <w:basedOn w:val="Normal"/>
    <w:rsid w:val="00723916"/>
    <w:pPr>
      <w:shd w:val="clear" w:color="000000" w:fill="FFFFFF"/>
      <w:spacing w:before="100" w:beforeAutospacing="1" w:after="100" w:afterAutospacing="1" w:line="240" w:lineRule="auto"/>
      <w:jc w:val="right"/>
      <w:textAlignment w:val="center"/>
    </w:pPr>
  </w:style>
  <w:style w:type="paragraph" w:customStyle="1" w:styleId="xl96">
    <w:name w:val="xl96"/>
    <w:basedOn w:val="Normal"/>
    <w:rsid w:val="00723916"/>
    <w:pPr>
      <w:shd w:val="clear" w:color="90EE90" w:fill="BFBFBF"/>
      <w:spacing w:before="100" w:beforeAutospacing="1" w:after="100" w:afterAutospacing="1" w:line="240" w:lineRule="auto"/>
      <w:jc w:val="right"/>
      <w:textAlignment w:val="center"/>
    </w:pPr>
    <w:rPr>
      <w:b/>
      <w:bCs/>
      <w:color w:val="000000"/>
    </w:rPr>
  </w:style>
  <w:style w:type="paragraph" w:customStyle="1" w:styleId="xl97">
    <w:name w:val="xl97"/>
    <w:basedOn w:val="Normal"/>
    <w:rsid w:val="00723916"/>
    <w:pPr>
      <w:pBdr>
        <w:right w:val="single" w:sz="8" w:space="0" w:color="auto"/>
      </w:pBdr>
      <w:shd w:val="clear" w:color="90EE90" w:fill="BFBFBF"/>
      <w:spacing w:before="100" w:beforeAutospacing="1" w:after="100" w:afterAutospacing="1" w:line="240" w:lineRule="auto"/>
      <w:jc w:val="right"/>
      <w:textAlignment w:val="center"/>
    </w:pPr>
    <w:rPr>
      <w:b/>
      <w:bCs/>
      <w:color w:val="000000"/>
    </w:rPr>
  </w:style>
  <w:style w:type="paragraph" w:customStyle="1" w:styleId="xl98">
    <w:name w:val="xl98"/>
    <w:basedOn w:val="Normal"/>
    <w:rsid w:val="00723916"/>
    <w:pPr>
      <w:shd w:val="clear" w:color="000000" w:fill="BFBFBF"/>
      <w:spacing w:before="100" w:beforeAutospacing="1" w:after="100" w:afterAutospacing="1" w:line="240" w:lineRule="auto"/>
      <w:jc w:val="right"/>
      <w:textAlignment w:val="center"/>
    </w:pPr>
    <w:rPr>
      <w:b/>
      <w:bCs/>
      <w:color w:val="000000"/>
    </w:rPr>
  </w:style>
  <w:style w:type="paragraph" w:customStyle="1" w:styleId="xl99">
    <w:name w:val="xl99"/>
    <w:basedOn w:val="Normal"/>
    <w:rsid w:val="00723916"/>
    <w:pPr>
      <w:pBdr>
        <w:right w:val="single" w:sz="8" w:space="0" w:color="auto"/>
      </w:pBdr>
      <w:shd w:val="clear" w:color="000000" w:fill="BFBFBF"/>
      <w:spacing w:before="100" w:beforeAutospacing="1" w:after="100" w:afterAutospacing="1" w:line="240" w:lineRule="auto"/>
      <w:jc w:val="right"/>
      <w:textAlignment w:val="center"/>
    </w:pPr>
    <w:rPr>
      <w:b/>
      <w:bCs/>
      <w:color w:val="000000"/>
    </w:rPr>
  </w:style>
  <w:style w:type="paragraph" w:customStyle="1" w:styleId="xl100">
    <w:name w:val="xl100"/>
    <w:basedOn w:val="Normal"/>
    <w:rsid w:val="00723916"/>
    <w:pPr>
      <w:shd w:val="clear" w:color="000000" w:fill="D9D9D9"/>
      <w:spacing w:before="100" w:beforeAutospacing="1" w:after="100" w:afterAutospacing="1" w:line="240" w:lineRule="auto"/>
      <w:jc w:val="right"/>
      <w:textAlignment w:val="center"/>
    </w:pPr>
    <w:rPr>
      <w:b/>
      <w:bCs/>
    </w:rPr>
  </w:style>
  <w:style w:type="paragraph" w:customStyle="1" w:styleId="xl101">
    <w:name w:val="xl101"/>
    <w:basedOn w:val="Normal"/>
    <w:rsid w:val="00723916"/>
    <w:pPr>
      <w:pBdr>
        <w:right w:val="single" w:sz="8" w:space="0" w:color="auto"/>
      </w:pBdr>
      <w:shd w:val="clear" w:color="000000" w:fill="D9D9D9"/>
      <w:spacing w:before="100" w:beforeAutospacing="1" w:after="100" w:afterAutospacing="1" w:line="240" w:lineRule="auto"/>
      <w:jc w:val="right"/>
      <w:textAlignment w:val="center"/>
    </w:pPr>
    <w:rPr>
      <w:b/>
      <w:bCs/>
    </w:rPr>
  </w:style>
  <w:style w:type="paragraph" w:customStyle="1" w:styleId="xl102">
    <w:name w:val="xl102"/>
    <w:basedOn w:val="Normal"/>
    <w:rsid w:val="00723916"/>
    <w:pPr>
      <w:pBdr>
        <w:bottom w:val="single" w:sz="8" w:space="0" w:color="auto"/>
      </w:pBdr>
      <w:shd w:val="clear" w:color="000000" w:fill="D9D9D9"/>
      <w:spacing w:before="100" w:beforeAutospacing="1" w:after="100" w:afterAutospacing="1" w:line="240" w:lineRule="auto"/>
      <w:jc w:val="right"/>
      <w:textAlignment w:val="center"/>
    </w:pPr>
    <w:rPr>
      <w:b/>
      <w:bCs/>
    </w:rPr>
  </w:style>
  <w:style w:type="paragraph" w:customStyle="1" w:styleId="xl103">
    <w:name w:val="xl103"/>
    <w:basedOn w:val="Normal"/>
    <w:rsid w:val="00723916"/>
    <w:pPr>
      <w:pBdr>
        <w:bottom w:val="single" w:sz="8" w:space="0" w:color="auto"/>
        <w:right w:val="single" w:sz="8" w:space="0" w:color="auto"/>
      </w:pBdr>
      <w:shd w:val="clear" w:color="000000" w:fill="D9D9D9"/>
      <w:spacing w:before="100" w:beforeAutospacing="1" w:after="100" w:afterAutospacing="1" w:line="240" w:lineRule="auto"/>
      <w:jc w:val="right"/>
      <w:textAlignment w:val="center"/>
    </w:pPr>
    <w:rPr>
      <w:b/>
      <w:bCs/>
    </w:rPr>
  </w:style>
  <w:style w:type="paragraph" w:customStyle="1" w:styleId="xl104">
    <w:name w:val="xl104"/>
    <w:basedOn w:val="Normal"/>
    <w:rsid w:val="00723916"/>
    <w:pPr>
      <w:pBdr>
        <w:top w:val="single" w:sz="8" w:space="0" w:color="auto"/>
      </w:pBdr>
      <w:shd w:val="clear" w:color="90EE90" w:fill="BFBFBF"/>
      <w:spacing w:before="100" w:beforeAutospacing="1" w:after="100" w:afterAutospacing="1" w:line="240" w:lineRule="auto"/>
      <w:textAlignment w:val="center"/>
    </w:pPr>
    <w:rPr>
      <w:b/>
      <w:bCs/>
      <w:color w:val="000000"/>
    </w:rPr>
  </w:style>
  <w:style w:type="paragraph" w:customStyle="1" w:styleId="xl105">
    <w:name w:val="xl105"/>
    <w:basedOn w:val="Normal"/>
    <w:rsid w:val="00723916"/>
    <w:pPr>
      <w:pBdr>
        <w:top w:val="single" w:sz="8" w:space="0" w:color="auto"/>
        <w:right w:val="single" w:sz="8" w:space="0" w:color="auto"/>
      </w:pBdr>
      <w:shd w:val="clear" w:color="90EE90" w:fill="BFBFBF"/>
      <w:spacing w:before="100" w:beforeAutospacing="1" w:after="100" w:afterAutospacing="1" w:line="240" w:lineRule="auto"/>
      <w:textAlignment w:val="center"/>
    </w:pPr>
    <w:rPr>
      <w:b/>
      <w:bCs/>
      <w:color w:val="000000"/>
    </w:rPr>
  </w:style>
  <w:style w:type="paragraph" w:customStyle="1" w:styleId="xl106">
    <w:name w:val="xl106"/>
    <w:basedOn w:val="Normal"/>
    <w:rsid w:val="00723916"/>
    <w:pPr>
      <w:shd w:val="clear" w:color="000000" w:fill="FFFFFF"/>
      <w:spacing w:before="100" w:beforeAutospacing="1" w:after="100" w:afterAutospacing="1" w:line="240" w:lineRule="auto"/>
      <w:textAlignment w:val="center"/>
    </w:pPr>
  </w:style>
  <w:style w:type="paragraph" w:customStyle="1" w:styleId="xl107">
    <w:name w:val="xl107"/>
    <w:basedOn w:val="Normal"/>
    <w:rsid w:val="00723916"/>
    <w:pPr>
      <w:shd w:val="clear" w:color="000000" w:fill="FFFFFF"/>
      <w:spacing w:before="100" w:beforeAutospacing="1" w:after="100" w:afterAutospacing="1" w:line="240" w:lineRule="auto"/>
      <w:textAlignment w:val="center"/>
    </w:pPr>
  </w:style>
  <w:style w:type="paragraph" w:customStyle="1" w:styleId="xl108">
    <w:name w:val="xl108"/>
    <w:basedOn w:val="Normal"/>
    <w:rsid w:val="00723916"/>
    <w:pPr>
      <w:shd w:val="clear" w:color="000000" w:fill="A9D08E"/>
      <w:spacing w:before="100" w:beforeAutospacing="1" w:after="100" w:afterAutospacing="1" w:line="240" w:lineRule="auto"/>
      <w:textAlignment w:val="center"/>
    </w:pPr>
    <w:rPr>
      <w:b/>
      <w:bCs/>
      <w:color w:val="000000"/>
    </w:rPr>
  </w:style>
  <w:style w:type="paragraph" w:customStyle="1" w:styleId="xl109">
    <w:name w:val="xl109"/>
    <w:basedOn w:val="Normal"/>
    <w:rsid w:val="00723916"/>
    <w:pPr>
      <w:pBdr>
        <w:right w:val="single" w:sz="8" w:space="0" w:color="auto"/>
      </w:pBdr>
      <w:shd w:val="clear" w:color="000000" w:fill="A9D08E"/>
      <w:spacing w:before="100" w:beforeAutospacing="1" w:after="100" w:afterAutospacing="1" w:line="240" w:lineRule="auto"/>
      <w:textAlignment w:val="center"/>
    </w:pPr>
    <w:rPr>
      <w:b/>
      <w:bCs/>
      <w:color w:val="000000"/>
    </w:rPr>
  </w:style>
  <w:style w:type="paragraph" w:customStyle="1" w:styleId="xl110">
    <w:name w:val="xl110"/>
    <w:basedOn w:val="Normal"/>
    <w:rsid w:val="00723916"/>
    <w:pPr>
      <w:spacing w:before="100" w:beforeAutospacing="1" w:after="100" w:afterAutospacing="1" w:line="240" w:lineRule="auto"/>
      <w:textAlignment w:val="center"/>
    </w:pPr>
  </w:style>
  <w:style w:type="paragraph" w:customStyle="1" w:styleId="xl111">
    <w:name w:val="xl111"/>
    <w:basedOn w:val="Normal"/>
    <w:rsid w:val="00723916"/>
    <w:pPr>
      <w:shd w:val="clear" w:color="000000" w:fill="FFFFFF"/>
      <w:spacing w:before="100" w:beforeAutospacing="1" w:after="100" w:afterAutospacing="1" w:line="240" w:lineRule="auto"/>
      <w:textAlignment w:val="center"/>
    </w:pPr>
    <w:rPr>
      <w:color w:val="FFFFFF"/>
    </w:rPr>
  </w:style>
  <w:style w:type="paragraph" w:customStyle="1" w:styleId="xl112">
    <w:name w:val="xl112"/>
    <w:basedOn w:val="Normal"/>
    <w:rsid w:val="00723916"/>
    <w:pPr>
      <w:shd w:val="clear" w:color="000000" w:fill="FFFFFF"/>
      <w:spacing w:before="100" w:beforeAutospacing="1" w:after="100" w:afterAutospacing="1" w:line="240" w:lineRule="auto"/>
      <w:textAlignment w:val="center"/>
    </w:pPr>
    <w:rPr>
      <w:color w:val="FFFFFF"/>
    </w:rPr>
  </w:style>
  <w:style w:type="paragraph" w:customStyle="1" w:styleId="xl113">
    <w:name w:val="xl113"/>
    <w:basedOn w:val="Normal"/>
    <w:rsid w:val="00723916"/>
    <w:pPr>
      <w:shd w:val="clear" w:color="000000" w:fill="FFFFFF"/>
      <w:spacing w:before="100" w:beforeAutospacing="1" w:after="100" w:afterAutospacing="1" w:line="240" w:lineRule="auto"/>
      <w:textAlignment w:val="center"/>
    </w:pPr>
    <w:rPr>
      <w:color w:val="FFFFFF"/>
    </w:rPr>
  </w:style>
  <w:style w:type="paragraph" w:customStyle="1" w:styleId="xl114">
    <w:name w:val="xl114"/>
    <w:basedOn w:val="Normal"/>
    <w:rsid w:val="00723916"/>
    <w:pPr>
      <w:shd w:val="clear" w:color="F0E68C" w:fill="C6E0B4"/>
      <w:spacing w:before="100" w:beforeAutospacing="1" w:after="100" w:afterAutospacing="1" w:line="240" w:lineRule="auto"/>
      <w:textAlignment w:val="center"/>
    </w:pPr>
    <w:rPr>
      <w:b/>
      <w:bCs/>
      <w:color w:val="000000"/>
    </w:rPr>
  </w:style>
  <w:style w:type="paragraph" w:customStyle="1" w:styleId="xl115">
    <w:name w:val="xl115"/>
    <w:basedOn w:val="Normal"/>
    <w:rsid w:val="00723916"/>
    <w:pPr>
      <w:pBdr>
        <w:right w:val="single" w:sz="8" w:space="0" w:color="auto"/>
      </w:pBdr>
      <w:shd w:val="clear" w:color="F0E68C" w:fill="C6E0B4"/>
      <w:spacing w:before="100" w:beforeAutospacing="1" w:after="100" w:afterAutospacing="1" w:line="240" w:lineRule="auto"/>
      <w:textAlignment w:val="center"/>
    </w:pPr>
    <w:rPr>
      <w:b/>
      <w:bCs/>
      <w:color w:val="000000"/>
    </w:rPr>
  </w:style>
  <w:style w:type="paragraph" w:customStyle="1" w:styleId="xl116">
    <w:name w:val="xl116"/>
    <w:basedOn w:val="Normal"/>
    <w:rsid w:val="00723916"/>
    <w:pPr>
      <w:shd w:val="clear" w:color="000000" w:fill="FFFFFF"/>
      <w:spacing w:before="100" w:beforeAutospacing="1" w:after="100" w:afterAutospacing="1" w:line="240" w:lineRule="auto"/>
      <w:textAlignment w:val="center"/>
    </w:pPr>
    <w:rPr>
      <w:b/>
      <w:bCs/>
    </w:rPr>
  </w:style>
  <w:style w:type="paragraph" w:customStyle="1" w:styleId="xl117">
    <w:name w:val="xl117"/>
    <w:basedOn w:val="Normal"/>
    <w:rsid w:val="00723916"/>
    <w:pPr>
      <w:spacing w:before="100" w:beforeAutospacing="1" w:after="100" w:afterAutospacing="1" w:line="240" w:lineRule="auto"/>
      <w:textAlignment w:val="center"/>
    </w:pPr>
  </w:style>
  <w:style w:type="paragraph" w:customStyle="1" w:styleId="xl118">
    <w:name w:val="xl118"/>
    <w:basedOn w:val="Normal"/>
    <w:rsid w:val="00723916"/>
    <w:pPr>
      <w:shd w:val="clear" w:color="000000" w:fill="FFFFFF"/>
      <w:spacing w:before="100" w:beforeAutospacing="1" w:after="100" w:afterAutospacing="1" w:line="240" w:lineRule="auto"/>
      <w:textAlignment w:val="center"/>
    </w:pPr>
    <w:rPr>
      <w:color w:val="000000"/>
    </w:rPr>
  </w:style>
  <w:style w:type="paragraph" w:customStyle="1" w:styleId="xl119">
    <w:name w:val="xl119"/>
    <w:basedOn w:val="Normal"/>
    <w:rsid w:val="00723916"/>
    <w:pPr>
      <w:pBdr>
        <w:right w:val="single" w:sz="8" w:space="0" w:color="auto"/>
      </w:pBdr>
      <w:shd w:val="clear" w:color="000000" w:fill="FFFFFF"/>
      <w:spacing w:before="100" w:beforeAutospacing="1" w:after="100" w:afterAutospacing="1" w:line="240" w:lineRule="auto"/>
      <w:textAlignment w:val="center"/>
    </w:pPr>
    <w:rPr>
      <w:color w:val="000000"/>
    </w:rPr>
  </w:style>
  <w:style w:type="paragraph" w:customStyle="1" w:styleId="xl120">
    <w:name w:val="xl120"/>
    <w:basedOn w:val="Normal"/>
    <w:rsid w:val="00723916"/>
    <w:pPr>
      <w:pBdr>
        <w:bottom w:val="single" w:sz="8" w:space="0" w:color="auto"/>
      </w:pBdr>
      <w:shd w:val="clear" w:color="90EE90" w:fill="BFBFBF"/>
      <w:spacing w:before="100" w:beforeAutospacing="1" w:after="100" w:afterAutospacing="1" w:line="240" w:lineRule="auto"/>
      <w:textAlignment w:val="center"/>
    </w:pPr>
    <w:rPr>
      <w:b/>
      <w:bCs/>
      <w:color w:val="000000"/>
    </w:rPr>
  </w:style>
  <w:style w:type="paragraph" w:customStyle="1" w:styleId="xl121">
    <w:name w:val="xl121"/>
    <w:basedOn w:val="Normal"/>
    <w:rsid w:val="00723916"/>
    <w:pPr>
      <w:shd w:val="clear" w:color="000000" w:fill="FFFFFF"/>
      <w:spacing w:before="100" w:beforeAutospacing="1" w:after="100" w:afterAutospacing="1" w:line="240" w:lineRule="auto"/>
      <w:textAlignment w:val="center"/>
    </w:pPr>
  </w:style>
  <w:style w:type="paragraph" w:customStyle="1" w:styleId="xl122">
    <w:name w:val="xl122"/>
    <w:basedOn w:val="Normal"/>
    <w:rsid w:val="00723916"/>
    <w:pPr>
      <w:shd w:val="clear" w:color="000000" w:fill="FFFFFF"/>
      <w:spacing w:before="100" w:beforeAutospacing="1" w:after="100" w:afterAutospacing="1" w:line="240" w:lineRule="auto"/>
      <w:textAlignment w:val="center"/>
    </w:pPr>
  </w:style>
  <w:style w:type="paragraph" w:customStyle="1" w:styleId="xl123">
    <w:name w:val="xl123"/>
    <w:basedOn w:val="Normal"/>
    <w:rsid w:val="00723916"/>
    <w:pPr>
      <w:pBdr>
        <w:left w:val="single" w:sz="8" w:space="0" w:color="auto"/>
      </w:pBdr>
      <w:shd w:val="clear" w:color="000000" w:fill="D9D9D9"/>
      <w:spacing w:before="100" w:beforeAutospacing="1" w:after="100" w:afterAutospacing="1" w:line="240" w:lineRule="auto"/>
      <w:textAlignment w:val="center"/>
    </w:pPr>
    <w:rPr>
      <w:b/>
      <w:bCs/>
      <w:color w:val="000000"/>
    </w:rPr>
  </w:style>
  <w:style w:type="paragraph" w:customStyle="1" w:styleId="xl124">
    <w:name w:val="xl124"/>
    <w:basedOn w:val="Normal"/>
    <w:rsid w:val="00723916"/>
    <w:pPr>
      <w:pBdr>
        <w:left w:val="single" w:sz="8" w:space="0" w:color="auto"/>
      </w:pBdr>
      <w:shd w:val="clear" w:color="D3D3D3" w:fill="9BC2E6"/>
      <w:spacing w:before="100" w:beforeAutospacing="1" w:after="100" w:afterAutospacing="1" w:line="240" w:lineRule="auto"/>
      <w:textAlignment w:val="center"/>
    </w:pPr>
    <w:rPr>
      <w:b/>
      <w:bCs/>
      <w:color w:val="000000"/>
    </w:rPr>
  </w:style>
  <w:style w:type="paragraph" w:customStyle="1" w:styleId="xl125">
    <w:name w:val="xl125"/>
    <w:basedOn w:val="Normal"/>
    <w:rsid w:val="00723916"/>
    <w:pPr>
      <w:pBdr>
        <w:left w:val="single" w:sz="8" w:space="7" w:color="auto"/>
      </w:pBdr>
      <w:shd w:val="clear" w:color="000000" w:fill="FFFFFF"/>
      <w:spacing w:before="100" w:beforeAutospacing="1" w:after="100" w:afterAutospacing="1" w:line="240" w:lineRule="auto"/>
      <w:ind w:firstLineChars="100" w:firstLine="100"/>
      <w:textAlignment w:val="center"/>
    </w:pPr>
    <w:rPr>
      <w:b/>
      <w:bCs/>
      <w:color w:val="000000"/>
    </w:rPr>
  </w:style>
  <w:style w:type="paragraph" w:customStyle="1" w:styleId="xl126">
    <w:name w:val="xl126"/>
    <w:basedOn w:val="Normal"/>
    <w:rsid w:val="00723916"/>
    <w:pPr>
      <w:pBdr>
        <w:left w:val="single" w:sz="8" w:space="7" w:color="auto"/>
      </w:pBdr>
      <w:shd w:val="clear" w:color="000000" w:fill="FFFFFF"/>
      <w:spacing w:before="100" w:beforeAutospacing="1" w:after="100" w:afterAutospacing="1" w:line="240" w:lineRule="auto"/>
      <w:ind w:firstLineChars="100" w:firstLine="100"/>
      <w:textAlignment w:val="center"/>
    </w:pPr>
    <w:rPr>
      <w:color w:val="000000"/>
    </w:rPr>
  </w:style>
  <w:style w:type="paragraph" w:customStyle="1" w:styleId="xl127">
    <w:name w:val="xl127"/>
    <w:basedOn w:val="Normal"/>
    <w:rsid w:val="00723916"/>
    <w:pPr>
      <w:pBdr>
        <w:left w:val="single" w:sz="8" w:space="0" w:color="auto"/>
      </w:pBdr>
      <w:shd w:val="clear" w:color="90EE90" w:fill="BFBFBF"/>
      <w:spacing w:before="100" w:beforeAutospacing="1" w:after="100" w:afterAutospacing="1" w:line="240" w:lineRule="auto"/>
      <w:textAlignment w:val="center"/>
    </w:pPr>
    <w:rPr>
      <w:b/>
      <w:bCs/>
      <w:color w:val="000000"/>
    </w:rPr>
  </w:style>
  <w:style w:type="paragraph" w:customStyle="1" w:styleId="xl128">
    <w:name w:val="xl128"/>
    <w:basedOn w:val="Normal"/>
    <w:rsid w:val="00723916"/>
    <w:pPr>
      <w:pBdr>
        <w:left w:val="single" w:sz="8" w:space="0" w:color="auto"/>
      </w:pBdr>
      <w:shd w:val="clear" w:color="000000" w:fill="FFFFFF"/>
      <w:spacing w:before="100" w:beforeAutospacing="1" w:after="100" w:afterAutospacing="1" w:line="240" w:lineRule="auto"/>
      <w:textAlignment w:val="center"/>
    </w:pPr>
    <w:rPr>
      <w:b/>
      <w:bCs/>
      <w:color w:val="000000"/>
    </w:rPr>
  </w:style>
  <w:style w:type="paragraph" w:customStyle="1" w:styleId="xl129">
    <w:name w:val="xl129"/>
    <w:basedOn w:val="Normal"/>
    <w:rsid w:val="00723916"/>
    <w:pPr>
      <w:pBdr>
        <w:left w:val="single" w:sz="8" w:space="0" w:color="auto"/>
      </w:pBdr>
      <w:shd w:val="clear" w:color="000000" w:fill="BFBFBF"/>
      <w:spacing w:before="100" w:beforeAutospacing="1" w:after="100" w:afterAutospacing="1" w:line="240" w:lineRule="auto"/>
      <w:textAlignment w:val="center"/>
    </w:pPr>
    <w:rPr>
      <w:b/>
      <w:bCs/>
      <w:color w:val="000000"/>
    </w:rPr>
  </w:style>
  <w:style w:type="paragraph" w:customStyle="1" w:styleId="xl130">
    <w:name w:val="xl130"/>
    <w:basedOn w:val="Normal"/>
    <w:rsid w:val="00723916"/>
    <w:pPr>
      <w:pBdr>
        <w:left w:val="single" w:sz="8" w:space="0" w:color="auto"/>
      </w:pBdr>
      <w:shd w:val="clear" w:color="000000" w:fill="D9D9D9"/>
      <w:spacing w:before="100" w:beforeAutospacing="1" w:after="100" w:afterAutospacing="1" w:line="240" w:lineRule="auto"/>
      <w:textAlignment w:val="center"/>
    </w:pPr>
    <w:rPr>
      <w:color w:val="000000"/>
    </w:rPr>
  </w:style>
  <w:style w:type="paragraph" w:customStyle="1" w:styleId="xl131">
    <w:name w:val="xl131"/>
    <w:basedOn w:val="Normal"/>
    <w:rsid w:val="00723916"/>
    <w:pPr>
      <w:pBdr>
        <w:left w:val="single" w:sz="8" w:space="0" w:color="auto"/>
        <w:bottom w:val="single" w:sz="8" w:space="0" w:color="auto"/>
      </w:pBdr>
      <w:shd w:val="clear" w:color="000000" w:fill="D9D9D9"/>
      <w:spacing w:before="100" w:beforeAutospacing="1" w:after="100" w:afterAutospacing="1" w:line="240" w:lineRule="auto"/>
      <w:textAlignment w:val="center"/>
    </w:pPr>
    <w:rPr>
      <w:b/>
      <w:bCs/>
      <w:color w:val="000000"/>
    </w:rPr>
  </w:style>
  <w:style w:type="paragraph" w:customStyle="1" w:styleId="xl132">
    <w:name w:val="xl132"/>
    <w:basedOn w:val="Normal"/>
    <w:rsid w:val="00723916"/>
    <w:pPr>
      <w:pBdr>
        <w:top w:val="single" w:sz="8" w:space="0" w:color="auto"/>
      </w:pBdr>
      <w:shd w:val="clear" w:color="000000" w:fill="D9D9D9"/>
      <w:spacing w:before="100" w:beforeAutospacing="1" w:after="100" w:afterAutospacing="1" w:line="240" w:lineRule="auto"/>
      <w:textAlignment w:val="center"/>
    </w:pPr>
    <w:rPr>
      <w:b/>
      <w:bCs/>
      <w:color w:val="000000"/>
    </w:rPr>
  </w:style>
  <w:style w:type="paragraph" w:customStyle="1" w:styleId="xl133">
    <w:name w:val="xl133"/>
    <w:basedOn w:val="Normal"/>
    <w:rsid w:val="00723916"/>
    <w:pPr>
      <w:pBdr>
        <w:top w:val="single" w:sz="8" w:space="0" w:color="auto"/>
        <w:right w:val="single" w:sz="8" w:space="0" w:color="auto"/>
      </w:pBdr>
      <w:shd w:val="clear" w:color="000000" w:fill="D9D9D9"/>
      <w:spacing w:before="100" w:beforeAutospacing="1" w:after="100" w:afterAutospacing="1" w:line="240" w:lineRule="auto"/>
      <w:textAlignment w:val="center"/>
    </w:pPr>
    <w:rPr>
      <w:b/>
      <w:bCs/>
      <w:color w:val="000000"/>
    </w:rPr>
  </w:style>
  <w:style w:type="paragraph" w:customStyle="1" w:styleId="xl134">
    <w:name w:val="xl134"/>
    <w:basedOn w:val="Normal"/>
    <w:rsid w:val="00723916"/>
    <w:pPr>
      <w:pBdr>
        <w:top w:val="single" w:sz="8" w:space="0" w:color="auto"/>
        <w:left w:val="single" w:sz="8" w:space="0" w:color="auto"/>
      </w:pBdr>
      <w:shd w:val="clear" w:color="90EE90" w:fill="BFBFBF"/>
      <w:spacing w:before="100" w:beforeAutospacing="1" w:after="100" w:afterAutospacing="1" w:line="240" w:lineRule="auto"/>
      <w:textAlignment w:val="center"/>
    </w:pPr>
    <w:rPr>
      <w:b/>
      <w:bCs/>
      <w:color w:val="000000"/>
    </w:rPr>
  </w:style>
  <w:style w:type="paragraph" w:customStyle="1" w:styleId="xl135">
    <w:name w:val="xl135"/>
    <w:basedOn w:val="Normal"/>
    <w:rsid w:val="00723916"/>
    <w:pPr>
      <w:pBdr>
        <w:left w:val="single" w:sz="8" w:space="0" w:color="auto"/>
      </w:pBdr>
      <w:shd w:val="clear" w:color="90EE90" w:fill="FFFFFF"/>
      <w:spacing w:before="100" w:beforeAutospacing="1" w:after="100" w:afterAutospacing="1" w:line="240" w:lineRule="auto"/>
      <w:textAlignment w:val="center"/>
    </w:pPr>
    <w:rPr>
      <w:b/>
      <w:bCs/>
      <w:color w:val="000000"/>
    </w:rPr>
  </w:style>
  <w:style w:type="paragraph" w:customStyle="1" w:styleId="xl136">
    <w:name w:val="xl136"/>
    <w:basedOn w:val="Normal"/>
    <w:rsid w:val="00723916"/>
    <w:pPr>
      <w:pBdr>
        <w:left w:val="single" w:sz="8" w:space="0" w:color="auto"/>
      </w:pBdr>
      <w:shd w:val="clear" w:color="000000" w:fill="A9D08E"/>
      <w:spacing w:before="100" w:beforeAutospacing="1" w:after="100" w:afterAutospacing="1" w:line="240" w:lineRule="auto"/>
      <w:textAlignment w:val="center"/>
    </w:pPr>
    <w:rPr>
      <w:b/>
      <w:bCs/>
      <w:color w:val="000000"/>
    </w:rPr>
  </w:style>
  <w:style w:type="paragraph" w:customStyle="1" w:styleId="xl137">
    <w:name w:val="xl137"/>
    <w:basedOn w:val="Normal"/>
    <w:rsid w:val="00723916"/>
    <w:pPr>
      <w:pBdr>
        <w:left w:val="single" w:sz="8" w:space="0" w:color="auto"/>
      </w:pBdr>
      <w:shd w:val="clear" w:color="000000" w:fill="FFFFFF"/>
      <w:spacing w:before="100" w:beforeAutospacing="1" w:after="100" w:afterAutospacing="1" w:line="240" w:lineRule="auto"/>
      <w:textAlignment w:val="center"/>
    </w:pPr>
    <w:rPr>
      <w:color w:val="FFFFFF"/>
    </w:rPr>
  </w:style>
  <w:style w:type="paragraph" w:customStyle="1" w:styleId="xl138">
    <w:name w:val="xl138"/>
    <w:basedOn w:val="Normal"/>
    <w:rsid w:val="00723916"/>
    <w:pPr>
      <w:pBdr>
        <w:left w:val="single" w:sz="8" w:space="0" w:color="auto"/>
      </w:pBdr>
      <w:shd w:val="clear" w:color="F0E68C" w:fill="C6E0B4"/>
      <w:spacing w:before="100" w:beforeAutospacing="1" w:after="100" w:afterAutospacing="1" w:line="240" w:lineRule="auto"/>
      <w:textAlignment w:val="center"/>
    </w:pPr>
    <w:rPr>
      <w:b/>
      <w:bCs/>
      <w:color w:val="000000"/>
    </w:rPr>
  </w:style>
  <w:style w:type="paragraph" w:customStyle="1" w:styleId="xl139">
    <w:name w:val="xl139"/>
    <w:basedOn w:val="Normal"/>
    <w:rsid w:val="00723916"/>
    <w:pPr>
      <w:pBdr>
        <w:left w:val="single" w:sz="8" w:space="0" w:color="auto"/>
      </w:pBdr>
      <w:shd w:val="clear" w:color="000000" w:fill="FFFFFF"/>
      <w:spacing w:before="100" w:beforeAutospacing="1" w:after="100" w:afterAutospacing="1" w:line="240" w:lineRule="auto"/>
      <w:textAlignment w:val="center"/>
    </w:pPr>
    <w:rPr>
      <w:b/>
      <w:bCs/>
      <w:color w:val="000000"/>
    </w:rPr>
  </w:style>
  <w:style w:type="paragraph" w:customStyle="1" w:styleId="xl140">
    <w:name w:val="xl140"/>
    <w:basedOn w:val="Normal"/>
    <w:rsid w:val="00723916"/>
    <w:pPr>
      <w:pBdr>
        <w:left w:val="single" w:sz="8" w:space="0" w:color="auto"/>
        <w:bottom w:val="single" w:sz="8" w:space="0" w:color="auto"/>
      </w:pBdr>
      <w:shd w:val="clear" w:color="90EE90" w:fill="BFBFBF"/>
      <w:spacing w:before="100" w:beforeAutospacing="1" w:after="100" w:afterAutospacing="1" w:line="240" w:lineRule="auto"/>
      <w:textAlignment w:val="center"/>
    </w:pPr>
    <w:rPr>
      <w:b/>
      <w:bCs/>
      <w:color w:val="000000"/>
    </w:rPr>
  </w:style>
  <w:style w:type="paragraph" w:customStyle="1" w:styleId="xl141">
    <w:name w:val="xl141"/>
    <w:basedOn w:val="Normal"/>
    <w:rsid w:val="00723916"/>
    <w:pPr>
      <w:shd w:val="clear" w:color="000000" w:fill="FFFFFF"/>
      <w:spacing w:before="100" w:beforeAutospacing="1" w:after="100" w:afterAutospacing="1" w:line="240" w:lineRule="auto"/>
      <w:textAlignment w:val="center"/>
    </w:pPr>
  </w:style>
  <w:style w:type="paragraph" w:customStyle="1" w:styleId="xl142">
    <w:name w:val="xl142"/>
    <w:basedOn w:val="Normal"/>
    <w:rsid w:val="00723916"/>
    <w:pPr>
      <w:pBdr>
        <w:bottom w:val="single" w:sz="8" w:space="0" w:color="auto"/>
        <w:right w:val="single" w:sz="8" w:space="0" w:color="auto"/>
      </w:pBdr>
      <w:shd w:val="clear" w:color="90EE90" w:fill="BFBFBF"/>
      <w:spacing w:before="100" w:beforeAutospacing="1" w:after="100" w:afterAutospacing="1" w:line="240" w:lineRule="auto"/>
      <w:textAlignment w:val="center"/>
    </w:pPr>
    <w:rPr>
      <w:b/>
      <w:bCs/>
      <w:color w:val="000000"/>
    </w:rPr>
  </w:style>
  <w:style w:type="paragraph" w:customStyle="1" w:styleId="xl143">
    <w:name w:val="xl143"/>
    <w:basedOn w:val="Normal"/>
    <w:rsid w:val="00723916"/>
    <w:pPr>
      <w:pBdr>
        <w:top w:val="single" w:sz="8" w:space="0" w:color="auto"/>
        <w:bottom w:val="single" w:sz="8" w:space="0" w:color="auto"/>
        <w:right w:val="single" w:sz="8" w:space="0" w:color="auto"/>
      </w:pBdr>
      <w:shd w:val="clear" w:color="00008B" w:fill="00008B"/>
      <w:spacing w:before="100" w:beforeAutospacing="1" w:after="100" w:afterAutospacing="1" w:line="240" w:lineRule="auto"/>
      <w:ind w:firstLineChars="600" w:firstLine="600"/>
      <w:textAlignment w:val="center"/>
    </w:pPr>
    <w:rPr>
      <w:b/>
      <w:bCs/>
      <w:color w:val="FFFFFF"/>
    </w:rPr>
  </w:style>
  <w:style w:type="paragraph" w:customStyle="1" w:styleId="xl144">
    <w:name w:val="xl144"/>
    <w:basedOn w:val="Normal"/>
    <w:rsid w:val="00723916"/>
    <w:pPr>
      <w:shd w:val="clear" w:color="000000" w:fill="FFFFFF"/>
      <w:spacing w:before="100" w:beforeAutospacing="1" w:after="100" w:afterAutospacing="1" w:line="240" w:lineRule="auto"/>
      <w:textAlignment w:val="center"/>
    </w:pPr>
  </w:style>
  <w:style w:type="paragraph" w:customStyle="1" w:styleId="xl145">
    <w:name w:val="xl145"/>
    <w:basedOn w:val="Normal"/>
    <w:rsid w:val="00723916"/>
    <w:pPr>
      <w:pBdr>
        <w:right w:val="single" w:sz="8" w:space="0" w:color="auto"/>
      </w:pBdr>
      <w:shd w:val="clear" w:color="000000" w:fill="FFFFFF"/>
      <w:spacing w:before="100" w:beforeAutospacing="1" w:after="100" w:afterAutospacing="1" w:line="240" w:lineRule="auto"/>
      <w:jc w:val="right"/>
      <w:textAlignment w:val="center"/>
    </w:pPr>
    <w:rPr>
      <w:color w:val="000000"/>
    </w:rPr>
  </w:style>
  <w:style w:type="paragraph" w:customStyle="1" w:styleId="xl146">
    <w:name w:val="xl146"/>
    <w:basedOn w:val="Normal"/>
    <w:rsid w:val="00723916"/>
    <w:pPr>
      <w:pBdr>
        <w:right w:val="single" w:sz="8" w:space="0" w:color="auto"/>
      </w:pBdr>
      <w:shd w:val="clear" w:color="F0E68C" w:fill="D9E1F2"/>
      <w:spacing w:before="100" w:beforeAutospacing="1" w:after="100" w:afterAutospacing="1" w:line="240" w:lineRule="auto"/>
      <w:jc w:val="right"/>
      <w:textAlignment w:val="center"/>
    </w:pPr>
    <w:rPr>
      <w:b/>
      <w:bCs/>
      <w:color w:val="000000"/>
    </w:rPr>
  </w:style>
  <w:style w:type="paragraph" w:customStyle="1" w:styleId="xl147">
    <w:name w:val="xl147"/>
    <w:basedOn w:val="Normal"/>
    <w:rsid w:val="00723916"/>
    <w:pPr>
      <w:pBdr>
        <w:right w:val="single" w:sz="8" w:space="0" w:color="auto"/>
      </w:pBdr>
      <w:shd w:val="clear" w:color="F0E68C" w:fill="FFFFFF"/>
      <w:spacing w:before="100" w:beforeAutospacing="1" w:after="100" w:afterAutospacing="1" w:line="240" w:lineRule="auto"/>
      <w:jc w:val="right"/>
      <w:textAlignment w:val="center"/>
    </w:pPr>
    <w:rPr>
      <w:b/>
      <w:bCs/>
      <w:color w:val="000000"/>
    </w:rPr>
  </w:style>
  <w:style w:type="paragraph" w:customStyle="1" w:styleId="xl148">
    <w:name w:val="xl148"/>
    <w:basedOn w:val="Normal"/>
    <w:rsid w:val="00723916"/>
    <w:pPr>
      <w:pBdr>
        <w:top w:val="single" w:sz="8" w:space="0" w:color="auto"/>
        <w:bottom w:val="single" w:sz="8" w:space="0" w:color="auto"/>
        <w:right w:val="single" w:sz="8" w:space="0" w:color="auto"/>
      </w:pBdr>
      <w:shd w:val="clear" w:color="00008B" w:fill="00008B"/>
      <w:spacing w:before="100" w:beforeAutospacing="1" w:after="100" w:afterAutospacing="1" w:line="240" w:lineRule="auto"/>
      <w:textAlignment w:val="center"/>
    </w:pPr>
    <w:rPr>
      <w:b/>
      <w:bCs/>
      <w:color w:val="FFFFFF"/>
    </w:rPr>
  </w:style>
  <w:style w:type="paragraph" w:customStyle="1" w:styleId="xl149">
    <w:name w:val="xl149"/>
    <w:basedOn w:val="Normal"/>
    <w:rsid w:val="00723916"/>
    <w:pPr>
      <w:pBdr>
        <w:right w:val="single" w:sz="8" w:space="0" w:color="auto"/>
      </w:pBdr>
      <w:shd w:val="clear" w:color="000000" w:fill="FFFFFF"/>
      <w:spacing w:before="100" w:beforeAutospacing="1" w:after="100" w:afterAutospacing="1" w:line="240" w:lineRule="auto"/>
      <w:jc w:val="center"/>
      <w:textAlignment w:val="center"/>
    </w:pPr>
  </w:style>
  <w:style w:type="paragraph" w:customStyle="1" w:styleId="xl150">
    <w:name w:val="xl150"/>
    <w:basedOn w:val="Normal"/>
    <w:rsid w:val="00723916"/>
    <w:pPr>
      <w:pBdr>
        <w:right w:val="single" w:sz="8" w:space="0" w:color="auto"/>
      </w:pBdr>
      <w:shd w:val="clear" w:color="000000" w:fill="FFFFFF"/>
      <w:spacing w:before="100" w:beforeAutospacing="1" w:after="100" w:afterAutospacing="1" w:line="240" w:lineRule="auto"/>
      <w:jc w:val="right"/>
      <w:textAlignment w:val="center"/>
    </w:pPr>
  </w:style>
  <w:style w:type="paragraph" w:customStyle="1" w:styleId="xl151">
    <w:name w:val="xl151"/>
    <w:basedOn w:val="Normal"/>
    <w:rsid w:val="00723916"/>
    <w:pPr>
      <w:pBdr>
        <w:right w:val="single" w:sz="8" w:space="0" w:color="auto"/>
      </w:pBdr>
      <w:shd w:val="clear" w:color="000000" w:fill="FFFFFF"/>
      <w:spacing w:before="100" w:beforeAutospacing="1" w:after="100" w:afterAutospacing="1" w:line="240" w:lineRule="auto"/>
      <w:textAlignment w:val="center"/>
    </w:pPr>
    <w:rPr>
      <w:color w:val="FFFFFF"/>
    </w:rPr>
  </w:style>
  <w:style w:type="paragraph" w:customStyle="1" w:styleId="xl152">
    <w:name w:val="xl152"/>
    <w:basedOn w:val="Normal"/>
    <w:rsid w:val="00723916"/>
    <w:pPr>
      <w:pBdr>
        <w:right w:val="single" w:sz="8" w:space="0" w:color="auto"/>
      </w:pBdr>
      <w:shd w:val="clear" w:color="000000" w:fill="FFFFFF"/>
      <w:spacing w:before="100" w:beforeAutospacing="1" w:after="100" w:afterAutospacing="1" w:line="240" w:lineRule="auto"/>
      <w:textAlignment w:val="center"/>
    </w:pPr>
    <w:rPr>
      <w:b/>
      <w:bCs/>
    </w:rPr>
  </w:style>
  <w:style w:type="paragraph" w:customStyle="1" w:styleId="xl153">
    <w:name w:val="xl153"/>
    <w:basedOn w:val="Normal"/>
    <w:rsid w:val="00723916"/>
    <w:pPr>
      <w:pBdr>
        <w:right w:val="single" w:sz="8" w:space="0" w:color="auto"/>
      </w:pBdr>
      <w:shd w:val="clear" w:color="000000" w:fill="FFFFFF"/>
      <w:spacing w:before="100" w:beforeAutospacing="1" w:after="100" w:afterAutospacing="1" w:line="240" w:lineRule="auto"/>
      <w:textAlignment w:val="center"/>
    </w:pPr>
    <w:rPr>
      <w:color w:val="FFFFFF"/>
    </w:rPr>
  </w:style>
  <w:style w:type="paragraph" w:customStyle="1" w:styleId="xl154">
    <w:name w:val="xl154"/>
    <w:basedOn w:val="Normal"/>
    <w:rsid w:val="00723916"/>
    <w:pPr>
      <w:pBdr>
        <w:right w:val="single" w:sz="8" w:space="0" w:color="auto"/>
      </w:pBdr>
      <w:shd w:val="clear" w:color="000000" w:fill="FFFFFF"/>
      <w:spacing w:before="100" w:beforeAutospacing="1" w:after="100" w:afterAutospacing="1" w:line="240" w:lineRule="auto"/>
      <w:jc w:val="right"/>
      <w:textAlignment w:val="center"/>
    </w:pPr>
    <w:rPr>
      <w:color w:val="FFFFFF"/>
    </w:rPr>
  </w:style>
  <w:style w:type="paragraph" w:customStyle="1" w:styleId="xl155">
    <w:name w:val="xl155"/>
    <w:basedOn w:val="Normal"/>
    <w:rsid w:val="00723916"/>
    <w:pPr>
      <w:pBdr>
        <w:top w:val="single" w:sz="8" w:space="0" w:color="auto"/>
      </w:pBdr>
      <w:shd w:val="clear" w:color="00008B" w:fill="00008B"/>
      <w:spacing w:before="100" w:beforeAutospacing="1" w:after="100" w:afterAutospacing="1" w:line="240" w:lineRule="auto"/>
      <w:jc w:val="center"/>
      <w:textAlignment w:val="center"/>
    </w:pPr>
    <w:rPr>
      <w:b/>
      <w:bCs/>
      <w:color w:val="FFFFFF"/>
    </w:rPr>
  </w:style>
  <w:style w:type="paragraph" w:customStyle="1" w:styleId="xl156">
    <w:name w:val="xl156"/>
    <w:basedOn w:val="Normal"/>
    <w:rsid w:val="00723916"/>
    <w:pPr>
      <w:pBdr>
        <w:top w:val="single" w:sz="8" w:space="0" w:color="auto"/>
        <w:right w:val="single" w:sz="8" w:space="0" w:color="auto"/>
      </w:pBdr>
      <w:shd w:val="clear" w:color="00008B" w:fill="00008B"/>
      <w:spacing w:before="100" w:beforeAutospacing="1" w:after="100" w:afterAutospacing="1" w:line="240" w:lineRule="auto"/>
      <w:jc w:val="center"/>
      <w:textAlignment w:val="center"/>
    </w:pPr>
    <w:rPr>
      <w:b/>
      <w:bCs/>
      <w:color w:val="FFFFFF"/>
    </w:rPr>
  </w:style>
  <w:style w:type="paragraph" w:customStyle="1" w:styleId="xl157">
    <w:name w:val="xl157"/>
    <w:basedOn w:val="Normal"/>
    <w:rsid w:val="00723916"/>
    <w:pPr>
      <w:pBdr>
        <w:top w:val="single" w:sz="8" w:space="0" w:color="auto"/>
        <w:left w:val="single" w:sz="8" w:space="0" w:color="auto"/>
        <w:bottom w:val="single" w:sz="8" w:space="0" w:color="auto"/>
      </w:pBdr>
      <w:shd w:val="clear" w:color="00008B" w:fill="00008B"/>
      <w:spacing w:before="100" w:beforeAutospacing="1" w:after="100" w:afterAutospacing="1" w:line="240" w:lineRule="auto"/>
      <w:jc w:val="center"/>
      <w:textAlignment w:val="center"/>
    </w:pPr>
    <w:rPr>
      <w:b/>
      <w:bCs/>
      <w:color w:val="FFFFFF"/>
    </w:rPr>
  </w:style>
  <w:style w:type="paragraph" w:customStyle="1" w:styleId="xl158">
    <w:name w:val="xl158"/>
    <w:basedOn w:val="Normal"/>
    <w:rsid w:val="00723916"/>
    <w:pPr>
      <w:pBdr>
        <w:top w:val="single" w:sz="8" w:space="0" w:color="auto"/>
        <w:bottom w:val="single" w:sz="8" w:space="0" w:color="auto"/>
      </w:pBdr>
      <w:shd w:val="clear" w:color="00008B" w:fill="00008B"/>
      <w:spacing w:before="100" w:beforeAutospacing="1" w:after="100" w:afterAutospacing="1" w:line="240" w:lineRule="auto"/>
      <w:jc w:val="center"/>
      <w:textAlignment w:val="center"/>
    </w:pPr>
    <w:rPr>
      <w:b/>
      <w:bCs/>
      <w:color w:val="FFFFFF"/>
    </w:rPr>
  </w:style>
  <w:style w:type="paragraph" w:customStyle="1" w:styleId="xl159">
    <w:name w:val="xl159"/>
    <w:basedOn w:val="Normal"/>
    <w:rsid w:val="00723916"/>
    <w:pPr>
      <w:pBdr>
        <w:top w:val="single" w:sz="8" w:space="0" w:color="auto"/>
        <w:bottom w:val="single" w:sz="8" w:space="0" w:color="auto"/>
        <w:right w:val="single" w:sz="8" w:space="0" w:color="auto"/>
      </w:pBdr>
      <w:shd w:val="clear" w:color="00008B" w:fill="00008B"/>
      <w:spacing w:before="100" w:beforeAutospacing="1" w:after="100" w:afterAutospacing="1" w:line="240" w:lineRule="auto"/>
      <w:jc w:val="center"/>
      <w:textAlignment w:val="center"/>
    </w:pPr>
    <w:rPr>
      <w:b/>
      <w:bCs/>
      <w:color w:val="FFFFFF"/>
    </w:rPr>
  </w:style>
  <w:style w:type="paragraph" w:customStyle="1" w:styleId="xl160">
    <w:name w:val="xl160"/>
    <w:basedOn w:val="Normal"/>
    <w:rsid w:val="00723916"/>
    <w:pPr>
      <w:pBdr>
        <w:top w:val="single" w:sz="8" w:space="0" w:color="auto"/>
        <w:bottom w:val="single" w:sz="8" w:space="0" w:color="auto"/>
        <w:right w:val="single" w:sz="8" w:space="0" w:color="auto"/>
      </w:pBdr>
      <w:shd w:val="clear" w:color="00008B" w:fill="00008B"/>
      <w:spacing w:before="100" w:beforeAutospacing="1" w:after="100" w:afterAutospacing="1" w:line="240" w:lineRule="auto"/>
      <w:textAlignment w:val="center"/>
    </w:pPr>
    <w:rPr>
      <w:b/>
      <w:bCs/>
      <w:color w:val="FFFFFF"/>
    </w:rPr>
  </w:style>
  <w:style w:type="paragraph" w:customStyle="1" w:styleId="xl161">
    <w:name w:val="xl161"/>
    <w:basedOn w:val="Normal"/>
    <w:rsid w:val="00723916"/>
    <w:pPr>
      <w:shd w:val="clear" w:color="000000" w:fill="FFFFFF"/>
      <w:spacing w:before="100" w:beforeAutospacing="1" w:after="100" w:afterAutospacing="1" w:line="240" w:lineRule="auto"/>
      <w:textAlignment w:val="center"/>
    </w:pPr>
  </w:style>
  <w:style w:type="paragraph" w:customStyle="1" w:styleId="xl162">
    <w:name w:val="xl162"/>
    <w:basedOn w:val="Normal"/>
    <w:rsid w:val="00723916"/>
    <w:pPr>
      <w:pBdr>
        <w:top w:val="single" w:sz="8" w:space="0" w:color="auto"/>
        <w:left w:val="single" w:sz="8" w:space="0" w:color="auto"/>
        <w:bottom w:val="single" w:sz="8" w:space="0" w:color="auto"/>
        <w:right w:val="single" w:sz="8" w:space="0" w:color="auto"/>
      </w:pBdr>
      <w:shd w:val="clear" w:color="000000" w:fill="00008B"/>
      <w:spacing w:before="100" w:beforeAutospacing="1" w:after="100" w:afterAutospacing="1" w:line="240" w:lineRule="auto"/>
    </w:pPr>
    <w:rPr>
      <w:b/>
      <w:bCs/>
      <w:color w:val="FFFFFF"/>
    </w:rPr>
  </w:style>
  <w:style w:type="paragraph" w:customStyle="1" w:styleId="xl163">
    <w:name w:val="xl163"/>
    <w:basedOn w:val="Normal"/>
    <w:rsid w:val="00723916"/>
    <w:pPr>
      <w:pBdr>
        <w:top w:val="single" w:sz="8" w:space="0" w:color="auto"/>
        <w:left w:val="single" w:sz="8" w:space="0" w:color="auto"/>
        <w:bottom w:val="single" w:sz="8" w:space="0" w:color="auto"/>
      </w:pBdr>
      <w:spacing w:before="100" w:beforeAutospacing="1" w:after="100" w:afterAutospacing="1" w:line="240" w:lineRule="auto"/>
    </w:pPr>
    <w:rPr>
      <w:b/>
      <w:bCs/>
    </w:rPr>
  </w:style>
  <w:style w:type="paragraph" w:customStyle="1" w:styleId="xl164">
    <w:name w:val="xl164"/>
    <w:basedOn w:val="Normal"/>
    <w:rsid w:val="00723916"/>
    <w:pPr>
      <w:pBdr>
        <w:top w:val="single" w:sz="8" w:space="0" w:color="auto"/>
        <w:bottom w:val="single" w:sz="8" w:space="0" w:color="auto"/>
      </w:pBdr>
      <w:spacing w:before="100" w:beforeAutospacing="1" w:after="100" w:afterAutospacing="1" w:line="240" w:lineRule="auto"/>
    </w:pPr>
    <w:rPr>
      <w:b/>
      <w:bCs/>
    </w:rPr>
  </w:style>
  <w:style w:type="paragraph" w:customStyle="1" w:styleId="xl165">
    <w:name w:val="xl165"/>
    <w:basedOn w:val="Normal"/>
    <w:rsid w:val="00723916"/>
    <w:pPr>
      <w:pBdr>
        <w:top w:val="single" w:sz="8" w:space="0" w:color="auto"/>
        <w:bottom w:val="single" w:sz="8" w:space="0" w:color="auto"/>
        <w:right w:val="single" w:sz="8" w:space="0" w:color="auto"/>
      </w:pBdr>
      <w:spacing w:before="100" w:beforeAutospacing="1" w:after="100" w:afterAutospacing="1" w:line="240" w:lineRule="auto"/>
    </w:pPr>
    <w:rPr>
      <w:b/>
      <w:bCs/>
    </w:rPr>
  </w:style>
  <w:style w:type="paragraph" w:customStyle="1" w:styleId="TableParagraph">
    <w:name w:val="Table Paragraph"/>
    <w:basedOn w:val="Normal"/>
    <w:uiPriority w:val="1"/>
    <w:qFormat/>
    <w:rsid w:val="00723916"/>
    <w:pPr>
      <w:widowControl w:val="0"/>
      <w:autoSpaceDE w:val="0"/>
      <w:autoSpaceDN w:val="0"/>
      <w:spacing w:after="0" w:line="240" w:lineRule="auto"/>
    </w:pPr>
    <w:rPr>
      <w:rFonts w:ascii="Tahoma" w:eastAsia="Tahoma" w:hAnsi="Tahoma" w:cs="Tahoma"/>
      <w:sz w:val="22"/>
      <w:lang w:val="es-ES" w:eastAsia="en-US"/>
    </w:rPr>
  </w:style>
  <w:style w:type="character" w:customStyle="1" w:styleId="Ttulo1Car1">
    <w:name w:val="Título 1 Car1"/>
    <w:basedOn w:val="Fuentedeprrafopredeter"/>
    <w:uiPriority w:val="9"/>
    <w:rsid w:val="00723916"/>
    <w:rPr>
      <w:rFonts w:asciiTheme="majorHAnsi" w:eastAsiaTheme="majorEastAsia" w:hAnsiTheme="majorHAnsi" w:cstheme="majorBidi"/>
      <w:b/>
      <w:bCs/>
      <w:color w:val="365F91" w:themeColor="accent1" w:themeShade="BF"/>
      <w:sz w:val="28"/>
      <w:szCs w:val="28"/>
      <w:lang w:eastAsia="es-MX"/>
    </w:rPr>
  </w:style>
  <w:style w:type="character" w:customStyle="1" w:styleId="Ttulo2Car1">
    <w:name w:val="Título 2 Car1"/>
    <w:basedOn w:val="Fuentedeprrafopredeter"/>
    <w:uiPriority w:val="9"/>
    <w:semiHidden/>
    <w:rsid w:val="00723916"/>
    <w:rPr>
      <w:rFonts w:asciiTheme="majorHAnsi" w:eastAsiaTheme="majorEastAsia" w:hAnsiTheme="majorHAnsi" w:cstheme="majorBidi"/>
      <w:b/>
      <w:bCs/>
      <w:color w:val="4F81BD" w:themeColor="accent1"/>
      <w:sz w:val="26"/>
      <w:szCs w:val="26"/>
      <w:lang w:eastAsia="es-MX"/>
    </w:rPr>
  </w:style>
  <w:style w:type="paragraph" w:styleId="Revisin">
    <w:name w:val="Revision"/>
    <w:hidden/>
    <w:uiPriority w:val="99"/>
    <w:semiHidden/>
    <w:rsid w:val="000870C6"/>
    <w:pPr>
      <w:spacing w:after="0" w:line="240" w:lineRule="auto"/>
    </w:pPr>
    <w:rPr>
      <w:rFonts w:eastAsiaTheme="minorEastAsia"/>
    </w:rPr>
  </w:style>
  <w:style w:type="paragraph" w:customStyle="1" w:styleId="Texto">
    <w:name w:val="Texto"/>
    <w:aliases w:val="independiente,independiente Car Car Car"/>
    <w:basedOn w:val="Normal"/>
    <w:link w:val="TextoCar"/>
    <w:qFormat/>
    <w:rsid w:val="00EB140A"/>
    <w:pPr>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
    <w:locked/>
    <w:rsid w:val="00EB140A"/>
    <w:rPr>
      <w:rFonts w:ascii="Arial" w:eastAsia="Times New Roman" w:hAnsi="Arial" w:cs="Arial"/>
      <w:sz w:val="18"/>
      <w:szCs w:val="20"/>
      <w:lang w:val="es-ES" w:eastAsia="es-ES"/>
    </w:rPr>
  </w:style>
  <w:style w:type="paragraph" w:styleId="Textosinformato">
    <w:name w:val="Plain Text"/>
    <w:basedOn w:val="Normal"/>
    <w:link w:val="TextosinformatoCar"/>
    <w:rsid w:val="00EB140A"/>
    <w:pPr>
      <w:spacing w:after="0" w:line="240" w:lineRule="auto"/>
    </w:pPr>
    <w:rPr>
      <w:rFonts w:ascii="Courier New" w:hAnsi="Courier New" w:cs="Courier New"/>
      <w:sz w:val="20"/>
      <w:szCs w:val="20"/>
      <w:lang w:val="es-ES" w:eastAsia="es-ES"/>
    </w:rPr>
  </w:style>
  <w:style w:type="character" w:customStyle="1" w:styleId="TextosinformatoCar">
    <w:name w:val="Texto sin formato Car"/>
    <w:basedOn w:val="Fuentedeprrafopredeter"/>
    <w:link w:val="Textosinformato"/>
    <w:rsid w:val="00EB140A"/>
    <w:rPr>
      <w:rFonts w:ascii="Courier New" w:eastAsia="Times New Roman" w:hAnsi="Courier New" w:cs="Courier New"/>
      <w:sz w:val="20"/>
      <w:szCs w:val="20"/>
      <w:lang w:val="es-ES" w:eastAsia="es-ES"/>
    </w:rPr>
  </w:style>
  <w:style w:type="character" w:customStyle="1" w:styleId="superscript">
    <w:name w:val="superscript"/>
    <w:basedOn w:val="Fuentedeprrafopredeter"/>
    <w:rsid w:val="00201CF4"/>
  </w:style>
  <w:style w:type="table" w:customStyle="1" w:styleId="TableNormal1">
    <w:name w:val="Table Normal1"/>
    <w:uiPriority w:val="2"/>
    <w:semiHidden/>
    <w:unhideWhenUsed/>
    <w:qFormat/>
    <w:rsid w:val="00F6643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styleId="Textoennegrita">
    <w:name w:val="Strong"/>
    <w:basedOn w:val="Fuentedeprrafopredeter"/>
    <w:uiPriority w:val="22"/>
    <w:qFormat/>
    <w:rsid w:val="0064480F"/>
    <w:rPr>
      <w:b/>
      <w:bCs/>
    </w:rPr>
  </w:style>
  <w:style w:type="paragraph" w:styleId="Textoindependiente">
    <w:name w:val="Body Text"/>
    <w:basedOn w:val="Normal"/>
    <w:link w:val="TextoindependienteCar"/>
    <w:uiPriority w:val="99"/>
    <w:semiHidden/>
    <w:unhideWhenUsed/>
    <w:rsid w:val="00FC41DD"/>
    <w:pPr>
      <w:spacing w:after="120"/>
    </w:pPr>
  </w:style>
  <w:style w:type="character" w:customStyle="1" w:styleId="TextoindependienteCar">
    <w:name w:val="Texto independiente Car"/>
    <w:basedOn w:val="Fuentedeprrafopredeter"/>
    <w:link w:val="Textoindependiente"/>
    <w:uiPriority w:val="99"/>
    <w:semiHidden/>
    <w:rsid w:val="00FC41DD"/>
    <w:rPr>
      <w:rFonts w:eastAsiaTheme="minorEastAsia"/>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customStyle="1" w:styleId="Estilo">
    <w:name w:val="Estilo"/>
    <w:basedOn w:val="Sinespaciado"/>
    <w:link w:val="EstiloCar"/>
    <w:qFormat/>
    <w:rsid w:val="00230D75"/>
    <w:pPr>
      <w:jc w:val="both"/>
    </w:pPr>
    <w:rPr>
      <w:rFonts w:ascii="Arial" w:eastAsiaTheme="minorHAnsi" w:hAnsi="Arial" w:cstheme="minorBidi"/>
      <w:szCs w:val="22"/>
      <w:lang w:eastAsia="en-US"/>
    </w:rPr>
  </w:style>
  <w:style w:type="character" w:customStyle="1" w:styleId="EstiloCar">
    <w:name w:val="Estilo Car"/>
    <w:basedOn w:val="Fuentedeprrafopredeter"/>
    <w:link w:val="Estilo"/>
    <w:rsid w:val="00230D75"/>
    <w:rPr>
      <w:rFonts w:ascii="Arial" w:eastAsiaTheme="minorHAnsi" w:hAnsi="Arial" w:cstheme="minorBidi"/>
      <w:szCs w:val="22"/>
      <w:lang w:eastAsia="en-US"/>
    </w:rPr>
  </w:style>
  <w:style w:type="paragraph" w:styleId="Sinespaciado">
    <w:name w:val="No Spacing"/>
    <w:uiPriority w:val="1"/>
    <w:qFormat/>
    <w:rsid w:val="00230D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777500">
      <w:bodyDiv w:val="1"/>
      <w:marLeft w:val="0"/>
      <w:marRight w:val="0"/>
      <w:marTop w:val="0"/>
      <w:marBottom w:val="0"/>
      <w:divBdr>
        <w:top w:val="none" w:sz="0" w:space="0" w:color="auto"/>
        <w:left w:val="none" w:sz="0" w:space="0" w:color="auto"/>
        <w:bottom w:val="none" w:sz="0" w:space="0" w:color="auto"/>
        <w:right w:val="none" w:sz="0" w:space="0" w:color="auto"/>
      </w:divBdr>
    </w:div>
    <w:div w:id="749890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U9qkxkXtebSx8+b0F9FfOJNtg==">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A6D9DB-5B10-436E-9008-3DD983CA7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18082</Words>
  <Characters>99451</Characters>
  <Application>Microsoft Office Word</Application>
  <DocSecurity>0</DocSecurity>
  <Lines>828</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Mem717</dc:creator>
  <cp:lastModifiedBy>Mayte Gelitzli Uribe Ruiz</cp:lastModifiedBy>
  <cp:revision>2</cp:revision>
  <dcterms:created xsi:type="dcterms:W3CDTF">2026-01-05T19:51:00Z</dcterms:created>
  <dcterms:modified xsi:type="dcterms:W3CDTF">2026-01-05T19:51:00Z</dcterms:modified>
</cp:coreProperties>
</file>