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EC6F6" w14:textId="59B43EC4" w:rsidR="006C6157" w:rsidRPr="000842AA" w:rsidRDefault="006C6157" w:rsidP="003466C4">
      <w:pPr>
        <w:spacing w:before="100" w:beforeAutospacing="1" w:after="100" w:afterAutospacing="1" w:line="240" w:lineRule="auto"/>
        <w:jc w:val="right"/>
        <w:rPr>
          <w:rFonts w:ascii="Arial" w:hAnsi="Arial" w:cs="Arial"/>
          <w:szCs w:val="24"/>
        </w:rPr>
      </w:pPr>
      <w:r w:rsidRPr="000842AA">
        <w:rPr>
          <w:rFonts w:ascii="Arial" w:hAnsi="Arial" w:cs="Arial"/>
          <w:szCs w:val="24"/>
        </w:rPr>
        <w:t xml:space="preserve">Mérida, Yucatán, a </w:t>
      </w:r>
      <w:r w:rsidR="20C28C80" w:rsidRPr="000842AA">
        <w:rPr>
          <w:rFonts w:ascii="Arial" w:hAnsi="Arial" w:cs="Arial"/>
          <w:szCs w:val="24"/>
        </w:rPr>
        <w:t>19</w:t>
      </w:r>
      <w:r w:rsidRPr="000842AA">
        <w:rPr>
          <w:rFonts w:ascii="Arial" w:hAnsi="Arial" w:cs="Arial"/>
          <w:szCs w:val="24"/>
        </w:rPr>
        <w:t xml:space="preserve"> de </w:t>
      </w:r>
      <w:r w:rsidR="20C28C80" w:rsidRPr="000842AA">
        <w:rPr>
          <w:rFonts w:ascii="Arial" w:hAnsi="Arial" w:cs="Arial"/>
          <w:szCs w:val="24"/>
        </w:rPr>
        <w:t>diciembre</w:t>
      </w:r>
      <w:r w:rsidRPr="000842AA">
        <w:rPr>
          <w:rFonts w:ascii="Arial" w:hAnsi="Arial" w:cs="Arial"/>
          <w:szCs w:val="24"/>
        </w:rPr>
        <w:t xml:space="preserve"> de </w:t>
      </w:r>
      <w:r w:rsidR="00E13A4B" w:rsidRPr="000842AA">
        <w:rPr>
          <w:rFonts w:ascii="Arial" w:hAnsi="Arial" w:cs="Arial"/>
          <w:szCs w:val="24"/>
        </w:rPr>
        <w:t>2024</w:t>
      </w:r>
      <w:r w:rsidRPr="000842AA">
        <w:rPr>
          <w:rFonts w:ascii="Arial" w:hAnsi="Arial" w:cs="Arial"/>
          <w:szCs w:val="24"/>
        </w:rPr>
        <w:t>.</w:t>
      </w:r>
    </w:p>
    <w:p w14:paraId="42A39C84" w14:textId="77777777" w:rsidR="006C6157" w:rsidRPr="000842AA" w:rsidRDefault="006C6157"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H. Congreso del Estado de Yucatán:</w:t>
      </w:r>
    </w:p>
    <w:p w14:paraId="19B842EE" w14:textId="7CC51426" w:rsidR="006C6157" w:rsidRPr="000842AA" w:rsidRDefault="006C6157" w:rsidP="003466C4">
      <w:pPr>
        <w:spacing w:before="100" w:beforeAutospacing="1" w:after="100" w:afterAutospacing="1" w:line="240" w:lineRule="auto"/>
        <w:jc w:val="center"/>
        <w:rPr>
          <w:rFonts w:ascii="Arial" w:hAnsi="Arial" w:cs="Arial"/>
          <w:b/>
          <w:szCs w:val="24"/>
        </w:rPr>
      </w:pPr>
      <w:r w:rsidRPr="000842AA">
        <w:rPr>
          <w:rFonts w:ascii="Arial" w:hAnsi="Arial" w:cs="Arial"/>
          <w:b/>
          <w:szCs w:val="24"/>
        </w:rPr>
        <w:t xml:space="preserve">Iniciativa para expedir la Ley de Ingresos del Estado de Yucatán para el Ejercicio Fiscal </w:t>
      </w:r>
      <w:r w:rsidR="004E7D4A" w:rsidRPr="000842AA">
        <w:rPr>
          <w:rFonts w:ascii="Arial" w:hAnsi="Arial" w:cs="Arial"/>
          <w:b/>
          <w:szCs w:val="24"/>
        </w:rPr>
        <w:t>2025</w:t>
      </w:r>
    </w:p>
    <w:p w14:paraId="4CEC692B" w14:textId="73DF1C95" w:rsidR="006C6157" w:rsidRPr="000842AA" w:rsidRDefault="1B89F530" w:rsidP="003466C4">
      <w:pPr>
        <w:spacing w:before="100" w:beforeAutospacing="1" w:after="100" w:afterAutospacing="1" w:line="240" w:lineRule="auto"/>
        <w:jc w:val="center"/>
        <w:rPr>
          <w:rFonts w:ascii="Arial" w:hAnsi="Arial" w:cs="Arial"/>
          <w:b/>
          <w:bCs/>
          <w:szCs w:val="24"/>
        </w:rPr>
      </w:pPr>
      <w:r w:rsidRPr="000842AA">
        <w:rPr>
          <w:rFonts w:ascii="Arial" w:hAnsi="Arial" w:cs="Arial"/>
          <w:b/>
          <w:bCs/>
          <w:szCs w:val="24"/>
        </w:rPr>
        <w:t>Exposición de motivos</w:t>
      </w:r>
    </w:p>
    <w:p w14:paraId="4C26CBE4" w14:textId="6A55588D" w:rsidR="5FAEE8FE" w:rsidRPr="000842AA" w:rsidRDefault="79271BA2" w:rsidP="003466C4">
      <w:pPr>
        <w:spacing w:beforeAutospacing="1" w:afterAutospacing="1" w:line="240" w:lineRule="auto"/>
        <w:jc w:val="both"/>
        <w:rPr>
          <w:rFonts w:ascii="Arial" w:hAnsi="Arial" w:cs="Arial"/>
          <w:szCs w:val="24"/>
        </w:rPr>
      </w:pPr>
      <w:r w:rsidRPr="000842AA">
        <w:rPr>
          <w:rFonts w:ascii="Arial" w:hAnsi="Arial" w:cs="Arial"/>
          <w:szCs w:val="24"/>
        </w:rPr>
        <w:t xml:space="preserve">La Iniciativa para expedir la Ley de Ingresos del Estado de Yucatán es un instrumento fundamental que contribuirá a lograr las metas del Renacimiento Maya. Este documento tiene como objetivo establecer, de manera clara y transparente, los recursos que el </w:t>
      </w:r>
      <w:r w:rsidR="00DF31C0" w:rsidRPr="000842AA">
        <w:rPr>
          <w:rFonts w:ascii="Arial" w:hAnsi="Arial" w:cs="Arial"/>
          <w:szCs w:val="24"/>
        </w:rPr>
        <w:t>E</w:t>
      </w:r>
      <w:r w:rsidRPr="000842AA">
        <w:rPr>
          <w:rFonts w:ascii="Arial" w:hAnsi="Arial" w:cs="Arial"/>
          <w:szCs w:val="24"/>
        </w:rPr>
        <w:t>stado proyecta percibir durante el ejercicio fiscal 2025 y los cuales estarán destinados a fortalecer el bienestar colectivo y garantizar la justicia social; permitiendo al gobierno cumplir con las responsabilidades que tiene hacia la población yucateca.</w:t>
      </w:r>
    </w:p>
    <w:p w14:paraId="1319E3E9" w14:textId="1177B876" w:rsidR="5FAEE8FE" w:rsidRPr="000842AA" w:rsidRDefault="5FAEE8FE" w:rsidP="003466C4">
      <w:pPr>
        <w:spacing w:beforeAutospacing="1" w:afterAutospacing="1" w:line="240" w:lineRule="auto"/>
        <w:jc w:val="both"/>
        <w:rPr>
          <w:rFonts w:ascii="Arial" w:hAnsi="Arial" w:cs="Arial"/>
          <w:szCs w:val="24"/>
        </w:rPr>
      </w:pPr>
      <w:r w:rsidRPr="000842AA">
        <w:rPr>
          <w:rFonts w:ascii="Arial" w:hAnsi="Arial" w:cs="Arial"/>
          <w:szCs w:val="24"/>
        </w:rPr>
        <w:t>Esta propuesta se realiza bajo los principios de transparencia, justicia social y bienestar compartido, principios guías del Gobierno estatal.</w:t>
      </w:r>
    </w:p>
    <w:p w14:paraId="6A703F02" w14:textId="1AC92CB4" w:rsidR="5FAEE8FE" w:rsidRPr="000842AA" w:rsidRDefault="5FAEE8FE" w:rsidP="003466C4">
      <w:pPr>
        <w:spacing w:beforeAutospacing="1" w:afterAutospacing="1" w:line="240" w:lineRule="auto"/>
        <w:jc w:val="both"/>
        <w:rPr>
          <w:rFonts w:ascii="Arial" w:hAnsi="Arial" w:cs="Arial"/>
          <w:szCs w:val="24"/>
        </w:rPr>
      </w:pPr>
      <w:r w:rsidRPr="000842AA">
        <w:rPr>
          <w:rFonts w:ascii="Arial" w:hAnsi="Arial" w:cs="Arial"/>
          <w:szCs w:val="24"/>
        </w:rPr>
        <w:t xml:space="preserve">La política fiscal del Gobierno del Estado de Yucatán se orienta a fortalecer la Hacienda Pública Estatal con responsabilidad, mediante una gestión eficiente de los </w:t>
      </w:r>
      <w:r w:rsidR="00E807AE" w:rsidRPr="000842AA">
        <w:rPr>
          <w:rFonts w:ascii="Arial" w:hAnsi="Arial" w:cs="Arial"/>
          <w:szCs w:val="24"/>
        </w:rPr>
        <w:t>ingresos</w:t>
      </w:r>
      <w:r w:rsidRPr="000842AA">
        <w:rPr>
          <w:rFonts w:ascii="Arial" w:hAnsi="Arial" w:cs="Arial"/>
          <w:szCs w:val="24"/>
        </w:rPr>
        <w:t xml:space="preserve">. </w:t>
      </w:r>
      <w:r w:rsidR="000A5B95" w:rsidRPr="000842AA">
        <w:rPr>
          <w:rFonts w:ascii="Arial" w:hAnsi="Arial" w:cs="Arial"/>
          <w:szCs w:val="24"/>
        </w:rPr>
        <w:t xml:space="preserve">Su </w:t>
      </w:r>
      <w:r w:rsidRPr="000842AA">
        <w:rPr>
          <w:rFonts w:ascii="Arial" w:hAnsi="Arial" w:cs="Arial"/>
          <w:szCs w:val="24"/>
        </w:rPr>
        <w:t xml:space="preserve">estimación </w:t>
      </w:r>
      <w:r w:rsidR="000A5B95" w:rsidRPr="000842AA">
        <w:rPr>
          <w:rFonts w:ascii="Arial" w:hAnsi="Arial" w:cs="Arial"/>
          <w:szCs w:val="24"/>
        </w:rPr>
        <w:t>adecuada</w:t>
      </w:r>
      <w:r w:rsidRPr="000842AA">
        <w:rPr>
          <w:rFonts w:ascii="Arial" w:hAnsi="Arial" w:cs="Arial"/>
          <w:szCs w:val="24"/>
        </w:rPr>
        <w:t xml:space="preserve"> es esencial para mantener un balance fiscal responsable, que permita una distribución equitativa y sostenible de los recursos públicos.</w:t>
      </w:r>
    </w:p>
    <w:p w14:paraId="4E2B63E3" w14:textId="6733153A" w:rsidR="12F55C30" w:rsidRPr="000842AA" w:rsidRDefault="664D3627" w:rsidP="003466C4">
      <w:pPr>
        <w:spacing w:beforeAutospacing="1" w:afterAutospacing="1" w:line="240" w:lineRule="auto"/>
        <w:jc w:val="both"/>
        <w:rPr>
          <w:rFonts w:ascii="Arial" w:hAnsi="Arial" w:cs="Arial"/>
          <w:szCs w:val="24"/>
        </w:rPr>
      </w:pPr>
      <w:r w:rsidRPr="000842AA">
        <w:rPr>
          <w:rFonts w:ascii="Arial" w:hAnsi="Arial" w:cs="Arial"/>
          <w:szCs w:val="24"/>
        </w:rPr>
        <w:t xml:space="preserve">La </w:t>
      </w:r>
      <w:r w:rsidR="21C0EF80" w:rsidRPr="000842AA">
        <w:rPr>
          <w:rFonts w:ascii="Arial" w:hAnsi="Arial" w:cs="Arial"/>
          <w:szCs w:val="24"/>
        </w:rPr>
        <w:t>estimación</w:t>
      </w:r>
      <w:r w:rsidR="50914EEC" w:rsidRPr="000842AA">
        <w:rPr>
          <w:rFonts w:ascii="Arial" w:hAnsi="Arial" w:cs="Arial"/>
          <w:szCs w:val="24"/>
        </w:rPr>
        <w:t xml:space="preserve"> de ingresos del </w:t>
      </w:r>
      <w:r w:rsidR="00DF31C0" w:rsidRPr="000842AA">
        <w:rPr>
          <w:rFonts w:ascii="Arial" w:hAnsi="Arial" w:cs="Arial"/>
          <w:szCs w:val="24"/>
        </w:rPr>
        <w:t>E</w:t>
      </w:r>
      <w:r w:rsidR="21C0EF80" w:rsidRPr="000842AA">
        <w:rPr>
          <w:rFonts w:ascii="Arial" w:hAnsi="Arial" w:cs="Arial"/>
          <w:szCs w:val="24"/>
        </w:rPr>
        <w:t xml:space="preserve">stado </w:t>
      </w:r>
      <w:r w:rsidR="1FFB6C15" w:rsidRPr="000842AA">
        <w:rPr>
          <w:rFonts w:ascii="Arial" w:hAnsi="Arial" w:cs="Arial"/>
          <w:szCs w:val="24"/>
        </w:rPr>
        <w:t xml:space="preserve">nos permite </w:t>
      </w:r>
      <w:r w:rsidR="46C99656" w:rsidRPr="000842AA">
        <w:rPr>
          <w:rFonts w:ascii="Arial" w:hAnsi="Arial" w:cs="Arial"/>
          <w:szCs w:val="24"/>
        </w:rPr>
        <w:t xml:space="preserve">definir </w:t>
      </w:r>
      <w:r w:rsidR="3ED59871" w:rsidRPr="000842AA">
        <w:rPr>
          <w:rFonts w:ascii="Arial" w:hAnsi="Arial" w:cs="Arial"/>
          <w:szCs w:val="24"/>
        </w:rPr>
        <w:t xml:space="preserve">la </w:t>
      </w:r>
      <w:r w:rsidR="34A92815" w:rsidRPr="000842AA">
        <w:rPr>
          <w:rFonts w:ascii="Arial" w:hAnsi="Arial" w:cs="Arial"/>
          <w:szCs w:val="24"/>
        </w:rPr>
        <w:t>disponibilidad</w:t>
      </w:r>
      <w:r w:rsidR="29F4DC20" w:rsidRPr="000842AA">
        <w:rPr>
          <w:rFonts w:ascii="Arial" w:hAnsi="Arial" w:cs="Arial"/>
          <w:szCs w:val="24"/>
        </w:rPr>
        <w:t xml:space="preserve"> de </w:t>
      </w:r>
      <w:r w:rsidR="71A0FD24" w:rsidRPr="000842AA">
        <w:rPr>
          <w:rFonts w:ascii="Arial" w:hAnsi="Arial" w:cs="Arial"/>
          <w:szCs w:val="24"/>
        </w:rPr>
        <w:t xml:space="preserve">recursos para </w:t>
      </w:r>
      <w:r w:rsidR="35F440DF" w:rsidRPr="000842AA">
        <w:rPr>
          <w:rFonts w:ascii="Arial" w:hAnsi="Arial" w:cs="Arial"/>
          <w:szCs w:val="24"/>
        </w:rPr>
        <w:t xml:space="preserve">atender </w:t>
      </w:r>
      <w:r w:rsidR="00E353AC" w:rsidRPr="000842AA">
        <w:rPr>
          <w:rFonts w:ascii="Arial" w:hAnsi="Arial" w:cs="Arial"/>
          <w:szCs w:val="24"/>
        </w:rPr>
        <w:t xml:space="preserve">las necesidades </w:t>
      </w:r>
      <w:r w:rsidR="14A94725" w:rsidRPr="000842AA">
        <w:rPr>
          <w:rFonts w:ascii="Arial" w:hAnsi="Arial" w:cs="Arial"/>
          <w:szCs w:val="24"/>
        </w:rPr>
        <w:t xml:space="preserve">de la </w:t>
      </w:r>
      <w:r w:rsidR="1ABAA5C3" w:rsidRPr="000842AA">
        <w:rPr>
          <w:rFonts w:ascii="Arial" w:hAnsi="Arial" w:cs="Arial"/>
          <w:szCs w:val="24"/>
        </w:rPr>
        <w:t>población,</w:t>
      </w:r>
      <w:r w:rsidR="271DDD4F" w:rsidRPr="000842AA">
        <w:rPr>
          <w:rFonts w:ascii="Arial" w:hAnsi="Arial" w:cs="Arial"/>
          <w:szCs w:val="24"/>
        </w:rPr>
        <w:t xml:space="preserve"> </w:t>
      </w:r>
      <w:r w:rsidR="36D1B9EB" w:rsidRPr="000842AA">
        <w:rPr>
          <w:rFonts w:ascii="Arial" w:hAnsi="Arial" w:cs="Arial"/>
          <w:szCs w:val="24"/>
        </w:rPr>
        <w:t xml:space="preserve">con base </w:t>
      </w:r>
      <w:r w:rsidR="2A60CB48" w:rsidRPr="000842AA">
        <w:rPr>
          <w:rFonts w:ascii="Arial" w:hAnsi="Arial" w:cs="Arial"/>
          <w:szCs w:val="24"/>
        </w:rPr>
        <w:t>en</w:t>
      </w:r>
      <w:r w:rsidR="5CA869A0" w:rsidRPr="000842AA">
        <w:rPr>
          <w:rFonts w:ascii="Arial" w:hAnsi="Arial" w:cs="Arial"/>
          <w:szCs w:val="24"/>
        </w:rPr>
        <w:t xml:space="preserve"> esta </w:t>
      </w:r>
      <w:r w:rsidR="62CAD252" w:rsidRPr="000842AA">
        <w:rPr>
          <w:rFonts w:ascii="Arial" w:hAnsi="Arial" w:cs="Arial"/>
          <w:szCs w:val="24"/>
        </w:rPr>
        <w:t xml:space="preserve">iniciativa </w:t>
      </w:r>
      <w:r w:rsidR="783FF6A0" w:rsidRPr="000842AA">
        <w:rPr>
          <w:rFonts w:ascii="Arial" w:hAnsi="Arial" w:cs="Arial"/>
          <w:szCs w:val="24"/>
        </w:rPr>
        <w:t xml:space="preserve">podemos determinar </w:t>
      </w:r>
      <w:r w:rsidR="005E3E2F" w:rsidRPr="000842AA">
        <w:rPr>
          <w:rFonts w:ascii="Arial" w:hAnsi="Arial" w:cs="Arial"/>
          <w:szCs w:val="24"/>
        </w:rPr>
        <w:t xml:space="preserve">los recursos disponibles para ejecutar </w:t>
      </w:r>
      <w:r w:rsidR="00D574CB" w:rsidRPr="000842AA">
        <w:rPr>
          <w:rFonts w:ascii="Arial" w:hAnsi="Arial" w:cs="Arial"/>
          <w:szCs w:val="24"/>
        </w:rPr>
        <w:t xml:space="preserve">programas </w:t>
      </w:r>
      <w:r w:rsidR="005E3E2F" w:rsidRPr="000842AA">
        <w:rPr>
          <w:rFonts w:ascii="Arial" w:hAnsi="Arial" w:cs="Arial"/>
          <w:szCs w:val="24"/>
        </w:rPr>
        <w:t>que contribuyan a</w:t>
      </w:r>
      <w:r w:rsidR="734DB27D" w:rsidRPr="000842AA">
        <w:rPr>
          <w:rFonts w:ascii="Arial" w:hAnsi="Arial" w:cs="Arial"/>
          <w:szCs w:val="24"/>
        </w:rPr>
        <w:t xml:space="preserve"> </w:t>
      </w:r>
      <w:r w:rsidR="12545AF7" w:rsidRPr="000842AA">
        <w:rPr>
          <w:rFonts w:ascii="Arial" w:hAnsi="Arial" w:cs="Arial"/>
          <w:szCs w:val="24"/>
        </w:rPr>
        <w:t>reducir</w:t>
      </w:r>
      <w:r w:rsidR="12F55C30" w:rsidRPr="000842AA">
        <w:rPr>
          <w:rFonts w:ascii="Arial" w:hAnsi="Arial" w:cs="Arial"/>
          <w:szCs w:val="24"/>
        </w:rPr>
        <w:t xml:space="preserve"> la desigualdad, garantizar la estabilidad de las finanzas públicas y el bienestar integral de las y los yucatecos.</w:t>
      </w:r>
    </w:p>
    <w:p w14:paraId="05E06EA0" w14:textId="2DC24383" w:rsidR="007131A5" w:rsidRPr="000842AA" w:rsidRDefault="79271BA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Esta iniciativa refleja un esfuerzo por mantener un balance fiscal responsable, en el que se considera tanto la eficiencia recaudatoria como el uso adecuado de los recursos públicos. La presente </w:t>
      </w:r>
      <w:r w:rsidR="00DF31C0" w:rsidRPr="000842AA">
        <w:rPr>
          <w:rFonts w:ascii="Arial" w:hAnsi="Arial" w:cs="Arial"/>
          <w:szCs w:val="24"/>
        </w:rPr>
        <w:t xml:space="preserve">iniciativa </w:t>
      </w:r>
      <w:r w:rsidRPr="000842AA">
        <w:rPr>
          <w:rFonts w:ascii="Arial" w:hAnsi="Arial" w:cs="Arial"/>
          <w:szCs w:val="24"/>
        </w:rPr>
        <w:t xml:space="preserve">ha sido diseñada para fortalecer la base fiscal con visión estratégica, buscando un crecimiento equitativo, inclusivo y sostenible, esto sin comprometer el desarrollo económico de nuestro </w:t>
      </w:r>
      <w:r w:rsidR="00DF31C0" w:rsidRPr="000842AA">
        <w:rPr>
          <w:rFonts w:ascii="Arial" w:hAnsi="Arial" w:cs="Arial"/>
          <w:szCs w:val="24"/>
        </w:rPr>
        <w:t>E</w:t>
      </w:r>
      <w:r w:rsidRPr="000842AA">
        <w:rPr>
          <w:rFonts w:ascii="Arial" w:hAnsi="Arial" w:cs="Arial"/>
          <w:szCs w:val="24"/>
        </w:rPr>
        <w:t>stado, ni nuestro patrimonio natural.</w:t>
      </w:r>
    </w:p>
    <w:p w14:paraId="59E2BC46" w14:textId="7BE82FB6" w:rsidR="79271BA2" w:rsidRPr="000842AA" w:rsidRDefault="79271BA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Esta iniciativa toma en cuenta las variables económicas para realizar los cálculos y las proyecciones, y evaluar algunos de los riesgos relevantes de las finanzas </w:t>
      </w:r>
      <w:r w:rsidRPr="000842AA">
        <w:rPr>
          <w:rFonts w:ascii="Arial" w:hAnsi="Arial" w:cs="Arial"/>
          <w:szCs w:val="24"/>
        </w:rPr>
        <w:lastRenderedPageBreak/>
        <w:t>públicas, se han considerado, entre otras variables, las establecidos en los Criterios Generales de Política Económica para la Iniciativa de Ley de Ingresos y el Proyecto de Presupuesto de Egresos de la Federación para el ejercicio fiscal 2025.</w:t>
      </w:r>
    </w:p>
    <w:p w14:paraId="2B6A4DD4" w14:textId="70603DB0" w:rsidR="00840E16" w:rsidRPr="000842AA" w:rsidRDefault="006C6157" w:rsidP="003466C4">
      <w:pPr>
        <w:pStyle w:val="Prrafodelista"/>
        <w:numPr>
          <w:ilvl w:val="0"/>
          <w:numId w:val="25"/>
        </w:numPr>
        <w:spacing w:beforeAutospacing="1" w:afterAutospacing="1" w:line="240" w:lineRule="auto"/>
        <w:jc w:val="both"/>
        <w:rPr>
          <w:rFonts w:ascii="Arial" w:eastAsia="Times New Roman" w:hAnsi="Arial" w:cs="Arial"/>
          <w:b/>
          <w:sz w:val="24"/>
          <w:szCs w:val="24"/>
          <w:lang w:val="es-ES" w:eastAsia="es-ES"/>
        </w:rPr>
      </w:pPr>
      <w:r w:rsidRPr="000842AA">
        <w:rPr>
          <w:rFonts w:ascii="Arial" w:eastAsia="Times New Roman" w:hAnsi="Arial" w:cs="Arial"/>
          <w:b/>
          <w:sz w:val="24"/>
          <w:szCs w:val="24"/>
          <w:lang w:val="es-ES" w:eastAsia="es-ES"/>
        </w:rPr>
        <w:t>Contexto económico estatal</w:t>
      </w:r>
    </w:p>
    <w:p w14:paraId="691A411D" w14:textId="10A4D295" w:rsidR="79271BA2" w:rsidRPr="000842AA" w:rsidRDefault="79271BA2" w:rsidP="003466C4">
      <w:pPr>
        <w:spacing w:beforeAutospacing="1" w:afterAutospacing="1" w:line="240" w:lineRule="auto"/>
        <w:jc w:val="both"/>
        <w:rPr>
          <w:rFonts w:ascii="Arial" w:hAnsi="Arial" w:cs="Arial"/>
          <w:szCs w:val="24"/>
        </w:rPr>
      </w:pPr>
      <w:r w:rsidRPr="000842AA">
        <w:rPr>
          <w:rFonts w:ascii="Arial" w:hAnsi="Arial" w:cs="Arial"/>
          <w:szCs w:val="24"/>
        </w:rPr>
        <w:t xml:space="preserve">En 2020, Yucatán registró una contracción económica histórica del -8.9%, resultado de las interrupciones de actividades debido a la contingencia sanitaria. A partir de 2021, con la reactivación económica, el </w:t>
      </w:r>
      <w:r w:rsidR="00DF31C0" w:rsidRPr="000842AA">
        <w:rPr>
          <w:rFonts w:ascii="Arial" w:hAnsi="Arial" w:cs="Arial"/>
          <w:szCs w:val="24"/>
        </w:rPr>
        <w:t>E</w:t>
      </w:r>
      <w:r w:rsidRPr="000842AA">
        <w:rPr>
          <w:rFonts w:ascii="Arial" w:hAnsi="Arial" w:cs="Arial"/>
          <w:szCs w:val="24"/>
        </w:rPr>
        <w:t>stado experimentó un notable crecimiento del 8.3%, seguido de un aumento más moderado del 2.8% en 2022.</w:t>
      </w:r>
    </w:p>
    <w:p w14:paraId="79421FA3" w14:textId="10445752" w:rsidR="79271BA2" w:rsidRPr="000842AA" w:rsidRDefault="79271BA2" w:rsidP="003466C4">
      <w:pPr>
        <w:spacing w:beforeAutospacing="1" w:afterAutospacing="1" w:line="240" w:lineRule="auto"/>
        <w:jc w:val="both"/>
        <w:rPr>
          <w:rFonts w:ascii="Arial" w:hAnsi="Arial" w:cs="Arial"/>
          <w:szCs w:val="24"/>
        </w:rPr>
      </w:pPr>
      <w:r w:rsidRPr="000842AA">
        <w:rPr>
          <w:rFonts w:ascii="Arial" w:hAnsi="Arial" w:cs="Arial"/>
          <w:szCs w:val="24"/>
        </w:rPr>
        <w:t>Desde el cuarto trimestre de 2023, la economía estatal ha mantenido un comportamiento positivo sostenido, reflejando su capacidad de recuperación. Para 2024, se proyecta un crecimiento real positivo, aunque las relaciones con Estados Unidos y la incertidumbre económica global continúan representando riesgos.</w:t>
      </w:r>
    </w:p>
    <w:p w14:paraId="71541ADA" w14:textId="2DA302D0" w:rsidR="79271BA2" w:rsidRPr="000842AA" w:rsidRDefault="0AAF315B" w:rsidP="003466C4">
      <w:pPr>
        <w:spacing w:beforeAutospacing="1" w:afterAutospacing="1" w:line="240" w:lineRule="auto"/>
        <w:jc w:val="both"/>
        <w:rPr>
          <w:rFonts w:ascii="Arial" w:hAnsi="Arial" w:cs="Arial"/>
          <w:szCs w:val="24"/>
        </w:rPr>
      </w:pPr>
      <w:r w:rsidRPr="000842AA">
        <w:rPr>
          <w:rFonts w:ascii="Arial" w:hAnsi="Arial" w:cs="Arial"/>
          <w:szCs w:val="24"/>
        </w:rPr>
        <w:t xml:space="preserve">Hacia 2025, Yucatán enfrenta un panorama económico mixto, con proyecciones nacionales de crecimiento </w:t>
      </w:r>
      <w:r w:rsidR="2627C33C" w:rsidRPr="000842AA">
        <w:rPr>
          <w:rFonts w:ascii="Arial" w:hAnsi="Arial" w:cs="Arial"/>
          <w:szCs w:val="24"/>
        </w:rPr>
        <w:t>a partir del 2.0%</w:t>
      </w:r>
      <w:r w:rsidRPr="000842AA">
        <w:rPr>
          <w:rFonts w:ascii="Arial" w:hAnsi="Arial" w:cs="Arial"/>
          <w:szCs w:val="24"/>
        </w:rPr>
        <w:t xml:space="preserve"> acompañado de una inflación controlada cercana al 3.4%, que favorecería la estabilidad económica</w:t>
      </w:r>
      <w:r w:rsidR="2627C33C" w:rsidRPr="000842AA">
        <w:rPr>
          <w:rFonts w:ascii="Arial" w:hAnsi="Arial" w:cs="Arial"/>
          <w:szCs w:val="24"/>
        </w:rPr>
        <w:t>;</w:t>
      </w:r>
      <w:r w:rsidR="79271BA2" w:rsidRPr="000842AA">
        <w:rPr>
          <w:rFonts w:ascii="Arial" w:hAnsi="Arial" w:cs="Arial"/>
          <w:szCs w:val="24"/>
        </w:rPr>
        <w:t xml:space="preserve"> para Yucatán, se estima un crecimiento </w:t>
      </w:r>
      <w:r w:rsidR="2627C33C" w:rsidRPr="000842AA">
        <w:rPr>
          <w:rFonts w:ascii="Arial" w:hAnsi="Arial" w:cs="Arial"/>
          <w:szCs w:val="24"/>
        </w:rPr>
        <w:t>del 2.</w:t>
      </w:r>
      <w:r w:rsidR="79271BA2" w:rsidRPr="000842AA">
        <w:rPr>
          <w:rFonts w:ascii="Arial" w:hAnsi="Arial" w:cs="Arial"/>
          <w:szCs w:val="24"/>
        </w:rPr>
        <w:t>1</w:t>
      </w:r>
      <w:r w:rsidR="2627C33C" w:rsidRPr="000842AA">
        <w:rPr>
          <w:rFonts w:ascii="Arial" w:hAnsi="Arial" w:cs="Arial"/>
          <w:szCs w:val="24"/>
        </w:rPr>
        <w:t>%.</w:t>
      </w:r>
      <w:r w:rsidR="79271BA2" w:rsidRPr="000842AA">
        <w:rPr>
          <w:rFonts w:ascii="Arial" w:hAnsi="Arial" w:cs="Arial"/>
          <w:szCs w:val="24"/>
        </w:rPr>
        <w:t xml:space="preserve"> </w:t>
      </w:r>
    </w:p>
    <w:p w14:paraId="796CD34C" w14:textId="3C94D0ED" w:rsidR="006C6157" w:rsidRPr="000842AA" w:rsidRDefault="006C6157" w:rsidP="003466C4">
      <w:pPr>
        <w:spacing w:beforeAutospacing="1" w:afterAutospacing="1" w:line="240" w:lineRule="auto"/>
        <w:jc w:val="both"/>
        <w:rPr>
          <w:rFonts w:ascii="Arial" w:eastAsia="Times New Roman" w:hAnsi="Arial" w:cs="Arial"/>
          <w:b/>
          <w:szCs w:val="24"/>
          <w:lang w:val="es-ES" w:eastAsia="es-ES"/>
        </w:rPr>
      </w:pPr>
      <w:r w:rsidRPr="000842AA">
        <w:rPr>
          <w:rFonts w:ascii="Arial" w:eastAsia="Times New Roman" w:hAnsi="Arial" w:cs="Arial"/>
          <w:b/>
          <w:szCs w:val="24"/>
          <w:lang w:val="es-ES" w:eastAsia="es-ES"/>
        </w:rPr>
        <w:t xml:space="preserve">2. Estimación de los ingresos al </w:t>
      </w:r>
      <w:r w:rsidR="004E7D4A" w:rsidRPr="000842AA">
        <w:rPr>
          <w:rFonts w:ascii="Arial" w:eastAsia="Times New Roman" w:hAnsi="Arial" w:cs="Arial"/>
          <w:b/>
          <w:szCs w:val="24"/>
          <w:lang w:val="es-ES" w:eastAsia="es-ES"/>
        </w:rPr>
        <w:t>cierre del ejercicio fiscal 2024</w:t>
      </w:r>
    </w:p>
    <w:p w14:paraId="3BB6BD9D" w14:textId="4BEFF8C6" w:rsidR="60EA4332" w:rsidRPr="000842AA" w:rsidRDefault="60EA4332" w:rsidP="003466C4">
      <w:pPr>
        <w:spacing w:beforeAutospacing="1" w:afterAutospacing="1" w:line="240" w:lineRule="auto"/>
        <w:jc w:val="both"/>
        <w:rPr>
          <w:rFonts w:ascii="Arial" w:eastAsia="Times New Roman" w:hAnsi="Arial" w:cs="Arial"/>
          <w:szCs w:val="24"/>
          <w:lang w:eastAsia="es-ES"/>
        </w:rPr>
      </w:pPr>
      <w:r w:rsidRPr="000842AA">
        <w:rPr>
          <w:rFonts w:ascii="Arial" w:eastAsia="Times New Roman" w:hAnsi="Arial" w:cs="Arial"/>
          <w:szCs w:val="24"/>
          <w:lang w:eastAsia="es-ES"/>
        </w:rPr>
        <w:t xml:space="preserve">Para el ejercicio 2024 se estima un cierre balanceado entre el ingreso y el gasto. Se </w:t>
      </w:r>
      <w:r w:rsidR="001F5084" w:rsidRPr="000842AA">
        <w:rPr>
          <w:rFonts w:ascii="Arial" w:eastAsia="Times New Roman" w:hAnsi="Arial" w:cs="Arial"/>
          <w:szCs w:val="24"/>
          <w:lang w:eastAsia="es-ES"/>
        </w:rPr>
        <w:t>prevé</w:t>
      </w:r>
      <w:r w:rsidRPr="000842AA">
        <w:rPr>
          <w:rFonts w:ascii="Arial" w:eastAsia="Times New Roman" w:hAnsi="Arial" w:cs="Arial"/>
          <w:szCs w:val="24"/>
          <w:lang w:eastAsia="es-ES"/>
        </w:rPr>
        <w:t xml:space="preserve"> que los ingresos cerrarán en </w:t>
      </w:r>
      <w:r w:rsidR="5867B977" w:rsidRPr="000842AA">
        <w:rPr>
          <w:rFonts w:ascii="Arial" w:eastAsia="Times New Roman" w:hAnsi="Arial" w:cs="Arial"/>
          <w:szCs w:val="24"/>
          <w:lang w:eastAsia="es-ES"/>
        </w:rPr>
        <w:t>$</w:t>
      </w:r>
      <w:r w:rsidRPr="000842AA">
        <w:rPr>
          <w:rFonts w:ascii="Arial" w:eastAsia="Times New Roman" w:hAnsi="Arial" w:cs="Arial"/>
          <w:szCs w:val="24"/>
          <w:lang w:eastAsia="es-ES"/>
        </w:rPr>
        <w:t xml:space="preserve">52,473 </w:t>
      </w:r>
      <w:r w:rsidR="003B4032" w:rsidRPr="000842AA">
        <w:rPr>
          <w:rFonts w:ascii="Arial" w:eastAsia="Times New Roman" w:hAnsi="Arial" w:cs="Arial"/>
          <w:szCs w:val="24"/>
          <w:lang w:eastAsia="es-ES"/>
        </w:rPr>
        <w:t>mdp</w:t>
      </w:r>
      <w:r w:rsidRPr="000842AA">
        <w:rPr>
          <w:rFonts w:ascii="Arial" w:eastAsia="Times New Roman" w:hAnsi="Arial" w:cs="Arial"/>
          <w:szCs w:val="24"/>
          <w:lang w:eastAsia="es-ES"/>
        </w:rPr>
        <w:t xml:space="preserve"> excluyendo Venta de Bienes y Servicios y Cuotas y Aportaciones de Seguridad Social.  </w:t>
      </w:r>
      <w:r w:rsidR="14CFD9D5" w:rsidRPr="000842AA">
        <w:rPr>
          <w:rFonts w:ascii="Arial" w:eastAsia="Times New Roman" w:hAnsi="Arial" w:cs="Arial"/>
          <w:szCs w:val="24"/>
          <w:lang w:eastAsia="es-ES"/>
        </w:rPr>
        <w:t>Se considera</w:t>
      </w:r>
      <w:r w:rsidRPr="000842AA">
        <w:rPr>
          <w:rFonts w:ascii="Arial" w:eastAsia="Times New Roman" w:hAnsi="Arial" w:cs="Arial"/>
          <w:szCs w:val="24"/>
          <w:lang w:eastAsia="es-ES"/>
        </w:rPr>
        <w:t xml:space="preserve"> que el gasto sea por el mismo importe. El diferencial correspondería a recursos remanentes de ejercicios fiscales anteriores</w:t>
      </w:r>
      <w:r w:rsidR="00175263" w:rsidRPr="000842AA">
        <w:rPr>
          <w:rFonts w:ascii="Arial" w:eastAsia="Times New Roman" w:hAnsi="Arial" w:cs="Arial"/>
          <w:szCs w:val="24"/>
          <w:lang w:eastAsia="es-ES"/>
        </w:rPr>
        <w:t xml:space="preserve"> que se estima que se ejerzan en 2024.</w:t>
      </w:r>
    </w:p>
    <w:p w14:paraId="4CDF080E" w14:textId="0F172A09" w:rsidR="60EA4332" w:rsidRPr="000842AA" w:rsidRDefault="60EA4332" w:rsidP="003466C4">
      <w:pPr>
        <w:spacing w:beforeAutospacing="1" w:afterAutospacing="1" w:line="240" w:lineRule="auto"/>
        <w:jc w:val="both"/>
        <w:rPr>
          <w:rFonts w:ascii="Arial" w:eastAsia="Times New Roman" w:hAnsi="Arial" w:cs="Arial"/>
          <w:szCs w:val="24"/>
          <w:lang w:eastAsia="es-ES"/>
        </w:rPr>
      </w:pPr>
      <w:r w:rsidRPr="000842AA">
        <w:rPr>
          <w:rFonts w:ascii="Arial" w:eastAsia="Times New Roman" w:hAnsi="Arial" w:cs="Arial"/>
          <w:szCs w:val="24"/>
          <w:lang w:eastAsia="es-ES"/>
        </w:rPr>
        <w:t xml:space="preserve">Tras el análisis de desempeño </w:t>
      </w:r>
      <w:r w:rsidR="732DD7A2" w:rsidRPr="000842AA">
        <w:rPr>
          <w:rFonts w:ascii="Arial" w:eastAsia="Times New Roman" w:hAnsi="Arial" w:cs="Arial"/>
          <w:szCs w:val="24"/>
          <w:lang w:eastAsia="es-ES"/>
        </w:rPr>
        <w:t>se</w:t>
      </w:r>
      <w:r w:rsidRPr="000842AA">
        <w:rPr>
          <w:rFonts w:ascii="Arial" w:eastAsia="Times New Roman" w:hAnsi="Arial" w:cs="Arial"/>
          <w:szCs w:val="24"/>
          <w:lang w:eastAsia="es-ES"/>
        </w:rPr>
        <w:t xml:space="preserve"> proyecta una recaudación de ingresos no etiquetados de $28,735 </w:t>
      </w:r>
      <w:r w:rsidR="003B4032" w:rsidRPr="000842AA">
        <w:rPr>
          <w:rFonts w:ascii="Arial" w:eastAsia="Times New Roman" w:hAnsi="Arial" w:cs="Arial"/>
          <w:szCs w:val="24"/>
          <w:lang w:eastAsia="es-ES"/>
        </w:rPr>
        <w:t>mdp</w:t>
      </w:r>
      <w:r w:rsidRPr="000842AA">
        <w:rPr>
          <w:rFonts w:ascii="Arial" w:eastAsia="Times New Roman" w:hAnsi="Arial" w:cs="Arial"/>
          <w:szCs w:val="24"/>
          <w:lang w:eastAsia="es-ES"/>
        </w:rPr>
        <w:t>.</w:t>
      </w:r>
    </w:p>
    <w:p w14:paraId="6B792403" w14:textId="654B58D7" w:rsidR="006C6157" w:rsidRPr="000842AA" w:rsidRDefault="60EA4332" w:rsidP="003466C4">
      <w:pPr>
        <w:spacing w:before="100" w:beforeAutospacing="1" w:after="100" w:afterAutospacing="1" w:line="240" w:lineRule="auto"/>
        <w:jc w:val="both"/>
        <w:rPr>
          <w:rFonts w:ascii="Arial" w:eastAsia="Times New Roman" w:hAnsi="Arial" w:cs="Arial"/>
          <w:szCs w:val="24"/>
          <w:lang w:eastAsia="es-ES"/>
        </w:rPr>
      </w:pPr>
      <w:r w:rsidRPr="000842AA">
        <w:rPr>
          <w:rFonts w:ascii="Arial" w:eastAsia="Times New Roman" w:hAnsi="Arial" w:cs="Arial"/>
          <w:szCs w:val="24"/>
          <w:lang w:eastAsia="es-ES"/>
        </w:rPr>
        <w:t xml:space="preserve">Con base en </w:t>
      </w:r>
      <w:r w:rsidR="5FAEE8FE" w:rsidRPr="000842AA">
        <w:rPr>
          <w:rFonts w:ascii="Arial" w:eastAsia="Times New Roman" w:hAnsi="Arial" w:cs="Arial"/>
          <w:szCs w:val="24"/>
          <w:lang w:eastAsia="es-ES"/>
        </w:rPr>
        <w:t xml:space="preserve">la información disponible de </w:t>
      </w:r>
      <w:r w:rsidRPr="000842AA">
        <w:rPr>
          <w:rFonts w:ascii="Arial" w:eastAsia="Times New Roman" w:hAnsi="Arial" w:cs="Arial"/>
          <w:szCs w:val="24"/>
          <w:lang w:eastAsia="es-ES"/>
        </w:rPr>
        <w:t xml:space="preserve">los convenios </w:t>
      </w:r>
      <w:r w:rsidR="5FAEE8FE" w:rsidRPr="000842AA">
        <w:rPr>
          <w:rFonts w:ascii="Arial" w:eastAsia="Times New Roman" w:hAnsi="Arial" w:cs="Arial"/>
          <w:szCs w:val="24"/>
          <w:lang w:eastAsia="es-ES"/>
        </w:rPr>
        <w:t>federales</w:t>
      </w:r>
      <w:r w:rsidRPr="000842AA">
        <w:rPr>
          <w:rFonts w:ascii="Arial" w:eastAsia="Times New Roman" w:hAnsi="Arial" w:cs="Arial"/>
          <w:szCs w:val="24"/>
          <w:lang w:eastAsia="es-ES"/>
        </w:rPr>
        <w:t xml:space="preserve"> vigentes y la publicación oficial de los acuerdos federales para las ministraciones del Ramo 33 en el ejercicio fiscal en curso, se estima que los recursos etiquetados al cierre del año serán de $23,738</w:t>
      </w:r>
      <w:r w:rsidR="003B4032" w:rsidRPr="000842AA">
        <w:rPr>
          <w:rFonts w:ascii="Arial" w:eastAsia="Times New Roman" w:hAnsi="Arial" w:cs="Arial"/>
          <w:szCs w:val="24"/>
          <w:lang w:eastAsia="es-ES"/>
        </w:rPr>
        <w:t xml:space="preserve"> mdp</w:t>
      </w:r>
      <w:r w:rsidRPr="000842AA">
        <w:rPr>
          <w:rFonts w:ascii="Arial" w:eastAsia="Times New Roman" w:hAnsi="Arial" w:cs="Arial"/>
          <w:szCs w:val="24"/>
          <w:lang w:eastAsia="es-ES"/>
        </w:rPr>
        <w:t xml:space="preserve">. </w:t>
      </w:r>
    </w:p>
    <w:p w14:paraId="1B3F9FB0" w14:textId="77777777" w:rsidR="006C6157" w:rsidRPr="000842AA" w:rsidRDefault="006C6157"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3. Objetivos anuales, estrategias y metas</w:t>
      </w:r>
    </w:p>
    <w:p w14:paraId="72DDD270" w14:textId="77777777" w:rsidR="006C6157" w:rsidRPr="000842AA" w:rsidRDefault="60EA4332" w:rsidP="003466C4">
      <w:pPr>
        <w:spacing w:before="100" w:beforeAutospacing="1" w:after="100" w:afterAutospacing="1" w:line="240" w:lineRule="auto"/>
        <w:jc w:val="both"/>
        <w:rPr>
          <w:rFonts w:ascii="Arial" w:hAnsi="Arial" w:cs="Arial"/>
          <w:i/>
          <w:szCs w:val="24"/>
        </w:rPr>
      </w:pPr>
      <w:r w:rsidRPr="000842AA">
        <w:rPr>
          <w:rFonts w:ascii="Arial" w:hAnsi="Arial" w:cs="Arial"/>
          <w:i/>
          <w:szCs w:val="24"/>
        </w:rPr>
        <w:t>3.1. Política de ingresos</w:t>
      </w:r>
    </w:p>
    <w:p w14:paraId="5E2232CD" w14:textId="755D1694" w:rsidR="4DD4D526" w:rsidRPr="000842AA" w:rsidRDefault="006C6157"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La política de ingresos </w:t>
      </w:r>
      <w:r w:rsidR="004E7D4A" w:rsidRPr="000842AA">
        <w:rPr>
          <w:rFonts w:ascii="Arial" w:hAnsi="Arial" w:cs="Arial"/>
          <w:szCs w:val="24"/>
        </w:rPr>
        <w:t>para el ejercicio fiscal 2025</w:t>
      </w:r>
      <w:r w:rsidRPr="000842AA">
        <w:rPr>
          <w:rFonts w:ascii="Arial" w:hAnsi="Arial" w:cs="Arial"/>
          <w:szCs w:val="24"/>
        </w:rPr>
        <w:t xml:space="preserve"> </w:t>
      </w:r>
      <w:r w:rsidR="4DD4D526" w:rsidRPr="000842AA">
        <w:rPr>
          <w:rFonts w:ascii="Arial" w:hAnsi="Arial" w:cs="Arial"/>
          <w:szCs w:val="24"/>
        </w:rPr>
        <w:t>está enfocada en fortalecer</w:t>
      </w:r>
      <w:r w:rsidRPr="000842AA">
        <w:rPr>
          <w:rFonts w:ascii="Arial" w:hAnsi="Arial" w:cs="Arial"/>
          <w:szCs w:val="24"/>
        </w:rPr>
        <w:t xml:space="preserve"> la </w:t>
      </w:r>
      <w:r w:rsidR="4DD4D526" w:rsidRPr="000842AA">
        <w:rPr>
          <w:rFonts w:ascii="Arial" w:hAnsi="Arial" w:cs="Arial"/>
          <w:szCs w:val="24"/>
        </w:rPr>
        <w:t>recaudación y optimizar los recursos públicos, priorizando el bienestar social y garantizando el uso eficiente de los recursos. A</w:t>
      </w:r>
      <w:r w:rsidRPr="000842AA">
        <w:rPr>
          <w:rFonts w:ascii="Arial" w:hAnsi="Arial" w:cs="Arial"/>
          <w:szCs w:val="24"/>
        </w:rPr>
        <w:t xml:space="preserve"> </w:t>
      </w:r>
      <w:r w:rsidRPr="000842AA">
        <w:rPr>
          <w:rFonts w:ascii="Arial" w:eastAsia="Arial" w:hAnsi="Arial" w:cs="Arial"/>
          <w:szCs w:val="24"/>
        </w:rPr>
        <w:t xml:space="preserve">través de </w:t>
      </w:r>
      <w:r w:rsidR="4DD4D526" w:rsidRPr="000842AA">
        <w:rPr>
          <w:rFonts w:ascii="Arial" w:eastAsia="Arial" w:hAnsi="Arial" w:cs="Arial"/>
          <w:szCs w:val="24"/>
        </w:rPr>
        <w:t xml:space="preserve">un enfoque orientado a la justicia distributiva y al </w:t>
      </w:r>
      <w:r w:rsidRPr="000842AA">
        <w:rPr>
          <w:rFonts w:ascii="Arial" w:eastAsia="Arial" w:hAnsi="Arial" w:cs="Arial"/>
          <w:szCs w:val="24"/>
        </w:rPr>
        <w:t xml:space="preserve">fortalecimiento de </w:t>
      </w:r>
      <w:r w:rsidR="4DD4D526" w:rsidRPr="000842AA">
        <w:rPr>
          <w:rFonts w:ascii="Arial" w:eastAsia="Arial" w:hAnsi="Arial" w:cs="Arial"/>
          <w:szCs w:val="24"/>
        </w:rPr>
        <w:t>las capacidades fiscales locales, se busca impulsar un manejo responsable que permita consolidar un modelo de desarrollo incluyente y sostenible</w:t>
      </w:r>
      <w:r w:rsidRPr="000842AA">
        <w:rPr>
          <w:rFonts w:ascii="Arial" w:eastAsia="Arial" w:hAnsi="Arial" w:cs="Arial"/>
          <w:szCs w:val="24"/>
        </w:rPr>
        <w:t xml:space="preserve"> en el marco del Pacto Fiscal Federal</w:t>
      </w:r>
      <w:r w:rsidRPr="000842AA">
        <w:rPr>
          <w:rFonts w:ascii="Arial" w:hAnsi="Arial" w:cs="Arial"/>
          <w:szCs w:val="24"/>
        </w:rPr>
        <w:t>.</w:t>
      </w:r>
    </w:p>
    <w:p w14:paraId="286AE1F2" w14:textId="63A46E61" w:rsidR="4DD4D526" w:rsidRPr="000842AA" w:rsidRDefault="006C6157"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Para ello, la administración tributaria </w:t>
      </w:r>
      <w:r w:rsidR="4DD4D526" w:rsidRPr="000842AA">
        <w:rPr>
          <w:rFonts w:ascii="Arial" w:hAnsi="Arial" w:cs="Arial"/>
          <w:szCs w:val="24"/>
        </w:rPr>
        <w:t xml:space="preserve">estatal, </w:t>
      </w:r>
      <w:r w:rsidRPr="000842AA">
        <w:rPr>
          <w:rFonts w:ascii="Arial" w:hAnsi="Arial" w:cs="Arial"/>
          <w:szCs w:val="24"/>
        </w:rPr>
        <w:t>en esta ley prevé las siguientes acciones:</w:t>
      </w:r>
    </w:p>
    <w:p w14:paraId="669980CB" w14:textId="211A7EAD" w:rsidR="006C6157" w:rsidRPr="000842AA" w:rsidRDefault="00E559FB" w:rsidP="003B4D0B">
      <w:pPr>
        <w:spacing w:line="240" w:lineRule="auto"/>
        <w:jc w:val="both"/>
        <w:rPr>
          <w:rFonts w:ascii="Arial" w:eastAsia="Arial" w:hAnsi="Arial" w:cs="Arial"/>
          <w:szCs w:val="24"/>
        </w:rPr>
      </w:pPr>
      <w:r w:rsidRPr="000842AA">
        <w:rPr>
          <w:rFonts w:ascii="Arial" w:eastAsia="Arial" w:hAnsi="Arial" w:cs="Arial"/>
          <w:szCs w:val="24"/>
        </w:rPr>
        <w:t xml:space="preserve">a) </w:t>
      </w:r>
      <w:r w:rsidR="60EA4332" w:rsidRPr="000842AA">
        <w:rPr>
          <w:rFonts w:ascii="Arial" w:eastAsia="Arial" w:hAnsi="Arial" w:cs="Arial"/>
          <w:szCs w:val="24"/>
        </w:rPr>
        <w:t xml:space="preserve">Favorecer la consolidación de los ingresos fiscales locales mediante un incremento de </w:t>
      </w:r>
      <w:r w:rsidR="5FAEE8FE" w:rsidRPr="000842AA">
        <w:rPr>
          <w:rFonts w:ascii="Arial" w:eastAsia="Arial" w:hAnsi="Arial" w:cs="Arial"/>
          <w:szCs w:val="24"/>
        </w:rPr>
        <w:t>8.2</w:t>
      </w:r>
      <w:r w:rsidR="60EA4332" w:rsidRPr="000842AA">
        <w:rPr>
          <w:rFonts w:ascii="Arial" w:eastAsia="Arial" w:hAnsi="Arial" w:cs="Arial"/>
          <w:szCs w:val="24"/>
        </w:rPr>
        <w:t>% en la recaudación de este rubro</w:t>
      </w:r>
      <w:r w:rsidR="095E06D6" w:rsidRPr="000842AA">
        <w:rPr>
          <w:rFonts w:ascii="Arial" w:eastAsia="Arial" w:hAnsi="Arial" w:cs="Arial"/>
          <w:szCs w:val="24"/>
        </w:rPr>
        <w:t>,</w:t>
      </w:r>
      <w:r w:rsidR="60EA4332" w:rsidRPr="000842AA">
        <w:rPr>
          <w:rFonts w:ascii="Arial" w:eastAsia="Arial" w:hAnsi="Arial" w:cs="Arial"/>
          <w:szCs w:val="24"/>
        </w:rPr>
        <w:t xml:space="preserve"> respecto a lo autorizado para el ejercicio</w:t>
      </w:r>
      <w:r w:rsidRPr="000842AA">
        <w:rPr>
          <w:rFonts w:ascii="Arial" w:eastAsia="Arial" w:hAnsi="Arial" w:cs="Arial"/>
          <w:szCs w:val="24"/>
        </w:rPr>
        <w:t xml:space="preserve"> fiscal</w:t>
      </w:r>
      <w:r w:rsidR="60EA4332" w:rsidRPr="000842AA">
        <w:rPr>
          <w:rFonts w:ascii="Arial" w:eastAsia="Arial" w:hAnsi="Arial" w:cs="Arial"/>
          <w:szCs w:val="24"/>
        </w:rPr>
        <w:t xml:space="preserve"> 2024.</w:t>
      </w:r>
    </w:p>
    <w:p w14:paraId="29EED493" w14:textId="18514415" w:rsidR="006C6157" w:rsidRPr="000842AA" w:rsidRDefault="00E559FB" w:rsidP="003B4D0B">
      <w:pPr>
        <w:spacing w:line="240" w:lineRule="auto"/>
        <w:jc w:val="both"/>
        <w:rPr>
          <w:rFonts w:ascii="Arial" w:eastAsia="Arial" w:hAnsi="Arial" w:cs="Arial"/>
          <w:szCs w:val="24"/>
        </w:rPr>
      </w:pPr>
      <w:r w:rsidRPr="000842AA">
        <w:rPr>
          <w:rFonts w:ascii="Arial" w:eastAsia="Arial" w:hAnsi="Arial" w:cs="Arial"/>
          <w:szCs w:val="24"/>
        </w:rPr>
        <w:t xml:space="preserve">b) </w:t>
      </w:r>
      <w:r w:rsidR="006C6157" w:rsidRPr="000842AA">
        <w:rPr>
          <w:rFonts w:ascii="Arial" w:eastAsia="Arial" w:hAnsi="Arial" w:cs="Arial"/>
          <w:szCs w:val="24"/>
        </w:rPr>
        <w:t>Mantener un trabajo coordinado con los diferentes entes de la Administración Pública estatal, así como facilitar e incentivar al contribuyente a cumplir con sus obligaciones fiscales, ofreciendo más canales de atención de la mano con herramientas tecnológicas.</w:t>
      </w:r>
    </w:p>
    <w:p w14:paraId="73C19B03" w14:textId="5A9599F0" w:rsidR="00CA2218" w:rsidRPr="000842AA" w:rsidRDefault="00E559FB" w:rsidP="003B4D0B">
      <w:pPr>
        <w:spacing w:line="240" w:lineRule="auto"/>
        <w:jc w:val="both"/>
        <w:rPr>
          <w:rFonts w:ascii="Arial" w:hAnsi="Arial" w:cs="Arial"/>
          <w:szCs w:val="24"/>
        </w:rPr>
      </w:pPr>
      <w:r w:rsidRPr="000842AA">
        <w:rPr>
          <w:rFonts w:ascii="Arial" w:eastAsia="Arial" w:hAnsi="Arial" w:cs="Arial"/>
          <w:szCs w:val="24"/>
        </w:rPr>
        <w:t xml:space="preserve">c) </w:t>
      </w:r>
      <w:r w:rsidR="006C6157" w:rsidRPr="000842AA">
        <w:rPr>
          <w:rFonts w:ascii="Arial" w:eastAsia="Arial" w:hAnsi="Arial" w:cs="Arial"/>
          <w:szCs w:val="24"/>
        </w:rPr>
        <w:t>Privilegiar el acercamiento</w:t>
      </w:r>
      <w:r w:rsidR="006C6157" w:rsidRPr="000842AA">
        <w:rPr>
          <w:rFonts w:ascii="Arial" w:hAnsi="Arial" w:cs="Arial"/>
          <w:szCs w:val="24"/>
        </w:rPr>
        <w:t xml:space="preserve"> y cumplimiento voluntario de los contribuyentes, con un enfoque en la vigilancia, control y fiscalización de sus obligaciones fiscales.</w:t>
      </w:r>
    </w:p>
    <w:p w14:paraId="0A1A27C9" w14:textId="45EF9E79" w:rsidR="006C6157" w:rsidRPr="000842AA" w:rsidRDefault="00E559FB" w:rsidP="003B4D0B">
      <w:pPr>
        <w:spacing w:line="240" w:lineRule="auto"/>
        <w:jc w:val="both"/>
        <w:rPr>
          <w:rFonts w:ascii="Arial" w:hAnsi="Arial" w:cs="Arial"/>
          <w:szCs w:val="24"/>
        </w:rPr>
      </w:pPr>
      <w:r w:rsidRPr="000842AA">
        <w:rPr>
          <w:rFonts w:ascii="Arial" w:hAnsi="Arial" w:cs="Arial"/>
          <w:szCs w:val="24"/>
        </w:rPr>
        <w:t xml:space="preserve">d) </w:t>
      </w:r>
      <w:r w:rsidR="00CA2218" w:rsidRPr="000842AA">
        <w:rPr>
          <w:rFonts w:ascii="Arial" w:hAnsi="Arial" w:cs="Arial"/>
          <w:szCs w:val="24"/>
        </w:rPr>
        <w:t>I</w:t>
      </w:r>
      <w:r w:rsidR="60EA4332" w:rsidRPr="000842AA">
        <w:rPr>
          <w:rFonts w:ascii="Arial" w:hAnsi="Arial" w:cs="Arial"/>
          <w:szCs w:val="24"/>
        </w:rPr>
        <w:t>mpulsar acciones coordinadas con todos los niveles de gobierno para lograr el cumplimiento de los objetivos de fiscalización a través del Convenio de Colaboración Administrativa en Materia Fiscal Federal.</w:t>
      </w:r>
    </w:p>
    <w:p w14:paraId="2874F016" w14:textId="5FF03F3F" w:rsidR="006C6157" w:rsidRPr="000842AA" w:rsidRDefault="004E7D4A" w:rsidP="003466C4">
      <w:pPr>
        <w:spacing w:before="100" w:beforeAutospacing="1" w:after="100" w:afterAutospacing="1" w:line="240" w:lineRule="auto"/>
        <w:jc w:val="both"/>
        <w:rPr>
          <w:rFonts w:ascii="Arial" w:hAnsi="Arial" w:cs="Arial"/>
          <w:bCs/>
          <w:i/>
          <w:szCs w:val="24"/>
          <w:lang w:val="es-ES"/>
        </w:rPr>
      </w:pPr>
      <w:r w:rsidRPr="000842AA">
        <w:rPr>
          <w:rFonts w:ascii="Arial" w:hAnsi="Arial" w:cs="Arial"/>
          <w:bCs/>
          <w:i/>
          <w:szCs w:val="24"/>
          <w:lang w:val="es-ES"/>
        </w:rPr>
        <w:t>3.2. Aplicación de los Lineamientos de Planeación para el Presupuesto de Egresos 2025</w:t>
      </w:r>
    </w:p>
    <w:p w14:paraId="1BD252CA" w14:textId="74BE9F8C" w:rsidR="006C6157" w:rsidRPr="000842AA" w:rsidRDefault="60EA4332" w:rsidP="003466C4">
      <w:pPr>
        <w:spacing w:before="100" w:beforeAutospacing="1" w:after="100" w:afterAutospacing="1" w:line="240" w:lineRule="auto"/>
        <w:jc w:val="both"/>
        <w:rPr>
          <w:rFonts w:ascii="Arial" w:hAnsi="Arial" w:cs="Arial"/>
          <w:szCs w:val="24"/>
          <w:lang w:val="es-ES"/>
        </w:rPr>
      </w:pPr>
      <w:r w:rsidRPr="000842AA">
        <w:rPr>
          <w:rFonts w:ascii="Arial" w:hAnsi="Arial" w:cs="Arial"/>
          <w:szCs w:val="24"/>
          <w:lang w:val="es-ES"/>
        </w:rPr>
        <w:t>De conformidad con lo establecido en el artículo 34</w:t>
      </w:r>
      <w:r w:rsidR="36B7A6AD" w:rsidRPr="000842AA">
        <w:rPr>
          <w:rFonts w:ascii="Arial" w:hAnsi="Arial" w:cs="Arial"/>
          <w:szCs w:val="24"/>
          <w:lang w:val="es-ES"/>
        </w:rPr>
        <w:t>,</w:t>
      </w:r>
      <w:r w:rsidRPr="000842AA">
        <w:rPr>
          <w:rFonts w:ascii="Arial" w:hAnsi="Arial" w:cs="Arial"/>
          <w:szCs w:val="24"/>
          <w:lang w:val="es-ES"/>
        </w:rPr>
        <w:t xml:space="preserve"> fracción I</w:t>
      </w:r>
      <w:r w:rsidR="2B9AF90E" w:rsidRPr="000842AA">
        <w:rPr>
          <w:rFonts w:ascii="Arial" w:hAnsi="Arial" w:cs="Arial"/>
          <w:szCs w:val="24"/>
          <w:lang w:val="es-ES"/>
        </w:rPr>
        <w:t>,</w:t>
      </w:r>
      <w:r w:rsidRPr="000842AA">
        <w:rPr>
          <w:rFonts w:ascii="Arial" w:hAnsi="Arial" w:cs="Arial"/>
          <w:szCs w:val="24"/>
          <w:lang w:val="es-ES"/>
        </w:rPr>
        <w:t xml:space="preserve"> de la Ley del Presupuesto y Contabilidad Gubernamental del Estado de Yucatán, se formularon los Lineamientos de Planeación para el Presupuesto de Egresos 2025, en el que se establecen las directrices y vertientes a partir de </w:t>
      </w:r>
      <w:r w:rsidR="597DD644" w:rsidRPr="000842AA">
        <w:rPr>
          <w:rFonts w:ascii="Arial" w:hAnsi="Arial" w:cs="Arial"/>
          <w:szCs w:val="24"/>
          <w:lang w:val="es-ES"/>
        </w:rPr>
        <w:t>las</w:t>
      </w:r>
      <w:r w:rsidRPr="000842AA">
        <w:rPr>
          <w:rFonts w:ascii="Arial" w:hAnsi="Arial" w:cs="Arial"/>
          <w:szCs w:val="24"/>
          <w:lang w:val="es-ES"/>
        </w:rPr>
        <w:t xml:space="preserve"> cuales se desarrollan los programas presupuestarios de las dependencias y entidades que contendrán las actividades y proyectos que deberán realizar. Lo anterior, para efectos transicionales, en tanto se concluye y publica el Plan Estatal de Desarrollo 2024-2030</w:t>
      </w:r>
      <w:r w:rsidR="2B9AF90E" w:rsidRPr="000842AA">
        <w:rPr>
          <w:rFonts w:ascii="Arial" w:hAnsi="Arial" w:cs="Arial"/>
          <w:szCs w:val="24"/>
          <w:lang w:val="es-ES"/>
        </w:rPr>
        <w:t>.</w:t>
      </w:r>
    </w:p>
    <w:p w14:paraId="6EBEC567" w14:textId="1937CF06" w:rsidR="006C6157" w:rsidRPr="000842AA" w:rsidRDefault="006C6157"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estructura pro</w:t>
      </w:r>
      <w:r w:rsidR="004E7D4A" w:rsidRPr="000842AA">
        <w:rPr>
          <w:rFonts w:ascii="Arial" w:hAnsi="Arial" w:cs="Arial"/>
          <w:szCs w:val="24"/>
        </w:rPr>
        <w:t>gramática para el ejercicio 2025</w:t>
      </w:r>
      <w:r w:rsidRPr="000842AA">
        <w:rPr>
          <w:rFonts w:ascii="Arial" w:hAnsi="Arial" w:cs="Arial"/>
          <w:szCs w:val="24"/>
        </w:rPr>
        <w:t xml:space="preserve"> se encuentra</w:t>
      </w:r>
      <w:r w:rsidR="004E7D4A" w:rsidRPr="000842AA">
        <w:rPr>
          <w:rFonts w:ascii="Arial" w:hAnsi="Arial" w:cs="Arial"/>
          <w:szCs w:val="24"/>
        </w:rPr>
        <w:t xml:space="preserve"> alineada a los</w:t>
      </w:r>
      <w:r w:rsidRPr="000842AA">
        <w:rPr>
          <w:rFonts w:ascii="Arial" w:hAnsi="Arial" w:cs="Arial"/>
          <w:szCs w:val="24"/>
        </w:rPr>
        <w:t xml:space="preserve"> </w:t>
      </w:r>
      <w:r w:rsidR="004E7D4A" w:rsidRPr="000842AA">
        <w:rPr>
          <w:rFonts w:ascii="Arial" w:hAnsi="Arial" w:cs="Arial"/>
          <w:szCs w:val="24"/>
          <w:lang w:val="es-ES"/>
        </w:rPr>
        <w:t>Lineamientos de Planeación para el Presupuesto de Egresos 2025</w:t>
      </w:r>
      <w:r w:rsidR="00E559FB" w:rsidRPr="000842AA">
        <w:rPr>
          <w:rFonts w:ascii="Arial" w:hAnsi="Arial" w:cs="Arial"/>
          <w:szCs w:val="24"/>
        </w:rPr>
        <w:t>, la</w:t>
      </w:r>
      <w:r w:rsidR="00055EC1" w:rsidRPr="000842AA">
        <w:rPr>
          <w:rFonts w:ascii="Arial" w:hAnsi="Arial" w:cs="Arial"/>
          <w:szCs w:val="24"/>
        </w:rPr>
        <w:t xml:space="preserve"> cual</w:t>
      </w:r>
      <w:r w:rsidRPr="000842AA">
        <w:rPr>
          <w:rFonts w:ascii="Arial" w:hAnsi="Arial" w:cs="Arial"/>
          <w:szCs w:val="24"/>
        </w:rPr>
        <w:t xml:space="preserve"> define las acciones que efectúan los ejecutores de gasto para alcanzar las metas de los programas </w:t>
      </w:r>
      <w:r w:rsidR="0E5E4A6A" w:rsidRPr="000842AA">
        <w:rPr>
          <w:rFonts w:ascii="Arial" w:hAnsi="Arial" w:cs="Arial"/>
          <w:szCs w:val="24"/>
        </w:rPr>
        <w:t>presupuestarios</w:t>
      </w:r>
      <w:r w:rsidRPr="000842AA">
        <w:rPr>
          <w:rFonts w:ascii="Arial" w:hAnsi="Arial" w:cs="Arial"/>
          <w:szCs w:val="24"/>
        </w:rPr>
        <w:t>, los cuales son evaluados mediante indicadores de desempeño. Lo anterior, permite abonar al logro de las metas previstas y al cumplimiento pleno de los objetivos de desarrollo sostenible en el ámbito estatal, así como las metas respectivas plasmadas.</w:t>
      </w:r>
    </w:p>
    <w:p w14:paraId="27A7FF33" w14:textId="379B1CF9" w:rsidR="006C6157" w:rsidRPr="000842AA" w:rsidRDefault="008A58C9" w:rsidP="003466C4">
      <w:pPr>
        <w:spacing w:before="100" w:beforeAutospacing="1" w:after="100" w:afterAutospacing="1" w:line="240" w:lineRule="auto"/>
        <w:jc w:val="both"/>
        <w:rPr>
          <w:rFonts w:ascii="Arial" w:hAnsi="Arial" w:cs="Arial"/>
          <w:szCs w:val="24"/>
          <w:lang w:val="es-ES"/>
        </w:rPr>
      </w:pPr>
      <w:r w:rsidRPr="000842AA">
        <w:rPr>
          <w:rFonts w:ascii="Arial" w:hAnsi="Arial" w:cs="Arial"/>
          <w:noProof/>
          <w:color w:val="FF0000"/>
          <w:szCs w:val="24"/>
        </w:rPr>
        <w:drawing>
          <wp:anchor distT="0" distB="0" distL="114300" distR="114300" simplePos="0" relativeHeight="251658240" behindDoc="0" locked="0" layoutInCell="1" allowOverlap="1" wp14:anchorId="76F1D495" wp14:editId="445EE93D">
            <wp:simplePos x="0" y="0"/>
            <wp:positionH relativeFrom="margin">
              <wp:posOffset>-230660</wp:posOffset>
            </wp:positionH>
            <wp:positionV relativeFrom="paragraph">
              <wp:posOffset>546049</wp:posOffset>
            </wp:positionV>
            <wp:extent cx="5975985" cy="3088640"/>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75985" cy="3088640"/>
                    </a:xfrm>
                    <a:prstGeom prst="rect">
                      <a:avLst/>
                    </a:prstGeom>
                  </pic:spPr>
                </pic:pic>
              </a:graphicData>
            </a:graphic>
            <wp14:sizeRelH relativeFrom="page">
              <wp14:pctWidth>0</wp14:pctWidth>
            </wp14:sizeRelH>
            <wp14:sizeRelV relativeFrom="page">
              <wp14:pctHeight>0</wp14:pctHeight>
            </wp14:sizeRelV>
          </wp:anchor>
        </w:drawing>
      </w:r>
      <w:r w:rsidR="004E7D4A" w:rsidRPr="000842AA">
        <w:rPr>
          <w:rFonts w:ascii="Arial" w:hAnsi="Arial" w:cs="Arial"/>
          <w:szCs w:val="24"/>
        </w:rPr>
        <w:t xml:space="preserve">Los </w:t>
      </w:r>
      <w:r w:rsidR="004E7D4A" w:rsidRPr="000842AA">
        <w:rPr>
          <w:rFonts w:ascii="Arial" w:hAnsi="Arial" w:cs="Arial"/>
          <w:szCs w:val="24"/>
          <w:lang w:val="es-ES"/>
        </w:rPr>
        <w:t>Lineamientos de Planeación para el Presupuesto de Egresos 2025</w:t>
      </w:r>
      <w:r w:rsidR="006C6157" w:rsidRPr="000842AA">
        <w:rPr>
          <w:rFonts w:ascii="Arial" w:hAnsi="Arial" w:cs="Arial"/>
          <w:szCs w:val="24"/>
        </w:rPr>
        <w:t xml:space="preserve"> incluye</w:t>
      </w:r>
      <w:r w:rsidR="00786AD5" w:rsidRPr="000842AA">
        <w:rPr>
          <w:rFonts w:ascii="Arial" w:hAnsi="Arial" w:cs="Arial"/>
          <w:szCs w:val="24"/>
        </w:rPr>
        <w:t>n</w:t>
      </w:r>
      <w:r w:rsidR="006C6157" w:rsidRPr="000842AA">
        <w:rPr>
          <w:rFonts w:ascii="Arial" w:hAnsi="Arial" w:cs="Arial"/>
          <w:szCs w:val="24"/>
        </w:rPr>
        <w:t xml:space="preserve"> </w:t>
      </w:r>
      <w:r w:rsidR="004E7D4A" w:rsidRPr="000842AA">
        <w:rPr>
          <w:rFonts w:ascii="Arial" w:hAnsi="Arial" w:cs="Arial"/>
          <w:szCs w:val="24"/>
        </w:rPr>
        <w:t>seis vertientes</w:t>
      </w:r>
      <w:r w:rsidR="006C6157" w:rsidRPr="000842AA">
        <w:rPr>
          <w:rFonts w:ascii="Arial" w:hAnsi="Arial" w:cs="Arial"/>
          <w:szCs w:val="24"/>
        </w:rPr>
        <w:t xml:space="preserve"> </w:t>
      </w:r>
      <w:r w:rsidR="006C6157" w:rsidRPr="000842AA">
        <w:rPr>
          <w:rFonts w:ascii="Arial" w:hAnsi="Arial" w:cs="Arial"/>
          <w:szCs w:val="24"/>
          <w:lang w:val="es-ES"/>
        </w:rPr>
        <w:t xml:space="preserve">con el fin de facilitar el desarrollo del </w:t>
      </w:r>
      <w:r w:rsidR="5FAEE8FE" w:rsidRPr="000842AA">
        <w:rPr>
          <w:rFonts w:ascii="Arial" w:hAnsi="Arial" w:cs="Arial"/>
          <w:szCs w:val="24"/>
          <w:lang w:val="es-ES"/>
        </w:rPr>
        <w:t>Estado</w:t>
      </w:r>
      <w:r w:rsidR="006C6157" w:rsidRPr="000842AA">
        <w:rPr>
          <w:rFonts w:ascii="Arial" w:hAnsi="Arial" w:cs="Arial"/>
          <w:szCs w:val="24"/>
          <w:lang w:val="es-ES"/>
        </w:rPr>
        <w:t>:</w:t>
      </w:r>
    </w:p>
    <w:p w14:paraId="23D5A593" w14:textId="6700B781" w:rsidR="004E7D4A" w:rsidRPr="000842AA" w:rsidRDefault="004E7D4A" w:rsidP="003466C4">
      <w:pPr>
        <w:spacing w:before="100" w:beforeAutospacing="1" w:after="100" w:afterAutospacing="1" w:line="240" w:lineRule="auto"/>
        <w:jc w:val="both"/>
        <w:rPr>
          <w:rFonts w:ascii="Arial" w:hAnsi="Arial" w:cs="Arial"/>
          <w:color w:val="FF0000"/>
          <w:szCs w:val="24"/>
          <w:lang w:val="es-ES"/>
        </w:rPr>
      </w:pPr>
    </w:p>
    <w:p w14:paraId="348124A6" w14:textId="50BFBC49" w:rsidR="006C6157" w:rsidRPr="000842AA" w:rsidRDefault="5FAEE8FE" w:rsidP="003466C4">
      <w:pPr>
        <w:spacing w:before="100" w:beforeAutospacing="1" w:after="100" w:afterAutospacing="1" w:line="240" w:lineRule="auto"/>
        <w:jc w:val="both"/>
        <w:rPr>
          <w:rFonts w:ascii="Arial" w:hAnsi="Arial" w:cs="Arial"/>
          <w:szCs w:val="24"/>
          <w:lang w:val="es-ES"/>
        </w:rPr>
      </w:pPr>
      <w:r w:rsidRPr="000842AA">
        <w:rPr>
          <w:rFonts w:ascii="Arial" w:hAnsi="Arial" w:cs="Arial"/>
          <w:szCs w:val="24"/>
          <w:lang w:val="es-ES"/>
        </w:rPr>
        <w:t>Los</w:t>
      </w:r>
      <w:r w:rsidR="006C6157" w:rsidRPr="000842AA">
        <w:rPr>
          <w:rFonts w:ascii="Arial" w:hAnsi="Arial" w:cs="Arial"/>
          <w:szCs w:val="24"/>
          <w:lang w:val="es-ES"/>
        </w:rPr>
        <w:t xml:space="preserve"> ingresos </w:t>
      </w:r>
      <w:r w:rsidRPr="000842AA">
        <w:rPr>
          <w:rFonts w:ascii="Arial" w:hAnsi="Arial" w:cs="Arial"/>
          <w:szCs w:val="24"/>
          <w:lang w:val="es-ES"/>
        </w:rPr>
        <w:t>recaudados en</w:t>
      </w:r>
      <w:r w:rsidR="004E7D4A" w:rsidRPr="000842AA">
        <w:rPr>
          <w:rFonts w:ascii="Arial" w:hAnsi="Arial" w:cs="Arial"/>
          <w:szCs w:val="24"/>
          <w:lang w:val="es-ES"/>
        </w:rPr>
        <w:t xml:space="preserve"> el ejercicio fiscal 2025</w:t>
      </w:r>
      <w:r w:rsidR="006C6157" w:rsidRPr="000842AA">
        <w:rPr>
          <w:rFonts w:ascii="Arial" w:hAnsi="Arial" w:cs="Arial"/>
          <w:szCs w:val="24"/>
          <w:lang w:val="es-ES"/>
        </w:rPr>
        <w:t xml:space="preserve"> </w:t>
      </w:r>
      <w:r w:rsidRPr="000842AA">
        <w:rPr>
          <w:rFonts w:ascii="Arial" w:hAnsi="Arial" w:cs="Arial"/>
          <w:szCs w:val="24"/>
          <w:lang w:val="es-ES"/>
        </w:rPr>
        <w:t>serán fundamentales para</w:t>
      </w:r>
      <w:r w:rsidR="006C6157" w:rsidRPr="000842AA">
        <w:rPr>
          <w:rFonts w:ascii="Arial" w:hAnsi="Arial" w:cs="Arial"/>
          <w:szCs w:val="24"/>
          <w:lang w:val="es-ES"/>
        </w:rPr>
        <w:t xml:space="preserve"> cumplir con los </w:t>
      </w:r>
      <w:r w:rsidR="7D03254E" w:rsidRPr="000842AA">
        <w:rPr>
          <w:rFonts w:ascii="Arial" w:hAnsi="Arial" w:cs="Arial"/>
          <w:szCs w:val="24"/>
          <w:lang w:val="es-ES"/>
        </w:rPr>
        <w:t>objetivos</w:t>
      </w:r>
      <w:r w:rsidR="006C6157" w:rsidRPr="000842AA">
        <w:rPr>
          <w:rFonts w:ascii="Arial" w:hAnsi="Arial" w:cs="Arial"/>
          <w:szCs w:val="24"/>
          <w:lang w:val="es-ES"/>
        </w:rPr>
        <w:t xml:space="preserve"> </w:t>
      </w:r>
      <w:r w:rsidR="791A9F35" w:rsidRPr="000842AA">
        <w:rPr>
          <w:rFonts w:ascii="Arial" w:hAnsi="Arial" w:cs="Arial"/>
          <w:szCs w:val="24"/>
          <w:lang w:val="es-ES"/>
        </w:rPr>
        <w:t>que se establecerán</w:t>
      </w:r>
      <w:r w:rsidR="006C6157" w:rsidRPr="000842AA">
        <w:rPr>
          <w:rFonts w:ascii="Arial" w:hAnsi="Arial" w:cs="Arial"/>
          <w:szCs w:val="24"/>
          <w:lang w:val="es-ES"/>
        </w:rPr>
        <w:t xml:space="preserve"> </w:t>
      </w:r>
      <w:r w:rsidR="79BCCD1B" w:rsidRPr="000842AA">
        <w:rPr>
          <w:rFonts w:ascii="Arial" w:hAnsi="Arial" w:cs="Arial"/>
          <w:szCs w:val="24"/>
          <w:lang w:val="es-ES"/>
        </w:rPr>
        <w:t xml:space="preserve">en el </w:t>
      </w:r>
      <w:r w:rsidR="006C6157" w:rsidRPr="000842AA">
        <w:rPr>
          <w:rFonts w:ascii="Arial" w:hAnsi="Arial" w:cs="Arial"/>
          <w:szCs w:val="24"/>
          <w:lang w:val="es-ES"/>
        </w:rPr>
        <w:t>Plan Estatal de Desarrollo</w:t>
      </w:r>
      <w:r w:rsidR="004E7D4A" w:rsidRPr="000842AA">
        <w:rPr>
          <w:rFonts w:ascii="Arial" w:hAnsi="Arial" w:cs="Arial"/>
          <w:szCs w:val="24"/>
          <w:lang w:val="es-ES"/>
        </w:rPr>
        <w:t xml:space="preserve"> 2024-2030</w:t>
      </w:r>
      <w:r w:rsidR="006C6157" w:rsidRPr="000842AA">
        <w:rPr>
          <w:rFonts w:ascii="Arial" w:hAnsi="Arial" w:cs="Arial"/>
          <w:szCs w:val="24"/>
        </w:rPr>
        <w:t>.</w:t>
      </w:r>
    </w:p>
    <w:p w14:paraId="5967C826" w14:textId="637FE91D" w:rsidR="006C6157" w:rsidRPr="000842AA" w:rsidRDefault="006C6157"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4. Estimación de los ingres</w:t>
      </w:r>
      <w:r w:rsidR="00F93B56" w:rsidRPr="000842AA">
        <w:rPr>
          <w:rFonts w:ascii="Arial" w:hAnsi="Arial" w:cs="Arial"/>
          <w:b/>
          <w:szCs w:val="24"/>
        </w:rPr>
        <w:t>os para el ejercicio fiscal 2025</w:t>
      </w:r>
    </w:p>
    <w:p w14:paraId="6C008BE7" w14:textId="322D69D2" w:rsidR="00786AD5" w:rsidRPr="000842AA" w:rsidRDefault="00786AD5" w:rsidP="00786AD5">
      <w:pPr>
        <w:spacing w:before="100" w:beforeAutospacing="1" w:after="100" w:afterAutospacing="1" w:line="240" w:lineRule="auto"/>
        <w:jc w:val="both"/>
        <w:rPr>
          <w:rFonts w:ascii="Arial" w:hAnsi="Arial" w:cs="Arial"/>
          <w:szCs w:val="24"/>
        </w:rPr>
      </w:pPr>
      <w:r w:rsidRPr="000842AA">
        <w:rPr>
          <w:rFonts w:ascii="Arial" w:hAnsi="Arial" w:cs="Arial"/>
          <w:szCs w:val="24"/>
        </w:rPr>
        <w:t>Para el ejercicio fiscal 2025 se estima obtener ingresos para el Estado por $62,783 mdp excluyendo financiamiento, venta de bienes y servicios, así como cuotas y aportaciones de seguridad social, estos ingresos ascienden a $55,746 mdp.</w:t>
      </w:r>
    </w:p>
    <w:p w14:paraId="7D763D75" w14:textId="28A75304" w:rsidR="006C6157" w:rsidRPr="000842AA" w:rsidRDefault="009638B0"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recursos estimados para el ejercicio fiscal </w:t>
      </w:r>
      <w:r w:rsidR="6510CA40" w:rsidRPr="000842AA">
        <w:rPr>
          <w:rFonts w:ascii="Arial" w:hAnsi="Arial" w:cs="Arial"/>
          <w:szCs w:val="24"/>
        </w:rPr>
        <w:t>2025</w:t>
      </w:r>
      <w:r w:rsidRPr="000842AA">
        <w:rPr>
          <w:rFonts w:ascii="Arial" w:hAnsi="Arial" w:cs="Arial"/>
          <w:szCs w:val="24"/>
        </w:rPr>
        <w:t xml:space="preserve"> se distribuyen de la siguiente manera: </w:t>
      </w:r>
    </w:p>
    <w:p w14:paraId="3C20A1AC" w14:textId="493C592D" w:rsidR="006C6157" w:rsidRPr="000842AA" w:rsidRDefault="60EA4332" w:rsidP="003B4D0B">
      <w:pPr>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 xml:space="preserve">a) </w:t>
      </w:r>
      <w:r w:rsidRPr="000842AA">
        <w:rPr>
          <w:rFonts w:ascii="Arial" w:hAnsi="Arial" w:cs="Arial"/>
          <w:i/>
          <w:szCs w:val="24"/>
        </w:rPr>
        <w:t>Etiquetados (transferencias federales etiquetadas):</w:t>
      </w:r>
      <w:r w:rsidRPr="000842AA">
        <w:rPr>
          <w:rFonts w:ascii="Arial" w:hAnsi="Arial" w:cs="Arial"/>
          <w:szCs w:val="24"/>
        </w:rPr>
        <w:t xml:space="preserve"> se estiman en $24,2</w:t>
      </w:r>
      <w:r w:rsidR="00023272" w:rsidRPr="000842AA">
        <w:rPr>
          <w:rFonts w:ascii="Arial" w:hAnsi="Arial" w:cs="Arial"/>
          <w:szCs w:val="24"/>
        </w:rPr>
        <w:t>85</w:t>
      </w:r>
      <w:r w:rsidRPr="000842AA">
        <w:rPr>
          <w:rFonts w:ascii="Arial" w:hAnsi="Arial" w:cs="Arial"/>
          <w:szCs w:val="24"/>
        </w:rPr>
        <w:t xml:space="preserve"> </w:t>
      </w:r>
      <w:r w:rsidR="003B4032" w:rsidRPr="000842AA">
        <w:rPr>
          <w:rFonts w:ascii="Arial" w:hAnsi="Arial" w:cs="Arial"/>
          <w:szCs w:val="24"/>
        </w:rPr>
        <w:t>mdp</w:t>
      </w:r>
      <w:r w:rsidR="464380D7" w:rsidRPr="000842AA">
        <w:rPr>
          <w:rFonts w:ascii="Arial" w:hAnsi="Arial" w:cs="Arial"/>
          <w:szCs w:val="24"/>
        </w:rPr>
        <w:t>.</w:t>
      </w:r>
      <w:r w:rsidRPr="000842AA">
        <w:rPr>
          <w:rFonts w:ascii="Arial" w:hAnsi="Arial" w:cs="Arial"/>
          <w:szCs w:val="24"/>
        </w:rPr>
        <w:t xml:space="preserve"> La mayor parte de los convenios y fondos del Ramo 33 considerados en estos ingresos serán definidos durante el primer trimestre del ejercicio, por lo que es probable que presenten cambios en los montos o reglas de operación. Del mismo modo, es posible que surjan convenios adicionales a los contemplados en esta iniciativa.</w:t>
      </w:r>
    </w:p>
    <w:p w14:paraId="4AE71A2D" w14:textId="1FDB29A9" w:rsidR="006C6157" w:rsidRPr="000842AA" w:rsidRDefault="60EA4332" w:rsidP="003B4D0B">
      <w:pPr>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 xml:space="preserve">b) </w:t>
      </w:r>
      <w:r w:rsidRPr="000842AA">
        <w:rPr>
          <w:rFonts w:ascii="Arial" w:hAnsi="Arial" w:cs="Arial"/>
          <w:i/>
          <w:szCs w:val="24"/>
        </w:rPr>
        <w:t>No etiquetados (ingresos de libre disposición):</w:t>
      </w:r>
      <w:r w:rsidRPr="000842AA">
        <w:rPr>
          <w:rFonts w:ascii="Arial" w:hAnsi="Arial" w:cs="Arial"/>
          <w:szCs w:val="24"/>
        </w:rPr>
        <w:t xml:space="preserve"> están compuestos por el </w:t>
      </w:r>
      <w:r w:rsidR="006C6157" w:rsidRPr="000842AA">
        <w:rPr>
          <w:rFonts w:ascii="Arial" w:hAnsi="Arial" w:cs="Arial"/>
          <w:szCs w:val="24"/>
        </w:rPr>
        <w:br/>
      </w:r>
      <w:r w:rsidRPr="000842AA">
        <w:rPr>
          <w:rFonts w:ascii="Arial" w:hAnsi="Arial" w:cs="Arial"/>
          <w:szCs w:val="24"/>
        </w:rPr>
        <w:t xml:space="preserve">Ramo 28 y los ingresos de recaudación fiscal local, y se estiman en $31,461 </w:t>
      </w:r>
      <w:r w:rsidR="003B4032" w:rsidRPr="000842AA">
        <w:rPr>
          <w:rFonts w:ascii="Arial" w:hAnsi="Arial" w:cs="Arial"/>
          <w:szCs w:val="24"/>
        </w:rPr>
        <w:t>mdp</w:t>
      </w:r>
      <w:r w:rsidR="4EFDB72C" w:rsidRPr="000842AA">
        <w:rPr>
          <w:rFonts w:ascii="Arial" w:hAnsi="Arial" w:cs="Arial"/>
          <w:szCs w:val="24"/>
        </w:rPr>
        <w:t>.</w:t>
      </w:r>
      <w:r w:rsidRPr="000842AA">
        <w:rPr>
          <w:rFonts w:ascii="Arial" w:hAnsi="Arial" w:cs="Arial"/>
          <w:szCs w:val="24"/>
        </w:rPr>
        <w:t xml:space="preserve"> La estimación del Ramo 28 se realiza con base en las cifras publicadas por la Secretaría de Hacienda y Crédito Público en el Proyecto de Presupuesto de Egresos de la Federación para el Ejercicio Fiscal 2025. </w:t>
      </w:r>
    </w:p>
    <w:p w14:paraId="1EE41042" w14:textId="57A6F247" w:rsidR="006C6157" w:rsidRPr="000842AA" w:rsidRDefault="60EA433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Esta proyección, que incluye participaciones federales e incentivos de colaboración fiscal considera $23,339 </w:t>
      </w:r>
      <w:r w:rsidR="003B4032" w:rsidRPr="000842AA">
        <w:rPr>
          <w:rFonts w:ascii="Arial" w:hAnsi="Arial" w:cs="Arial"/>
          <w:szCs w:val="24"/>
        </w:rPr>
        <w:t>mdp</w:t>
      </w:r>
      <w:r w:rsidRPr="000842AA">
        <w:rPr>
          <w:rFonts w:ascii="Arial" w:hAnsi="Arial" w:cs="Arial"/>
          <w:szCs w:val="24"/>
        </w:rPr>
        <w:t xml:space="preserve">, lo que representa un incremento de 5.9% con respecto al presupuesto autorizado </w:t>
      </w:r>
      <w:r w:rsidR="00004C90" w:rsidRPr="000842AA">
        <w:rPr>
          <w:rFonts w:ascii="Arial" w:hAnsi="Arial" w:cs="Arial"/>
          <w:szCs w:val="24"/>
        </w:rPr>
        <w:t xml:space="preserve">en el ejercicio </w:t>
      </w:r>
      <w:r w:rsidRPr="000842AA">
        <w:rPr>
          <w:rFonts w:ascii="Arial" w:hAnsi="Arial" w:cs="Arial"/>
          <w:szCs w:val="24"/>
        </w:rPr>
        <w:t xml:space="preserve">2024. Los ingresos de recaudación fiscal local se componen de cuatro rubros y derivan de las proyecciones de la Agencia de Administración Fiscal de Yucatán, las cuales </w:t>
      </w:r>
      <w:r w:rsidR="3EDE6F38" w:rsidRPr="000842AA">
        <w:rPr>
          <w:rFonts w:ascii="Arial" w:hAnsi="Arial" w:cs="Arial"/>
          <w:szCs w:val="24"/>
        </w:rPr>
        <w:t>estiman</w:t>
      </w:r>
      <w:r w:rsidRPr="000842AA">
        <w:rPr>
          <w:rFonts w:ascii="Arial" w:hAnsi="Arial" w:cs="Arial"/>
          <w:szCs w:val="24"/>
        </w:rPr>
        <w:t xml:space="preserve"> captar $4,459 </w:t>
      </w:r>
      <w:r w:rsidR="003B4032" w:rsidRPr="000842AA">
        <w:rPr>
          <w:rFonts w:ascii="Arial" w:hAnsi="Arial" w:cs="Arial"/>
          <w:szCs w:val="24"/>
        </w:rPr>
        <w:t>mdp</w:t>
      </w:r>
      <w:r w:rsidRPr="000842AA">
        <w:rPr>
          <w:rFonts w:ascii="Arial" w:hAnsi="Arial" w:cs="Arial"/>
          <w:szCs w:val="24"/>
        </w:rPr>
        <w:t xml:space="preserve"> a través de impuestos; $2,982 </w:t>
      </w:r>
      <w:r w:rsidR="003B4032" w:rsidRPr="000842AA">
        <w:rPr>
          <w:rFonts w:ascii="Arial" w:hAnsi="Arial" w:cs="Arial"/>
          <w:szCs w:val="24"/>
        </w:rPr>
        <w:t>mdp</w:t>
      </w:r>
      <w:r w:rsidRPr="000842AA">
        <w:rPr>
          <w:rFonts w:ascii="Arial" w:hAnsi="Arial" w:cs="Arial"/>
          <w:szCs w:val="24"/>
        </w:rPr>
        <w:t xml:space="preserve"> por concepto de derechos; $215 </w:t>
      </w:r>
      <w:r w:rsidR="003B4032" w:rsidRPr="000842AA">
        <w:rPr>
          <w:rFonts w:ascii="Arial" w:hAnsi="Arial" w:cs="Arial"/>
          <w:szCs w:val="24"/>
        </w:rPr>
        <w:t>mdp</w:t>
      </w:r>
      <w:r w:rsidRPr="000842AA">
        <w:rPr>
          <w:rFonts w:ascii="Arial" w:hAnsi="Arial" w:cs="Arial"/>
          <w:szCs w:val="24"/>
        </w:rPr>
        <w:t xml:space="preserve"> por productos y $466 </w:t>
      </w:r>
      <w:r w:rsidR="003B4032" w:rsidRPr="000842AA">
        <w:rPr>
          <w:rFonts w:ascii="Arial" w:hAnsi="Arial" w:cs="Arial"/>
          <w:szCs w:val="24"/>
        </w:rPr>
        <w:t>mdp</w:t>
      </w:r>
      <w:r w:rsidRPr="000842AA">
        <w:rPr>
          <w:rFonts w:ascii="Arial" w:hAnsi="Arial" w:cs="Arial"/>
          <w:szCs w:val="24"/>
        </w:rPr>
        <w:t xml:space="preserve"> por concepto de aprovechamientos. En total, esta iniciativa </w:t>
      </w:r>
      <w:r w:rsidR="3EDE6F38" w:rsidRPr="000842AA">
        <w:rPr>
          <w:rFonts w:ascii="Arial" w:hAnsi="Arial" w:cs="Arial"/>
          <w:szCs w:val="24"/>
        </w:rPr>
        <w:t>considera</w:t>
      </w:r>
      <w:r w:rsidRPr="000842AA">
        <w:rPr>
          <w:rFonts w:ascii="Arial" w:hAnsi="Arial" w:cs="Arial"/>
          <w:szCs w:val="24"/>
        </w:rPr>
        <w:t xml:space="preserve"> $8,122 </w:t>
      </w:r>
      <w:r w:rsidR="003B4032" w:rsidRPr="000842AA">
        <w:rPr>
          <w:rFonts w:ascii="Arial" w:hAnsi="Arial" w:cs="Arial"/>
          <w:szCs w:val="24"/>
        </w:rPr>
        <w:t>mdp</w:t>
      </w:r>
      <w:r w:rsidRPr="000842AA">
        <w:rPr>
          <w:rFonts w:ascii="Arial" w:hAnsi="Arial" w:cs="Arial"/>
          <w:szCs w:val="24"/>
        </w:rPr>
        <w:t xml:space="preserve"> por estos rubros.</w:t>
      </w:r>
    </w:p>
    <w:p w14:paraId="6CE32598" w14:textId="1BCB7810" w:rsidR="00AA6BEF" w:rsidRPr="000842AA" w:rsidRDefault="60EA433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Adicionalmente se contemplan $5,4</w:t>
      </w:r>
      <w:r w:rsidR="00C44268" w:rsidRPr="000842AA">
        <w:rPr>
          <w:rFonts w:ascii="Arial" w:hAnsi="Arial" w:cs="Arial"/>
          <w:szCs w:val="24"/>
        </w:rPr>
        <w:t>0</w:t>
      </w:r>
      <w:r w:rsidR="00AA6BEF" w:rsidRPr="000842AA">
        <w:rPr>
          <w:rFonts w:ascii="Arial" w:hAnsi="Arial" w:cs="Arial"/>
          <w:szCs w:val="24"/>
        </w:rPr>
        <w:t>4</w:t>
      </w:r>
      <w:r w:rsidRPr="000842AA">
        <w:rPr>
          <w:rFonts w:ascii="Arial" w:hAnsi="Arial" w:cs="Arial"/>
          <w:szCs w:val="24"/>
        </w:rPr>
        <w:t xml:space="preserve"> </w:t>
      </w:r>
      <w:r w:rsidR="003B4032" w:rsidRPr="000842AA">
        <w:rPr>
          <w:rFonts w:ascii="Arial" w:hAnsi="Arial" w:cs="Arial"/>
          <w:szCs w:val="24"/>
        </w:rPr>
        <w:t>mdp</w:t>
      </w:r>
      <w:r w:rsidRPr="000842AA">
        <w:rPr>
          <w:rFonts w:ascii="Arial" w:hAnsi="Arial" w:cs="Arial"/>
          <w:szCs w:val="24"/>
        </w:rPr>
        <w:t xml:space="preserve"> que corresponden a </w:t>
      </w:r>
      <w:r w:rsidR="39B8AE53" w:rsidRPr="000842AA">
        <w:rPr>
          <w:rFonts w:ascii="Arial" w:hAnsi="Arial" w:cs="Arial"/>
          <w:szCs w:val="24"/>
        </w:rPr>
        <w:t>la</w:t>
      </w:r>
      <w:r w:rsidRPr="000842AA">
        <w:rPr>
          <w:rFonts w:ascii="Arial" w:hAnsi="Arial" w:cs="Arial"/>
          <w:szCs w:val="24"/>
        </w:rPr>
        <w:t xml:space="preserve"> </w:t>
      </w:r>
      <w:r w:rsidR="009638B0" w:rsidRPr="000842AA">
        <w:rPr>
          <w:rFonts w:ascii="Arial" w:hAnsi="Arial" w:cs="Arial"/>
          <w:szCs w:val="24"/>
        </w:rPr>
        <w:t xml:space="preserve">recaudación estimada por parte de las </w:t>
      </w:r>
      <w:r w:rsidR="00004C90" w:rsidRPr="000842AA">
        <w:rPr>
          <w:rFonts w:ascii="Arial" w:hAnsi="Arial" w:cs="Arial"/>
          <w:szCs w:val="24"/>
        </w:rPr>
        <w:t>e</w:t>
      </w:r>
      <w:r w:rsidR="5FAEE8FE" w:rsidRPr="000842AA">
        <w:rPr>
          <w:rFonts w:ascii="Arial" w:hAnsi="Arial" w:cs="Arial"/>
          <w:szCs w:val="24"/>
        </w:rPr>
        <w:t xml:space="preserve">ntidades, </w:t>
      </w:r>
      <w:r w:rsidR="196A203E" w:rsidRPr="000842AA">
        <w:rPr>
          <w:rFonts w:ascii="Arial" w:hAnsi="Arial" w:cs="Arial"/>
          <w:szCs w:val="24"/>
        </w:rPr>
        <w:t xml:space="preserve">otros </w:t>
      </w:r>
      <w:r w:rsidR="00004C90" w:rsidRPr="000842AA">
        <w:rPr>
          <w:rFonts w:ascii="Arial" w:hAnsi="Arial" w:cs="Arial"/>
          <w:szCs w:val="24"/>
        </w:rPr>
        <w:t>p</w:t>
      </w:r>
      <w:r w:rsidR="196A203E" w:rsidRPr="000842AA">
        <w:rPr>
          <w:rFonts w:ascii="Arial" w:hAnsi="Arial" w:cs="Arial"/>
          <w:szCs w:val="24"/>
        </w:rPr>
        <w:t>oderes</w:t>
      </w:r>
      <w:r w:rsidR="3829F73E" w:rsidRPr="000842AA">
        <w:rPr>
          <w:rFonts w:ascii="Arial" w:hAnsi="Arial" w:cs="Arial"/>
          <w:szCs w:val="24"/>
        </w:rPr>
        <w:t xml:space="preserve"> </w:t>
      </w:r>
      <w:r w:rsidR="5FAEE8FE" w:rsidRPr="000842AA">
        <w:rPr>
          <w:rFonts w:ascii="Arial" w:hAnsi="Arial" w:cs="Arial"/>
          <w:szCs w:val="24"/>
        </w:rPr>
        <w:t xml:space="preserve">y </w:t>
      </w:r>
      <w:r w:rsidR="00004C90" w:rsidRPr="000842AA">
        <w:rPr>
          <w:rFonts w:ascii="Arial" w:hAnsi="Arial" w:cs="Arial"/>
          <w:szCs w:val="24"/>
        </w:rPr>
        <w:t>o</w:t>
      </w:r>
      <w:r w:rsidR="5FAEE8FE" w:rsidRPr="000842AA">
        <w:rPr>
          <w:rFonts w:ascii="Arial" w:hAnsi="Arial" w:cs="Arial"/>
          <w:szCs w:val="24"/>
        </w:rPr>
        <w:t xml:space="preserve">rganismos </w:t>
      </w:r>
      <w:r w:rsidR="00004C90" w:rsidRPr="000842AA">
        <w:rPr>
          <w:rFonts w:ascii="Arial" w:hAnsi="Arial" w:cs="Arial"/>
          <w:szCs w:val="24"/>
        </w:rPr>
        <w:t>a</w:t>
      </w:r>
      <w:r w:rsidR="5FAEE8FE" w:rsidRPr="000842AA">
        <w:rPr>
          <w:rFonts w:ascii="Arial" w:hAnsi="Arial" w:cs="Arial"/>
          <w:szCs w:val="24"/>
        </w:rPr>
        <w:t>utónomos</w:t>
      </w:r>
      <w:r w:rsidRPr="000842AA">
        <w:rPr>
          <w:rFonts w:ascii="Arial" w:hAnsi="Arial" w:cs="Arial"/>
          <w:szCs w:val="24"/>
        </w:rPr>
        <w:t xml:space="preserve"> a través de los conceptos de </w:t>
      </w:r>
      <w:r w:rsidR="00004C90" w:rsidRPr="000842AA">
        <w:rPr>
          <w:rFonts w:ascii="Arial" w:hAnsi="Arial" w:cs="Arial"/>
          <w:szCs w:val="24"/>
        </w:rPr>
        <w:t>c</w:t>
      </w:r>
      <w:r w:rsidRPr="000842AA">
        <w:rPr>
          <w:rFonts w:ascii="Arial" w:hAnsi="Arial" w:cs="Arial"/>
          <w:szCs w:val="24"/>
        </w:rPr>
        <w:t xml:space="preserve">uotas de </w:t>
      </w:r>
      <w:r w:rsidR="00004C90" w:rsidRPr="000842AA">
        <w:rPr>
          <w:rFonts w:ascii="Arial" w:hAnsi="Arial" w:cs="Arial"/>
          <w:szCs w:val="24"/>
        </w:rPr>
        <w:t>a</w:t>
      </w:r>
      <w:r w:rsidRPr="000842AA">
        <w:rPr>
          <w:rFonts w:ascii="Arial" w:hAnsi="Arial" w:cs="Arial"/>
          <w:szCs w:val="24"/>
        </w:rPr>
        <w:t xml:space="preserve">portación de </w:t>
      </w:r>
      <w:r w:rsidR="00004C90" w:rsidRPr="000842AA">
        <w:rPr>
          <w:rFonts w:ascii="Arial" w:hAnsi="Arial" w:cs="Arial"/>
          <w:szCs w:val="24"/>
        </w:rPr>
        <w:t>s</w:t>
      </w:r>
      <w:r w:rsidRPr="000842AA">
        <w:rPr>
          <w:rFonts w:ascii="Arial" w:hAnsi="Arial" w:cs="Arial"/>
          <w:szCs w:val="24"/>
        </w:rPr>
        <w:t xml:space="preserve">eguridad </w:t>
      </w:r>
      <w:r w:rsidR="00004C90" w:rsidRPr="000842AA">
        <w:rPr>
          <w:rFonts w:ascii="Arial" w:hAnsi="Arial" w:cs="Arial"/>
          <w:szCs w:val="24"/>
        </w:rPr>
        <w:t>s</w:t>
      </w:r>
      <w:r w:rsidRPr="000842AA">
        <w:rPr>
          <w:rFonts w:ascii="Arial" w:hAnsi="Arial" w:cs="Arial"/>
          <w:szCs w:val="24"/>
        </w:rPr>
        <w:t xml:space="preserve">ocial por $1,964 </w:t>
      </w:r>
      <w:r w:rsidR="00004C90" w:rsidRPr="000842AA">
        <w:rPr>
          <w:rFonts w:ascii="Arial" w:hAnsi="Arial" w:cs="Arial"/>
          <w:szCs w:val="24"/>
        </w:rPr>
        <w:t xml:space="preserve">mdp </w:t>
      </w:r>
      <w:r w:rsidR="47114A66" w:rsidRPr="000842AA">
        <w:rPr>
          <w:rFonts w:ascii="Arial" w:hAnsi="Arial" w:cs="Arial"/>
          <w:szCs w:val="24"/>
        </w:rPr>
        <w:t>y,</w:t>
      </w:r>
      <w:r w:rsidRPr="000842AA">
        <w:rPr>
          <w:rFonts w:ascii="Arial" w:hAnsi="Arial" w:cs="Arial"/>
          <w:szCs w:val="24"/>
        </w:rPr>
        <w:t xml:space="preserve"> de </w:t>
      </w:r>
      <w:r w:rsidR="00004C90" w:rsidRPr="000842AA">
        <w:rPr>
          <w:rFonts w:ascii="Arial" w:hAnsi="Arial" w:cs="Arial"/>
          <w:szCs w:val="24"/>
        </w:rPr>
        <w:t>v</w:t>
      </w:r>
      <w:r w:rsidRPr="000842AA">
        <w:rPr>
          <w:rFonts w:ascii="Arial" w:hAnsi="Arial" w:cs="Arial"/>
          <w:szCs w:val="24"/>
        </w:rPr>
        <w:t xml:space="preserve">enta de </w:t>
      </w:r>
      <w:r w:rsidR="00004C90" w:rsidRPr="000842AA">
        <w:rPr>
          <w:rFonts w:ascii="Arial" w:hAnsi="Arial" w:cs="Arial"/>
          <w:szCs w:val="24"/>
        </w:rPr>
        <w:t>b</w:t>
      </w:r>
      <w:r w:rsidRPr="000842AA">
        <w:rPr>
          <w:rFonts w:ascii="Arial" w:hAnsi="Arial" w:cs="Arial"/>
          <w:szCs w:val="24"/>
        </w:rPr>
        <w:t xml:space="preserve">ienes y </w:t>
      </w:r>
      <w:r w:rsidR="00004C90" w:rsidRPr="000842AA">
        <w:rPr>
          <w:rFonts w:ascii="Arial" w:hAnsi="Arial" w:cs="Arial"/>
          <w:szCs w:val="24"/>
        </w:rPr>
        <w:t>s</w:t>
      </w:r>
      <w:r w:rsidRPr="000842AA">
        <w:rPr>
          <w:rFonts w:ascii="Arial" w:hAnsi="Arial" w:cs="Arial"/>
          <w:szCs w:val="24"/>
        </w:rPr>
        <w:t>ervicios por $3,4</w:t>
      </w:r>
      <w:r w:rsidR="00C44268" w:rsidRPr="000842AA">
        <w:rPr>
          <w:rFonts w:ascii="Arial" w:hAnsi="Arial" w:cs="Arial"/>
          <w:szCs w:val="24"/>
        </w:rPr>
        <w:t>4</w:t>
      </w:r>
      <w:r w:rsidR="00AA6BEF" w:rsidRPr="000842AA">
        <w:rPr>
          <w:rFonts w:ascii="Arial" w:hAnsi="Arial" w:cs="Arial"/>
          <w:szCs w:val="24"/>
        </w:rPr>
        <w:t>0</w:t>
      </w:r>
      <w:r w:rsidRPr="000842AA">
        <w:rPr>
          <w:rFonts w:ascii="Arial" w:hAnsi="Arial" w:cs="Arial"/>
          <w:szCs w:val="24"/>
        </w:rPr>
        <w:t xml:space="preserve"> </w:t>
      </w:r>
      <w:r w:rsidR="003B4032" w:rsidRPr="000842AA">
        <w:rPr>
          <w:rFonts w:ascii="Arial" w:hAnsi="Arial" w:cs="Arial"/>
          <w:szCs w:val="24"/>
        </w:rPr>
        <w:t>mdp.</w:t>
      </w:r>
      <w:r w:rsidRPr="000842AA">
        <w:rPr>
          <w:rFonts w:ascii="Arial" w:hAnsi="Arial" w:cs="Arial"/>
          <w:szCs w:val="24"/>
        </w:rPr>
        <w:t xml:space="preserve"> </w:t>
      </w:r>
    </w:p>
    <w:p w14:paraId="2E507AA3" w14:textId="1A9686AE" w:rsidR="006C6157" w:rsidRPr="000842AA" w:rsidRDefault="60EA433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Del mismo modo, durante el ejercicio, se espera disponer $1,</w:t>
      </w:r>
      <w:r w:rsidR="1BD0E683" w:rsidRPr="000842AA">
        <w:rPr>
          <w:rFonts w:ascii="Arial" w:hAnsi="Arial" w:cs="Arial"/>
          <w:szCs w:val="24"/>
        </w:rPr>
        <w:t>633</w:t>
      </w:r>
      <w:r w:rsidRPr="000842AA">
        <w:rPr>
          <w:rFonts w:ascii="Arial" w:hAnsi="Arial" w:cs="Arial"/>
          <w:szCs w:val="24"/>
        </w:rPr>
        <w:t xml:space="preserve"> </w:t>
      </w:r>
      <w:r w:rsidR="003B4032" w:rsidRPr="000842AA">
        <w:rPr>
          <w:rFonts w:ascii="Arial" w:hAnsi="Arial" w:cs="Arial"/>
          <w:szCs w:val="24"/>
        </w:rPr>
        <w:t>mdp</w:t>
      </w:r>
      <w:r w:rsidRPr="000842AA">
        <w:rPr>
          <w:rFonts w:ascii="Arial" w:hAnsi="Arial" w:cs="Arial"/>
          <w:szCs w:val="24"/>
        </w:rPr>
        <w:t xml:space="preserve"> </w:t>
      </w:r>
      <w:r w:rsidR="5B93B315" w:rsidRPr="000842AA">
        <w:rPr>
          <w:rFonts w:ascii="Arial" w:hAnsi="Arial" w:cs="Arial"/>
          <w:szCs w:val="24"/>
        </w:rPr>
        <w:t>que corresponden</w:t>
      </w:r>
      <w:r w:rsidRPr="000842AA">
        <w:rPr>
          <w:rFonts w:ascii="Arial" w:hAnsi="Arial" w:cs="Arial"/>
          <w:szCs w:val="24"/>
        </w:rPr>
        <w:t xml:space="preserve"> al financiamiento de largo plazo </w:t>
      </w:r>
      <w:r w:rsidR="447B0A45" w:rsidRPr="000842AA">
        <w:rPr>
          <w:rFonts w:ascii="Arial" w:hAnsi="Arial" w:cs="Arial"/>
          <w:szCs w:val="24"/>
        </w:rPr>
        <w:t xml:space="preserve">“Ampliación </w:t>
      </w:r>
      <w:r w:rsidR="04DC4E17" w:rsidRPr="000842AA">
        <w:rPr>
          <w:rFonts w:ascii="Arial" w:hAnsi="Arial" w:cs="Arial"/>
          <w:szCs w:val="24"/>
        </w:rPr>
        <w:t>Puerto</w:t>
      </w:r>
      <w:r w:rsidRPr="000842AA">
        <w:rPr>
          <w:rFonts w:ascii="Arial" w:hAnsi="Arial" w:cs="Arial"/>
          <w:szCs w:val="24"/>
        </w:rPr>
        <w:t xml:space="preserve"> de Altura de Progreso y Obras Complementarias</w:t>
      </w:r>
      <w:r w:rsidR="68DD9ABD" w:rsidRPr="000842AA">
        <w:rPr>
          <w:rFonts w:ascii="Arial" w:hAnsi="Arial" w:cs="Arial"/>
          <w:szCs w:val="24"/>
        </w:rPr>
        <w:t>”</w:t>
      </w:r>
      <w:r w:rsidRPr="000842AA">
        <w:rPr>
          <w:rFonts w:ascii="Arial" w:hAnsi="Arial" w:cs="Arial"/>
          <w:szCs w:val="24"/>
        </w:rPr>
        <w:t xml:space="preserve"> autorizado en 2023</w:t>
      </w:r>
      <w:r w:rsidR="4DD4D526" w:rsidRPr="000842AA">
        <w:rPr>
          <w:rFonts w:ascii="Arial" w:hAnsi="Arial" w:cs="Arial"/>
          <w:szCs w:val="24"/>
        </w:rPr>
        <w:t>.</w:t>
      </w:r>
    </w:p>
    <w:p w14:paraId="607D7DB4" w14:textId="2862CD5E" w:rsidR="006C6157" w:rsidRPr="000842AA" w:rsidRDefault="60EA4332" w:rsidP="003466C4">
      <w:pPr>
        <w:keepNext/>
        <w:keepLines/>
        <w:suppressAutoHyphens/>
        <w:spacing w:before="100" w:beforeAutospacing="1" w:after="100" w:afterAutospacing="1" w:line="240" w:lineRule="auto"/>
        <w:jc w:val="both"/>
        <w:outlineLvl w:val="1"/>
        <w:rPr>
          <w:rFonts w:ascii="Arial" w:eastAsia="Times New Roman" w:hAnsi="Arial" w:cs="Arial"/>
          <w:i/>
          <w:szCs w:val="24"/>
          <w:lang w:eastAsia="en-US"/>
        </w:rPr>
      </w:pPr>
      <w:bookmarkStart w:id="0" w:name="_Toc57036866"/>
      <w:r w:rsidRPr="000842AA">
        <w:rPr>
          <w:rFonts w:ascii="Arial" w:eastAsia="Times New Roman" w:hAnsi="Arial" w:cs="Arial"/>
          <w:i/>
          <w:szCs w:val="24"/>
          <w:lang w:eastAsia="en-US"/>
        </w:rPr>
        <w:t>4.1. Modificaciones a ingresos fiscales</w:t>
      </w:r>
      <w:bookmarkEnd w:id="0"/>
    </w:p>
    <w:p w14:paraId="1D856644" w14:textId="67C9CD9C" w:rsidR="4DD4D526"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Para el ejercicio fiscal 202</w:t>
      </w:r>
      <w:r w:rsidR="00F93B56" w:rsidRPr="000842AA">
        <w:rPr>
          <w:rFonts w:ascii="Arial" w:hAnsi="Arial" w:cs="Arial"/>
          <w:szCs w:val="24"/>
        </w:rPr>
        <w:t>5</w:t>
      </w:r>
      <w:r w:rsidRPr="000842AA">
        <w:rPr>
          <w:rFonts w:ascii="Arial" w:hAnsi="Arial" w:cs="Arial"/>
          <w:szCs w:val="24"/>
        </w:rPr>
        <w:t xml:space="preserve">, el Gobierno del </w:t>
      </w:r>
      <w:r w:rsidR="00004C90" w:rsidRPr="000842AA">
        <w:rPr>
          <w:rFonts w:ascii="Arial" w:hAnsi="Arial" w:cs="Arial"/>
          <w:szCs w:val="24"/>
        </w:rPr>
        <w:t>E</w:t>
      </w:r>
      <w:r w:rsidRPr="000842AA">
        <w:rPr>
          <w:rFonts w:ascii="Arial" w:hAnsi="Arial" w:cs="Arial"/>
          <w:szCs w:val="24"/>
        </w:rPr>
        <w:t xml:space="preserve">stado, no prevé la implementación de nuevos impuestos, </w:t>
      </w:r>
      <w:r w:rsidR="00CF770A" w:rsidRPr="000842AA">
        <w:rPr>
          <w:rFonts w:ascii="Arial" w:hAnsi="Arial" w:cs="Arial"/>
          <w:szCs w:val="24"/>
        </w:rPr>
        <w:t>p</w:t>
      </w:r>
      <w:r w:rsidRPr="000842AA">
        <w:rPr>
          <w:rFonts w:ascii="Arial" w:hAnsi="Arial" w:cs="Arial"/>
          <w:szCs w:val="24"/>
        </w:rPr>
        <w:t xml:space="preserve">roductos o aprovechamientos. </w:t>
      </w:r>
    </w:p>
    <w:p w14:paraId="68353718" w14:textId="3F0E5045" w:rsidR="4DD4D526" w:rsidRPr="000842AA" w:rsidRDefault="4DD4D526" w:rsidP="003466C4">
      <w:pPr>
        <w:spacing w:beforeAutospacing="1" w:afterAutospacing="1" w:line="240" w:lineRule="auto"/>
        <w:jc w:val="both"/>
        <w:rPr>
          <w:rFonts w:ascii="Arial" w:hAnsi="Arial" w:cs="Arial"/>
          <w:szCs w:val="24"/>
        </w:rPr>
      </w:pPr>
      <w:r w:rsidRPr="000842AA">
        <w:rPr>
          <w:rFonts w:ascii="Arial" w:eastAsia="Arial" w:hAnsi="Arial" w:cs="Arial"/>
          <w:szCs w:val="24"/>
        </w:rPr>
        <w:t xml:space="preserve">Finalmente, se implementará una estrategia integral para </w:t>
      </w:r>
      <w:r w:rsidR="5FAEE8FE" w:rsidRPr="000842AA">
        <w:rPr>
          <w:rFonts w:ascii="Arial" w:eastAsia="Arial" w:hAnsi="Arial" w:cs="Arial"/>
          <w:szCs w:val="24"/>
        </w:rPr>
        <w:t>aumentar</w:t>
      </w:r>
      <w:r w:rsidRPr="000842AA">
        <w:rPr>
          <w:rFonts w:ascii="Arial" w:eastAsia="Arial" w:hAnsi="Arial" w:cs="Arial"/>
          <w:szCs w:val="24"/>
        </w:rPr>
        <w:t xml:space="preserve"> la </w:t>
      </w:r>
      <w:r w:rsidR="5FAEE8FE" w:rsidRPr="000842AA">
        <w:rPr>
          <w:rFonts w:ascii="Arial" w:eastAsia="Arial" w:hAnsi="Arial" w:cs="Arial"/>
          <w:szCs w:val="24"/>
        </w:rPr>
        <w:t>base</w:t>
      </w:r>
      <w:r w:rsidR="002E6149" w:rsidRPr="000842AA">
        <w:rPr>
          <w:rFonts w:ascii="Arial" w:eastAsia="Arial" w:hAnsi="Arial" w:cs="Arial"/>
          <w:szCs w:val="24"/>
        </w:rPr>
        <w:t xml:space="preserve"> </w:t>
      </w:r>
      <w:r w:rsidR="60EA4332" w:rsidRPr="000842AA">
        <w:rPr>
          <w:rFonts w:ascii="Arial" w:eastAsia="Arial" w:hAnsi="Arial" w:cs="Arial"/>
          <w:szCs w:val="24"/>
        </w:rPr>
        <w:t>recaudatoria</w:t>
      </w:r>
      <w:r w:rsidRPr="000842AA">
        <w:rPr>
          <w:rFonts w:ascii="Arial" w:eastAsia="Arial" w:hAnsi="Arial" w:cs="Arial"/>
          <w:szCs w:val="24"/>
        </w:rPr>
        <w:t xml:space="preserve">, </w:t>
      </w:r>
      <w:r w:rsidR="5FAEE8FE" w:rsidRPr="000842AA">
        <w:rPr>
          <w:rFonts w:ascii="Arial" w:eastAsia="Arial" w:hAnsi="Arial" w:cs="Arial"/>
          <w:szCs w:val="24"/>
        </w:rPr>
        <w:t>la cual supone la implementación de</w:t>
      </w:r>
      <w:r w:rsidRPr="000842AA">
        <w:rPr>
          <w:rFonts w:ascii="Arial" w:eastAsia="Arial" w:hAnsi="Arial" w:cs="Arial"/>
          <w:szCs w:val="24"/>
        </w:rPr>
        <w:t xml:space="preserve"> mecanismos de vigilancia y control más sólidos para garantizar el cumplimiento de las obligaciones fiscales, permitiendo identificar omisiones o variaciones significativas. Asimismo, se invitará a los contribuyentes a corregir inconsistencias mediante herramientas y procesos que faciliten su regularización</w:t>
      </w:r>
      <w:r w:rsidRPr="000842AA">
        <w:rPr>
          <w:rFonts w:ascii="Arial" w:hAnsi="Arial" w:cs="Arial"/>
          <w:szCs w:val="24"/>
        </w:rPr>
        <w:t>.</w:t>
      </w:r>
    </w:p>
    <w:p w14:paraId="49BF8A44" w14:textId="77777777" w:rsidR="006C6157" w:rsidRPr="000842AA" w:rsidRDefault="60EA4332" w:rsidP="003466C4">
      <w:pPr>
        <w:keepNext/>
        <w:keepLines/>
        <w:suppressAutoHyphens/>
        <w:spacing w:before="100" w:beforeAutospacing="1" w:after="100" w:afterAutospacing="1" w:line="240" w:lineRule="auto"/>
        <w:jc w:val="both"/>
        <w:outlineLvl w:val="0"/>
        <w:rPr>
          <w:rFonts w:ascii="Arial" w:eastAsia="Times New Roman" w:hAnsi="Arial" w:cs="Arial"/>
          <w:b/>
          <w:bCs/>
          <w:szCs w:val="24"/>
          <w:lang w:eastAsia="en-US"/>
        </w:rPr>
      </w:pPr>
      <w:bookmarkStart w:id="1" w:name="_Toc57036869"/>
      <w:r w:rsidRPr="000842AA">
        <w:rPr>
          <w:rFonts w:ascii="Arial" w:eastAsia="Times New Roman" w:hAnsi="Arial" w:cs="Arial"/>
          <w:b/>
          <w:bCs/>
          <w:szCs w:val="24"/>
          <w:lang w:eastAsia="en-US"/>
        </w:rPr>
        <w:t>5. Riesgos relevantes para las finanzas públicas</w:t>
      </w:r>
      <w:bookmarkEnd w:id="1"/>
    </w:p>
    <w:p w14:paraId="5428220D" w14:textId="664BEEB0" w:rsidR="006C6157"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 xml:space="preserve">En cumplimiento de lo establecido en </w:t>
      </w:r>
      <w:r w:rsidR="006828E0" w:rsidRPr="000842AA">
        <w:rPr>
          <w:rFonts w:ascii="Arial" w:hAnsi="Arial" w:cs="Arial"/>
          <w:szCs w:val="24"/>
        </w:rPr>
        <w:t xml:space="preserve">los </w:t>
      </w:r>
      <w:r w:rsidRPr="000842AA">
        <w:rPr>
          <w:rFonts w:ascii="Arial" w:hAnsi="Arial" w:cs="Arial"/>
          <w:szCs w:val="24"/>
        </w:rPr>
        <w:t>artículo</w:t>
      </w:r>
      <w:r w:rsidR="006828E0" w:rsidRPr="000842AA">
        <w:rPr>
          <w:rFonts w:ascii="Arial" w:hAnsi="Arial" w:cs="Arial"/>
          <w:szCs w:val="24"/>
        </w:rPr>
        <w:t>s</w:t>
      </w:r>
      <w:r w:rsidRPr="000842AA">
        <w:rPr>
          <w:rFonts w:ascii="Arial" w:hAnsi="Arial" w:cs="Arial"/>
          <w:szCs w:val="24"/>
        </w:rPr>
        <w:t xml:space="preserve"> 5, fracción III, de la Ley de Disciplina Financiera de las Entidades Federativas y los Municipios, y 20, fracción III, de la Ley del Presupuesto y Contabilidad Gubernamental del Estado de Yucatán, se presentan los principales riesgos que se detectan para los ingresos que </w:t>
      </w:r>
      <w:r w:rsidR="006828E0" w:rsidRPr="000842AA">
        <w:rPr>
          <w:rFonts w:ascii="Arial" w:hAnsi="Arial" w:cs="Arial"/>
          <w:szCs w:val="24"/>
        </w:rPr>
        <w:t xml:space="preserve">se </w:t>
      </w:r>
      <w:r w:rsidRPr="000842AA">
        <w:rPr>
          <w:rFonts w:ascii="Arial" w:hAnsi="Arial" w:cs="Arial"/>
          <w:szCs w:val="24"/>
        </w:rPr>
        <w:t xml:space="preserve">estima percibir el </w:t>
      </w:r>
      <w:r w:rsidR="006828E0" w:rsidRPr="000842AA">
        <w:rPr>
          <w:rFonts w:ascii="Arial" w:hAnsi="Arial" w:cs="Arial"/>
          <w:szCs w:val="24"/>
        </w:rPr>
        <w:t>E</w:t>
      </w:r>
      <w:r w:rsidRPr="000842AA">
        <w:rPr>
          <w:rFonts w:ascii="Arial" w:hAnsi="Arial" w:cs="Arial"/>
          <w:szCs w:val="24"/>
        </w:rPr>
        <w:t>stado en el ejercicio fiscal 202</w:t>
      </w:r>
      <w:r w:rsidR="00F93B56" w:rsidRPr="000842AA">
        <w:rPr>
          <w:rFonts w:ascii="Arial" w:hAnsi="Arial" w:cs="Arial"/>
          <w:szCs w:val="24"/>
        </w:rPr>
        <w:t>5</w:t>
      </w:r>
      <w:r w:rsidRPr="000842AA">
        <w:rPr>
          <w:rFonts w:ascii="Arial" w:hAnsi="Arial" w:cs="Arial"/>
          <w:szCs w:val="24"/>
        </w:rPr>
        <w:t>:</w:t>
      </w:r>
    </w:p>
    <w:p w14:paraId="36753C52" w14:textId="0EF3C142" w:rsidR="006C6157" w:rsidRPr="000842AA" w:rsidRDefault="00B72418" w:rsidP="003B4D0B">
      <w:pPr>
        <w:shd w:val="clear" w:color="auto" w:fill="FFFFFF" w:themeFill="background1"/>
        <w:suppressAutoHyphens/>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a</w:t>
      </w:r>
      <w:r w:rsidR="60EA4332" w:rsidRPr="000842AA">
        <w:rPr>
          <w:rFonts w:ascii="Arial" w:hAnsi="Arial" w:cs="Arial"/>
          <w:szCs w:val="24"/>
        </w:rPr>
        <w:t xml:space="preserve">) </w:t>
      </w:r>
      <w:r w:rsidR="60EA4332" w:rsidRPr="000842AA">
        <w:rPr>
          <w:rFonts w:ascii="Arial" w:hAnsi="Arial" w:cs="Arial"/>
          <w:szCs w:val="24"/>
          <w:u w:val="single"/>
        </w:rPr>
        <w:t xml:space="preserve">Recaudación Federal Participable. </w:t>
      </w:r>
      <w:r w:rsidR="60EA4332" w:rsidRPr="000842AA">
        <w:rPr>
          <w:rFonts w:ascii="Arial" w:hAnsi="Arial" w:cs="Arial"/>
          <w:szCs w:val="24"/>
        </w:rPr>
        <w:t>En caso de presentarse un entorno económico con mayor inflación y menor crecimiento que el estimado por la Secretaría de Hacienda y Crédito Público, existe el riesgo que esta coyuntura no permita el logro de las metas de recaudación federal planteadas en el Proyecto de Presupuesto de Egresos de la Federación. En este caso, los ingresos de fondos de Participaciones referenciados a la Recaudación Federal Participable podrían ser menores a lo estimado</w:t>
      </w:r>
      <w:r w:rsidR="00B54551" w:rsidRPr="000842AA">
        <w:rPr>
          <w:rFonts w:ascii="Arial" w:hAnsi="Arial" w:cs="Arial"/>
          <w:szCs w:val="24"/>
        </w:rPr>
        <w:t xml:space="preserve"> y el Fondo de Estabilización para los Ingresos de las Entidades Federativas (FEIEF) podría verse potencializado.</w:t>
      </w:r>
    </w:p>
    <w:p w14:paraId="4A97D5ED" w14:textId="42923926" w:rsidR="006C6157" w:rsidRPr="000842AA" w:rsidRDefault="00B72418" w:rsidP="003B4D0B">
      <w:pPr>
        <w:suppressAutoHyphens/>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b</w:t>
      </w:r>
      <w:r w:rsidR="006C6157" w:rsidRPr="000842AA">
        <w:rPr>
          <w:rFonts w:ascii="Arial" w:hAnsi="Arial" w:cs="Arial"/>
          <w:szCs w:val="24"/>
        </w:rPr>
        <w:t xml:space="preserve">) </w:t>
      </w:r>
      <w:r w:rsidR="006C6157" w:rsidRPr="000842AA">
        <w:rPr>
          <w:rFonts w:ascii="Arial" w:hAnsi="Arial" w:cs="Arial"/>
          <w:szCs w:val="24"/>
          <w:u w:val="single"/>
        </w:rPr>
        <w:t>Ajustes a las participaciones por el cálculo del coe</w:t>
      </w:r>
      <w:r w:rsidR="00F93B56" w:rsidRPr="000842AA">
        <w:rPr>
          <w:rFonts w:ascii="Arial" w:hAnsi="Arial" w:cs="Arial"/>
          <w:szCs w:val="24"/>
          <w:u w:val="single"/>
        </w:rPr>
        <w:t>ficiente de participaciones 2025</w:t>
      </w:r>
      <w:r w:rsidR="006C6157" w:rsidRPr="000842AA">
        <w:rPr>
          <w:rFonts w:ascii="Arial" w:hAnsi="Arial" w:cs="Arial"/>
          <w:szCs w:val="24"/>
          <w:u w:val="single"/>
        </w:rPr>
        <w:t>.</w:t>
      </w:r>
      <w:r w:rsidR="006C6157" w:rsidRPr="000842AA">
        <w:rPr>
          <w:rFonts w:ascii="Arial" w:hAnsi="Arial" w:cs="Arial"/>
          <w:i/>
          <w:szCs w:val="24"/>
        </w:rPr>
        <w:t xml:space="preserve"> </w:t>
      </w:r>
      <w:r w:rsidR="006C6157" w:rsidRPr="000842AA">
        <w:rPr>
          <w:rFonts w:ascii="Arial" w:hAnsi="Arial" w:cs="Arial"/>
          <w:szCs w:val="24"/>
        </w:rPr>
        <w:t xml:space="preserve">El coeficiente aplicado para la distribución de recursos del Fondo General de Participaciones se modifica cada año en función de los resultados de recaudación publicados en las </w:t>
      </w:r>
      <w:r w:rsidR="006828E0" w:rsidRPr="000842AA">
        <w:rPr>
          <w:rFonts w:ascii="Arial" w:hAnsi="Arial" w:cs="Arial"/>
          <w:szCs w:val="24"/>
        </w:rPr>
        <w:t>c</w:t>
      </w:r>
      <w:r w:rsidR="006C6157" w:rsidRPr="000842AA">
        <w:rPr>
          <w:rFonts w:ascii="Arial" w:hAnsi="Arial" w:cs="Arial"/>
          <w:szCs w:val="24"/>
        </w:rPr>
        <w:t xml:space="preserve">uentas </w:t>
      </w:r>
      <w:r w:rsidR="006828E0" w:rsidRPr="000842AA">
        <w:rPr>
          <w:rFonts w:ascii="Arial" w:hAnsi="Arial" w:cs="Arial"/>
          <w:szCs w:val="24"/>
        </w:rPr>
        <w:t>p</w:t>
      </w:r>
      <w:r w:rsidR="006C6157" w:rsidRPr="000842AA">
        <w:rPr>
          <w:rFonts w:ascii="Arial" w:hAnsi="Arial" w:cs="Arial"/>
          <w:szCs w:val="24"/>
        </w:rPr>
        <w:t xml:space="preserve">úblicas previas inmediatas. </w:t>
      </w:r>
    </w:p>
    <w:p w14:paraId="5840D0E2" w14:textId="0FF0A1BF" w:rsidR="00F93B56" w:rsidRPr="000842AA" w:rsidRDefault="00B72418" w:rsidP="003B4D0B">
      <w:pPr>
        <w:suppressAutoHyphens/>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c</w:t>
      </w:r>
      <w:r w:rsidR="006C6157" w:rsidRPr="000842AA">
        <w:rPr>
          <w:rFonts w:ascii="Arial" w:hAnsi="Arial" w:cs="Arial"/>
          <w:szCs w:val="24"/>
        </w:rPr>
        <w:t>)</w:t>
      </w:r>
      <w:r w:rsidR="006C6157" w:rsidRPr="000842AA">
        <w:rPr>
          <w:rFonts w:ascii="Arial" w:hAnsi="Arial" w:cs="Arial"/>
          <w:i/>
          <w:szCs w:val="24"/>
        </w:rPr>
        <w:t xml:space="preserve"> </w:t>
      </w:r>
      <w:r w:rsidR="006C6157" w:rsidRPr="000842AA">
        <w:rPr>
          <w:rFonts w:ascii="Arial" w:hAnsi="Arial" w:cs="Arial"/>
          <w:szCs w:val="24"/>
          <w:u w:val="single"/>
        </w:rPr>
        <w:t>Modificaciones fiscales y presupuestales del Gobierno federal.</w:t>
      </w:r>
      <w:r w:rsidR="006C6157" w:rsidRPr="000842AA">
        <w:rPr>
          <w:rFonts w:ascii="Arial" w:hAnsi="Arial" w:cs="Arial"/>
          <w:i/>
          <w:szCs w:val="24"/>
        </w:rPr>
        <w:t xml:space="preserve"> </w:t>
      </w:r>
      <w:r w:rsidR="006C6157" w:rsidRPr="000842AA">
        <w:rPr>
          <w:rFonts w:ascii="Arial" w:hAnsi="Arial" w:cs="Arial"/>
          <w:szCs w:val="24"/>
        </w:rPr>
        <w:t xml:space="preserve">Este riesgo se refiere a los recursos que operan las entidades federativas a través de la firma de convenios de colaboración con la federación. Existe incertidumbre sobre si habrá cambios en el marco fiscal vigente o en los programas federales que actualmente existen. El Gobierno del </w:t>
      </w:r>
      <w:r w:rsidR="5FAEE8FE" w:rsidRPr="000842AA">
        <w:rPr>
          <w:rFonts w:ascii="Arial" w:hAnsi="Arial" w:cs="Arial"/>
          <w:szCs w:val="24"/>
        </w:rPr>
        <w:t>Estado</w:t>
      </w:r>
      <w:r w:rsidR="006C6157" w:rsidRPr="000842AA">
        <w:rPr>
          <w:rFonts w:ascii="Arial" w:hAnsi="Arial" w:cs="Arial"/>
          <w:szCs w:val="24"/>
        </w:rPr>
        <w:t xml:space="preserve"> ha seguido la estrategia de gestionar y dar cumplimiento a los requisitos para la firma de convenios para la obtención de recursos. </w:t>
      </w:r>
    </w:p>
    <w:p w14:paraId="0D13987C" w14:textId="7601108A" w:rsidR="002410EA" w:rsidRPr="000842AA" w:rsidRDefault="006C6157" w:rsidP="003B4D0B">
      <w:pPr>
        <w:suppressAutoHyphens/>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En este se</w:t>
      </w:r>
      <w:r w:rsidR="00F93B56" w:rsidRPr="000842AA">
        <w:rPr>
          <w:rFonts w:ascii="Arial" w:hAnsi="Arial" w:cs="Arial"/>
          <w:szCs w:val="24"/>
        </w:rPr>
        <w:t>ntido, el paquete económico 2025</w:t>
      </w:r>
      <w:r w:rsidRPr="000842AA">
        <w:rPr>
          <w:rFonts w:ascii="Arial" w:hAnsi="Arial" w:cs="Arial"/>
          <w:szCs w:val="24"/>
        </w:rPr>
        <w:t xml:space="preserve"> propuesto al H. Congreso del Estado de Yucatán ha estimado los ingresos únicamente de aquellos convenios para los que se asignaron recursos en el </w:t>
      </w:r>
      <w:r w:rsidR="2A7714D4" w:rsidRPr="000842AA">
        <w:rPr>
          <w:rFonts w:ascii="Arial" w:hAnsi="Arial" w:cs="Arial"/>
          <w:szCs w:val="24"/>
        </w:rPr>
        <w:t xml:space="preserve">Proyecto </w:t>
      </w:r>
      <w:r w:rsidR="70C7FC39" w:rsidRPr="000842AA">
        <w:rPr>
          <w:rFonts w:ascii="Arial" w:hAnsi="Arial" w:cs="Arial"/>
          <w:szCs w:val="24"/>
        </w:rPr>
        <w:t>del Presupuesto</w:t>
      </w:r>
      <w:r w:rsidRPr="000842AA">
        <w:rPr>
          <w:rFonts w:ascii="Arial" w:hAnsi="Arial" w:cs="Arial"/>
          <w:szCs w:val="24"/>
        </w:rPr>
        <w:t xml:space="preserve"> </w:t>
      </w:r>
      <w:r w:rsidR="00F93B56" w:rsidRPr="000842AA">
        <w:rPr>
          <w:rFonts w:ascii="Arial" w:hAnsi="Arial" w:cs="Arial"/>
          <w:szCs w:val="24"/>
        </w:rPr>
        <w:t>de Egresos de la Federación 2025</w:t>
      </w:r>
      <w:r w:rsidRPr="000842AA">
        <w:rPr>
          <w:rFonts w:ascii="Arial" w:hAnsi="Arial" w:cs="Arial"/>
          <w:szCs w:val="24"/>
        </w:rPr>
        <w:t>.</w:t>
      </w:r>
    </w:p>
    <w:p w14:paraId="20CE3C33" w14:textId="40D65A2B" w:rsidR="006C6157" w:rsidRPr="000842AA" w:rsidRDefault="002410EA" w:rsidP="003B4D0B">
      <w:pPr>
        <w:suppressAutoHyphens/>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d</w:t>
      </w:r>
      <w:r w:rsidR="006C6157" w:rsidRPr="000842AA">
        <w:rPr>
          <w:rFonts w:ascii="Arial" w:hAnsi="Arial" w:cs="Arial"/>
          <w:szCs w:val="24"/>
        </w:rPr>
        <w:t>)</w:t>
      </w:r>
      <w:r w:rsidR="006C6157" w:rsidRPr="000842AA">
        <w:rPr>
          <w:rFonts w:ascii="Arial" w:hAnsi="Arial" w:cs="Arial"/>
          <w:i/>
          <w:szCs w:val="24"/>
        </w:rPr>
        <w:t xml:space="preserve"> </w:t>
      </w:r>
      <w:r w:rsidR="006C6157" w:rsidRPr="000842AA">
        <w:rPr>
          <w:rFonts w:ascii="Arial" w:hAnsi="Arial" w:cs="Arial"/>
          <w:szCs w:val="24"/>
          <w:u w:val="single"/>
        </w:rPr>
        <w:t>Modificación de la tasa de referencia.</w:t>
      </w:r>
      <w:r w:rsidR="006C6157" w:rsidRPr="000842AA">
        <w:rPr>
          <w:rFonts w:ascii="Arial" w:hAnsi="Arial" w:cs="Arial"/>
          <w:i/>
          <w:szCs w:val="24"/>
        </w:rPr>
        <w:t xml:space="preserve"> </w:t>
      </w:r>
      <w:r w:rsidR="006C6157" w:rsidRPr="000842AA">
        <w:rPr>
          <w:rFonts w:ascii="Arial" w:hAnsi="Arial" w:cs="Arial"/>
          <w:szCs w:val="24"/>
        </w:rPr>
        <w:t xml:space="preserve">Un escenario con inflación mayor a la estimada por Secretaría de Hacienda y Crédito </w:t>
      </w:r>
      <w:r w:rsidR="0013757D" w:rsidRPr="000842AA">
        <w:rPr>
          <w:rFonts w:ascii="Arial" w:hAnsi="Arial" w:cs="Arial"/>
          <w:szCs w:val="24"/>
        </w:rPr>
        <w:t>Público</w:t>
      </w:r>
      <w:r w:rsidR="006C6157" w:rsidRPr="000842AA">
        <w:rPr>
          <w:rFonts w:ascii="Arial" w:hAnsi="Arial" w:cs="Arial"/>
          <w:szCs w:val="24"/>
        </w:rPr>
        <w:t xml:space="preserve"> podría resultar en </w:t>
      </w:r>
      <w:r w:rsidR="00F40754" w:rsidRPr="000842AA">
        <w:rPr>
          <w:rFonts w:ascii="Arial" w:hAnsi="Arial" w:cs="Arial"/>
          <w:szCs w:val="24"/>
        </w:rPr>
        <w:t xml:space="preserve">una </w:t>
      </w:r>
      <w:r w:rsidR="006C6157" w:rsidRPr="000842AA">
        <w:rPr>
          <w:rFonts w:ascii="Arial" w:hAnsi="Arial" w:cs="Arial"/>
          <w:szCs w:val="24"/>
        </w:rPr>
        <w:t xml:space="preserve">política monetaria con </w:t>
      </w:r>
      <w:r w:rsidR="5B04A0E0" w:rsidRPr="000842AA">
        <w:rPr>
          <w:rFonts w:ascii="Arial" w:hAnsi="Arial" w:cs="Arial"/>
          <w:szCs w:val="24"/>
        </w:rPr>
        <w:t xml:space="preserve">una disminución menos acelerada de lo estimado de las </w:t>
      </w:r>
      <w:r w:rsidR="006C6157" w:rsidRPr="000842AA">
        <w:rPr>
          <w:rFonts w:ascii="Arial" w:hAnsi="Arial" w:cs="Arial"/>
          <w:szCs w:val="24"/>
        </w:rPr>
        <w:t>tasas de referencia fijadas por el Banco de México</w:t>
      </w:r>
      <w:r w:rsidR="026E853D" w:rsidRPr="000842AA">
        <w:rPr>
          <w:rFonts w:ascii="Arial" w:hAnsi="Arial" w:cs="Arial"/>
          <w:szCs w:val="24"/>
        </w:rPr>
        <w:t>.</w:t>
      </w:r>
      <w:r w:rsidR="0013757D" w:rsidRPr="000842AA">
        <w:rPr>
          <w:rFonts w:ascii="Arial" w:hAnsi="Arial" w:cs="Arial"/>
          <w:szCs w:val="24"/>
        </w:rPr>
        <w:t xml:space="preserve"> </w:t>
      </w:r>
      <w:r w:rsidR="60EA4332" w:rsidRPr="000842AA">
        <w:rPr>
          <w:rFonts w:ascii="Arial" w:hAnsi="Arial" w:cs="Arial"/>
          <w:szCs w:val="24"/>
        </w:rPr>
        <w:t xml:space="preserve">De presentarse esta situación, </w:t>
      </w:r>
      <w:r w:rsidR="00402D11" w:rsidRPr="000842AA">
        <w:rPr>
          <w:rFonts w:ascii="Arial" w:hAnsi="Arial" w:cs="Arial"/>
          <w:szCs w:val="24"/>
        </w:rPr>
        <w:t>el Estado podría enfrentar</w:t>
      </w:r>
      <w:r w:rsidR="60EA4332" w:rsidRPr="000842AA">
        <w:rPr>
          <w:rFonts w:ascii="Arial" w:hAnsi="Arial" w:cs="Arial"/>
          <w:szCs w:val="24"/>
        </w:rPr>
        <w:t xml:space="preserve"> un mayor costo del servicio de la deuda y condiciones menos favorables para acceder o reestructurar los financiamientos. </w:t>
      </w:r>
    </w:p>
    <w:p w14:paraId="22E82893" w14:textId="77777777" w:rsidR="006C6157" w:rsidRPr="000842AA" w:rsidRDefault="006C6157" w:rsidP="003466C4">
      <w:pPr>
        <w:spacing w:before="100" w:beforeAutospacing="1" w:after="100" w:afterAutospacing="1" w:line="240" w:lineRule="auto"/>
        <w:jc w:val="both"/>
        <w:outlineLvl w:val="2"/>
        <w:rPr>
          <w:rFonts w:ascii="Arial" w:eastAsia="Times New Roman" w:hAnsi="Arial" w:cs="Arial"/>
          <w:i/>
          <w:iCs/>
          <w:szCs w:val="24"/>
        </w:rPr>
      </w:pPr>
      <w:r w:rsidRPr="000842AA">
        <w:rPr>
          <w:rFonts w:ascii="Arial" w:eastAsia="Times New Roman" w:hAnsi="Arial" w:cs="Arial"/>
          <w:i/>
          <w:iCs/>
          <w:szCs w:val="24"/>
        </w:rPr>
        <w:t>5.1. Financiamientos y deuda contingente</w:t>
      </w:r>
    </w:p>
    <w:p w14:paraId="3F696426" w14:textId="30CF1700" w:rsidR="006C6157" w:rsidRPr="000842AA" w:rsidRDefault="006C6157" w:rsidP="003466C4">
      <w:pPr>
        <w:spacing w:before="100" w:beforeAutospacing="1" w:after="100" w:afterAutospacing="1" w:line="240" w:lineRule="auto"/>
        <w:jc w:val="both"/>
        <w:rPr>
          <w:rFonts w:ascii="Arial" w:hAnsi="Arial" w:cs="Arial"/>
          <w:i/>
          <w:szCs w:val="24"/>
          <w:lang w:val="es-ES"/>
        </w:rPr>
      </w:pPr>
      <w:r w:rsidRPr="000842AA">
        <w:rPr>
          <w:rFonts w:ascii="Arial" w:hAnsi="Arial" w:cs="Arial"/>
          <w:i/>
          <w:szCs w:val="24"/>
          <w:lang w:val="es-ES"/>
        </w:rPr>
        <w:t xml:space="preserve">Financiamiento </w:t>
      </w:r>
      <w:r w:rsidR="79BB1209" w:rsidRPr="000842AA">
        <w:rPr>
          <w:rFonts w:ascii="Arial" w:hAnsi="Arial" w:cs="Arial"/>
          <w:i/>
          <w:iCs/>
          <w:szCs w:val="24"/>
          <w:lang w:val="es-ES"/>
        </w:rPr>
        <w:t>“</w:t>
      </w:r>
      <w:r w:rsidRPr="000842AA">
        <w:rPr>
          <w:rFonts w:ascii="Arial" w:hAnsi="Arial" w:cs="Arial"/>
          <w:i/>
          <w:szCs w:val="24"/>
        </w:rPr>
        <w:t xml:space="preserve">Ampliación Puerto de Altura de Progreso </w:t>
      </w:r>
      <w:r w:rsidRPr="000842AA">
        <w:rPr>
          <w:rFonts w:ascii="Arial" w:hAnsi="Arial" w:cs="Arial"/>
          <w:i/>
          <w:szCs w:val="24"/>
          <w:lang w:val="es-ES"/>
        </w:rPr>
        <w:t xml:space="preserve">y </w:t>
      </w:r>
      <w:r w:rsidR="11DC3A92" w:rsidRPr="000842AA">
        <w:rPr>
          <w:rFonts w:ascii="Arial" w:hAnsi="Arial" w:cs="Arial"/>
          <w:i/>
          <w:iCs/>
          <w:szCs w:val="24"/>
          <w:lang w:val="es-ES"/>
        </w:rPr>
        <w:t xml:space="preserve">Obras </w:t>
      </w:r>
      <w:r w:rsidR="5D51EF96" w:rsidRPr="000842AA">
        <w:rPr>
          <w:rFonts w:ascii="Arial" w:hAnsi="Arial" w:cs="Arial"/>
          <w:i/>
          <w:iCs/>
          <w:szCs w:val="24"/>
          <w:lang w:val="es-ES"/>
        </w:rPr>
        <w:t>Complementarias”</w:t>
      </w:r>
    </w:p>
    <w:p w14:paraId="4933C9FD" w14:textId="08D7A245" w:rsidR="006C6157" w:rsidRPr="000842AA" w:rsidRDefault="006C6157" w:rsidP="003466C4">
      <w:pPr>
        <w:autoSpaceDE w:val="0"/>
        <w:autoSpaceDN w:val="0"/>
        <w:adjustRightInd w:val="0"/>
        <w:spacing w:before="100" w:beforeAutospacing="1" w:after="100" w:afterAutospacing="1" w:line="240" w:lineRule="auto"/>
        <w:jc w:val="both"/>
        <w:rPr>
          <w:rFonts w:ascii="Arial" w:hAnsi="Arial" w:cs="Arial"/>
          <w:szCs w:val="24"/>
        </w:rPr>
      </w:pPr>
      <w:r w:rsidRPr="000842AA">
        <w:rPr>
          <w:rFonts w:ascii="Arial" w:hAnsi="Arial" w:cs="Arial"/>
          <w:szCs w:val="24"/>
        </w:rPr>
        <w:t>En el ejercicio 2023 el H. Congreso del Estado de Yucatán, mediante el “</w:t>
      </w:r>
      <w:r w:rsidRPr="000842AA">
        <w:rPr>
          <w:rFonts w:ascii="Arial" w:hAnsi="Arial" w:cs="Arial"/>
          <w:i/>
          <w:szCs w:val="24"/>
        </w:rPr>
        <w:t>Decreto 638/2023 por el que se autoriza al Poder Ejecutivo del Estado de Yucatán para contratar, en los ejercicios fiscales 2023 y 2024, uno o más financiamientos hasta por la cantidad de $3,063,000,000.00 (Tres mil sesenta y tres millones de pesos 00/100 M.N.) para la implementación del Proyecto de inversión pública productiva: "Ampliación Puerto de Altura de Progreso y Obras Complementarias"; así como para afectar, ingresos y derechos como fuente de pago de las operaciones de financiamiento y modificar la Ley de Ingresos del Estado de Yucatán para el Ejercicio Fiscal 2023</w:t>
      </w:r>
      <w:r w:rsidRPr="000842AA">
        <w:rPr>
          <w:rFonts w:ascii="Arial" w:hAnsi="Arial" w:cs="Arial"/>
          <w:szCs w:val="24"/>
        </w:rPr>
        <w:t xml:space="preserve">”, publicado en el Diario Oficial del Gobierno del Estado de Yucatán el 15 de junio de 2023, autorizó la contratación de uno o varios financiamientos hasta por la cantidad de </w:t>
      </w:r>
      <w:r w:rsidRPr="000842AA">
        <w:rPr>
          <w:rFonts w:ascii="Arial" w:hAnsi="Arial" w:cs="Arial"/>
          <w:i/>
          <w:szCs w:val="24"/>
        </w:rPr>
        <w:t>$3,063,000,000.00 (Tres mil sesenta y tres millones de pesos 00/100 M.N</w:t>
      </w:r>
      <w:r w:rsidR="7BE94B58" w:rsidRPr="000842AA">
        <w:rPr>
          <w:rFonts w:ascii="Arial" w:hAnsi="Arial" w:cs="Arial"/>
          <w:i/>
          <w:iCs/>
          <w:szCs w:val="24"/>
        </w:rPr>
        <w:t>.)</w:t>
      </w:r>
      <w:r w:rsidR="7BE94B58" w:rsidRPr="000842AA">
        <w:rPr>
          <w:rFonts w:ascii="Arial" w:hAnsi="Arial" w:cs="Arial"/>
          <w:szCs w:val="24"/>
        </w:rPr>
        <w:t>.</w:t>
      </w:r>
    </w:p>
    <w:p w14:paraId="62D8D3FD" w14:textId="640FA7DE" w:rsidR="006C6157" w:rsidRPr="000842AA" w:rsidRDefault="006C6157" w:rsidP="003466C4">
      <w:pPr>
        <w:spacing w:before="280" w:after="280" w:line="240" w:lineRule="auto"/>
        <w:jc w:val="both"/>
        <w:rPr>
          <w:rFonts w:ascii="Arial" w:eastAsia="Times New Roman" w:hAnsi="Arial" w:cs="Arial"/>
          <w:szCs w:val="24"/>
        </w:rPr>
      </w:pPr>
      <w:r w:rsidRPr="000842AA">
        <w:rPr>
          <w:rFonts w:ascii="Arial" w:eastAsia="Times New Roman" w:hAnsi="Arial" w:cs="Arial"/>
          <w:szCs w:val="24"/>
        </w:rPr>
        <w:t xml:space="preserve">Con base en el citado decreto y derivado del proceso competitivo de la Licitación Pública Número SAF/PC/05-2023, publicada en el Diario Oficial del Gobierno del Estado el 22 de junio </w:t>
      </w:r>
      <w:r w:rsidR="5DA3EA8E" w:rsidRPr="000842AA">
        <w:rPr>
          <w:rFonts w:ascii="Arial" w:eastAsia="Times New Roman" w:hAnsi="Arial" w:cs="Arial"/>
          <w:szCs w:val="24"/>
        </w:rPr>
        <w:t xml:space="preserve">de </w:t>
      </w:r>
      <w:r w:rsidR="3947CBAA" w:rsidRPr="000842AA">
        <w:rPr>
          <w:rFonts w:ascii="Arial" w:eastAsia="Times New Roman" w:hAnsi="Arial" w:cs="Arial"/>
          <w:szCs w:val="24"/>
        </w:rPr>
        <w:t>2023</w:t>
      </w:r>
      <w:r w:rsidRPr="000842AA">
        <w:rPr>
          <w:rFonts w:ascii="Arial" w:eastAsia="Times New Roman" w:hAnsi="Arial" w:cs="Arial"/>
          <w:szCs w:val="24"/>
        </w:rPr>
        <w:t xml:space="preserve">, con fecha 03 de octubre de </w:t>
      </w:r>
      <w:r w:rsidR="448BA660" w:rsidRPr="000842AA">
        <w:rPr>
          <w:rFonts w:ascii="Arial" w:eastAsia="Times New Roman" w:hAnsi="Arial" w:cs="Arial"/>
          <w:szCs w:val="24"/>
        </w:rPr>
        <w:t>2023</w:t>
      </w:r>
      <w:r w:rsidRPr="000842AA">
        <w:rPr>
          <w:rFonts w:ascii="Arial" w:eastAsia="Times New Roman" w:hAnsi="Arial" w:cs="Arial"/>
          <w:szCs w:val="24"/>
        </w:rPr>
        <w:t xml:space="preserve">, el Poder Ejecutivo del Estado de Yucatán por conducto de la Secretaría de Administración y Finanzas, contrató tres créditos simples, el primero por la cantidad de hasta $1,765,000,000.00 (Mil setecientos </w:t>
      </w:r>
      <w:r w:rsidR="381B9637" w:rsidRPr="000842AA">
        <w:rPr>
          <w:rFonts w:ascii="Arial" w:eastAsia="Times New Roman" w:hAnsi="Arial" w:cs="Arial"/>
          <w:szCs w:val="24"/>
        </w:rPr>
        <w:t>sesenta</w:t>
      </w:r>
      <w:r w:rsidRPr="000842AA">
        <w:rPr>
          <w:rFonts w:ascii="Arial" w:eastAsia="Times New Roman" w:hAnsi="Arial" w:cs="Arial"/>
          <w:szCs w:val="24"/>
        </w:rPr>
        <w:t xml:space="preserve"> y cinco millones de pesos 00/100 M.N.) a un plazo de 20 años, con la institución financiera BBVA México, Sociedad Anónima, Institución de Banca Múltiple, Grupo Financiero BBVA México, el segundo por la cantidad de hasta $1,021,000,000.00 (Mil veintiún millones de pesos 00/100 M.N.) a un plazo de 20 años, con la institución financiera Banco Nacional de México S.A, integrante del Grupo Financiero Banamex y el tercero por la cantidad de hasta $ 277,000,000.00 (Doscientos setenta y siete millones de pesos 00/100 M.N.) a un plazo de 20 años, con la institución financiera Banco Mercantil del Norte, S.A, Institución de Banca Múltiple, Grupo Financiero Banorte. </w:t>
      </w:r>
    </w:p>
    <w:p w14:paraId="33496C06" w14:textId="574A6064" w:rsidR="006C6157" w:rsidRPr="000842AA" w:rsidRDefault="08BC4436" w:rsidP="003466C4">
      <w:pPr>
        <w:spacing w:before="280" w:after="280" w:line="240" w:lineRule="auto"/>
        <w:jc w:val="both"/>
        <w:rPr>
          <w:rFonts w:ascii="Arial" w:eastAsia="Times New Roman" w:hAnsi="Arial" w:cs="Arial"/>
          <w:szCs w:val="24"/>
        </w:rPr>
      </w:pPr>
      <w:r w:rsidRPr="000842AA">
        <w:rPr>
          <w:rFonts w:ascii="Arial" w:eastAsia="Times New Roman" w:hAnsi="Arial" w:cs="Arial"/>
          <w:szCs w:val="24"/>
        </w:rPr>
        <w:t xml:space="preserve">En virtud de lo antes expuesto, durante el ejercicio 2025 </w:t>
      </w:r>
      <w:r w:rsidR="52D9F114" w:rsidRPr="000842AA">
        <w:rPr>
          <w:rFonts w:ascii="Arial" w:eastAsia="Times New Roman" w:hAnsi="Arial" w:cs="Arial"/>
          <w:szCs w:val="24"/>
        </w:rPr>
        <w:t>se</w:t>
      </w:r>
      <w:r w:rsidRPr="000842AA">
        <w:rPr>
          <w:rFonts w:ascii="Arial" w:eastAsia="Times New Roman" w:hAnsi="Arial" w:cs="Arial"/>
          <w:szCs w:val="24"/>
        </w:rPr>
        <w:t xml:space="preserve"> ingresará hasta la cantidad de $1,633,000,000.00 (Mil seiscientos treinta y tres millones de pesos 00/100 M.N</w:t>
      </w:r>
      <w:r w:rsidR="52D9F114" w:rsidRPr="000842AA">
        <w:rPr>
          <w:rFonts w:ascii="Arial" w:eastAsia="Times New Roman" w:hAnsi="Arial" w:cs="Arial"/>
          <w:szCs w:val="24"/>
        </w:rPr>
        <w:t>.) de los cuales</w:t>
      </w:r>
      <w:r w:rsidR="330B8CB3" w:rsidRPr="000842AA">
        <w:rPr>
          <w:rFonts w:ascii="Arial" w:eastAsia="Times New Roman" w:hAnsi="Arial" w:cs="Arial"/>
          <w:szCs w:val="24"/>
        </w:rPr>
        <w:t xml:space="preserve"> </w:t>
      </w:r>
      <w:r w:rsidR="4AF8B943" w:rsidRPr="000842AA">
        <w:rPr>
          <w:rFonts w:ascii="Arial" w:eastAsia="Times New Roman" w:hAnsi="Arial" w:cs="Arial"/>
          <w:szCs w:val="24"/>
        </w:rPr>
        <w:t xml:space="preserve">se consideran </w:t>
      </w:r>
      <w:r w:rsidR="79D9C555" w:rsidRPr="000842AA">
        <w:rPr>
          <w:rFonts w:ascii="Arial" w:eastAsia="Times New Roman" w:hAnsi="Arial" w:cs="Arial"/>
          <w:szCs w:val="24"/>
        </w:rPr>
        <w:t>$</w:t>
      </w:r>
      <w:r w:rsidR="330B8CB3" w:rsidRPr="000842AA">
        <w:rPr>
          <w:rFonts w:ascii="Arial" w:eastAsia="Times New Roman" w:hAnsi="Arial" w:cs="Arial"/>
          <w:szCs w:val="24"/>
        </w:rPr>
        <w:t>33,</w:t>
      </w:r>
      <w:r w:rsidR="7A8BAE72" w:rsidRPr="000842AA">
        <w:rPr>
          <w:rFonts w:ascii="Arial" w:eastAsia="Times New Roman" w:hAnsi="Arial" w:cs="Arial"/>
          <w:szCs w:val="24"/>
        </w:rPr>
        <w:t>655,144</w:t>
      </w:r>
      <w:r w:rsidR="40CC6964" w:rsidRPr="000842AA">
        <w:rPr>
          <w:rFonts w:ascii="Arial" w:eastAsia="Times New Roman" w:hAnsi="Arial" w:cs="Arial"/>
          <w:szCs w:val="24"/>
        </w:rPr>
        <w:t>.</w:t>
      </w:r>
      <w:r w:rsidR="343ED284" w:rsidRPr="000842AA">
        <w:rPr>
          <w:rFonts w:ascii="Arial" w:eastAsia="Times New Roman" w:hAnsi="Arial" w:cs="Arial"/>
          <w:szCs w:val="24"/>
        </w:rPr>
        <w:t>00</w:t>
      </w:r>
      <w:r w:rsidR="15C86A63" w:rsidRPr="000842AA">
        <w:rPr>
          <w:rFonts w:ascii="Arial" w:eastAsia="Times New Roman" w:hAnsi="Arial" w:cs="Arial"/>
          <w:szCs w:val="24"/>
        </w:rPr>
        <w:t xml:space="preserve"> </w:t>
      </w:r>
      <w:r w:rsidR="5450C487" w:rsidRPr="000842AA">
        <w:rPr>
          <w:rFonts w:ascii="Arial" w:eastAsia="Times New Roman" w:hAnsi="Arial" w:cs="Arial"/>
          <w:szCs w:val="24"/>
        </w:rPr>
        <w:t>(</w:t>
      </w:r>
      <w:r w:rsidR="002732A1" w:rsidRPr="000842AA">
        <w:rPr>
          <w:rFonts w:ascii="Arial" w:eastAsia="Times New Roman" w:hAnsi="Arial" w:cs="Arial"/>
          <w:szCs w:val="24"/>
        </w:rPr>
        <w:t>Treinta y tres millones seiscientos cincuenta y cinco mil ciento cuarenta y cuatro pesos 00/100 M.N</w:t>
      </w:r>
      <w:r w:rsidR="1D530F99" w:rsidRPr="000842AA">
        <w:rPr>
          <w:rFonts w:ascii="Arial" w:eastAsia="Times New Roman" w:hAnsi="Arial" w:cs="Arial"/>
          <w:szCs w:val="24"/>
        </w:rPr>
        <w:t xml:space="preserve">) </w:t>
      </w:r>
      <w:r w:rsidR="32F94FBB" w:rsidRPr="000842AA">
        <w:rPr>
          <w:rFonts w:ascii="Arial" w:eastAsia="Times New Roman" w:hAnsi="Arial" w:cs="Arial"/>
          <w:szCs w:val="24"/>
        </w:rPr>
        <w:t>para</w:t>
      </w:r>
      <w:r w:rsidR="15C86A63" w:rsidRPr="000842AA">
        <w:rPr>
          <w:rFonts w:ascii="Arial" w:eastAsia="Times New Roman" w:hAnsi="Arial" w:cs="Arial"/>
          <w:szCs w:val="24"/>
        </w:rPr>
        <w:t xml:space="preserve"> la constitución </w:t>
      </w:r>
      <w:r w:rsidR="7FF3991B" w:rsidRPr="000842AA">
        <w:rPr>
          <w:rFonts w:ascii="Arial" w:eastAsia="Times New Roman" w:hAnsi="Arial" w:cs="Arial"/>
          <w:szCs w:val="24"/>
        </w:rPr>
        <w:t>del</w:t>
      </w:r>
      <w:r w:rsidR="79EBAF0D" w:rsidRPr="000842AA">
        <w:rPr>
          <w:rFonts w:ascii="Arial" w:eastAsia="Times New Roman" w:hAnsi="Arial" w:cs="Arial"/>
          <w:szCs w:val="24"/>
        </w:rPr>
        <w:t xml:space="preserve"> </w:t>
      </w:r>
      <w:r w:rsidR="5CAFE232" w:rsidRPr="000842AA">
        <w:rPr>
          <w:rFonts w:ascii="Arial" w:eastAsia="Times New Roman" w:hAnsi="Arial" w:cs="Arial"/>
          <w:szCs w:val="24"/>
        </w:rPr>
        <w:t>Fondo</w:t>
      </w:r>
      <w:r w:rsidR="79EBAF0D" w:rsidRPr="000842AA">
        <w:rPr>
          <w:rFonts w:ascii="Arial" w:eastAsia="Times New Roman" w:hAnsi="Arial" w:cs="Arial"/>
          <w:szCs w:val="24"/>
        </w:rPr>
        <w:t xml:space="preserve"> de Reserva </w:t>
      </w:r>
      <w:r w:rsidR="295CD481" w:rsidRPr="000842AA">
        <w:rPr>
          <w:rFonts w:ascii="Arial" w:eastAsia="Times New Roman" w:hAnsi="Arial" w:cs="Arial"/>
          <w:szCs w:val="24"/>
        </w:rPr>
        <w:t>del Financiamiento y,</w:t>
      </w:r>
      <w:r w:rsidR="79EBAF0D" w:rsidRPr="000842AA">
        <w:rPr>
          <w:rFonts w:ascii="Arial" w:eastAsia="Times New Roman" w:hAnsi="Arial" w:cs="Arial"/>
          <w:szCs w:val="24"/>
        </w:rPr>
        <w:t xml:space="preserve"> </w:t>
      </w:r>
      <w:r w:rsidR="5215B246" w:rsidRPr="000842AA">
        <w:rPr>
          <w:rFonts w:ascii="Arial" w:eastAsia="Times New Roman" w:hAnsi="Arial" w:cs="Arial"/>
          <w:szCs w:val="24"/>
        </w:rPr>
        <w:t xml:space="preserve">en </w:t>
      </w:r>
      <w:r w:rsidR="02B97CB1" w:rsidRPr="000842AA">
        <w:rPr>
          <w:rFonts w:ascii="Arial" w:eastAsia="Times New Roman" w:hAnsi="Arial" w:cs="Arial"/>
          <w:szCs w:val="24"/>
        </w:rPr>
        <w:t>consecuencia</w:t>
      </w:r>
      <w:r w:rsidR="5B6075E9" w:rsidRPr="000842AA">
        <w:rPr>
          <w:rFonts w:ascii="Arial" w:eastAsia="Times New Roman" w:hAnsi="Arial" w:cs="Arial"/>
          <w:szCs w:val="24"/>
        </w:rPr>
        <w:t>,</w:t>
      </w:r>
      <w:r w:rsidR="02B97CB1" w:rsidRPr="000842AA">
        <w:rPr>
          <w:rFonts w:ascii="Arial" w:eastAsia="Times New Roman" w:hAnsi="Arial" w:cs="Arial"/>
          <w:szCs w:val="24"/>
        </w:rPr>
        <w:t xml:space="preserve"> </w:t>
      </w:r>
      <w:r w:rsidR="40E4FBE6" w:rsidRPr="000842AA">
        <w:rPr>
          <w:rFonts w:ascii="Arial" w:eastAsia="Times New Roman" w:hAnsi="Arial" w:cs="Arial"/>
          <w:szCs w:val="24"/>
        </w:rPr>
        <w:t xml:space="preserve">para el ejercicio fiscal </w:t>
      </w:r>
      <w:r w:rsidR="127618DE" w:rsidRPr="000842AA">
        <w:rPr>
          <w:rFonts w:ascii="Arial" w:eastAsia="Times New Roman" w:hAnsi="Arial" w:cs="Arial"/>
          <w:szCs w:val="24"/>
        </w:rPr>
        <w:t xml:space="preserve">2025 no </w:t>
      </w:r>
      <w:r w:rsidR="5B5FD7F4" w:rsidRPr="000842AA">
        <w:rPr>
          <w:rFonts w:ascii="Arial" w:eastAsia="Times New Roman" w:hAnsi="Arial" w:cs="Arial"/>
          <w:szCs w:val="24"/>
        </w:rPr>
        <w:t>representarán gasto</w:t>
      </w:r>
      <w:r w:rsidR="5CAFE232" w:rsidRPr="000842AA">
        <w:rPr>
          <w:rFonts w:ascii="Arial" w:eastAsia="Times New Roman" w:hAnsi="Arial" w:cs="Arial"/>
          <w:szCs w:val="24"/>
        </w:rPr>
        <w:t>.</w:t>
      </w:r>
      <w:r w:rsidR="5B6075E9" w:rsidRPr="000842AA">
        <w:rPr>
          <w:rFonts w:ascii="Arial" w:eastAsia="Times New Roman" w:hAnsi="Arial" w:cs="Arial"/>
          <w:szCs w:val="24"/>
        </w:rPr>
        <w:t xml:space="preserve"> </w:t>
      </w:r>
    </w:p>
    <w:p w14:paraId="22C1F73A" w14:textId="77777777" w:rsidR="006C6157" w:rsidRPr="000842AA" w:rsidRDefault="006C6157" w:rsidP="003466C4">
      <w:pPr>
        <w:spacing w:before="100" w:beforeAutospacing="1" w:after="100" w:afterAutospacing="1" w:line="240" w:lineRule="auto"/>
        <w:jc w:val="both"/>
        <w:rPr>
          <w:rFonts w:ascii="Arial" w:hAnsi="Arial" w:cs="Arial"/>
          <w:bCs/>
          <w:i/>
          <w:szCs w:val="24"/>
        </w:rPr>
      </w:pPr>
      <w:r w:rsidRPr="000842AA">
        <w:rPr>
          <w:rFonts w:ascii="Arial" w:hAnsi="Arial" w:cs="Arial"/>
          <w:i/>
          <w:szCs w:val="24"/>
        </w:rPr>
        <w:t>Deuda contingente</w:t>
      </w:r>
    </w:p>
    <w:p w14:paraId="063625C5" w14:textId="7EA732DA" w:rsidR="006C6157" w:rsidRPr="000842AA" w:rsidRDefault="006C6157" w:rsidP="003466C4">
      <w:pPr>
        <w:spacing w:after="0" w:line="240" w:lineRule="auto"/>
        <w:jc w:val="both"/>
        <w:rPr>
          <w:rFonts w:ascii="Arial" w:hAnsi="Arial" w:cs="Arial"/>
          <w:szCs w:val="24"/>
        </w:rPr>
      </w:pPr>
      <w:r w:rsidRPr="000842AA">
        <w:rPr>
          <w:rFonts w:ascii="Arial" w:hAnsi="Arial" w:cs="Arial"/>
          <w:szCs w:val="24"/>
        </w:rPr>
        <w:t xml:space="preserve">Desde marzo de 2014, el </w:t>
      </w:r>
      <w:r w:rsidR="004E62B2" w:rsidRPr="000842AA">
        <w:rPr>
          <w:rFonts w:ascii="Arial" w:hAnsi="Arial" w:cs="Arial"/>
          <w:szCs w:val="24"/>
        </w:rPr>
        <w:t>E</w:t>
      </w:r>
      <w:r w:rsidRPr="000842AA">
        <w:rPr>
          <w:rFonts w:ascii="Arial" w:hAnsi="Arial" w:cs="Arial"/>
          <w:szCs w:val="24"/>
        </w:rPr>
        <w:t xml:space="preserve">stado no tiene obligaciones relacionadas con deuda contingente, por lo que se manifiesta que, para el ejercicio fiscal </w:t>
      </w:r>
      <w:r w:rsidR="00F93B56" w:rsidRPr="000842AA">
        <w:rPr>
          <w:rFonts w:ascii="Arial" w:hAnsi="Arial" w:cs="Arial"/>
          <w:szCs w:val="24"/>
        </w:rPr>
        <w:t>2025</w:t>
      </w:r>
      <w:r w:rsidRPr="000842AA">
        <w:rPr>
          <w:rFonts w:ascii="Arial" w:hAnsi="Arial" w:cs="Arial"/>
          <w:szCs w:val="24"/>
        </w:rPr>
        <w:t>, no se identifican programas o proyectos de inversión de largo plazo con estas características.</w:t>
      </w:r>
    </w:p>
    <w:p w14:paraId="6653A4CC" w14:textId="77777777" w:rsidR="006C6157" w:rsidRPr="000842AA" w:rsidRDefault="006C6157" w:rsidP="003466C4">
      <w:pPr>
        <w:keepNext/>
        <w:keepLines/>
        <w:suppressAutoHyphens/>
        <w:spacing w:before="100" w:beforeAutospacing="1" w:after="100" w:afterAutospacing="1" w:line="240" w:lineRule="auto"/>
        <w:jc w:val="both"/>
        <w:outlineLvl w:val="0"/>
        <w:rPr>
          <w:rFonts w:ascii="Arial" w:eastAsia="Times New Roman" w:hAnsi="Arial" w:cs="Arial"/>
          <w:b/>
          <w:szCs w:val="24"/>
          <w:lang w:eastAsia="en-US"/>
        </w:rPr>
      </w:pPr>
      <w:bookmarkStart w:id="2" w:name="_Toc57036870"/>
      <w:r w:rsidRPr="000842AA">
        <w:rPr>
          <w:rFonts w:ascii="Arial" w:eastAsia="Times New Roman" w:hAnsi="Arial" w:cs="Arial"/>
          <w:b/>
          <w:szCs w:val="24"/>
          <w:lang w:eastAsia="en-US"/>
        </w:rPr>
        <w:t>6. Contenido de la iniciativa de ley</w:t>
      </w:r>
      <w:bookmarkEnd w:id="2"/>
    </w:p>
    <w:p w14:paraId="31E602B9" w14:textId="59B4E985" w:rsidR="006C6157" w:rsidRPr="000842AA" w:rsidRDefault="5D3FC234"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Esta iniciativa se conforma por treinta y tres artículos, divididos en seis capítulos, seis transitorios y tres anexos.</w:t>
      </w:r>
    </w:p>
    <w:p w14:paraId="60033A2A" w14:textId="6F56E368" w:rsidR="006C6157"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 xml:space="preserve">El capítulo I, denominado “Ingresos”, es el más relevante del documento y establece la estimación de los ingresos totales que el Gobierno del </w:t>
      </w:r>
      <w:r w:rsidR="00075F63" w:rsidRPr="000842AA">
        <w:rPr>
          <w:rFonts w:ascii="Arial" w:hAnsi="Arial" w:cs="Arial"/>
          <w:szCs w:val="24"/>
        </w:rPr>
        <w:t>E</w:t>
      </w:r>
      <w:r w:rsidRPr="000842AA">
        <w:rPr>
          <w:rFonts w:ascii="Arial" w:hAnsi="Arial" w:cs="Arial"/>
          <w:szCs w:val="24"/>
        </w:rPr>
        <w:t xml:space="preserve">stado, en todos sus ámbitos, considera obtener para el ejercicio fiscal </w:t>
      </w:r>
      <w:r w:rsidR="00F93B56" w:rsidRPr="000842AA">
        <w:rPr>
          <w:rFonts w:ascii="Arial" w:hAnsi="Arial" w:cs="Arial"/>
          <w:szCs w:val="24"/>
        </w:rPr>
        <w:t>2025</w:t>
      </w:r>
      <w:r w:rsidRPr="000842AA">
        <w:rPr>
          <w:rFonts w:ascii="Arial" w:hAnsi="Arial" w:cs="Arial"/>
          <w:szCs w:val="24"/>
        </w:rPr>
        <w:t>. El capítulo II, denominado “Disciplina presupuestal en el ingreso”, contiene las premisas y el cumplimiento de disposiciones de la Ley de Disciplina Financiera de las Entidades Federativas y los Municipios, incluyendo el programa anual de finan</w:t>
      </w:r>
      <w:r w:rsidR="00F93B56" w:rsidRPr="000842AA">
        <w:rPr>
          <w:rFonts w:ascii="Arial" w:hAnsi="Arial" w:cs="Arial"/>
          <w:szCs w:val="24"/>
        </w:rPr>
        <w:t>ciamiento 2025</w:t>
      </w:r>
      <w:r w:rsidRPr="000842AA">
        <w:rPr>
          <w:rFonts w:ascii="Arial" w:hAnsi="Arial" w:cs="Arial"/>
          <w:szCs w:val="24"/>
        </w:rPr>
        <w:t xml:space="preserve"> y la estimación de las amortizaciones y el costo del servicio de la deuda </w:t>
      </w:r>
      <w:r w:rsidR="00075F63" w:rsidRPr="000842AA">
        <w:rPr>
          <w:rFonts w:ascii="Arial" w:hAnsi="Arial" w:cs="Arial"/>
          <w:szCs w:val="24"/>
        </w:rPr>
        <w:t xml:space="preserve">pública </w:t>
      </w:r>
      <w:r w:rsidRPr="000842AA">
        <w:rPr>
          <w:rFonts w:ascii="Arial" w:hAnsi="Arial" w:cs="Arial"/>
          <w:szCs w:val="24"/>
        </w:rPr>
        <w:t>a largo plazo que se cubrirán durante el ejercicio fiscal 202</w:t>
      </w:r>
      <w:r w:rsidR="00F93B56" w:rsidRPr="000842AA">
        <w:rPr>
          <w:rFonts w:ascii="Arial" w:hAnsi="Arial" w:cs="Arial"/>
          <w:szCs w:val="24"/>
        </w:rPr>
        <w:t>5</w:t>
      </w:r>
      <w:r w:rsidRPr="000842AA">
        <w:rPr>
          <w:rFonts w:ascii="Arial" w:hAnsi="Arial" w:cs="Arial"/>
          <w:szCs w:val="24"/>
        </w:rPr>
        <w:t xml:space="preserve">. El capítulo III, denominado “Recursos provenientes de la Federación”, considera la obligación del tratamiento de recursos que el </w:t>
      </w:r>
      <w:r w:rsidR="68FB5466" w:rsidRPr="000842AA">
        <w:rPr>
          <w:rFonts w:ascii="Arial" w:hAnsi="Arial" w:cs="Arial"/>
          <w:szCs w:val="24"/>
        </w:rPr>
        <w:t>estado</w:t>
      </w:r>
      <w:r w:rsidRPr="000842AA">
        <w:rPr>
          <w:rFonts w:ascii="Arial" w:hAnsi="Arial" w:cs="Arial"/>
          <w:szCs w:val="24"/>
        </w:rPr>
        <w:t xml:space="preserve"> reciba de la Federación por diferentes rubros, incluyendo contratos o convenios que se celebren con el Gobierno federal y que impliquen ingresos para la Hacienda pública estatal y la recepción y distribución de las participaciones que correspondan a los municipios de la entidad, en términos de las disposiciones legales y normativas aplicables.</w:t>
      </w:r>
    </w:p>
    <w:p w14:paraId="76DB379E" w14:textId="735F03B1" w:rsidR="006C6157"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 xml:space="preserve">El capítulo IV, denominado “Recaudación y concentración de ingresos”, se refiere a la manera en que se hará la recaudación y cómo se concentrarán los recursos públicos del </w:t>
      </w:r>
      <w:r w:rsidR="00075F63" w:rsidRPr="000842AA">
        <w:rPr>
          <w:rFonts w:ascii="Arial" w:hAnsi="Arial" w:cs="Arial"/>
          <w:szCs w:val="24"/>
        </w:rPr>
        <w:t>E</w:t>
      </w:r>
      <w:r w:rsidRPr="000842AA">
        <w:rPr>
          <w:rFonts w:ascii="Arial" w:hAnsi="Arial" w:cs="Arial"/>
          <w:szCs w:val="24"/>
        </w:rPr>
        <w:t>stado por diversos rubros. El capítulo V, denominado “Sujetos públicos obligados”, únicamente contiene un artículo que refiere a los sujetos públicos obligados al pago de contribuciones. El capítulo VI, denominado “Facilidades a los contribuyentes”, señala las herramientas y los mecanismos encaminados a facilitar el correcto y responsable cumplimiento de las obligaciones tributarias por parte de los contribuyentes.</w:t>
      </w:r>
    </w:p>
    <w:p w14:paraId="52F1AAD9" w14:textId="1F1D8155" w:rsidR="006C6157"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 xml:space="preserve">Finalmente, se incluyen </w:t>
      </w:r>
      <w:r w:rsidR="00075F63" w:rsidRPr="000842AA">
        <w:rPr>
          <w:rFonts w:ascii="Arial" w:hAnsi="Arial" w:cs="Arial"/>
          <w:szCs w:val="24"/>
        </w:rPr>
        <w:t xml:space="preserve">seis </w:t>
      </w:r>
      <w:r w:rsidRPr="000842AA">
        <w:rPr>
          <w:rFonts w:ascii="Arial" w:hAnsi="Arial" w:cs="Arial"/>
          <w:szCs w:val="24"/>
        </w:rPr>
        <w:t>artículos transitorios con disposiciones que permitirán una efectiva entrada en vigor y aplicación de la ley.</w:t>
      </w:r>
    </w:p>
    <w:p w14:paraId="1C3429D1" w14:textId="77777777" w:rsidR="006C6157" w:rsidRPr="000842AA" w:rsidRDefault="006C6157" w:rsidP="003466C4">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Es importante mencionar que el artículo 2 de la ley contenida en esta iniciativa, dispone la tabla 1, denominada “Clasificador por rubro de ingresos”, establecida por el Consejo Nacional de Armonización Contable como instrumento de la administración financiera gubernamental. El clasificador se desglosa como mínimo a un tercer nivel, para brindar mayor detalle del origen de los recursos y, a su vez, establecer una determinación más clara en caso de registrar ingresos excedentes.</w:t>
      </w:r>
    </w:p>
    <w:p w14:paraId="1834E862" w14:textId="77777777" w:rsidR="006C6157" w:rsidRPr="000842AA" w:rsidRDefault="006C6157" w:rsidP="003466C4">
      <w:pPr>
        <w:suppressAutoHyphens/>
        <w:spacing w:before="100" w:beforeAutospacing="1" w:after="100" w:afterAutospacing="1" w:line="240" w:lineRule="auto"/>
        <w:jc w:val="both"/>
        <w:rPr>
          <w:rFonts w:ascii="Arial" w:hAnsi="Arial" w:cs="Arial"/>
          <w:i/>
          <w:szCs w:val="24"/>
        </w:rPr>
      </w:pPr>
      <w:r w:rsidRPr="000842AA">
        <w:rPr>
          <w:rFonts w:ascii="Arial" w:hAnsi="Arial" w:cs="Arial"/>
          <w:i/>
          <w:szCs w:val="24"/>
        </w:rPr>
        <w:t>6.1. Impacto presupuestario</w:t>
      </w:r>
    </w:p>
    <w:p w14:paraId="2CDA77B3" w14:textId="3087AD0F" w:rsidR="006C6157" w:rsidRPr="000842AA" w:rsidRDefault="007A3A85" w:rsidP="00391A60">
      <w:pPr>
        <w:suppressAutoHyphens/>
        <w:spacing w:before="100" w:beforeAutospacing="1" w:after="100" w:afterAutospacing="1" w:line="240" w:lineRule="auto"/>
        <w:jc w:val="both"/>
        <w:rPr>
          <w:rFonts w:ascii="Arial" w:hAnsi="Arial" w:cs="Arial"/>
          <w:szCs w:val="24"/>
        </w:rPr>
      </w:pPr>
      <w:r w:rsidRPr="000842AA">
        <w:rPr>
          <w:rFonts w:ascii="Arial" w:hAnsi="Arial" w:cs="Arial"/>
          <w:szCs w:val="24"/>
        </w:rPr>
        <w:t xml:space="preserve">Esta iniciativa tiene por objeto establecer los recursos que el Estado estima percibir durante el ejercicio fiscal 2025 y que estarán disponibles para su aplicación conforme al Presupuesto de Egresos del Estado de Yucatán para el mismo ejercicio fiscal. </w:t>
      </w:r>
      <w:r w:rsidRPr="000842AA">
        <w:rPr>
          <w:rStyle w:val="normaltextrun"/>
          <w:rFonts w:ascii="Arial" w:hAnsi="Arial" w:cs="Arial"/>
          <w:color w:val="000000"/>
          <w:shd w:val="clear" w:color="auto" w:fill="FFFFFF"/>
        </w:rPr>
        <w:t>Conforme a lo establecido en el artículo 16 de la Ley de Disciplina Financiera de las Entidades Federativas y los Municipios, el presente decreto se sustenta en el principio fundamental de balance presupuestario sostenible. De esta forma</w:t>
      </w:r>
      <w:r w:rsidRPr="000842AA">
        <w:rPr>
          <w:rFonts w:ascii="Arial" w:hAnsi="Arial" w:cs="Arial"/>
          <w:szCs w:val="24"/>
        </w:rPr>
        <w:t xml:space="preserve"> y relacionado con el Presupuesto de Egresos del Estado de Yucatán para el Ejercicio Fiscal 2025</w:t>
      </w:r>
      <w:r w:rsidRPr="000842AA">
        <w:rPr>
          <w:rStyle w:val="normaltextrun"/>
          <w:rFonts w:ascii="Arial" w:hAnsi="Arial" w:cs="Arial"/>
          <w:color w:val="000000"/>
          <w:shd w:val="clear" w:color="auto" w:fill="FFFFFF"/>
        </w:rPr>
        <w:t xml:space="preserve">, el paquete fiscal 2025 </w:t>
      </w:r>
      <w:r w:rsidRPr="000842AA">
        <w:rPr>
          <w:rFonts w:ascii="Arial" w:hAnsi="Arial" w:cs="Arial"/>
          <w:szCs w:val="24"/>
        </w:rPr>
        <w:t>se presenta un presupuesto balanceado, sujetando los gastos a la capacidad financiera establecida en esta iniciativa.</w:t>
      </w:r>
      <w:r w:rsidR="006C6157" w:rsidRPr="000842AA">
        <w:rPr>
          <w:rFonts w:ascii="Arial" w:hAnsi="Arial" w:cs="Arial"/>
          <w:szCs w:val="24"/>
        </w:rPr>
        <w:t xml:space="preserve"> </w:t>
      </w:r>
    </w:p>
    <w:p w14:paraId="73C0272A" w14:textId="344B46BD" w:rsidR="007131A5" w:rsidRPr="000842AA" w:rsidRDefault="007131A5" w:rsidP="003466C4">
      <w:pPr>
        <w:spacing w:before="100" w:beforeAutospacing="1" w:after="100" w:afterAutospacing="1" w:line="240" w:lineRule="auto"/>
        <w:jc w:val="both"/>
        <w:rPr>
          <w:rFonts w:ascii="Arial" w:hAnsi="Arial" w:cs="Arial"/>
          <w:szCs w:val="24"/>
        </w:rPr>
      </w:pPr>
      <w:r w:rsidRPr="000842AA">
        <w:rPr>
          <w:rStyle w:val="normaltextrun"/>
          <w:rFonts w:ascii="Arial" w:hAnsi="Arial" w:cs="Arial"/>
          <w:color w:val="000000"/>
          <w:szCs w:val="24"/>
          <w:shd w:val="clear" w:color="auto" w:fill="FFFFFF"/>
        </w:rPr>
        <w:t xml:space="preserve">Para los efectos de esta exposición de motivos, </w:t>
      </w:r>
      <w:r w:rsidR="003B4032" w:rsidRPr="000842AA">
        <w:rPr>
          <w:rStyle w:val="normaltextrun"/>
          <w:rFonts w:ascii="Arial" w:hAnsi="Arial" w:cs="Arial"/>
          <w:color w:val="000000"/>
          <w:szCs w:val="24"/>
          <w:shd w:val="clear" w:color="auto" w:fill="FFFFFF"/>
        </w:rPr>
        <w:t xml:space="preserve">algunas de </w:t>
      </w:r>
      <w:r w:rsidRPr="000842AA">
        <w:rPr>
          <w:rStyle w:val="normaltextrun"/>
          <w:rFonts w:ascii="Arial" w:hAnsi="Arial" w:cs="Arial"/>
          <w:color w:val="000000"/>
          <w:szCs w:val="24"/>
          <w:shd w:val="clear" w:color="auto" w:fill="FFFFFF"/>
        </w:rPr>
        <w:t>las cifras referentes a los recursos financieros se señalan de manera redondeada y en millones de pesos (</w:t>
      </w:r>
      <w:r w:rsidR="003B4032" w:rsidRPr="000842AA">
        <w:rPr>
          <w:rStyle w:val="normaltextrun"/>
          <w:rFonts w:ascii="Arial" w:hAnsi="Arial" w:cs="Arial"/>
          <w:color w:val="000000"/>
          <w:szCs w:val="24"/>
          <w:shd w:val="clear" w:color="auto" w:fill="FFFFFF"/>
        </w:rPr>
        <w:t>mdp</w:t>
      </w:r>
      <w:r w:rsidRPr="000842AA">
        <w:rPr>
          <w:rStyle w:val="normaltextrun"/>
          <w:rFonts w:ascii="Arial" w:hAnsi="Arial" w:cs="Arial"/>
          <w:color w:val="000000"/>
          <w:szCs w:val="24"/>
          <w:shd w:val="clear" w:color="auto" w:fill="FFFFFF"/>
        </w:rPr>
        <w:t>). Lo anterior, solo para facilitar su lectura y comprensión dentro del texto.</w:t>
      </w:r>
      <w:r w:rsidRPr="000842AA">
        <w:rPr>
          <w:rStyle w:val="eop"/>
          <w:rFonts w:ascii="Arial" w:hAnsi="Arial" w:cs="Arial"/>
          <w:color w:val="000000"/>
          <w:szCs w:val="24"/>
          <w:shd w:val="clear" w:color="auto" w:fill="FFFFFF"/>
        </w:rPr>
        <w:t> </w:t>
      </w:r>
    </w:p>
    <w:p w14:paraId="542ED223" w14:textId="00D12D36" w:rsidR="006C6157" w:rsidRPr="000842AA" w:rsidRDefault="006C6157"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En virtud de lo anterior, y en ejercicio de la facultad que me confiere el artículo 35, fracción II, de la Constitución Política del Estado de Yucatán, someto a su consideración la siguiente:</w:t>
      </w:r>
    </w:p>
    <w:p w14:paraId="413DE50F" w14:textId="77777777" w:rsidR="009654FE" w:rsidRPr="000842AA" w:rsidRDefault="009654FE" w:rsidP="009654FE">
      <w:pPr>
        <w:spacing w:before="100" w:beforeAutospacing="1" w:after="100" w:afterAutospacing="1" w:line="240" w:lineRule="auto"/>
        <w:jc w:val="center"/>
        <w:rPr>
          <w:rFonts w:ascii="Arial" w:hAnsi="Arial" w:cs="Arial"/>
          <w:b/>
          <w:szCs w:val="24"/>
        </w:rPr>
      </w:pPr>
      <w:r w:rsidRPr="000842AA">
        <w:rPr>
          <w:rFonts w:ascii="Arial" w:hAnsi="Arial" w:cs="Arial"/>
          <w:b/>
          <w:szCs w:val="24"/>
        </w:rPr>
        <w:t>Iniciativa para expedir la Ley de Ingresos del Estado de Yucatán para el Ejercicio Fiscal 2025</w:t>
      </w:r>
    </w:p>
    <w:p w14:paraId="7E894604"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b/>
          <w:szCs w:val="24"/>
        </w:rPr>
        <w:t>Artículo único.</w:t>
      </w:r>
      <w:r w:rsidRPr="000842AA">
        <w:rPr>
          <w:rFonts w:ascii="Arial" w:hAnsi="Arial" w:cs="Arial"/>
          <w:szCs w:val="24"/>
        </w:rPr>
        <w:t xml:space="preserve"> Se expide la Ley de Ingresos del Estado de Yucatán para el Ejercicio Fiscal 2025.</w:t>
      </w:r>
    </w:p>
    <w:p w14:paraId="734FF1EC" w14:textId="77777777" w:rsidR="009654FE" w:rsidRPr="000842AA" w:rsidRDefault="009654FE" w:rsidP="009654FE">
      <w:pPr>
        <w:spacing w:before="100" w:beforeAutospacing="1" w:after="100" w:afterAutospacing="1" w:line="240" w:lineRule="auto"/>
        <w:jc w:val="center"/>
        <w:rPr>
          <w:rFonts w:ascii="Arial" w:hAnsi="Arial" w:cs="Arial"/>
          <w:b/>
          <w:szCs w:val="24"/>
        </w:rPr>
      </w:pPr>
      <w:r w:rsidRPr="000842AA">
        <w:rPr>
          <w:rFonts w:ascii="Arial" w:hAnsi="Arial" w:cs="Arial"/>
          <w:b/>
          <w:szCs w:val="24"/>
        </w:rPr>
        <w:t>Ley de Ingresos del Estado de Yucatán para el Ejercicio Fiscal 2025</w:t>
      </w:r>
    </w:p>
    <w:p w14:paraId="5D00EF48" w14:textId="77777777" w:rsidR="009654FE" w:rsidRPr="000842AA" w:rsidRDefault="009654FE" w:rsidP="009654FE">
      <w:pPr>
        <w:spacing w:before="100" w:beforeAutospacing="1" w:after="100" w:afterAutospacing="1" w:line="240" w:lineRule="auto"/>
        <w:jc w:val="center"/>
        <w:rPr>
          <w:rFonts w:ascii="Arial" w:hAnsi="Arial" w:cs="Arial"/>
          <w:b/>
          <w:szCs w:val="24"/>
        </w:rPr>
      </w:pPr>
      <w:r w:rsidRPr="000842AA">
        <w:rPr>
          <w:rFonts w:ascii="Arial" w:hAnsi="Arial" w:cs="Arial"/>
          <w:b/>
          <w:szCs w:val="24"/>
        </w:rPr>
        <w:t>Capítulo I</w:t>
      </w:r>
      <w:r w:rsidRPr="000842AA">
        <w:rPr>
          <w:rFonts w:ascii="Arial" w:hAnsi="Arial" w:cs="Arial"/>
          <w:szCs w:val="24"/>
        </w:rPr>
        <w:br/>
      </w:r>
      <w:r w:rsidRPr="000842AA">
        <w:rPr>
          <w:rFonts w:ascii="Arial" w:hAnsi="Arial" w:cs="Arial"/>
          <w:b/>
          <w:szCs w:val="24"/>
        </w:rPr>
        <w:t>Ingresos</w:t>
      </w:r>
    </w:p>
    <w:p w14:paraId="07E88370"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 Objeto</w:t>
      </w:r>
    </w:p>
    <w:p w14:paraId="7E0710D6" w14:textId="77777777" w:rsidR="009654FE" w:rsidRPr="000842AA" w:rsidRDefault="009654FE" w:rsidP="009654FE">
      <w:pPr>
        <w:spacing w:beforeAutospacing="1" w:afterAutospacing="1" w:line="240" w:lineRule="auto"/>
        <w:jc w:val="both"/>
        <w:rPr>
          <w:rFonts w:ascii="Arial" w:hAnsi="Arial" w:cs="Arial"/>
          <w:szCs w:val="24"/>
        </w:rPr>
      </w:pPr>
      <w:r w:rsidRPr="000842AA">
        <w:rPr>
          <w:rFonts w:ascii="Arial" w:hAnsi="Arial" w:cs="Arial"/>
          <w:szCs w:val="24"/>
        </w:rPr>
        <w:t>Esta ley tiene por objeto establecer las estimaciones de los ingresos que percibirá el Estado de Yucatán durante el ejercicio fiscal comprendido del 1 de enero de 2025 al 31 de diciembre de 2025, que permitirán atender y financiar, entre otros rubros, las inversiones públicas, la organización y la prestación de servicios públicos y los proyectos estratégicos, así como trabajar en el cumplimiento de las directrices y vertientes establecidas en los Lineamientos de Planeación para el Presupuesto de Egresos 2025.</w:t>
      </w:r>
    </w:p>
    <w:p w14:paraId="701DE7F0"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ingresos referidos en el párrafo anterior se integrarán, de manera enunciativa, mas no limitativa, con los recursos provenientes de impuestos, cuotas y aportaciones de seguridad social, derechos, productos, aprovechamientos, ingresos por venta de bienes y servicios, participaciones, aportaciones, convenios, incentivos derivados de la colaboración fiscal, fondos distintos de aportaciones, subsidios y subvenciones, así como ingresos derivados de financiamientos que determinen esta ley y las demás disposiciones fiscales aplicables. </w:t>
      </w:r>
    </w:p>
    <w:p w14:paraId="4657C851"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 Ingresos</w:t>
      </w:r>
    </w:p>
    <w:p w14:paraId="30AC9515"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ingresos que el Estado de Yucatán percibirá durante el ejercicio fiscal 2025 serán los provenientes de los rubros, tipos y en las cantidades estimadas que a continuación se enumeran: </w:t>
      </w:r>
    </w:p>
    <w:p w14:paraId="19B82AE2" w14:textId="77777777" w:rsidR="009654FE" w:rsidRPr="000842AA" w:rsidRDefault="009654FE" w:rsidP="009654FE">
      <w:pPr>
        <w:spacing w:before="100" w:beforeAutospacing="1" w:after="100" w:afterAutospacing="1" w:line="240" w:lineRule="auto"/>
        <w:jc w:val="center"/>
        <w:rPr>
          <w:rFonts w:ascii="Arial" w:hAnsi="Arial" w:cs="Arial"/>
          <w:b/>
          <w:sz w:val="20"/>
          <w:szCs w:val="24"/>
        </w:rPr>
      </w:pPr>
      <w:r w:rsidRPr="000842AA">
        <w:rPr>
          <w:rFonts w:ascii="Arial" w:hAnsi="Arial" w:cs="Arial"/>
          <w:b/>
          <w:sz w:val="20"/>
          <w:szCs w:val="24"/>
        </w:rPr>
        <w:t>Tabla 1. Clasificador por rubro de ingresos</w:t>
      </w:r>
    </w:p>
    <w:tbl>
      <w:tblPr>
        <w:tblW w:w="10348" w:type="dxa"/>
        <w:tblLayout w:type="fixed"/>
        <w:tblCellMar>
          <w:left w:w="70" w:type="dxa"/>
          <w:right w:w="70" w:type="dxa"/>
        </w:tblCellMar>
        <w:tblLook w:val="04A0" w:firstRow="1" w:lastRow="0" w:firstColumn="1" w:lastColumn="0" w:noHBand="0" w:noVBand="1"/>
      </w:tblPr>
      <w:tblGrid>
        <w:gridCol w:w="1095"/>
        <w:gridCol w:w="6560"/>
        <w:gridCol w:w="1749"/>
        <w:gridCol w:w="944"/>
      </w:tblGrid>
      <w:tr w:rsidR="009654FE" w:rsidRPr="000842AA" w14:paraId="65C84A85" w14:textId="77777777" w:rsidTr="00CF770A">
        <w:trPr>
          <w:gridAfter w:val="1"/>
          <w:wAfter w:w="944" w:type="dxa"/>
          <w:trHeight w:val="360"/>
          <w:tblHeader/>
        </w:trPr>
        <w:tc>
          <w:tcPr>
            <w:tcW w:w="1095"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4951EA21" w14:textId="77777777" w:rsidR="009654FE" w:rsidRPr="000842AA" w:rsidRDefault="009654FE" w:rsidP="00CF770A">
            <w:pPr>
              <w:spacing w:after="0" w:line="180" w:lineRule="exact"/>
              <w:jc w:val="center"/>
              <w:rPr>
                <w:rFonts w:ascii="Arial" w:eastAsia="Times New Roman" w:hAnsi="Arial" w:cs="Arial"/>
                <w:b/>
                <w:color w:val="FFFFFF"/>
                <w:sz w:val="16"/>
                <w:szCs w:val="16"/>
              </w:rPr>
            </w:pPr>
            <w:r w:rsidRPr="000842AA">
              <w:rPr>
                <w:rFonts w:ascii="Arial" w:eastAsia="Times New Roman" w:hAnsi="Arial" w:cs="Arial"/>
                <w:b/>
                <w:color w:val="FFFFFF" w:themeColor="background1"/>
                <w:sz w:val="16"/>
                <w:szCs w:val="16"/>
              </w:rPr>
              <w:t xml:space="preserve">C.R.I. </w:t>
            </w:r>
          </w:p>
        </w:tc>
        <w:tc>
          <w:tcPr>
            <w:tcW w:w="6560"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668FDF82" w14:textId="77777777" w:rsidR="009654FE" w:rsidRPr="000842AA" w:rsidRDefault="009654FE" w:rsidP="00CF770A">
            <w:pPr>
              <w:spacing w:after="0" w:line="180" w:lineRule="exact"/>
              <w:jc w:val="center"/>
              <w:rPr>
                <w:rFonts w:ascii="Arial" w:eastAsia="Times New Roman" w:hAnsi="Arial" w:cs="Arial"/>
                <w:b/>
                <w:color w:val="FFFFFF"/>
                <w:sz w:val="16"/>
                <w:szCs w:val="16"/>
              </w:rPr>
            </w:pPr>
            <w:r w:rsidRPr="000842AA">
              <w:rPr>
                <w:rFonts w:ascii="Arial" w:eastAsia="Times New Roman" w:hAnsi="Arial" w:cs="Arial"/>
                <w:b/>
                <w:color w:val="FFFFFF" w:themeColor="background1"/>
                <w:sz w:val="16"/>
                <w:szCs w:val="16"/>
              </w:rPr>
              <w:t xml:space="preserve"> Concepto </w:t>
            </w:r>
          </w:p>
        </w:tc>
        <w:tc>
          <w:tcPr>
            <w:tcW w:w="1749" w:type="dxa"/>
            <w:tcBorders>
              <w:top w:val="single" w:sz="8" w:space="0" w:color="auto"/>
              <w:left w:val="nil"/>
              <w:bottom w:val="single" w:sz="8" w:space="0" w:color="auto"/>
              <w:right w:val="nil"/>
            </w:tcBorders>
            <w:shd w:val="clear" w:color="auto" w:fill="000000" w:themeFill="text1"/>
            <w:noWrap/>
            <w:vAlign w:val="center"/>
            <w:hideMark/>
          </w:tcPr>
          <w:p w14:paraId="387E712B" w14:textId="77777777" w:rsidR="009654FE" w:rsidRPr="000842AA" w:rsidRDefault="009654FE" w:rsidP="00CF770A">
            <w:pPr>
              <w:spacing w:after="0" w:line="180" w:lineRule="exact"/>
              <w:jc w:val="center"/>
              <w:rPr>
                <w:rFonts w:ascii="Arial" w:eastAsia="Times New Roman" w:hAnsi="Arial" w:cs="Arial"/>
                <w:b/>
                <w:color w:val="FFFFFF"/>
                <w:sz w:val="16"/>
                <w:szCs w:val="16"/>
              </w:rPr>
            </w:pPr>
            <w:r w:rsidRPr="000842AA">
              <w:rPr>
                <w:rFonts w:ascii="Arial" w:eastAsia="Times New Roman" w:hAnsi="Arial" w:cs="Arial"/>
                <w:b/>
                <w:color w:val="FFFFFF" w:themeColor="background1"/>
                <w:sz w:val="16"/>
                <w:szCs w:val="16"/>
              </w:rPr>
              <w:t xml:space="preserve"> Totales </w:t>
            </w:r>
          </w:p>
        </w:tc>
      </w:tr>
      <w:tr w:rsidR="009654FE" w:rsidRPr="000842AA" w14:paraId="5D5F866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2F2F2" w:themeFill="background1" w:themeFillShade="F2"/>
            <w:noWrap/>
            <w:vAlign w:val="center"/>
            <w:hideMark/>
          </w:tcPr>
          <w:p w14:paraId="4FDFD09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w:t>
            </w:r>
          </w:p>
        </w:tc>
        <w:tc>
          <w:tcPr>
            <w:tcW w:w="6560" w:type="dxa"/>
            <w:tcBorders>
              <w:top w:val="nil"/>
              <w:left w:val="nil"/>
              <w:bottom w:val="single" w:sz="8" w:space="0" w:color="auto"/>
              <w:right w:val="single" w:sz="8" w:space="0" w:color="auto"/>
            </w:tcBorders>
            <w:shd w:val="clear" w:color="auto" w:fill="F2F2F2" w:themeFill="background1" w:themeFillShade="F2"/>
            <w:noWrap/>
            <w:vAlign w:val="center"/>
            <w:hideMark/>
          </w:tcPr>
          <w:p w14:paraId="58522FD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Total</w:t>
            </w:r>
          </w:p>
        </w:tc>
        <w:tc>
          <w:tcPr>
            <w:tcW w:w="1749" w:type="dxa"/>
            <w:tcBorders>
              <w:top w:val="nil"/>
              <w:left w:val="nil"/>
              <w:bottom w:val="single" w:sz="8" w:space="0" w:color="auto"/>
              <w:right w:val="nil"/>
            </w:tcBorders>
            <w:shd w:val="clear" w:color="auto" w:fill="F2F2F2" w:themeFill="background1" w:themeFillShade="F2"/>
            <w:noWrap/>
            <w:vAlign w:val="center"/>
            <w:hideMark/>
          </w:tcPr>
          <w:p w14:paraId="6402E03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62,783,276,571 </w:t>
            </w:r>
          </w:p>
        </w:tc>
      </w:tr>
      <w:tr w:rsidR="009654FE" w:rsidRPr="000842AA" w14:paraId="5335006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B3E5A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7DEF0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w:t>
            </w:r>
          </w:p>
        </w:tc>
        <w:tc>
          <w:tcPr>
            <w:tcW w:w="1749" w:type="dxa"/>
            <w:tcBorders>
              <w:top w:val="nil"/>
              <w:left w:val="nil"/>
              <w:bottom w:val="single" w:sz="8" w:space="0" w:color="auto"/>
              <w:right w:val="nil"/>
            </w:tcBorders>
            <w:shd w:val="clear" w:color="auto" w:fill="D9D9D9" w:themeFill="background1" w:themeFillShade="D9"/>
            <w:vAlign w:val="center"/>
            <w:hideMark/>
          </w:tcPr>
          <w:p w14:paraId="1E483564"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4,458,958,359 </w:t>
            </w:r>
          </w:p>
        </w:tc>
      </w:tr>
      <w:tr w:rsidR="009654FE" w:rsidRPr="000842AA" w14:paraId="0EDEC5A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335CC59C"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915BDE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sobre los Ingresos</w:t>
            </w:r>
          </w:p>
        </w:tc>
        <w:tc>
          <w:tcPr>
            <w:tcW w:w="1749" w:type="dxa"/>
            <w:tcBorders>
              <w:top w:val="nil"/>
              <w:left w:val="nil"/>
              <w:bottom w:val="single" w:sz="8" w:space="0" w:color="auto"/>
              <w:right w:val="nil"/>
            </w:tcBorders>
            <w:shd w:val="clear" w:color="auto" w:fill="FFFFFF" w:themeFill="background1"/>
            <w:noWrap/>
            <w:vAlign w:val="center"/>
            <w:hideMark/>
          </w:tcPr>
          <w:p w14:paraId="222209C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447,229,288 </w:t>
            </w:r>
          </w:p>
        </w:tc>
      </w:tr>
      <w:tr w:rsidR="009654FE" w:rsidRPr="000842AA" w14:paraId="629CBBE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1350884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13880C7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loterías, rifas, sorteos, concursos y juegos con cruce de apuestas legalmente permitidos</w:t>
            </w:r>
          </w:p>
        </w:tc>
        <w:tc>
          <w:tcPr>
            <w:tcW w:w="1749" w:type="dxa"/>
            <w:tcBorders>
              <w:top w:val="nil"/>
              <w:left w:val="nil"/>
              <w:bottom w:val="single" w:sz="8" w:space="0" w:color="auto"/>
              <w:right w:val="nil"/>
            </w:tcBorders>
            <w:shd w:val="clear" w:color="auto" w:fill="FFFFFF" w:themeFill="background1"/>
            <w:vAlign w:val="center"/>
            <w:hideMark/>
          </w:tcPr>
          <w:p w14:paraId="6554004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91,208,089 </w:t>
            </w:r>
          </w:p>
        </w:tc>
      </w:tr>
      <w:tr w:rsidR="009654FE" w:rsidRPr="000842AA" w14:paraId="6307D57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31E25C2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53F5EA9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el ejercicio profesional</w:t>
            </w:r>
          </w:p>
        </w:tc>
        <w:tc>
          <w:tcPr>
            <w:tcW w:w="1749" w:type="dxa"/>
            <w:tcBorders>
              <w:top w:val="nil"/>
              <w:left w:val="nil"/>
              <w:bottom w:val="single" w:sz="8" w:space="0" w:color="auto"/>
              <w:right w:val="nil"/>
            </w:tcBorders>
            <w:shd w:val="clear" w:color="auto" w:fill="FFFFFF" w:themeFill="background1"/>
            <w:vAlign w:val="center"/>
            <w:hideMark/>
          </w:tcPr>
          <w:p w14:paraId="1C361D1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35,847,769 </w:t>
            </w:r>
          </w:p>
        </w:tc>
      </w:tr>
      <w:tr w:rsidR="009654FE" w:rsidRPr="000842AA" w14:paraId="34ACAC7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3E94768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1.1.3</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0947D3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Cedular sobre la obtención de ingresos por actividades empresariales</w:t>
            </w:r>
          </w:p>
        </w:tc>
        <w:tc>
          <w:tcPr>
            <w:tcW w:w="1749" w:type="dxa"/>
            <w:tcBorders>
              <w:top w:val="nil"/>
              <w:left w:val="nil"/>
              <w:bottom w:val="single" w:sz="8" w:space="0" w:color="auto"/>
              <w:right w:val="nil"/>
            </w:tcBorders>
            <w:shd w:val="clear" w:color="auto" w:fill="FFFFFF" w:themeFill="background1"/>
            <w:vAlign w:val="center"/>
            <w:hideMark/>
          </w:tcPr>
          <w:p w14:paraId="3B93EB0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100,342,665 </w:t>
            </w:r>
          </w:p>
        </w:tc>
      </w:tr>
      <w:tr w:rsidR="009654FE" w:rsidRPr="000842AA" w14:paraId="1EA8FD7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5F61E05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1.1.4</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48E78A5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Cedular por la enajenación de bienes inmuebles</w:t>
            </w:r>
          </w:p>
        </w:tc>
        <w:tc>
          <w:tcPr>
            <w:tcW w:w="1749" w:type="dxa"/>
            <w:tcBorders>
              <w:top w:val="nil"/>
              <w:left w:val="nil"/>
              <w:bottom w:val="single" w:sz="8" w:space="0" w:color="auto"/>
              <w:right w:val="nil"/>
            </w:tcBorders>
            <w:shd w:val="clear" w:color="auto" w:fill="FFFFFF" w:themeFill="background1"/>
            <w:vAlign w:val="center"/>
            <w:hideMark/>
          </w:tcPr>
          <w:p w14:paraId="75B43D8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219,830,765 </w:t>
            </w:r>
          </w:p>
        </w:tc>
      </w:tr>
      <w:tr w:rsidR="009654FE" w:rsidRPr="000842AA" w14:paraId="5C9E912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540FC81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C7B233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 sobre el patrimonio</w:t>
            </w:r>
          </w:p>
        </w:tc>
        <w:tc>
          <w:tcPr>
            <w:tcW w:w="1749" w:type="dxa"/>
            <w:tcBorders>
              <w:top w:val="nil"/>
              <w:left w:val="nil"/>
              <w:bottom w:val="single" w:sz="8" w:space="0" w:color="auto"/>
              <w:right w:val="nil"/>
            </w:tcBorders>
            <w:shd w:val="clear" w:color="auto" w:fill="FFFFFF" w:themeFill="background1"/>
            <w:vAlign w:val="center"/>
            <w:hideMark/>
          </w:tcPr>
          <w:p w14:paraId="1B02FC8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5DDFE9B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4A332AE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1.2.1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2802DB4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Tenencia o Uso de Vehículos</w:t>
            </w:r>
          </w:p>
        </w:tc>
        <w:tc>
          <w:tcPr>
            <w:tcW w:w="1749" w:type="dxa"/>
            <w:tcBorders>
              <w:top w:val="nil"/>
              <w:left w:val="nil"/>
              <w:bottom w:val="single" w:sz="8" w:space="0" w:color="auto"/>
              <w:right w:val="nil"/>
            </w:tcBorders>
            <w:shd w:val="clear" w:color="auto" w:fill="FFFFFF" w:themeFill="background1"/>
            <w:vAlign w:val="center"/>
            <w:hideMark/>
          </w:tcPr>
          <w:p w14:paraId="10A3257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5ED00E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7215FBE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1.3</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506CBDE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 sobre la producción, el consumo y las transacciones</w:t>
            </w:r>
          </w:p>
        </w:tc>
        <w:tc>
          <w:tcPr>
            <w:tcW w:w="1749" w:type="dxa"/>
            <w:tcBorders>
              <w:top w:val="nil"/>
              <w:left w:val="nil"/>
              <w:bottom w:val="single" w:sz="8" w:space="0" w:color="auto"/>
              <w:right w:val="nil"/>
            </w:tcBorders>
            <w:shd w:val="clear" w:color="auto" w:fill="FFFFFF" w:themeFill="background1"/>
            <w:noWrap/>
            <w:vAlign w:val="center"/>
            <w:hideMark/>
          </w:tcPr>
          <w:p w14:paraId="76BD442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756,708,402 </w:t>
            </w:r>
          </w:p>
        </w:tc>
      </w:tr>
      <w:tr w:rsidR="009654FE" w:rsidRPr="000842AA" w14:paraId="5FE202D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0047C13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5BCCDA2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Hospedaje</w:t>
            </w:r>
          </w:p>
        </w:tc>
        <w:tc>
          <w:tcPr>
            <w:tcW w:w="1749" w:type="dxa"/>
            <w:tcBorders>
              <w:top w:val="nil"/>
              <w:left w:val="nil"/>
              <w:bottom w:val="single" w:sz="8" w:space="0" w:color="auto"/>
              <w:right w:val="nil"/>
            </w:tcBorders>
            <w:shd w:val="clear" w:color="auto" w:fill="FFFFFF" w:themeFill="background1"/>
            <w:vAlign w:val="center"/>
            <w:hideMark/>
          </w:tcPr>
          <w:p w14:paraId="5CDB308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200,592,000 </w:t>
            </w:r>
          </w:p>
        </w:tc>
      </w:tr>
      <w:tr w:rsidR="009654FE" w:rsidRPr="000842AA" w14:paraId="6754AC3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7C93AA6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47FC0E8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enajenación de vehículos usados</w:t>
            </w:r>
          </w:p>
        </w:tc>
        <w:tc>
          <w:tcPr>
            <w:tcW w:w="1749" w:type="dxa"/>
            <w:tcBorders>
              <w:top w:val="nil"/>
              <w:left w:val="nil"/>
              <w:bottom w:val="single" w:sz="8" w:space="0" w:color="auto"/>
              <w:right w:val="nil"/>
            </w:tcBorders>
            <w:shd w:val="clear" w:color="auto" w:fill="FFFFFF" w:themeFill="background1"/>
            <w:vAlign w:val="center"/>
            <w:hideMark/>
          </w:tcPr>
          <w:p w14:paraId="2BC609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28,870,218 </w:t>
            </w:r>
          </w:p>
        </w:tc>
      </w:tr>
      <w:tr w:rsidR="009654FE" w:rsidRPr="000842AA" w14:paraId="1E5D7E8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36601BB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1.3.3</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2015065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Adicional para la ejecución de obras materiales y asistencia social</w:t>
            </w:r>
          </w:p>
        </w:tc>
        <w:tc>
          <w:tcPr>
            <w:tcW w:w="1749" w:type="dxa"/>
            <w:tcBorders>
              <w:top w:val="nil"/>
              <w:left w:val="nil"/>
              <w:bottom w:val="single" w:sz="8" w:space="0" w:color="auto"/>
              <w:right w:val="nil"/>
            </w:tcBorders>
            <w:shd w:val="clear" w:color="auto" w:fill="FFFFFF" w:themeFill="background1"/>
            <w:vAlign w:val="center"/>
            <w:hideMark/>
          </w:tcPr>
          <w:p w14:paraId="61A1FC6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339,915,268 </w:t>
            </w:r>
          </w:p>
        </w:tc>
      </w:tr>
      <w:tr w:rsidR="009654FE" w:rsidRPr="000842AA" w14:paraId="3A786E2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03CB928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1.3.4</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33C01EB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las erogaciones en juegos y concursos</w:t>
            </w:r>
          </w:p>
        </w:tc>
        <w:tc>
          <w:tcPr>
            <w:tcW w:w="1749" w:type="dxa"/>
            <w:tcBorders>
              <w:top w:val="nil"/>
              <w:left w:val="nil"/>
              <w:bottom w:val="single" w:sz="8" w:space="0" w:color="auto"/>
              <w:right w:val="nil"/>
            </w:tcBorders>
            <w:shd w:val="clear" w:color="auto" w:fill="FFFFFF" w:themeFill="background1"/>
            <w:vAlign w:val="center"/>
            <w:hideMark/>
          </w:tcPr>
          <w:p w14:paraId="6C66AF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152,421,192 </w:t>
            </w:r>
          </w:p>
        </w:tc>
      </w:tr>
      <w:tr w:rsidR="009654FE" w:rsidRPr="000842AA" w14:paraId="7EA6FCA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392640E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1.3.5</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B94D85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Casas de Empeño</w:t>
            </w:r>
          </w:p>
        </w:tc>
        <w:tc>
          <w:tcPr>
            <w:tcW w:w="1749" w:type="dxa"/>
            <w:tcBorders>
              <w:top w:val="nil"/>
              <w:left w:val="nil"/>
              <w:bottom w:val="single" w:sz="8" w:space="0" w:color="auto"/>
              <w:right w:val="nil"/>
            </w:tcBorders>
            <w:shd w:val="clear" w:color="auto" w:fill="FFFFFF" w:themeFill="background1"/>
            <w:vAlign w:val="center"/>
            <w:hideMark/>
          </w:tcPr>
          <w:p w14:paraId="683CC6E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503,605 </w:t>
            </w:r>
          </w:p>
        </w:tc>
      </w:tr>
      <w:tr w:rsidR="009654FE" w:rsidRPr="000842AA" w14:paraId="44F9874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6736AA9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1.3.6</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373B57A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la venta final de bebidas con contenido alcohólico</w:t>
            </w:r>
          </w:p>
        </w:tc>
        <w:tc>
          <w:tcPr>
            <w:tcW w:w="1749" w:type="dxa"/>
            <w:tcBorders>
              <w:top w:val="nil"/>
              <w:left w:val="nil"/>
              <w:bottom w:val="single" w:sz="8" w:space="0" w:color="auto"/>
              <w:right w:val="nil"/>
            </w:tcBorders>
            <w:shd w:val="clear" w:color="auto" w:fill="FFFFFF" w:themeFill="background1"/>
            <w:vAlign w:val="center"/>
            <w:hideMark/>
          </w:tcPr>
          <w:p w14:paraId="7A9F1BC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34,406,119 </w:t>
            </w:r>
          </w:p>
        </w:tc>
      </w:tr>
      <w:tr w:rsidR="009654FE" w:rsidRPr="000842AA" w14:paraId="2AE11D8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33C7442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1.4</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E8E36B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al comercio exterior</w:t>
            </w:r>
          </w:p>
        </w:tc>
        <w:tc>
          <w:tcPr>
            <w:tcW w:w="1749" w:type="dxa"/>
            <w:tcBorders>
              <w:top w:val="nil"/>
              <w:left w:val="nil"/>
              <w:bottom w:val="single" w:sz="8" w:space="0" w:color="auto"/>
              <w:right w:val="nil"/>
            </w:tcBorders>
            <w:shd w:val="clear" w:color="auto" w:fill="FFFFFF" w:themeFill="background1"/>
            <w:vAlign w:val="center"/>
            <w:hideMark/>
          </w:tcPr>
          <w:p w14:paraId="30D65E0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821D45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1935F99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1.4.1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46B3F46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Al comercio exterior</w:t>
            </w:r>
          </w:p>
        </w:tc>
        <w:tc>
          <w:tcPr>
            <w:tcW w:w="1749" w:type="dxa"/>
            <w:tcBorders>
              <w:top w:val="nil"/>
              <w:left w:val="nil"/>
              <w:bottom w:val="single" w:sz="8" w:space="0" w:color="auto"/>
              <w:right w:val="nil"/>
            </w:tcBorders>
            <w:shd w:val="clear" w:color="auto" w:fill="FFFFFF" w:themeFill="background1"/>
            <w:vAlign w:val="center"/>
            <w:hideMark/>
          </w:tcPr>
          <w:p w14:paraId="00B3431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E373DB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44DC320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1.5</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4E76FCF2"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sobre Nóminas y Asimilables</w:t>
            </w:r>
          </w:p>
        </w:tc>
        <w:tc>
          <w:tcPr>
            <w:tcW w:w="1749" w:type="dxa"/>
            <w:tcBorders>
              <w:top w:val="nil"/>
              <w:left w:val="nil"/>
              <w:bottom w:val="single" w:sz="8" w:space="0" w:color="auto"/>
              <w:right w:val="nil"/>
            </w:tcBorders>
            <w:shd w:val="clear" w:color="auto" w:fill="FFFFFF" w:themeFill="background1"/>
            <w:noWrap/>
            <w:vAlign w:val="center"/>
            <w:hideMark/>
          </w:tcPr>
          <w:p w14:paraId="45D2ACA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3,138,349,959 </w:t>
            </w:r>
          </w:p>
        </w:tc>
      </w:tr>
      <w:tr w:rsidR="009654FE" w:rsidRPr="000842AA" w14:paraId="1FCF0A0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848742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1.5.1</w:t>
            </w:r>
          </w:p>
        </w:tc>
        <w:tc>
          <w:tcPr>
            <w:tcW w:w="6560" w:type="dxa"/>
            <w:tcBorders>
              <w:top w:val="nil"/>
              <w:left w:val="nil"/>
              <w:bottom w:val="single" w:sz="8" w:space="0" w:color="auto"/>
              <w:right w:val="single" w:sz="8" w:space="0" w:color="auto"/>
            </w:tcBorders>
            <w:shd w:val="clear" w:color="auto" w:fill="auto"/>
            <w:noWrap/>
            <w:vAlign w:val="center"/>
            <w:hideMark/>
          </w:tcPr>
          <w:p w14:paraId="3E9C8C4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erogaciones por remuneración al trabajo personal</w:t>
            </w:r>
          </w:p>
        </w:tc>
        <w:tc>
          <w:tcPr>
            <w:tcW w:w="1749" w:type="dxa"/>
            <w:tcBorders>
              <w:top w:val="nil"/>
              <w:left w:val="nil"/>
              <w:bottom w:val="single" w:sz="8" w:space="0" w:color="auto"/>
              <w:right w:val="nil"/>
            </w:tcBorders>
            <w:shd w:val="clear" w:color="auto" w:fill="FFFFFF" w:themeFill="background1"/>
            <w:vAlign w:val="center"/>
            <w:hideMark/>
          </w:tcPr>
          <w:p w14:paraId="16BE5BA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3,138,349,959 </w:t>
            </w:r>
          </w:p>
        </w:tc>
      </w:tr>
      <w:tr w:rsidR="009654FE" w:rsidRPr="000842AA" w14:paraId="664CF67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4C0B21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1.6</w:t>
            </w:r>
          </w:p>
        </w:tc>
        <w:tc>
          <w:tcPr>
            <w:tcW w:w="6560" w:type="dxa"/>
            <w:tcBorders>
              <w:top w:val="nil"/>
              <w:left w:val="nil"/>
              <w:bottom w:val="single" w:sz="8" w:space="0" w:color="auto"/>
              <w:right w:val="single" w:sz="8" w:space="0" w:color="auto"/>
            </w:tcBorders>
            <w:shd w:val="clear" w:color="auto" w:fill="auto"/>
            <w:noWrap/>
            <w:vAlign w:val="center"/>
            <w:hideMark/>
          </w:tcPr>
          <w:p w14:paraId="4F7E013D"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ecológicos</w:t>
            </w:r>
          </w:p>
        </w:tc>
        <w:tc>
          <w:tcPr>
            <w:tcW w:w="1749" w:type="dxa"/>
            <w:tcBorders>
              <w:top w:val="nil"/>
              <w:left w:val="nil"/>
              <w:bottom w:val="single" w:sz="8" w:space="0" w:color="auto"/>
              <w:right w:val="nil"/>
            </w:tcBorders>
            <w:shd w:val="clear" w:color="auto" w:fill="auto"/>
            <w:noWrap/>
            <w:vAlign w:val="center"/>
            <w:hideMark/>
          </w:tcPr>
          <w:p w14:paraId="300260E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86,755,648 </w:t>
            </w:r>
          </w:p>
        </w:tc>
      </w:tr>
      <w:tr w:rsidR="009654FE" w:rsidRPr="000842AA" w14:paraId="3BECD99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197AD3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1.6.1</w:t>
            </w:r>
          </w:p>
        </w:tc>
        <w:tc>
          <w:tcPr>
            <w:tcW w:w="6560" w:type="dxa"/>
            <w:tcBorders>
              <w:top w:val="nil"/>
              <w:left w:val="nil"/>
              <w:bottom w:val="single" w:sz="8" w:space="0" w:color="auto"/>
              <w:right w:val="single" w:sz="8" w:space="0" w:color="auto"/>
            </w:tcBorders>
            <w:shd w:val="clear" w:color="auto" w:fill="auto"/>
            <w:noWrap/>
            <w:vAlign w:val="center"/>
            <w:hideMark/>
          </w:tcPr>
          <w:p w14:paraId="22DDC29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la Emisión de Contaminantes al Suelo, Subsuelo y Agua</w:t>
            </w:r>
          </w:p>
        </w:tc>
        <w:tc>
          <w:tcPr>
            <w:tcW w:w="1749" w:type="dxa"/>
            <w:tcBorders>
              <w:top w:val="nil"/>
              <w:left w:val="nil"/>
              <w:bottom w:val="single" w:sz="8" w:space="0" w:color="auto"/>
              <w:right w:val="nil"/>
            </w:tcBorders>
            <w:shd w:val="clear" w:color="auto" w:fill="FFFFFF" w:themeFill="background1"/>
            <w:vAlign w:val="center"/>
            <w:hideMark/>
          </w:tcPr>
          <w:p w14:paraId="30800FD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24,452,648 </w:t>
            </w:r>
          </w:p>
        </w:tc>
      </w:tr>
      <w:tr w:rsidR="009654FE" w:rsidRPr="000842AA" w14:paraId="3F20DD3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86537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1.6.2</w:t>
            </w:r>
          </w:p>
        </w:tc>
        <w:tc>
          <w:tcPr>
            <w:tcW w:w="6560" w:type="dxa"/>
            <w:tcBorders>
              <w:top w:val="nil"/>
              <w:left w:val="nil"/>
              <w:bottom w:val="single" w:sz="8" w:space="0" w:color="auto"/>
              <w:right w:val="single" w:sz="8" w:space="0" w:color="auto"/>
            </w:tcBorders>
            <w:shd w:val="clear" w:color="auto" w:fill="auto"/>
            <w:noWrap/>
            <w:vAlign w:val="center"/>
            <w:hideMark/>
          </w:tcPr>
          <w:p w14:paraId="2E0D015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la Emisión de Gases a la Atmósfera</w:t>
            </w:r>
          </w:p>
        </w:tc>
        <w:tc>
          <w:tcPr>
            <w:tcW w:w="1749" w:type="dxa"/>
            <w:tcBorders>
              <w:top w:val="nil"/>
              <w:left w:val="nil"/>
              <w:bottom w:val="single" w:sz="8" w:space="0" w:color="auto"/>
              <w:right w:val="nil"/>
            </w:tcBorders>
            <w:shd w:val="clear" w:color="auto" w:fill="FFFFFF" w:themeFill="background1"/>
            <w:vAlign w:val="center"/>
            <w:hideMark/>
          </w:tcPr>
          <w:p w14:paraId="43F8E9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62,303,000 </w:t>
            </w:r>
          </w:p>
        </w:tc>
      </w:tr>
      <w:tr w:rsidR="009654FE" w:rsidRPr="000842AA" w14:paraId="3E29C80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AD41552"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1.7</w:t>
            </w:r>
          </w:p>
        </w:tc>
        <w:tc>
          <w:tcPr>
            <w:tcW w:w="6560" w:type="dxa"/>
            <w:tcBorders>
              <w:top w:val="nil"/>
              <w:left w:val="nil"/>
              <w:bottom w:val="single" w:sz="8" w:space="0" w:color="auto"/>
              <w:right w:val="single" w:sz="8" w:space="0" w:color="auto"/>
            </w:tcBorders>
            <w:shd w:val="clear" w:color="auto" w:fill="auto"/>
            <w:noWrap/>
            <w:vAlign w:val="center"/>
            <w:hideMark/>
          </w:tcPr>
          <w:p w14:paraId="6542D26A"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Accesorios de Impuestos</w:t>
            </w:r>
          </w:p>
        </w:tc>
        <w:tc>
          <w:tcPr>
            <w:tcW w:w="1749" w:type="dxa"/>
            <w:tcBorders>
              <w:top w:val="nil"/>
              <w:left w:val="nil"/>
              <w:bottom w:val="single" w:sz="8" w:space="0" w:color="auto"/>
              <w:right w:val="nil"/>
            </w:tcBorders>
            <w:shd w:val="clear" w:color="auto" w:fill="auto"/>
            <w:noWrap/>
            <w:vAlign w:val="center"/>
            <w:hideMark/>
          </w:tcPr>
          <w:p w14:paraId="4F8F0E7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29,900,536 </w:t>
            </w:r>
          </w:p>
        </w:tc>
      </w:tr>
      <w:tr w:rsidR="009654FE" w:rsidRPr="000842AA" w14:paraId="02106B6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3EBE9F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1.7.1</w:t>
            </w:r>
          </w:p>
        </w:tc>
        <w:tc>
          <w:tcPr>
            <w:tcW w:w="6560" w:type="dxa"/>
            <w:tcBorders>
              <w:top w:val="nil"/>
              <w:left w:val="nil"/>
              <w:bottom w:val="single" w:sz="8" w:space="0" w:color="auto"/>
              <w:right w:val="single" w:sz="8" w:space="0" w:color="auto"/>
            </w:tcBorders>
            <w:shd w:val="clear" w:color="auto" w:fill="auto"/>
            <w:noWrap/>
            <w:vAlign w:val="center"/>
            <w:hideMark/>
          </w:tcPr>
          <w:p w14:paraId="6C7AB93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Multas, recargos, gastos extraordinarios y otros accesorios</w:t>
            </w:r>
          </w:p>
        </w:tc>
        <w:tc>
          <w:tcPr>
            <w:tcW w:w="1749" w:type="dxa"/>
            <w:tcBorders>
              <w:top w:val="nil"/>
              <w:left w:val="nil"/>
              <w:bottom w:val="single" w:sz="8" w:space="0" w:color="auto"/>
              <w:right w:val="nil"/>
            </w:tcBorders>
            <w:shd w:val="clear" w:color="auto" w:fill="FFFFFF" w:themeFill="background1"/>
            <w:vAlign w:val="center"/>
            <w:hideMark/>
          </w:tcPr>
          <w:p w14:paraId="3B21283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29,900,536 </w:t>
            </w:r>
          </w:p>
        </w:tc>
      </w:tr>
      <w:tr w:rsidR="009654FE" w:rsidRPr="000842AA" w14:paraId="7719D92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AF3E77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1.7.2</w:t>
            </w:r>
          </w:p>
        </w:tc>
        <w:tc>
          <w:tcPr>
            <w:tcW w:w="6560" w:type="dxa"/>
            <w:tcBorders>
              <w:top w:val="nil"/>
              <w:left w:val="nil"/>
              <w:bottom w:val="single" w:sz="8" w:space="0" w:color="auto"/>
              <w:right w:val="single" w:sz="8" w:space="0" w:color="auto"/>
            </w:tcBorders>
            <w:shd w:val="clear" w:color="auto" w:fill="auto"/>
            <w:noWrap/>
            <w:vAlign w:val="center"/>
            <w:hideMark/>
          </w:tcPr>
          <w:p w14:paraId="0A04874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Indemnizaciones</w:t>
            </w:r>
          </w:p>
        </w:tc>
        <w:tc>
          <w:tcPr>
            <w:tcW w:w="1749" w:type="dxa"/>
            <w:tcBorders>
              <w:top w:val="nil"/>
              <w:left w:val="nil"/>
              <w:bottom w:val="single" w:sz="8" w:space="0" w:color="auto"/>
              <w:right w:val="nil"/>
            </w:tcBorders>
            <w:shd w:val="clear" w:color="auto" w:fill="FFFFFF" w:themeFill="background1"/>
            <w:vAlign w:val="center"/>
            <w:hideMark/>
          </w:tcPr>
          <w:p w14:paraId="6AC733C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8D7639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5AC2C7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1.8</w:t>
            </w:r>
          </w:p>
        </w:tc>
        <w:tc>
          <w:tcPr>
            <w:tcW w:w="6560" w:type="dxa"/>
            <w:tcBorders>
              <w:top w:val="nil"/>
              <w:left w:val="nil"/>
              <w:bottom w:val="single" w:sz="8" w:space="0" w:color="auto"/>
              <w:right w:val="single" w:sz="8" w:space="0" w:color="auto"/>
            </w:tcBorders>
            <w:shd w:val="clear" w:color="auto" w:fill="auto"/>
            <w:noWrap/>
            <w:vAlign w:val="center"/>
            <w:hideMark/>
          </w:tcPr>
          <w:p w14:paraId="2933C5B3"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Otros impuestos</w:t>
            </w:r>
          </w:p>
        </w:tc>
        <w:tc>
          <w:tcPr>
            <w:tcW w:w="1749" w:type="dxa"/>
            <w:tcBorders>
              <w:top w:val="nil"/>
              <w:left w:val="nil"/>
              <w:bottom w:val="single" w:sz="8" w:space="0" w:color="auto"/>
              <w:right w:val="nil"/>
            </w:tcBorders>
            <w:shd w:val="clear" w:color="auto" w:fill="auto"/>
            <w:vAlign w:val="center"/>
            <w:hideMark/>
          </w:tcPr>
          <w:p w14:paraId="42343B6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1ADDA39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A145FC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1.8.1</w:t>
            </w:r>
          </w:p>
        </w:tc>
        <w:tc>
          <w:tcPr>
            <w:tcW w:w="6560" w:type="dxa"/>
            <w:tcBorders>
              <w:top w:val="nil"/>
              <w:left w:val="nil"/>
              <w:bottom w:val="single" w:sz="8" w:space="0" w:color="auto"/>
              <w:right w:val="single" w:sz="8" w:space="0" w:color="auto"/>
            </w:tcBorders>
            <w:shd w:val="clear" w:color="auto" w:fill="auto"/>
            <w:noWrap/>
            <w:vAlign w:val="center"/>
            <w:hideMark/>
          </w:tcPr>
          <w:p w14:paraId="6AAB8A3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impuestos varios</w:t>
            </w:r>
          </w:p>
        </w:tc>
        <w:tc>
          <w:tcPr>
            <w:tcW w:w="1749" w:type="dxa"/>
            <w:tcBorders>
              <w:top w:val="nil"/>
              <w:left w:val="nil"/>
              <w:bottom w:val="single" w:sz="8" w:space="0" w:color="auto"/>
              <w:right w:val="nil"/>
            </w:tcBorders>
            <w:shd w:val="clear" w:color="auto" w:fill="FFFFFF" w:themeFill="background1"/>
            <w:vAlign w:val="center"/>
            <w:hideMark/>
          </w:tcPr>
          <w:p w14:paraId="51E35FC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410FE6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3DAADD4"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1.9</w:t>
            </w:r>
          </w:p>
        </w:tc>
        <w:tc>
          <w:tcPr>
            <w:tcW w:w="6560" w:type="dxa"/>
            <w:tcBorders>
              <w:top w:val="nil"/>
              <w:left w:val="nil"/>
              <w:bottom w:val="single" w:sz="8" w:space="0" w:color="auto"/>
              <w:right w:val="single" w:sz="8" w:space="0" w:color="auto"/>
            </w:tcBorders>
            <w:shd w:val="clear" w:color="auto" w:fill="auto"/>
            <w:noWrap/>
            <w:vAlign w:val="center"/>
            <w:hideMark/>
          </w:tcPr>
          <w:p w14:paraId="374B7828"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no comprendidos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auto"/>
            <w:vAlign w:val="center"/>
            <w:hideMark/>
          </w:tcPr>
          <w:p w14:paraId="654D5DB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14,526 </w:t>
            </w:r>
          </w:p>
        </w:tc>
      </w:tr>
      <w:tr w:rsidR="009654FE" w:rsidRPr="000842AA" w14:paraId="18B08D2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FBEBA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1.9.1</w:t>
            </w:r>
          </w:p>
        </w:tc>
        <w:tc>
          <w:tcPr>
            <w:tcW w:w="6560" w:type="dxa"/>
            <w:tcBorders>
              <w:top w:val="nil"/>
              <w:left w:val="nil"/>
              <w:bottom w:val="single" w:sz="8" w:space="0" w:color="auto"/>
              <w:right w:val="single" w:sz="8" w:space="0" w:color="auto"/>
            </w:tcBorders>
            <w:shd w:val="clear" w:color="auto" w:fill="auto"/>
            <w:noWrap/>
            <w:vAlign w:val="center"/>
            <w:hideMark/>
          </w:tcPr>
          <w:p w14:paraId="2D8DA2F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Sobre tenencia o uso de vehículos</w:t>
            </w:r>
          </w:p>
        </w:tc>
        <w:tc>
          <w:tcPr>
            <w:tcW w:w="1749" w:type="dxa"/>
            <w:tcBorders>
              <w:top w:val="nil"/>
              <w:left w:val="nil"/>
              <w:bottom w:val="single" w:sz="8" w:space="0" w:color="auto"/>
              <w:right w:val="nil"/>
            </w:tcBorders>
            <w:shd w:val="clear" w:color="auto" w:fill="FFFFFF" w:themeFill="background1"/>
            <w:vAlign w:val="center"/>
            <w:hideMark/>
          </w:tcPr>
          <w:p w14:paraId="2DB1CA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14,526 </w:t>
            </w:r>
          </w:p>
        </w:tc>
      </w:tr>
      <w:tr w:rsidR="009654FE" w:rsidRPr="000842AA" w14:paraId="4997FBA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0CECE"/>
            <w:noWrap/>
            <w:vAlign w:val="center"/>
            <w:hideMark/>
          </w:tcPr>
          <w:p w14:paraId="4822B4F4"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2</w:t>
            </w:r>
          </w:p>
        </w:tc>
        <w:tc>
          <w:tcPr>
            <w:tcW w:w="6560" w:type="dxa"/>
            <w:tcBorders>
              <w:top w:val="nil"/>
              <w:left w:val="nil"/>
              <w:bottom w:val="single" w:sz="8" w:space="0" w:color="auto"/>
              <w:right w:val="single" w:sz="8" w:space="0" w:color="auto"/>
            </w:tcBorders>
            <w:shd w:val="clear" w:color="auto" w:fill="D0CECE"/>
            <w:noWrap/>
            <w:vAlign w:val="center"/>
            <w:hideMark/>
          </w:tcPr>
          <w:p w14:paraId="7684D48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Cuotas y Aportaciones de Seguridad Social</w:t>
            </w:r>
          </w:p>
        </w:tc>
        <w:tc>
          <w:tcPr>
            <w:tcW w:w="1749" w:type="dxa"/>
            <w:tcBorders>
              <w:top w:val="nil"/>
              <w:left w:val="nil"/>
              <w:bottom w:val="single" w:sz="8" w:space="0" w:color="auto"/>
              <w:right w:val="nil"/>
            </w:tcBorders>
            <w:shd w:val="clear" w:color="auto" w:fill="D0CECE"/>
            <w:vAlign w:val="center"/>
            <w:hideMark/>
          </w:tcPr>
          <w:p w14:paraId="60DAEBE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1,964,186,473 </w:t>
            </w:r>
          </w:p>
        </w:tc>
      </w:tr>
      <w:tr w:rsidR="009654FE" w:rsidRPr="000842AA" w14:paraId="68A7C62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69E9C4C"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2.1</w:t>
            </w:r>
          </w:p>
        </w:tc>
        <w:tc>
          <w:tcPr>
            <w:tcW w:w="6560" w:type="dxa"/>
            <w:tcBorders>
              <w:top w:val="nil"/>
              <w:left w:val="nil"/>
              <w:bottom w:val="single" w:sz="8" w:space="0" w:color="auto"/>
              <w:right w:val="single" w:sz="8" w:space="0" w:color="auto"/>
            </w:tcBorders>
            <w:shd w:val="clear" w:color="auto" w:fill="auto"/>
            <w:noWrap/>
            <w:vAlign w:val="center"/>
            <w:hideMark/>
          </w:tcPr>
          <w:p w14:paraId="6DDEECE5"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Aportaciones para Fondos de Vivienda</w:t>
            </w:r>
          </w:p>
        </w:tc>
        <w:tc>
          <w:tcPr>
            <w:tcW w:w="1749" w:type="dxa"/>
            <w:tcBorders>
              <w:top w:val="nil"/>
              <w:left w:val="nil"/>
              <w:bottom w:val="single" w:sz="8" w:space="0" w:color="auto"/>
              <w:right w:val="nil"/>
            </w:tcBorders>
            <w:shd w:val="clear" w:color="auto" w:fill="auto"/>
            <w:vAlign w:val="center"/>
            <w:hideMark/>
          </w:tcPr>
          <w:p w14:paraId="1C32EC81"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0EBECB9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7690C2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2.1.1</w:t>
            </w:r>
          </w:p>
        </w:tc>
        <w:tc>
          <w:tcPr>
            <w:tcW w:w="6560" w:type="dxa"/>
            <w:tcBorders>
              <w:top w:val="nil"/>
              <w:left w:val="nil"/>
              <w:bottom w:val="single" w:sz="8" w:space="0" w:color="auto"/>
              <w:right w:val="single" w:sz="8" w:space="0" w:color="auto"/>
            </w:tcBorders>
            <w:shd w:val="clear" w:color="auto" w:fill="auto"/>
            <w:noWrap/>
            <w:vAlign w:val="center"/>
            <w:hideMark/>
          </w:tcPr>
          <w:p w14:paraId="6404DD8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Aportaciones para Fondos de Vivienda</w:t>
            </w:r>
          </w:p>
        </w:tc>
        <w:tc>
          <w:tcPr>
            <w:tcW w:w="1749" w:type="dxa"/>
            <w:tcBorders>
              <w:top w:val="nil"/>
              <w:left w:val="nil"/>
              <w:bottom w:val="single" w:sz="8" w:space="0" w:color="auto"/>
              <w:right w:val="nil"/>
            </w:tcBorders>
            <w:shd w:val="clear" w:color="auto" w:fill="FFFFFF" w:themeFill="background1"/>
            <w:vAlign w:val="center"/>
            <w:hideMark/>
          </w:tcPr>
          <w:p w14:paraId="29B48E2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12B324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894E34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2.2</w:t>
            </w:r>
          </w:p>
        </w:tc>
        <w:tc>
          <w:tcPr>
            <w:tcW w:w="6560" w:type="dxa"/>
            <w:tcBorders>
              <w:top w:val="nil"/>
              <w:left w:val="nil"/>
              <w:bottom w:val="single" w:sz="8" w:space="0" w:color="auto"/>
              <w:right w:val="single" w:sz="8" w:space="0" w:color="auto"/>
            </w:tcBorders>
            <w:shd w:val="clear" w:color="auto" w:fill="auto"/>
            <w:noWrap/>
            <w:vAlign w:val="center"/>
            <w:hideMark/>
          </w:tcPr>
          <w:p w14:paraId="12E0E87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Cuotas para la Seguridad Social</w:t>
            </w:r>
          </w:p>
        </w:tc>
        <w:tc>
          <w:tcPr>
            <w:tcW w:w="1749" w:type="dxa"/>
            <w:tcBorders>
              <w:top w:val="nil"/>
              <w:left w:val="nil"/>
              <w:bottom w:val="single" w:sz="8" w:space="0" w:color="auto"/>
              <w:right w:val="nil"/>
            </w:tcBorders>
            <w:shd w:val="clear" w:color="auto" w:fill="auto"/>
            <w:vAlign w:val="center"/>
            <w:hideMark/>
          </w:tcPr>
          <w:p w14:paraId="594257B2"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1,964,186,473 </w:t>
            </w:r>
          </w:p>
        </w:tc>
      </w:tr>
      <w:tr w:rsidR="009654FE" w:rsidRPr="000842AA" w14:paraId="246202A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135069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2.2.1</w:t>
            </w:r>
          </w:p>
        </w:tc>
        <w:tc>
          <w:tcPr>
            <w:tcW w:w="6560" w:type="dxa"/>
            <w:tcBorders>
              <w:top w:val="nil"/>
              <w:left w:val="nil"/>
              <w:bottom w:val="single" w:sz="8" w:space="0" w:color="auto"/>
              <w:right w:val="single" w:sz="8" w:space="0" w:color="auto"/>
            </w:tcBorders>
            <w:shd w:val="clear" w:color="auto" w:fill="auto"/>
            <w:noWrap/>
            <w:vAlign w:val="center"/>
            <w:hideMark/>
          </w:tcPr>
          <w:p w14:paraId="7A49BFA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Cuotas para la Seguridad Social de los Trabajadores del Estado</w:t>
            </w:r>
          </w:p>
        </w:tc>
        <w:tc>
          <w:tcPr>
            <w:tcW w:w="1749" w:type="dxa"/>
            <w:tcBorders>
              <w:top w:val="nil"/>
              <w:left w:val="nil"/>
              <w:bottom w:val="single" w:sz="8" w:space="0" w:color="auto"/>
              <w:right w:val="nil"/>
            </w:tcBorders>
            <w:shd w:val="clear" w:color="auto" w:fill="FFFFFF" w:themeFill="background1"/>
            <w:vAlign w:val="center"/>
            <w:hideMark/>
          </w:tcPr>
          <w:p w14:paraId="7A4AD88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1,964,186,473 </w:t>
            </w:r>
          </w:p>
        </w:tc>
      </w:tr>
      <w:tr w:rsidR="009654FE" w:rsidRPr="000842AA" w14:paraId="07DE117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F0D408C"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2.3</w:t>
            </w:r>
          </w:p>
        </w:tc>
        <w:tc>
          <w:tcPr>
            <w:tcW w:w="6560" w:type="dxa"/>
            <w:tcBorders>
              <w:top w:val="nil"/>
              <w:left w:val="nil"/>
              <w:bottom w:val="single" w:sz="8" w:space="0" w:color="auto"/>
              <w:right w:val="single" w:sz="8" w:space="0" w:color="auto"/>
            </w:tcBorders>
            <w:shd w:val="clear" w:color="auto" w:fill="auto"/>
            <w:noWrap/>
            <w:vAlign w:val="center"/>
            <w:hideMark/>
          </w:tcPr>
          <w:p w14:paraId="1A72205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Cuotas de Ahorro para el Retiro</w:t>
            </w:r>
          </w:p>
        </w:tc>
        <w:tc>
          <w:tcPr>
            <w:tcW w:w="1749" w:type="dxa"/>
            <w:tcBorders>
              <w:top w:val="nil"/>
              <w:left w:val="nil"/>
              <w:bottom w:val="single" w:sz="8" w:space="0" w:color="auto"/>
              <w:right w:val="nil"/>
            </w:tcBorders>
            <w:shd w:val="clear" w:color="auto" w:fill="auto"/>
            <w:vAlign w:val="center"/>
            <w:hideMark/>
          </w:tcPr>
          <w:p w14:paraId="274E74A8"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5C5D956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D510A8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2.3.1</w:t>
            </w:r>
          </w:p>
        </w:tc>
        <w:tc>
          <w:tcPr>
            <w:tcW w:w="6560" w:type="dxa"/>
            <w:tcBorders>
              <w:top w:val="nil"/>
              <w:left w:val="nil"/>
              <w:bottom w:val="single" w:sz="8" w:space="0" w:color="auto"/>
              <w:right w:val="single" w:sz="8" w:space="0" w:color="auto"/>
            </w:tcBorders>
            <w:shd w:val="clear" w:color="auto" w:fill="auto"/>
            <w:noWrap/>
            <w:vAlign w:val="center"/>
            <w:hideMark/>
          </w:tcPr>
          <w:p w14:paraId="590DA00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Cuotas de Ahorro para el Retiro</w:t>
            </w:r>
          </w:p>
        </w:tc>
        <w:tc>
          <w:tcPr>
            <w:tcW w:w="1749" w:type="dxa"/>
            <w:tcBorders>
              <w:top w:val="nil"/>
              <w:left w:val="nil"/>
              <w:bottom w:val="single" w:sz="8" w:space="0" w:color="auto"/>
              <w:right w:val="nil"/>
            </w:tcBorders>
            <w:shd w:val="clear" w:color="auto" w:fill="FFFFFF" w:themeFill="background1"/>
            <w:vAlign w:val="center"/>
            <w:hideMark/>
          </w:tcPr>
          <w:p w14:paraId="7AC1155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1D7BB8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D39A41B"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2.4</w:t>
            </w:r>
          </w:p>
        </w:tc>
        <w:tc>
          <w:tcPr>
            <w:tcW w:w="6560" w:type="dxa"/>
            <w:tcBorders>
              <w:top w:val="nil"/>
              <w:left w:val="nil"/>
              <w:bottom w:val="single" w:sz="8" w:space="0" w:color="auto"/>
              <w:right w:val="single" w:sz="8" w:space="0" w:color="auto"/>
            </w:tcBorders>
            <w:shd w:val="clear" w:color="auto" w:fill="auto"/>
            <w:noWrap/>
            <w:vAlign w:val="center"/>
            <w:hideMark/>
          </w:tcPr>
          <w:p w14:paraId="775953CE"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Otras Cuotas y Aportaciones para la Seguridad Social</w:t>
            </w:r>
          </w:p>
        </w:tc>
        <w:tc>
          <w:tcPr>
            <w:tcW w:w="1749" w:type="dxa"/>
            <w:tcBorders>
              <w:top w:val="nil"/>
              <w:left w:val="nil"/>
              <w:bottom w:val="single" w:sz="8" w:space="0" w:color="auto"/>
              <w:right w:val="nil"/>
            </w:tcBorders>
            <w:shd w:val="clear" w:color="auto" w:fill="auto"/>
            <w:vAlign w:val="center"/>
            <w:hideMark/>
          </w:tcPr>
          <w:p w14:paraId="38F10849"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3C5692D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1C40F55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2.4.1</w:t>
            </w:r>
          </w:p>
        </w:tc>
        <w:tc>
          <w:tcPr>
            <w:tcW w:w="6560" w:type="dxa"/>
            <w:tcBorders>
              <w:top w:val="nil"/>
              <w:left w:val="nil"/>
              <w:bottom w:val="single" w:sz="8" w:space="0" w:color="auto"/>
              <w:right w:val="single" w:sz="8" w:space="0" w:color="auto"/>
            </w:tcBorders>
            <w:shd w:val="clear" w:color="auto" w:fill="auto"/>
            <w:noWrap/>
            <w:vAlign w:val="center"/>
            <w:hideMark/>
          </w:tcPr>
          <w:p w14:paraId="030FF9C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Otras Cuotas y Aportaciones para la Seguridad Social</w:t>
            </w:r>
          </w:p>
        </w:tc>
        <w:tc>
          <w:tcPr>
            <w:tcW w:w="1749" w:type="dxa"/>
            <w:tcBorders>
              <w:top w:val="nil"/>
              <w:left w:val="nil"/>
              <w:bottom w:val="single" w:sz="8" w:space="0" w:color="auto"/>
              <w:right w:val="nil"/>
            </w:tcBorders>
            <w:shd w:val="clear" w:color="auto" w:fill="FFFFFF" w:themeFill="background1"/>
            <w:vAlign w:val="center"/>
            <w:hideMark/>
          </w:tcPr>
          <w:p w14:paraId="16EDD02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BF541D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04B9DC3"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2.5</w:t>
            </w:r>
          </w:p>
        </w:tc>
        <w:tc>
          <w:tcPr>
            <w:tcW w:w="6560" w:type="dxa"/>
            <w:tcBorders>
              <w:top w:val="nil"/>
              <w:left w:val="nil"/>
              <w:bottom w:val="single" w:sz="8" w:space="0" w:color="auto"/>
              <w:right w:val="single" w:sz="8" w:space="0" w:color="auto"/>
            </w:tcBorders>
            <w:shd w:val="clear" w:color="auto" w:fill="auto"/>
            <w:noWrap/>
            <w:vAlign w:val="center"/>
            <w:hideMark/>
          </w:tcPr>
          <w:p w14:paraId="4FF03E5F"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Accesorios de Cuotas y Aportaciones de Seguridad Social</w:t>
            </w:r>
          </w:p>
        </w:tc>
        <w:tc>
          <w:tcPr>
            <w:tcW w:w="1749" w:type="dxa"/>
            <w:tcBorders>
              <w:top w:val="nil"/>
              <w:left w:val="nil"/>
              <w:bottom w:val="single" w:sz="8" w:space="0" w:color="auto"/>
              <w:right w:val="nil"/>
            </w:tcBorders>
            <w:shd w:val="clear" w:color="auto" w:fill="auto"/>
            <w:vAlign w:val="center"/>
            <w:hideMark/>
          </w:tcPr>
          <w:p w14:paraId="4E959801"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34B6637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AECC3E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2.5.1</w:t>
            </w:r>
          </w:p>
        </w:tc>
        <w:tc>
          <w:tcPr>
            <w:tcW w:w="6560" w:type="dxa"/>
            <w:tcBorders>
              <w:top w:val="nil"/>
              <w:left w:val="nil"/>
              <w:bottom w:val="single" w:sz="8" w:space="0" w:color="auto"/>
              <w:right w:val="single" w:sz="8" w:space="0" w:color="auto"/>
            </w:tcBorders>
            <w:shd w:val="clear" w:color="auto" w:fill="auto"/>
            <w:noWrap/>
            <w:vAlign w:val="center"/>
            <w:hideMark/>
          </w:tcPr>
          <w:p w14:paraId="18236D9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Accesorios de Cuotas y Aportaciones de Seguridad Social</w:t>
            </w:r>
          </w:p>
        </w:tc>
        <w:tc>
          <w:tcPr>
            <w:tcW w:w="1749" w:type="dxa"/>
            <w:tcBorders>
              <w:top w:val="nil"/>
              <w:left w:val="nil"/>
              <w:bottom w:val="single" w:sz="8" w:space="0" w:color="auto"/>
              <w:right w:val="nil"/>
            </w:tcBorders>
            <w:shd w:val="clear" w:color="auto" w:fill="FFFFFF" w:themeFill="background1"/>
            <w:vAlign w:val="center"/>
            <w:hideMark/>
          </w:tcPr>
          <w:p w14:paraId="22305EE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85F4ED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5413B7D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3</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8139A8"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Contribuciones de Mejoras</w:t>
            </w:r>
          </w:p>
        </w:tc>
        <w:tc>
          <w:tcPr>
            <w:tcW w:w="1749" w:type="dxa"/>
            <w:tcBorders>
              <w:top w:val="nil"/>
              <w:left w:val="nil"/>
              <w:bottom w:val="single" w:sz="8" w:space="0" w:color="auto"/>
              <w:right w:val="nil"/>
            </w:tcBorders>
            <w:shd w:val="clear" w:color="auto" w:fill="D9D9D9" w:themeFill="background1" w:themeFillShade="D9"/>
            <w:vAlign w:val="center"/>
            <w:hideMark/>
          </w:tcPr>
          <w:p w14:paraId="5F8DA77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4D758FE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B612FB4"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3.1</w:t>
            </w:r>
          </w:p>
        </w:tc>
        <w:tc>
          <w:tcPr>
            <w:tcW w:w="6560" w:type="dxa"/>
            <w:tcBorders>
              <w:top w:val="nil"/>
              <w:left w:val="nil"/>
              <w:bottom w:val="single" w:sz="8" w:space="0" w:color="auto"/>
              <w:right w:val="single" w:sz="8" w:space="0" w:color="auto"/>
            </w:tcBorders>
            <w:shd w:val="clear" w:color="auto" w:fill="auto"/>
            <w:noWrap/>
            <w:vAlign w:val="center"/>
            <w:hideMark/>
          </w:tcPr>
          <w:p w14:paraId="3A6FE7CE"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Contribuciones de Mejoras por Obras Públicas</w:t>
            </w:r>
          </w:p>
        </w:tc>
        <w:tc>
          <w:tcPr>
            <w:tcW w:w="1749" w:type="dxa"/>
            <w:tcBorders>
              <w:top w:val="nil"/>
              <w:left w:val="nil"/>
              <w:bottom w:val="single" w:sz="8" w:space="0" w:color="auto"/>
              <w:right w:val="nil"/>
            </w:tcBorders>
            <w:shd w:val="clear" w:color="auto" w:fill="auto"/>
            <w:vAlign w:val="center"/>
            <w:hideMark/>
          </w:tcPr>
          <w:p w14:paraId="721C9463"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0BC3D7A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21E672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3.1.1</w:t>
            </w:r>
          </w:p>
        </w:tc>
        <w:tc>
          <w:tcPr>
            <w:tcW w:w="6560" w:type="dxa"/>
            <w:tcBorders>
              <w:top w:val="nil"/>
              <w:left w:val="nil"/>
              <w:bottom w:val="single" w:sz="8" w:space="0" w:color="auto"/>
              <w:right w:val="single" w:sz="8" w:space="0" w:color="auto"/>
            </w:tcBorders>
            <w:shd w:val="clear" w:color="auto" w:fill="auto"/>
            <w:noWrap/>
            <w:vAlign w:val="center"/>
            <w:hideMark/>
          </w:tcPr>
          <w:p w14:paraId="53686C5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Otras contribuciones de mejoras por obras públicas</w:t>
            </w:r>
          </w:p>
        </w:tc>
        <w:tc>
          <w:tcPr>
            <w:tcW w:w="1749" w:type="dxa"/>
            <w:tcBorders>
              <w:top w:val="nil"/>
              <w:left w:val="nil"/>
              <w:bottom w:val="single" w:sz="8" w:space="0" w:color="auto"/>
              <w:right w:val="nil"/>
            </w:tcBorders>
            <w:shd w:val="clear" w:color="auto" w:fill="FFFFFF" w:themeFill="background1"/>
            <w:vAlign w:val="center"/>
            <w:hideMark/>
          </w:tcPr>
          <w:p w14:paraId="6811BE7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97620C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7335235E"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3.9</w:t>
            </w:r>
          </w:p>
        </w:tc>
        <w:tc>
          <w:tcPr>
            <w:tcW w:w="6560" w:type="dxa"/>
            <w:tcBorders>
              <w:top w:val="nil"/>
              <w:left w:val="nil"/>
              <w:bottom w:val="single" w:sz="8" w:space="0" w:color="auto"/>
              <w:right w:val="single" w:sz="8" w:space="0" w:color="auto"/>
            </w:tcBorders>
            <w:shd w:val="clear" w:color="auto" w:fill="auto"/>
            <w:noWrap/>
            <w:vAlign w:val="center"/>
            <w:hideMark/>
          </w:tcPr>
          <w:p w14:paraId="589AB71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Contribuciones de Mejoras no comprendidas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auto"/>
            <w:vAlign w:val="center"/>
            <w:hideMark/>
          </w:tcPr>
          <w:p w14:paraId="426F0DE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4745CDF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3D355E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3.9.1</w:t>
            </w:r>
          </w:p>
        </w:tc>
        <w:tc>
          <w:tcPr>
            <w:tcW w:w="6560" w:type="dxa"/>
            <w:tcBorders>
              <w:top w:val="nil"/>
              <w:left w:val="nil"/>
              <w:bottom w:val="single" w:sz="8" w:space="0" w:color="auto"/>
              <w:right w:val="single" w:sz="8" w:space="0" w:color="auto"/>
            </w:tcBorders>
            <w:shd w:val="clear" w:color="auto" w:fill="auto"/>
            <w:noWrap/>
            <w:vAlign w:val="center"/>
            <w:hideMark/>
          </w:tcPr>
          <w:p w14:paraId="5D93EEF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Contribuciones de Mejoras no comprendidas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FFFFFF" w:themeFill="background1"/>
            <w:vAlign w:val="center"/>
            <w:hideMark/>
          </w:tcPr>
          <w:p w14:paraId="0F4438D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5A348E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FBADE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4C99EA"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Derechos</w:t>
            </w:r>
          </w:p>
        </w:tc>
        <w:tc>
          <w:tcPr>
            <w:tcW w:w="1749" w:type="dxa"/>
            <w:tcBorders>
              <w:top w:val="nil"/>
              <w:left w:val="nil"/>
              <w:bottom w:val="single" w:sz="8" w:space="0" w:color="auto"/>
              <w:right w:val="nil"/>
            </w:tcBorders>
            <w:shd w:val="clear" w:color="auto" w:fill="D9D9D9" w:themeFill="background1" w:themeFillShade="D9"/>
            <w:noWrap/>
            <w:vAlign w:val="center"/>
            <w:hideMark/>
          </w:tcPr>
          <w:p w14:paraId="52B99C0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2,981,614,397 </w:t>
            </w:r>
          </w:p>
        </w:tc>
      </w:tr>
      <w:tr w:rsidR="009654FE" w:rsidRPr="000842AA" w14:paraId="01AAF1B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42FAA24"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4.1</w:t>
            </w:r>
          </w:p>
        </w:tc>
        <w:tc>
          <w:tcPr>
            <w:tcW w:w="6560" w:type="dxa"/>
            <w:tcBorders>
              <w:top w:val="nil"/>
              <w:left w:val="nil"/>
              <w:bottom w:val="single" w:sz="8" w:space="0" w:color="auto"/>
              <w:right w:val="single" w:sz="8" w:space="0" w:color="auto"/>
            </w:tcBorders>
            <w:shd w:val="clear" w:color="auto" w:fill="auto"/>
            <w:noWrap/>
            <w:vAlign w:val="center"/>
            <w:hideMark/>
          </w:tcPr>
          <w:p w14:paraId="439F0F1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Derechos por el uso, goce, aprovechamiento o explotación de bienes del dominio público</w:t>
            </w:r>
          </w:p>
        </w:tc>
        <w:tc>
          <w:tcPr>
            <w:tcW w:w="1749" w:type="dxa"/>
            <w:tcBorders>
              <w:top w:val="nil"/>
              <w:left w:val="nil"/>
              <w:bottom w:val="single" w:sz="8" w:space="0" w:color="auto"/>
              <w:right w:val="nil"/>
            </w:tcBorders>
            <w:shd w:val="clear" w:color="auto" w:fill="auto"/>
            <w:noWrap/>
            <w:vAlign w:val="center"/>
            <w:hideMark/>
          </w:tcPr>
          <w:p w14:paraId="4812509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1,113,397,621 </w:t>
            </w:r>
          </w:p>
        </w:tc>
      </w:tr>
      <w:tr w:rsidR="009654FE" w:rsidRPr="000842AA" w14:paraId="16F464B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6080E8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4.1.1</w:t>
            </w:r>
          </w:p>
        </w:tc>
        <w:tc>
          <w:tcPr>
            <w:tcW w:w="6560" w:type="dxa"/>
            <w:tcBorders>
              <w:top w:val="nil"/>
              <w:left w:val="nil"/>
              <w:bottom w:val="single" w:sz="8" w:space="0" w:color="auto"/>
              <w:right w:val="single" w:sz="8" w:space="0" w:color="auto"/>
            </w:tcBorders>
            <w:shd w:val="clear" w:color="auto" w:fill="auto"/>
            <w:noWrap/>
            <w:vAlign w:val="center"/>
            <w:hideMark/>
          </w:tcPr>
          <w:p w14:paraId="4E219C4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el uso, goce o aprovechamiento de bienes de dominio público del Estado</w:t>
            </w:r>
          </w:p>
        </w:tc>
        <w:tc>
          <w:tcPr>
            <w:tcW w:w="1749" w:type="dxa"/>
            <w:tcBorders>
              <w:top w:val="nil"/>
              <w:left w:val="nil"/>
              <w:bottom w:val="single" w:sz="8" w:space="0" w:color="auto"/>
              <w:right w:val="nil"/>
            </w:tcBorders>
            <w:shd w:val="clear" w:color="auto" w:fill="FFFFFF" w:themeFill="background1"/>
            <w:vAlign w:val="center"/>
            <w:hideMark/>
          </w:tcPr>
          <w:p w14:paraId="7A75DEE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238,416 </w:t>
            </w:r>
          </w:p>
        </w:tc>
      </w:tr>
      <w:tr w:rsidR="009654FE" w:rsidRPr="000842AA" w14:paraId="5618FED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8C76CA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4.1.2</w:t>
            </w:r>
          </w:p>
        </w:tc>
        <w:tc>
          <w:tcPr>
            <w:tcW w:w="6560" w:type="dxa"/>
            <w:tcBorders>
              <w:top w:val="nil"/>
              <w:left w:val="nil"/>
              <w:bottom w:val="single" w:sz="8" w:space="0" w:color="auto"/>
              <w:right w:val="single" w:sz="8" w:space="0" w:color="auto"/>
            </w:tcBorders>
            <w:shd w:val="clear" w:color="auto" w:fill="auto"/>
            <w:noWrap/>
            <w:vAlign w:val="center"/>
            <w:hideMark/>
          </w:tcPr>
          <w:p w14:paraId="55A0562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el uso de cementerios y prestación de servicios conexos</w:t>
            </w:r>
          </w:p>
        </w:tc>
        <w:tc>
          <w:tcPr>
            <w:tcW w:w="1749" w:type="dxa"/>
            <w:tcBorders>
              <w:top w:val="nil"/>
              <w:left w:val="nil"/>
              <w:bottom w:val="single" w:sz="8" w:space="0" w:color="auto"/>
              <w:right w:val="nil"/>
            </w:tcBorders>
            <w:shd w:val="clear" w:color="auto" w:fill="FFFFFF" w:themeFill="background1"/>
            <w:vAlign w:val="center"/>
            <w:hideMark/>
          </w:tcPr>
          <w:p w14:paraId="0314F57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EEFA42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7F6461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4.1.3</w:t>
            </w:r>
          </w:p>
        </w:tc>
        <w:tc>
          <w:tcPr>
            <w:tcW w:w="6560" w:type="dxa"/>
            <w:tcBorders>
              <w:top w:val="nil"/>
              <w:left w:val="nil"/>
              <w:bottom w:val="single" w:sz="8" w:space="0" w:color="auto"/>
              <w:right w:val="single" w:sz="8" w:space="0" w:color="auto"/>
            </w:tcBorders>
            <w:shd w:val="clear" w:color="auto" w:fill="auto"/>
            <w:noWrap/>
            <w:vAlign w:val="center"/>
            <w:hideMark/>
          </w:tcPr>
          <w:p w14:paraId="5DEAEC9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el Uso de Bienes del Dominio Público del Estado de Yucatán que operen como Paradores Turísticos de Zonas Arqueológicas y Turísticas</w:t>
            </w:r>
          </w:p>
        </w:tc>
        <w:tc>
          <w:tcPr>
            <w:tcW w:w="1749" w:type="dxa"/>
            <w:tcBorders>
              <w:top w:val="nil"/>
              <w:left w:val="nil"/>
              <w:bottom w:val="single" w:sz="8" w:space="0" w:color="auto"/>
              <w:right w:val="nil"/>
            </w:tcBorders>
            <w:shd w:val="clear" w:color="auto" w:fill="FFFFFF" w:themeFill="background1"/>
            <w:vAlign w:val="center"/>
            <w:hideMark/>
          </w:tcPr>
          <w:p w14:paraId="188344B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1,113,159,205 </w:t>
            </w:r>
          </w:p>
        </w:tc>
      </w:tr>
      <w:tr w:rsidR="009654FE" w:rsidRPr="000842AA" w14:paraId="2CAF2F4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A79422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4.3</w:t>
            </w:r>
          </w:p>
        </w:tc>
        <w:tc>
          <w:tcPr>
            <w:tcW w:w="6560" w:type="dxa"/>
            <w:tcBorders>
              <w:top w:val="nil"/>
              <w:left w:val="nil"/>
              <w:bottom w:val="single" w:sz="8" w:space="0" w:color="auto"/>
              <w:right w:val="single" w:sz="8" w:space="0" w:color="auto"/>
            </w:tcBorders>
            <w:shd w:val="clear" w:color="auto" w:fill="auto"/>
            <w:noWrap/>
            <w:vAlign w:val="center"/>
            <w:hideMark/>
          </w:tcPr>
          <w:p w14:paraId="28ECF2FF"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Derechos por prestación de servicios</w:t>
            </w:r>
          </w:p>
        </w:tc>
        <w:tc>
          <w:tcPr>
            <w:tcW w:w="1749" w:type="dxa"/>
            <w:tcBorders>
              <w:top w:val="nil"/>
              <w:left w:val="nil"/>
              <w:bottom w:val="single" w:sz="8" w:space="0" w:color="auto"/>
              <w:right w:val="nil"/>
            </w:tcBorders>
            <w:shd w:val="clear" w:color="auto" w:fill="auto"/>
            <w:noWrap/>
            <w:vAlign w:val="center"/>
            <w:hideMark/>
          </w:tcPr>
          <w:p w14:paraId="2532E60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1,867,166,684 </w:t>
            </w:r>
          </w:p>
        </w:tc>
      </w:tr>
      <w:tr w:rsidR="009654FE" w:rsidRPr="000842AA" w14:paraId="415E167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7B65C8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w:t>
            </w:r>
          </w:p>
        </w:tc>
        <w:tc>
          <w:tcPr>
            <w:tcW w:w="6560" w:type="dxa"/>
            <w:tcBorders>
              <w:top w:val="nil"/>
              <w:left w:val="nil"/>
              <w:bottom w:val="single" w:sz="8" w:space="0" w:color="auto"/>
              <w:right w:val="single" w:sz="8" w:space="0" w:color="auto"/>
            </w:tcBorders>
            <w:shd w:val="clear" w:color="auto" w:fill="auto"/>
            <w:noWrap/>
            <w:vAlign w:val="center"/>
            <w:hideMark/>
          </w:tcPr>
          <w:p w14:paraId="0A07E8A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Administración Pública en general</w:t>
            </w:r>
          </w:p>
        </w:tc>
        <w:tc>
          <w:tcPr>
            <w:tcW w:w="1749" w:type="dxa"/>
            <w:tcBorders>
              <w:top w:val="nil"/>
              <w:left w:val="nil"/>
              <w:bottom w:val="single" w:sz="8" w:space="0" w:color="auto"/>
              <w:right w:val="nil"/>
            </w:tcBorders>
            <w:shd w:val="clear" w:color="auto" w:fill="FFFFFF" w:themeFill="background1"/>
            <w:vAlign w:val="center"/>
            <w:hideMark/>
          </w:tcPr>
          <w:p w14:paraId="6C74369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8,914,481 </w:t>
            </w:r>
          </w:p>
        </w:tc>
      </w:tr>
      <w:tr w:rsidR="009654FE" w:rsidRPr="000842AA" w14:paraId="2B6054A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191B411"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4.3.2</w:t>
            </w:r>
          </w:p>
        </w:tc>
        <w:tc>
          <w:tcPr>
            <w:tcW w:w="6560" w:type="dxa"/>
            <w:tcBorders>
              <w:top w:val="nil"/>
              <w:left w:val="nil"/>
              <w:bottom w:val="single" w:sz="8" w:space="0" w:color="auto"/>
              <w:right w:val="single" w:sz="8" w:space="0" w:color="auto"/>
            </w:tcBorders>
            <w:shd w:val="clear" w:color="auto" w:fill="auto"/>
            <w:noWrap/>
            <w:vAlign w:val="center"/>
            <w:hideMark/>
          </w:tcPr>
          <w:p w14:paraId="5DB5D74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Servicios que presta la Secretaría de Seguridad Pública</w:t>
            </w:r>
          </w:p>
        </w:tc>
        <w:tc>
          <w:tcPr>
            <w:tcW w:w="1749" w:type="dxa"/>
            <w:tcBorders>
              <w:top w:val="nil"/>
              <w:left w:val="nil"/>
              <w:bottom w:val="single" w:sz="8" w:space="0" w:color="auto"/>
              <w:right w:val="nil"/>
            </w:tcBorders>
            <w:shd w:val="clear" w:color="auto" w:fill="auto"/>
            <w:noWrap/>
            <w:vAlign w:val="center"/>
            <w:hideMark/>
          </w:tcPr>
          <w:p w14:paraId="2410963C"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1,000,923,998 </w:t>
            </w:r>
          </w:p>
        </w:tc>
      </w:tr>
      <w:tr w:rsidR="009654FE" w:rsidRPr="000842AA" w14:paraId="4423DE0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99CC19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4.3.2.1</w:t>
            </w:r>
          </w:p>
        </w:tc>
        <w:tc>
          <w:tcPr>
            <w:tcW w:w="6560" w:type="dxa"/>
            <w:tcBorders>
              <w:top w:val="nil"/>
              <w:left w:val="nil"/>
              <w:bottom w:val="single" w:sz="8" w:space="0" w:color="auto"/>
              <w:right w:val="single" w:sz="8" w:space="0" w:color="auto"/>
            </w:tcBorders>
            <w:shd w:val="clear" w:color="auto" w:fill="auto"/>
            <w:noWrap/>
            <w:vAlign w:val="center"/>
            <w:hideMark/>
          </w:tcPr>
          <w:p w14:paraId="7DBAC04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Dotación, canje, reposición y baja de placas</w:t>
            </w:r>
          </w:p>
        </w:tc>
        <w:tc>
          <w:tcPr>
            <w:tcW w:w="1749" w:type="dxa"/>
            <w:tcBorders>
              <w:top w:val="nil"/>
              <w:left w:val="nil"/>
              <w:bottom w:val="single" w:sz="8" w:space="0" w:color="auto"/>
              <w:right w:val="nil"/>
            </w:tcBorders>
            <w:shd w:val="clear" w:color="auto" w:fill="FFFFFF" w:themeFill="background1"/>
            <w:vAlign w:val="center"/>
            <w:hideMark/>
          </w:tcPr>
          <w:p w14:paraId="006F2D2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659,902,831 </w:t>
            </w:r>
          </w:p>
        </w:tc>
      </w:tr>
      <w:tr w:rsidR="009654FE" w:rsidRPr="000842AA" w14:paraId="328B9D3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F0A6AF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4.3.2.2</w:t>
            </w:r>
          </w:p>
        </w:tc>
        <w:tc>
          <w:tcPr>
            <w:tcW w:w="6560" w:type="dxa"/>
            <w:tcBorders>
              <w:top w:val="nil"/>
              <w:left w:val="nil"/>
              <w:bottom w:val="single" w:sz="8" w:space="0" w:color="auto"/>
              <w:right w:val="single" w:sz="8" w:space="0" w:color="auto"/>
            </w:tcBorders>
            <w:shd w:val="clear" w:color="auto" w:fill="auto"/>
            <w:noWrap/>
            <w:vAlign w:val="center"/>
            <w:hideMark/>
          </w:tcPr>
          <w:p w14:paraId="3DB7888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Tarjetas de circulación</w:t>
            </w:r>
          </w:p>
        </w:tc>
        <w:tc>
          <w:tcPr>
            <w:tcW w:w="1749" w:type="dxa"/>
            <w:tcBorders>
              <w:top w:val="nil"/>
              <w:left w:val="nil"/>
              <w:bottom w:val="single" w:sz="8" w:space="0" w:color="auto"/>
              <w:right w:val="nil"/>
            </w:tcBorders>
            <w:shd w:val="clear" w:color="auto" w:fill="FFFFFF" w:themeFill="background1"/>
            <w:vAlign w:val="center"/>
            <w:hideMark/>
          </w:tcPr>
          <w:p w14:paraId="44FCD53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159,995,020 </w:t>
            </w:r>
          </w:p>
        </w:tc>
      </w:tr>
      <w:tr w:rsidR="009654FE" w:rsidRPr="000842AA" w14:paraId="395DA19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11ABD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4.3.2.3</w:t>
            </w:r>
          </w:p>
        </w:tc>
        <w:tc>
          <w:tcPr>
            <w:tcW w:w="6560" w:type="dxa"/>
            <w:tcBorders>
              <w:top w:val="nil"/>
              <w:left w:val="nil"/>
              <w:bottom w:val="single" w:sz="8" w:space="0" w:color="auto"/>
              <w:right w:val="single" w:sz="8" w:space="0" w:color="auto"/>
            </w:tcBorders>
            <w:shd w:val="clear" w:color="auto" w:fill="auto"/>
            <w:noWrap/>
            <w:vAlign w:val="center"/>
            <w:hideMark/>
          </w:tcPr>
          <w:p w14:paraId="69D2163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Expedición de licencias de manejo</w:t>
            </w:r>
          </w:p>
        </w:tc>
        <w:tc>
          <w:tcPr>
            <w:tcW w:w="1749" w:type="dxa"/>
            <w:tcBorders>
              <w:top w:val="nil"/>
              <w:left w:val="nil"/>
              <w:bottom w:val="single" w:sz="8" w:space="0" w:color="auto"/>
              <w:right w:val="nil"/>
            </w:tcBorders>
            <w:shd w:val="clear" w:color="auto" w:fill="FFFFFF" w:themeFill="background1"/>
            <w:vAlign w:val="center"/>
            <w:hideMark/>
          </w:tcPr>
          <w:p w14:paraId="3BAB656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127,574,687 </w:t>
            </w:r>
          </w:p>
        </w:tc>
      </w:tr>
      <w:tr w:rsidR="009654FE" w:rsidRPr="000842AA" w14:paraId="3DBAEF0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80E00A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4.3.2.4</w:t>
            </w:r>
          </w:p>
        </w:tc>
        <w:tc>
          <w:tcPr>
            <w:tcW w:w="6560" w:type="dxa"/>
            <w:tcBorders>
              <w:top w:val="nil"/>
              <w:left w:val="nil"/>
              <w:bottom w:val="single" w:sz="8" w:space="0" w:color="auto"/>
              <w:right w:val="single" w:sz="8" w:space="0" w:color="auto"/>
            </w:tcBorders>
            <w:shd w:val="clear" w:color="auto" w:fill="auto"/>
            <w:noWrap/>
            <w:vAlign w:val="center"/>
            <w:hideMark/>
          </w:tcPr>
          <w:p w14:paraId="2C3B700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servicios</w:t>
            </w:r>
          </w:p>
        </w:tc>
        <w:tc>
          <w:tcPr>
            <w:tcW w:w="1749" w:type="dxa"/>
            <w:tcBorders>
              <w:top w:val="nil"/>
              <w:left w:val="nil"/>
              <w:bottom w:val="single" w:sz="8" w:space="0" w:color="auto"/>
              <w:right w:val="nil"/>
            </w:tcBorders>
            <w:shd w:val="clear" w:color="auto" w:fill="FFFFFF" w:themeFill="background1"/>
            <w:vAlign w:val="center"/>
            <w:hideMark/>
          </w:tcPr>
          <w:p w14:paraId="7F460F0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11,588,475 </w:t>
            </w:r>
          </w:p>
        </w:tc>
      </w:tr>
      <w:tr w:rsidR="009654FE" w:rsidRPr="000842AA" w14:paraId="36F4ED2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771EDC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4.3.2.5</w:t>
            </w:r>
          </w:p>
        </w:tc>
        <w:tc>
          <w:tcPr>
            <w:tcW w:w="6560" w:type="dxa"/>
            <w:tcBorders>
              <w:top w:val="nil"/>
              <w:left w:val="nil"/>
              <w:bottom w:val="single" w:sz="8" w:space="0" w:color="auto"/>
              <w:right w:val="single" w:sz="8" w:space="0" w:color="auto"/>
            </w:tcBorders>
            <w:shd w:val="clear" w:color="auto" w:fill="auto"/>
            <w:noWrap/>
            <w:vAlign w:val="center"/>
            <w:hideMark/>
          </w:tcPr>
          <w:p w14:paraId="78BC21F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Relacionados con vialidad de vehículos de carga</w:t>
            </w:r>
          </w:p>
        </w:tc>
        <w:tc>
          <w:tcPr>
            <w:tcW w:w="1749" w:type="dxa"/>
            <w:tcBorders>
              <w:top w:val="nil"/>
              <w:left w:val="nil"/>
              <w:bottom w:val="single" w:sz="8" w:space="0" w:color="auto"/>
              <w:right w:val="nil"/>
            </w:tcBorders>
            <w:shd w:val="clear" w:color="auto" w:fill="FFFFFF" w:themeFill="background1"/>
            <w:vAlign w:val="center"/>
            <w:hideMark/>
          </w:tcPr>
          <w:p w14:paraId="646FFAC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37,476,913 </w:t>
            </w:r>
          </w:p>
        </w:tc>
      </w:tr>
      <w:tr w:rsidR="009654FE" w:rsidRPr="000842AA" w14:paraId="41109F2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D3BB05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4.3.2.6</w:t>
            </w:r>
          </w:p>
        </w:tc>
        <w:tc>
          <w:tcPr>
            <w:tcW w:w="6560" w:type="dxa"/>
            <w:tcBorders>
              <w:top w:val="nil"/>
              <w:left w:val="nil"/>
              <w:bottom w:val="single" w:sz="8" w:space="0" w:color="auto"/>
              <w:right w:val="single" w:sz="8" w:space="0" w:color="auto"/>
            </w:tcBorders>
            <w:shd w:val="clear" w:color="auto" w:fill="auto"/>
            <w:noWrap/>
            <w:vAlign w:val="center"/>
            <w:hideMark/>
          </w:tcPr>
          <w:p w14:paraId="25E9B18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Relacionados con la policía auxiliar y la policía bancaria, industrial y comercial</w:t>
            </w:r>
          </w:p>
        </w:tc>
        <w:tc>
          <w:tcPr>
            <w:tcW w:w="1749" w:type="dxa"/>
            <w:tcBorders>
              <w:top w:val="nil"/>
              <w:left w:val="nil"/>
              <w:bottom w:val="single" w:sz="8" w:space="0" w:color="auto"/>
              <w:right w:val="nil"/>
            </w:tcBorders>
            <w:shd w:val="clear" w:color="auto" w:fill="FFFFFF" w:themeFill="background1"/>
            <w:vAlign w:val="center"/>
            <w:hideMark/>
          </w:tcPr>
          <w:p w14:paraId="114C8ED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3,312,460 </w:t>
            </w:r>
          </w:p>
        </w:tc>
      </w:tr>
      <w:tr w:rsidR="009654FE" w:rsidRPr="000842AA" w14:paraId="123D5B1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5B76FB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4.3.2.7</w:t>
            </w:r>
          </w:p>
        </w:tc>
        <w:tc>
          <w:tcPr>
            <w:tcW w:w="6560" w:type="dxa"/>
            <w:tcBorders>
              <w:top w:val="nil"/>
              <w:left w:val="nil"/>
              <w:bottom w:val="single" w:sz="8" w:space="0" w:color="auto"/>
              <w:right w:val="single" w:sz="8" w:space="0" w:color="auto"/>
            </w:tcBorders>
            <w:shd w:val="clear" w:color="auto" w:fill="auto"/>
            <w:noWrap/>
            <w:vAlign w:val="center"/>
            <w:hideMark/>
          </w:tcPr>
          <w:p w14:paraId="5945AEA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Seguridad externa en las vialidades y espacios públicos adyacentes en los que se lleven a cabo exposiciones, asambleas, espectáculos públicos, eventos artísticos y demás eventos análogos en general, de conformidad con el aforo de cada uno de ellos</w:t>
            </w:r>
          </w:p>
        </w:tc>
        <w:tc>
          <w:tcPr>
            <w:tcW w:w="1749" w:type="dxa"/>
            <w:tcBorders>
              <w:top w:val="nil"/>
              <w:left w:val="nil"/>
              <w:bottom w:val="single" w:sz="8" w:space="0" w:color="auto"/>
              <w:right w:val="nil"/>
            </w:tcBorders>
            <w:shd w:val="clear" w:color="auto" w:fill="FFFFFF" w:themeFill="background1"/>
            <w:vAlign w:val="center"/>
            <w:hideMark/>
          </w:tcPr>
          <w:p w14:paraId="614AEB9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656,772 </w:t>
            </w:r>
          </w:p>
        </w:tc>
      </w:tr>
      <w:tr w:rsidR="009654FE" w:rsidRPr="000842AA" w14:paraId="75E58D4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6DC93F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4.3.2.8</w:t>
            </w:r>
          </w:p>
        </w:tc>
        <w:tc>
          <w:tcPr>
            <w:tcW w:w="6560" w:type="dxa"/>
            <w:tcBorders>
              <w:top w:val="nil"/>
              <w:left w:val="nil"/>
              <w:bottom w:val="single" w:sz="8" w:space="0" w:color="auto"/>
              <w:right w:val="single" w:sz="8" w:space="0" w:color="auto"/>
            </w:tcBorders>
            <w:shd w:val="clear" w:color="auto" w:fill="auto"/>
            <w:noWrap/>
            <w:vAlign w:val="center"/>
            <w:hideMark/>
          </w:tcPr>
          <w:p w14:paraId="67263CC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Seguridad Privada</w:t>
            </w:r>
          </w:p>
        </w:tc>
        <w:tc>
          <w:tcPr>
            <w:tcW w:w="1749" w:type="dxa"/>
            <w:tcBorders>
              <w:top w:val="nil"/>
              <w:left w:val="nil"/>
              <w:bottom w:val="single" w:sz="8" w:space="0" w:color="auto"/>
              <w:right w:val="nil"/>
            </w:tcBorders>
            <w:shd w:val="clear" w:color="auto" w:fill="FFFFFF" w:themeFill="background1"/>
            <w:vAlign w:val="center"/>
            <w:hideMark/>
          </w:tcPr>
          <w:p w14:paraId="40F79A4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416,840 </w:t>
            </w:r>
          </w:p>
        </w:tc>
      </w:tr>
      <w:tr w:rsidR="009654FE" w:rsidRPr="000842AA" w14:paraId="43D89B1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2699239"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4.3.3</w:t>
            </w:r>
          </w:p>
        </w:tc>
        <w:tc>
          <w:tcPr>
            <w:tcW w:w="6560" w:type="dxa"/>
            <w:tcBorders>
              <w:top w:val="nil"/>
              <w:left w:val="nil"/>
              <w:bottom w:val="single" w:sz="8" w:space="0" w:color="auto"/>
              <w:right w:val="single" w:sz="8" w:space="0" w:color="auto"/>
            </w:tcBorders>
            <w:shd w:val="clear" w:color="auto" w:fill="auto"/>
            <w:noWrap/>
            <w:vAlign w:val="center"/>
            <w:hideMark/>
          </w:tcPr>
          <w:p w14:paraId="271B357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Derechos por los servicios que presta la Consejería Jurídica</w:t>
            </w:r>
          </w:p>
        </w:tc>
        <w:tc>
          <w:tcPr>
            <w:tcW w:w="1749" w:type="dxa"/>
            <w:tcBorders>
              <w:top w:val="nil"/>
              <w:left w:val="nil"/>
              <w:bottom w:val="single" w:sz="8" w:space="0" w:color="auto"/>
              <w:right w:val="nil"/>
            </w:tcBorders>
            <w:shd w:val="clear" w:color="auto" w:fill="auto"/>
            <w:vAlign w:val="center"/>
            <w:hideMark/>
          </w:tcPr>
          <w:p w14:paraId="59DE6514"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116,019,412 </w:t>
            </w:r>
          </w:p>
        </w:tc>
      </w:tr>
      <w:tr w:rsidR="009654FE" w:rsidRPr="000842AA" w14:paraId="5D2CE48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7C3821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4.3.3.1</w:t>
            </w:r>
          </w:p>
        </w:tc>
        <w:tc>
          <w:tcPr>
            <w:tcW w:w="6560" w:type="dxa"/>
            <w:tcBorders>
              <w:top w:val="nil"/>
              <w:left w:val="nil"/>
              <w:bottom w:val="single" w:sz="8" w:space="0" w:color="auto"/>
              <w:right w:val="single" w:sz="8" w:space="0" w:color="auto"/>
            </w:tcBorders>
            <w:shd w:val="clear" w:color="auto" w:fill="auto"/>
            <w:noWrap/>
            <w:vAlign w:val="center"/>
            <w:hideMark/>
          </w:tcPr>
          <w:p w14:paraId="5263D04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Dirección del Registro Civil</w:t>
            </w:r>
          </w:p>
        </w:tc>
        <w:tc>
          <w:tcPr>
            <w:tcW w:w="1749" w:type="dxa"/>
            <w:tcBorders>
              <w:top w:val="nil"/>
              <w:left w:val="nil"/>
              <w:bottom w:val="single" w:sz="8" w:space="0" w:color="auto"/>
              <w:right w:val="nil"/>
            </w:tcBorders>
            <w:shd w:val="clear" w:color="auto" w:fill="FFFFFF" w:themeFill="background1"/>
            <w:vAlign w:val="center"/>
            <w:hideMark/>
          </w:tcPr>
          <w:p w14:paraId="5A39242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101,187,478 </w:t>
            </w:r>
          </w:p>
        </w:tc>
      </w:tr>
      <w:tr w:rsidR="009654FE" w:rsidRPr="000842AA" w14:paraId="30832B8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E46F7C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4.3.3.2</w:t>
            </w:r>
          </w:p>
        </w:tc>
        <w:tc>
          <w:tcPr>
            <w:tcW w:w="6560" w:type="dxa"/>
            <w:tcBorders>
              <w:top w:val="nil"/>
              <w:left w:val="nil"/>
              <w:bottom w:val="single" w:sz="8" w:space="0" w:color="auto"/>
              <w:right w:val="single" w:sz="8" w:space="0" w:color="auto"/>
            </w:tcBorders>
            <w:shd w:val="clear" w:color="auto" w:fill="auto"/>
            <w:noWrap/>
            <w:vAlign w:val="center"/>
            <w:hideMark/>
          </w:tcPr>
          <w:p w14:paraId="239BD7F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Diario Oficial del Gobierno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CB82C2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8,063,923 </w:t>
            </w:r>
          </w:p>
        </w:tc>
      </w:tr>
      <w:tr w:rsidR="009654FE" w:rsidRPr="000842AA" w14:paraId="1EA8536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3291BC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4.3.3.3</w:t>
            </w:r>
          </w:p>
        </w:tc>
        <w:tc>
          <w:tcPr>
            <w:tcW w:w="6560" w:type="dxa"/>
            <w:tcBorders>
              <w:top w:val="nil"/>
              <w:left w:val="nil"/>
              <w:bottom w:val="single" w:sz="8" w:space="0" w:color="auto"/>
              <w:right w:val="single" w:sz="8" w:space="0" w:color="auto"/>
            </w:tcBorders>
            <w:shd w:val="clear" w:color="auto" w:fill="auto"/>
            <w:noWrap/>
            <w:vAlign w:val="center"/>
            <w:hideMark/>
          </w:tcPr>
          <w:p w14:paraId="4B1B7D4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Servicios que presta la Consejería Jurídica</w:t>
            </w:r>
          </w:p>
        </w:tc>
        <w:tc>
          <w:tcPr>
            <w:tcW w:w="1749" w:type="dxa"/>
            <w:tcBorders>
              <w:top w:val="nil"/>
              <w:left w:val="nil"/>
              <w:bottom w:val="single" w:sz="8" w:space="0" w:color="auto"/>
              <w:right w:val="nil"/>
            </w:tcBorders>
            <w:shd w:val="clear" w:color="auto" w:fill="FFFFFF" w:themeFill="background1"/>
            <w:vAlign w:val="center"/>
            <w:hideMark/>
          </w:tcPr>
          <w:p w14:paraId="78A2F54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3,024,469 </w:t>
            </w:r>
          </w:p>
        </w:tc>
      </w:tr>
      <w:tr w:rsidR="009654FE" w:rsidRPr="000842AA" w14:paraId="5E2A137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A94494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4.3.3.4</w:t>
            </w:r>
          </w:p>
        </w:tc>
        <w:tc>
          <w:tcPr>
            <w:tcW w:w="6560" w:type="dxa"/>
            <w:tcBorders>
              <w:top w:val="nil"/>
              <w:left w:val="nil"/>
              <w:bottom w:val="single" w:sz="8" w:space="0" w:color="auto"/>
              <w:right w:val="single" w:sz="8" w:space="0" w:color="auto"/>
            </w:tcBorders>
            <w:shd w:val="clear" w:color="auto" w:fill="auto"/>
            <w:noWrap/>
            <w:vAlign w:val="center"/>
            <w:hideMark/>
          </w:tcPr>
          <w:p w14:paraId="65CCA8E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Dirección del Archivo Notarial</w:t>
            </w:r>
          </w:p>
        </w:tc>
        <w:tc>
          <w:tcPr>
            <w:tcW w:w="1749" w:type="dxa"/>
            <w:tcBorders>
              <w:top w:val="nil"/>
              <w:left w:val="nil"/>
              <w:bottom w:val="single" w:sz="8" w:space="0" w:color="auto"/>
              <w:right w:val="nil"/>
            </w:tcBorders>
            <w:shd w:val="clear" w:color="auto" w:fill="FFFFFF" w:themeFill="background1"/>
            <w:vAlign w:val="center"/>
            <w:hideMark/>
          </w:tcPr>
          <w:p w14:paraId="7778538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3,743,542 </w:t>
            </w:r>
          </w:p>
        </w:tc>
      </w:tr>
      <w:tr w:rsidR="009654FE" w:rsidRPr="000842AA" w14:paraId="31EA80C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F390AB5"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4.3.4</w:t>
            </w:r>
          </w:p>
        </w:tc>
        <w:tc>
          <w:tcPr>
            <w:tcW w:w="6560" w:type="dxa"/>
            <w:tcBorders>
              <w:top w:val="nil"/>
              <w:left w:val="nil"/>
              <w:bottom w:val="single" w:sz="8" w:space="0" w:color="auto"/>
              <w:right w:val="single" w:sz="8" w:space="0" w:color="auto"/>
            </w:tcBorders>
            <w:shd w:val="clear" w:color="auto" w:fill="auto"/>
            <w:noWrap/>
            <w:vAlign w:val="center"/>
            <w:hideMark/>
          </w:tcPr>
          <w:p w14:paraId="1A5C72C2"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Servicios que presta el Instituto de Seguridad Jurídica Patrimonial de Yucatán</w:t>
            </w:r>
          </w:p>
        </w:tc>
        <w:tc>
          <w:tcPr>
            <w:tcW w:w="1749" w:type="dxa"/>
            <w:tcBorders>
              <w:top w:val="nil"/>
              <w:left w:val="nil"/>
              <w:bottom w:val="single" w:sz="8" w:space="0" w:color="auto"/>
              <w:right w:val="nil"/>
            </w:tcBorders>
            <w:shd w:val="clear" w:color="auto" w:fill="auto"/>
            <w:vAlign w:val="center"/>
            <w:hideMark/>
          </w:tcPr>
          <w:p w14:paraId="67AB4E5F"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510,503,877 </w:t>
            </w:r>
          </w:p>
        </w:tc>
      </w:tr>
      <w:tr w:rsidR="009654FE" w:rsidRPr="000842AA" w14:paraId="6C14A5E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C5C471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4.3.4.1</w:t>
            </w:r>
          </w:p>
        </w:tc>
        <w:tc>
          <w:tcPr>
            <w:tcW w:w="6560" w:type="dxa"/>
            <w:tcBorders>
              <w:top w:val="nil"/>
              <w:left w:val="nil"/>
              <w:bottom w:val="single" w:sz="8" w:space="0" w:color="auto"/>
              <w:right w:val="single" w:sz="8" w:space="0" w:color="auto"/>
            </w:tcBorders>
            <w:shd w:val="clear" w:color="auto" w:fill="auto"/>
            <w:noWrap/>
            <w:vAlign w:val="center"/>
            <w:hideMark/>
          </w:tcPr>
          <w:p w14:paraId="4B1EFDB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Dirección del Registro Público de la Propiedad y del Comercio</w:t>
            </w:r>
          </w:p>
        </w:tc>
        <w:tc>
          <w:tcPr>
            <w:tcW w:w="1749" w:type="dxa"/>
            <w:tcBorders>
              <w:top w:val="nil"/>
              <w:left w:val="nil"/>
              <w:bottom w:val="single" w:sz="8" w:space="0" w:color="auto"/>
              <w:right w:val="nil"/>
            </w:tcBorders>
            <w:shd w:val="clear" w:color="auto" w:fill="FFFFFF" w:themeFill="background1"/>
            <w:vAlign w:val="center"/>
            <w:hideMark/>
          </w:tcPr>
          <w:p w14:paraId="7EF730B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294,525,768 </w:t>
            </w:r>
          </w:p>
        </w:tc>
      </w:tr>
      <w:tr w:rsidR="009654FE" w:rsidRPr="000842AA" w14:paraId="1889319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F2DB5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4.3.4.2</w:t>
            </w:r>
          </w:p>
        </w:tc>
        <w:tc>
          <w:tcPr>
            <w:tcW w:w="6560" w:type="dxa"/>
            <w:tcBorders>
              <w:top w:val="nil"/>
              <w:left w:val="nil"/>
              <w:bottom w:val="single" w:sz="8" w:space="0" w:color="auto"/>
              <w:right w:val="single" w:sz="8" w:space="0" w:color="auto"/>
            </w:tcBorders>
            <w:shd w:val="clear" w:color="auto" w:fill="auto"/>
            <w:noWrap/>
            <w:vAlign w:val="center"/>
            <w:hideMark/>
          </w:tcPr>
          <w:p w14:paraId="47A3A74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prestan los Fedatarios a quienes el Estado les haya concedido Fe Pública</w:t>
            </w:r>
          </w:p>
        </w:tc>
        <w:tc>
          <w:tcPr>
            <w:tcW w:w="1749" w:type="dxa"/>
            <w:tcBorders>
              <w:top w:val="nil"/>
              <w:left w:val="nil"/>
              <w:bottom w:val="single" w:sz="8" w:space="0" w:color="auto"/>
              <w:right w:val="nil"/>
            </w:tcBorders>
            <w:shd w:val="clear" w:color="auto" w:fill="FFFFFF" w:themeFill="background1"/>
            <w:vAlign w:val="center"/>
            <w:hideMark/>
          </w:tcPr>
          <w:p w14:paraId="6C551EB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185,020,995 </w:t>
            </w:r>
          </w:p>
        </w:tc>
      </w:tr>
      <w:tr w:rsidR="009654FE" w:rsidRPr="000842AA" w14:paraId="2403ABB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24074A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4.3.4.3</w:t>
            </w:r>
          </w:p>
        </w:tc>
        <w:tc>
          <w:tcPr>
            <w:tcW w:w="6560" w:type="dxa"/>
            <w:tcBorders>
              <w:top w:val="nil"/>
              <w:left w:val="nil"/>
              <w:bottom w:val="single" w:sz="8" w:space="0" w:color="auto"/>
              <w:right w:val="single" w:sz="8" w:space="0" w:color="auto"/>
            </w:tcBorders>
            <w:shd w:val="clear" w:color="auto" w:fill="auto"/>
            <w:noWrap/>
            <w:vAlign w:val="center"/>
            <w:hideMark/>
          </w:tcPr>
          <w:p w14:paraId="5DC7FBB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Dirección de Catastro</w:t>
            </w:r>
          </w:p>
        </w:tc>
        <w:tc>
          <w:tcPr>
            <w:tcW w:w="1749" w:type="dxa"/>
            <w:tcBorders>
              <w:top w:val="nil"/>
              <w:left w:val="nil"/>
              <w:bottom w:val="single" w:sz="8" w:space="0" w:color="auto"/>
              <w:right w:val="nil"/>
            </w:tcBorders>
            <w:shd w:val="clear" w:color="auto" w:fill="FFFFFF" w:themeFill="background1"/>
            <w:vAlign w:val="center"/>
            <w:hideMark/>
          </w:tcPr>
          <w:p w14:paraId="5C1170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30,957,114 </w:t>
            </w:r>
          </w:p>
        </w:tc>
      </w:tr>
      <w:tr w:rsidR="009654FE" w:rsidRPr="000842AA" w14:paraId="071346E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BE03A6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4.3.5</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242DDCA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Fiscalía General del Estado</w:t>
            </w:r>
          </w:p>
        </w:tc>
        <w:tc>
          <w:tcPr>
            <w:tcW w:w="1749" w:type="dxa"/>
            <w:tcBorders>
              <w:top w:val="nil"/>
              <w:left w:val="nil"/>
              <w:bottom w:val="single" w:sz="8" w:space="0" w:color="auto"/>
              <w:right w:val="nil"/>
            </w:tcBorders>
            <w:shd w:val="clear" w:color="auto" w:fill="FFFFFF" w:themeFill="background1"/>
            <w:vAlign w:val="center"/>
            <w:hideMark/>
          </w:tcPr>
          <w:p w14:paraId="0E77054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6,162,904 </w:t>
            </w:r>
          </w:p>
        </w:tc>
      </w:tr>
      <w:tr w:rsidR="009654FE" w:rsidRPr="000842AA" w14:paraId="60ACDC7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992A21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4.3.6</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596043D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Secretaría de Educación</w:t>
            </w:r>
          </w:p>
        </w:tc>
        <w:tc>
          <w:tcPr>
            <w:tcW w:w="1749" w:type="dxa"/>
            <w:tcBorders>
              <w:top w:val="nil"/>
              <w:left w:val="nil"/>
              <w:bottom w:val="single" w:sz="8" w:space="0" w:color="auto"/>
              <w:right w:val="nil"/>
            </w:tcBorders>
            <w:shd w:val="clear" w:color="auto" w:fill="FFFFFF" w:themeFill="background1"/>
            <w:vAlign w:val="center"/>
            <w:hideMark/>
          </w:tcPr>
          <w:p w14:paraId="5D1744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9,741,266 </w:t>
            </w:r>
          </w:p>
        </w:tc>
      </w:tr>
      <w:tr w:rsidR="009654FE" w:rsidRPr="000842AA" w14:paraId="1172D08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29196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4.3.7</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63515C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Secretaría de Desarrollo Sustentable</w:t>
            </w:r>
          </w:p>
        </w:tc>
        <w:tc>
          <w:tcPr>
            <w:tcW w:w="1749" w:type="dxa"/>
            <w:tcBorders>
              <w:top w:val="nil"/>
              <w:left w:val="nil"/>
              <w:bottom w:val="single" w:sz="8" w:space="0" w:color="auto"/>
              <w:right w:val="nil"/>
            </w:tcBorders>
            <w:shd w:val="clear" w:color="auto" w:fill="FFFFFF" w:themeFill="background1"/>
            <w:vAlign w:val="center"/>
            <w:hideMark/>
          </w:tcPr>
          <w:p w14:paraId="3D917C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6,067,556 </w:t>
            </w:r>
          </w:p>
        </w:tc>
      </w:tr>
      <w:tr w:rsidR="009654FE" w:rsidRPr="000842AA" w14:paraId="0F81D39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CB61CC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4.3.8</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17C2EA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Secretaría de Salud</w:t>
            </w:r>
          </w:p>
        </w:tc>
        <w:tc>
          <w:tcPr>
            <w:tcW w:w="1749" w:type="dxa"/>
            <w:tcBorders>
              <w:top w:val="nil"/>
              <w:left w:val="nil"/>
              <w:bottom w:val="single" w:sz="8" w:space="0" w:color="auto"/>
              <w:right w:val="nil"/>
            </w:tcBorders>
            <w:shd w:val="clear" w:color="auto" w:fill="FFFFFF" w:themeFill="background1"/>
            <w:vAlign w:val="center"/>
            <w:hideMark/>
          </w:tcPr>
          <w:p w14:paraId="4415B30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97,981,252 </w:t>
            </w:r>
          </w:p>
        </w:tc>
      </w:tr>
      <w:tr w:rsidR="009654FE" w:rsidRPr="000842AA" w14:paraId="350839C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29FC6C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4.3.9</w:t>
            </w:r>
          </w:p>
        </w:tc>
        <w:tc>
          <w:tcPr>
            <w:tcW w:w="6560" w:type="dxa"/>
            <w:tcBorders>
              <w:top w:val="nil"/>
              <w:left w:val="nil"/>
              <w:bottom w:val="single" w:sz="8" w:space="0" w:color="auto"/>
              <w:right w:val="single" w:sz="8" w:space="0" w:color="auto"/>
            </w:tcBorders>
            <w:shd w:val="clear" w:color="auto" w:fill="auto"/>
            <w:noWrap/>
            <w:vAlign w:val="center"/>
            <w:hideMark/>
          </w:tcPr>
          <w:p w14:paraId="4698FE6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Coordinación Estatal de Protección Civil</w:t>
            </w:r>
          </w:p>
        </w:tc>
        <w:tc>
          <w:tcPr>
            <w:tcW w:w="1749" w:type="dxa"/>
            <w:tcBorders>
              <w:top w:val="nil"/>
              <w:left w:val="nil"/>
              <w:bottom w:val="single" w:sz="8" w:space="0" w:color="auto"/>
              <w:right w:val="nil"/>
            </w:tcBorders>
            <w:shd w:val="clear" w:color="auto" w:fill="FFFFFF" w:themeFill="background1"/>
            <w:vAlign w:val="center"/>
            <w:hideMark/>
          </w:tcPr>
          <w:p w14:paraId="7665A8C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1,514,101 </w:t>
            </w:r>
          </w:p>
        </w:tc>
      </w:tr>
      <w:tr w:rsidR="009654FE" w:rsidRPr="000842AA" w14:paraId="70C3DB4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79D415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4.3.10</w:t>
            </w:r>
          </w:p>
        </w:tc>
        <w:tc>
          <w:tcPr>
            <w:tcW w:w="6560" w:type="dxa"/>
            <w:tcBorders>
              <w:top w:val="nil"/>
              <w:left w:val="nil"/>
              <w:bottom w:val="single" w:sz="8" w:space="0" w:color="auto"/>
              <w:right w:val="single" w:sz="8" w:space="0" w:color="auto"/>
            </w:tcBorders>
            <w:shd w:val="clear" w:color="auto" w:fill="auto"/>
            <w:noWrap/>
            <w:vAlign w:val="center"/>
            <w:hideMark/>
          </w:tcPr>
          <w:p w14:paraId="06E15DD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el Instituto de Movilidad y Desarrollo Urbano Territorial</w:t>
            </w:r>
          </w:p>
        </w:tc>
        <w:tc>
          <w:tcPr>
            <w:tcW w:w="1749" w:type="dxa"/>
            <w:tcBorders>
              <w:top w:val="nil"/>
              <w:left w:val="nil"/>
              <w:bottom w:val="single" w:sz="8" w:space="0" w:color="auto"/>
              <w:right w:val="nil"/>
            </w:tcBorders>
            <w:shd w:val="clear" w:color="auto" w:fill="FFFFFF" w:themeFill="background1"/>
            <w:vAlign w:val="center"/>
            <w:hideMark/>
          </w:tcPr>
          <w:p w14:paraId="0EDA88E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11,853,850 </w:t>
            </w:r>
          </w:p>
        </w:tc>
      </w:tr>
      <w:tr w:rsidR="009654FE" w:rsidRPr="000842AA" w14:paraId="7A22A5B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24C0950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B21093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Acceso a la información</w:t>
            </w:r>
          </w:p>
        </w:tc>
        <w:tc>
          <w:tcPr>
            <w:tcW w:w="1749" w:type="dxa"/>
            <w:tcBorders>
              <w:top w:val="nil"/>
              <w:left w:val="nil"/>
              <w:bottom w:val="single" w:sz="8" w:space="0" w:color="auto"/>
              <w:right w:val="nil"/>
            </w:tcBorders>
            <w:shd w:val="clear" w:color="auto" w:fill="FFFFFF" w:themeFill="background1"/>
            <w:vAlign w:val="center"/>
            <w:hideMark/>
          </w:tcPr>
          <w:p w14:paraId="0D6BC2F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314 </w:t>
            </w:r>
          </w:p>
        </w:tc>
      </w:tr>
      <w:tr w:rsidR="009654FE" w:rsidRPr="000842AA" w14:paraId="031D54E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1E3B40B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22F201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los servicios de inspección, control y fiscalización que realiza la Secretaría de la Contraloría General</w:t>
            </w:r>
          </w:p>
        </w:tc>
        <w:tc>
          <w:tcPr>
            <w:tcW w:w="1749" w:type="dxa"/>
            <w:tcBorders>
              <w:top w:val="nil"/>
              <w:left w:val="nil"/>
              <w:bottom w:val="single" w:sz="8" w:space="0" w:color="auto"/>
              <w:right w:val="nil"/>
            </w:tcBorders>
            <w:shd w:val="clear" w:color="auto" w:fill="FFFFFF" w:themeFill="background1"/>
            <w:vAlign w:val="center"/>
            <w:hideMark/>
          </w:tcPr>
          <w:p w14:paraId="44EE40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13,285,523 </w:t>
            </w:r>
          </w:p>
        </w:tc>
      </w:tr>
      <w:tr w:rsidR="009654FE" w:rsidRPr="000842AA" w14:paraId="45E17B7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74ECB4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4.3.13</w:t>
            </w:r>
          </w:p>
        </w:tc>
        <w:tc>
          <w:tcPr>
            <w:tcW w:w="6560" w:type="dxa"/>
            <w:tcBorders>
              <w:top w:val="nil"/>
              <w:left w:val="nil"/>
              <w:bottom w:val="single" w:sz="8" w:space="0" w:color="auto"/>
              <w:right w:val="single" w:sz="8" w:space="0" w:color="auto"/>
            </w:tcBorders>
            <w:shd w:val="clear" w:color="auto" w:fill="auto"/>
            <w:noWrap/>
            <w:vAlign w:val="center"/>
            <w:hideMark/>
          </w:tcPr>
          <w:p w14:paraId="44D946D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los servicios de supervisión, vigilancia y registro de máquinas de juegos y apuestas</w:t>
            </w:r>
          </w:p>
        </w:tc>
        <w:tc>
          <w:tcPr>
            <w:tcW w:w="1749" w:type="dxa"/>
            <w:tcBorders>
              <w:top w:val="nil"/>
              <w:left w:val="nil"/>
              <w:bottom w:val="single" w:sz="8" w:space="0" w:color="auto"/>
              <w:right w:val="nil"/>
            </w:tcBorders>
            <w:shd w:val="clear" w:color="auto" w:fill="FFFFFF" w:themeFill="background1"/>
            <w:vAlign w:val="center"/>
            <w:hideMark/>
          </w:tcPr>
          <w:p w14:paraId="5E7EE9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52,438,089 </w:t>
            </w:r>
          </w:p>
        </w:tc>
      </w:tr>
      <w:tr w:rsidR="009654FE" w:rsidRPr="000842AA" w14:paraId="3425A51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64B92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4.3.14</w:t>
            </w:r>
          </w:p>
        </w:tc>
        <w:tc>
          <w:tcPr>
            <w:tcW w:w="6560" w:type="dxa"/>
            <w:tcBorders>
              <w:top w:val="nil"/>
              <w:left w:val="nil"/>
              <w:bottom w:val="single" w:sz="8" w:space="0" w:color="auto"/>
              <w:right w:val="single" w:sz="8" w:space="0" w:color="auto"/>
            </w:tcBorders>
            <w:shd w:val="clear" w:color="auto" w:fill="auto"/>
            <w:noWrap/>
            <w:vAlign w:val="center"/>
            <w:hideMark/>
          </w:tcPr>
          <w:p w14:paraId="4C4A956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los servicios que presta el Poder Judicial del Estado</w:t>
            </w:r>
          </w:p>
        </w:tc>
        <w:tc>
          <w:tcPr>
            <w:tcW w:w="1749" w:type="dxa"/>
            <w:tcBorders>
              <w:top w:val="nil"/>
              <w:left w:val="nil"/>
              <w:bottom w:val="single" w:sz="8" w:space="0" w:color="auto"/>
              <w:right w:val="nil"/>
            </w:tcBorders>
            <w:shd w:val="clear" w:color="auto" w:fill="FFFFFF" w:themeFill="background1"/>
            <w:vAlign w:val="center"/>
            <w:hideMark/>
          </w:tcPr>
          <w:p w14:paraId="6451E0B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0124F3E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33B457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4.3.15</w:t>
            </w:r>
          </w:p>
        </w:tc>
        <w:tc>
          <w:tcPr>
            <w:tcW w:w="6560" w:type="dxa"/>
            <w:tcBorders>
              <w:top w:val="nil"/>
              <w:left w:val="nil"/>
              <w:bottom w:val="single" w:sz="8" w:space="0" w:color="auto"/>
              <w:right w:val="single" w:sz="8" w:space="0" w:color="auto"/>
            </w:tcBorders>
            <w:shd w:val="clear" w:color="auto" w:fill="auto"/>
            <w:noWrap/>
            <w:vAlign w:val="center"/>
            <w:hideMark/>
          </w:tcPr>
          <w:p w14:paraId="33E3AA9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Por los servicios de permiso, registro y supervisión para la instalación y operación de casas de empeño</w:t>
            </w:r>
          </w:p>
        </w:tc>
        <w:tc>
          <w:tcPr>
            <w:tcW w:w="1749" w:type="dxa"/>
            <w:tcBorders>
              <w:top w:val="nil"/>
              <w:left w:val="nil"/>
              <w:bottom w:val="single" w:sz="8" w:space="0" w:color="auto"/>
              <w:right w:val="nil"/>
            </w:tcBorders>
            <w:shd w:val="clear" w:color="auto" w:fill="FFFFFF" w:themeFill="background1"/>
            <w:vAlign w:val="center"/>
            <w:hideMark/>
          </w:tcPr>
          <w:p w14:paraId="4015031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516,454 </w:t>
            </w:r>
          </w:p>
        </w:tc>
      </w:tr>
      <w:tr w:rsidR="009654FE" w:rsidRPr="000842AA" w14:paraId="6324133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1ACED1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4.3.16</w:t>
            </w:r>
          </w:p>
        </w:tc>
        <w:tc>
          <w:tcPr>
            <w:tcW w:w="6560" w:type="dxa"/>
            <w:tcBorders>
              <w:top w:val="nil"/>
              <w:left w:val="nil"/>
              <w:bottom w:val="single" w:sz="8" w:space="0" w:color="auto"/>
              <w:right w:val="single" w:sz="8" w:space="0" w:color="auto"/>
            </w:tcBorders>
            <w:shd w:val="clear" w:color="auto" w:fill="auto"/>
            <w:noWrap/>
            <w:vAlign w:val="center"/>
            <w:hideMark/>
          </w:tcPr>
          <w:p w14:paraId="6211140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Secretaría de Investigación, Innovación y Educación Superior</w:t>
            </w:r>
          </w:p>
        </w:tc>
        <w:tc>
          <w:tcPr>
            <w:tcW w:w="1749" w:type="dxa"/>
            <w:tcBorders>
              <w:top w:val="nil"/>
              <w:left w:val="nil"/>
              <w:bottom w:val="single" w:sz="8" w:space="0" w:color="auto"/>
              <w:right w:val="nil"/>
            </w:tcBorders>
            <w:shd w:val="clear" w:color="auto" w:fill="FFFFFF" w:themeFill="background1"/>
            <w:vAlign w:val="center"/>
            <w:hideMark/>
          </w:tcPr>
          <w:p w14:paraId="44393E9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27,736,828 </w:t>
            </w:r>
          </w:p>
        </w:tc>
      </w:tr>
      <w:tr w:rsidR="009654FE" w:rsidRPr="000842AA" w14:paraId="227CD5E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02A47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4.3.17</w:t>
            </w:r>
          </w:p>
        </w:tc>
        <w:tc>
          <w:tcPr>
            <w:tcW w:w="6560" w:type="dxa"/>
            <w:tcBorders>
              <w:top w:val="nil"/>
              <w:left w:val="nil"/>
              <w:bottom w:val="single" w:sz="8" w:space="0" w:color="auto"/>
              <w:right w:val="single" w:sz="8" w:space="0" w:color="auto"/>
            </w:tcBorders>
            <w:shd w:val="clear" w:color="auto" w:fill="auto"/>
            <w:noWrap/>
            <w:vAlign w:val="center"/>
            <w:hideMark/>
          </w:tcPr>
          <w:p w14:paraId="526D120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que presta la Agencia de Transporte de Yucatán</w:t>
            </w:r>
          </w:p>
        </w:tc>
        <w:tc>
          <w:tcPr>
            <w:tcW w:w="1749" w:type="dxa"/>
            <w:tcBorders>
              <w:top w:val="nil"/>
              <w:left w:val="nil"/>
              <w:bottom w:val="single" w:sz="8" w:space="0" w:color="auto"/>
              <w:right w:val="nil"/>
            </w:tcBorders>
            <w:shd w:val="clear" w:color="auto" w:fill="FFFFFF" w:themeFill="background1"/>
            <w:vAlign w:val="center"/>
            <w:hideMark/>
          </w:tcPr>
          <w:p w14:paraId="3D59361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3,506,778 </w:t>
            </w:r>
          </w:p>
        </w:tc>
      </w:tr>
      <w:tr w:rsidR="009654FE" w:rsidRPr="000842AA" w14:paraId="1585A28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A2654E3"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4.4</w:t>
            </w:r>
          </w:p>
        </w:tc>
        <w:tc>
          <w:tcPr>
            <w:tcW w:w="6560" w:type="dxa"/>
            <w:tcBorders>
              <w:top w:val="nil"/>
              <w:left w:val="nil"/>
              <w:bottom w:val="single" w:sz="8" w:space="0" w:color="auto"/>
              <w:right w:val="single" w:sz="8" w:space="0" w:color="auto"/>
            </w:tcBorders>
            <w:shd w:val="clear" w:color="auto" w:fill="auto"/>
            <w:noWrap/>
            <w:vAlign w:val="center"/>
            <w:hideMark/>
          </w:tcPr>
          <w:p w14:paraId="1B933FC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Otros Derechos</w:t>
            </w:r>
          </w:p>
        </w:tc>
        <w:tc>
          <w:tcPr>
            <w:tcW w:w="1749" w:type="dxa"/>
            <w:tcBorders>
              <w:top w:val="nil"/>
              <w:left w:val="nil"/>
              <w:bottom w:val="single" w:sz="8" w:space="0" w:color="auto"/>
              <w:right w:val="nil"/>
            </w:tcBorders>
            <w:shd w:val="clear" w:color="auto" w:fill="auto"/>
            <w:vAlign w:val="center"/>
            <w:hideMark/>
          </w:tcPr>
          <w:p w14:paraId="7B01F7A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333EFAA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2B8A9A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4.4.1</w:t>
            </w:r>
          </w:p>
        </w:tc>
        <w:tc>
          <w:tcPr>
            <w:tcW w:w="6560" w:type="dxa"/>
            <w:tcBorders>
              <w:top w:val="nil"/>
              <w:left w:val="nil"/>
              <w:bottom w:val="single" w:sz="8" w:space="0" w:color="auto"/>
              <w:right w:val="single" w:sz="8" w:space="0" w:color="auto"/>
            </w:tcBorders>
            <w:shd w:val="clear" w:color="auto" w:fill="auto"/>
            <w:noWrap/>
            <w:vAlign w:val="center"/>
            <w:hideMark/>
          </w:tcPr>
          <w:p w14:paraId="41511D4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Derechos no contemplados</w:t>
            </w:r>
          </w:p>
        </w:tc>
        <w:tc>
          <w:tcPr>
            <w:tcW w:w="1749" w:type="dxa"/>
            <w:tcBorders>
              <w:top w:val="nil"/>
              <w:left w:val="nil"/>
              <w:bottom w:val="single" w:sz="8" w:space="0" w:color="auto"/>
              <w:right w:val="nil"/>
            </w:tcBorders>
            <w:shd w:val="clear" w:color="auto" w:fill="FFFFFF" w:themeFill="background1"/>
            <w:vAlign w:val="center"/>
            <w:hideMark/>
          </w:tcPr>
          <w:p w14:paraId="5FDCC35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B3F5F0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1222EA42"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4.5</w:t>
            </w:r>
          </w:p>
        </w:tc>
        <w:tc>
          <w:tcPr>
            <w:tcW w:w="6560" w:type="dxa"/>
            <w:tcBorders>
              <w:top w:val="nil"/>
              <w:left w:val="nil"/>
              <w:bottom w:val="single" w:sz="8" w:space="0" w:color="auto"/>
              <w:right w:val="single" w:sz="8" w:space="0" w:color="auto"/>
            </w:tcBorders>
            <w:shd w:val="clear" w:color="auto" w:fill="auto"/>
            <w:noWrap/>
            <w:vAlign w:val="center"/>
            <w:hideMark/>
          </w:tcPr>
          <w:p w14:paraId="608196AE"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Accesorios de Derechos</w:t>
            </w:r>
          </w:p>
        </w:tc>
        <w:tc>
          <w:tcPr>
            <w:tcW w:w="1749" w:type="dxa"/>
            <w:tcBorders>
              <w:top w:val="nil"/>
              <w:left w:val="nil"/>
              <w:bottom w:val="single" w:sz="8" w:space="0" w:color="auto"/>
              <w:right w:val="nil"/>
            </w:tcBorders>
            <w:shd w:val="clear" w:color="auto" w:fill="auto"/>
            <w:vAlign w:val="center"/>
            <w:hideMark/>
          </w:tcPr>
          <w:p w14:paraId="667E6D9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1,050,092 </w:t>
            </w:r>
          </w:p>
        </w:tc>
      </w:tr>
      <w:tr w:rsidR="009654FE" w:rsidRPr="000842AA" w14:paraId="446D7ED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92C435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4.5.1</w:t>
            </w:r>
          </w:p>
        </w:tc>
        <w:tc>
          <w:tcPr>
            <w:tcW w:w="6560" w:type="dxa"/>
            <w:tcBorders>
              <w:top w:val="nil"/>
              <w:left w:val="nil"/>
              <w:bottom w:val="single" w:sz="8" w:space="0" w:color="auto"/>
              <w:right w:val="single" w:sz="8" w:space="0" w:color="auto"/>
            </w:tcBorders>
            <w:shd w:val="clear" w:color="auto" w:fill="auto"/>
            <w:noWrap/>
            <w:vAlign w:val="center"/>
            <w:hideMark/>
          </w:tcPr>
          <w:p w14:paraId="622121B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Multas, recargos, gastos extraordinarios y otros accesorios</w:t>
            </w:r>
          </w:p>
        </w:tc>
        <w:tc>
          <w:tcPr>
            <w:tcW w:w="1749" w:type="dxa"/>
            <w:tcBorders>
              <w:top w:val="nil"/>
              <w:left w:val="nil"/>
              <w:bottom w:val="single" w:sz="8" w:space="0" w:color="auto"/>
              <w:right w:val="nil"/>
            </w:tcBorders>
            <w:shd w:val="clear" w:color="auto" w:fill="FFFFFF" w:themeFill="background1"/>
            <w:vAlign w:val="center"/>
            <w:hideMark/>
          </w:tcPr>
          <w:p w14:paraId="2C1889D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1,050,091 </w:t>
            </w:r>
          </w:p>
        </w:tc>
      </w:tr>
      <w:tr w:rsidR="009654FE" w:rsidRPr="000842AA" w14:paraId="54E87A3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7A891C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4.5.2</w:t>
            </w:r>
          </w:p>
        </w:tc>
        <w:tc>
          <w:tcPr>
            <w:tcW w:w="6560" w:type="dxa"/>
            <w:tcBorders>
              <w:top w:val="nil"/>
              <w:left w:val="nil"/>
              <w:bottom w:val="single" w:sz="8" w:space="0" w:color="auto"/>
              <w:right w:val="single" w:sz="8" w:space="0" w:color="auto"/>
            </w:tcBorders>
            <w:shd w:val="clear" w:color="auto" w:fill="auto"/>
            <w:noWrap/>
            <w:vAlign w:val="center"/>
            <w:hideMark/>
          </w:tcPr>
          <w:p w14:paraId="58ECEFD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Indemnizaciones</w:t>
            </w:r>
          </w:p>
        </w:tc>
        <w:tc>
          <w:tcPr>
            <w:tcW w:w="1749" w:type="dxa"/>
            <w:tcBorders>
              <w:top w:val="nil"/>
              <w:left w:val="nil"/>
              <w:bottom w:val="single" w:sz="8" w:space="0" w:color="auto"/>
              <w:right w:val="nil"/>
            </w:tcBorders>
            <w:shd w:val="clear" w:color="auto" w:fill="FFFFFF" w:themeFill="background1"/>
            <w:vAlign w:val="center"/>
            <w:hideMark/>
          </w:tcPr>
          <w:p w14:paraId="14BA94B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1939834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75A45C6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4.9</w:t>
            </w:r>
          </w:p>
        </w:tc>
        <w:tc>
          <w:tcPr>
            <w:tcW w:w="6560" w:type="dxa"/>
            <w:tcBorders>
              <w:top w:val="nil"/>
              <w:left w:val="nil"/>
              <w:bottom w:val="single" w:sz="8" w:space="0" w:color="auto"/>
              <w:right w:val="single" w:sz="8" w:space="0" w:color="auto"/>
            </w:tcBorders>
            <w:shd w:val="clear" w:color="auto" w:fill="auto"/>
            <w:noWrap/>
            <w:vAlign w:val="center"/>
            <w:hideMark/>
          </w:tcPr>
          <w:p w14:paraId="3D78C00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Derechos no comprendidos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auto"/>
            <w:vAlign w:val="center"/>
            <w:hideMark/>
          </w:tcPr>
          <w:p w14:paraId="5C6B3E1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47C527F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E6EC2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4.9.1</w:t>
            </w:r>
          </w:p>
        </w:tc>
        <w:tc>
          <w:tcPr>
            <w:tcW w:w="6560" w:type="dxa"/>
            <w:tcBorders>
              <w:top w:val="nil"/>
              <w:left w:val="nil"/>
              <w:bottom w:val="single" w:sz="8" w:space="0" w:color="auto"/>
              <w:right w:val="single" w:sz="8" w:space="0" w:color="auto"/>
            </w:tcBorders>
            <w:shd w:val="clear" w:color="auto" w:fill="auto"/>
            <w:noWrap/>
            <w:vAlign w:val="center"/>
            <w:hideMark/>
          </w:tcPr>
          <w:p w14:paraId="0A15F14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Derechos no comprendidos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FFFFFF" w:themeFill="background1"/>
            <w:vAlign w:val="center"/>
            <w:hideMark/>
          </w:tcPr>
          <w:p w14:paraId="06D5811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006ECC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9B10C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5</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E0CC7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Productos</w:t>
            </w:r>
          </w:p>
        </w:tc>
        <w:tc>
          <w:tcPr>
            <w:tcW w:w="1749" w:type="dxa"/>
            <w:tcBorders>
              <w:top w:val="nil"/>
              <w:left w:val="nil"/>
              <w:bottom w:val="single" w:sz="8" w:space="0" w:color="auto"/>
              <w:right w:val="nil"/>
            </w:tcBorders>
            <w:shd w:val="clear" w:color="auto" w:fill="D9D9D9" w:themeFill="background1" w:themeFillShade="D9"/>
            <w:vAlign w:val="center"/>
            <w:hideMark/>
          </w:tcPr>
          <w:p w14:paraId="1F11917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214,553,648 </w:t>
            </w:r>
          </w:p>
        </w:tc>
      </w:tr>
      <w:tr w:rsidR="009654FE" w:rsidRPr="000842AA" w14:paraId="7114656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noWrap/>
            <w:vAlign w:val="center"/>
            <w:hideMark/>
          </w:tcPr>
          <w:p w14:paraId="24B5967C"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5.1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55ADBE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Productos</w:t>
            </w:r>
          </w:p>
        </w:tc>
        <w:tc>
          <w:tcPr>
            <w:tcW w:w="1749" w:type="dxa"/>
            <w:tcBorders>
              <w:top w:val="nil"/>
              <w:left w:val="nil"/>
              <w:bottom w:val="single" w:sz="8" w:space="0" w:color="auto"/>
              <w:right w:val="nil"/>
            </w:tcBorders>
            <w:shd w:val="clear" w:color="auto" w:fill="FFFFFF" w:themeFill="background1"/>
            <w:vAlign w:val="center"/>
            <w:hideMark/>
          </w:tcPr>
          <w:p w14:paraId="69B21D2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214,553,648 </w:t>
            </w:r>
          </w:p>
        </w:tc>
      </w:tr>
      <w:tr w:rsidR="009654FE" w:rsidRPr="000842AA" w14:paraId="2BAF323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36825E1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4261153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Uso, aprovechamiento o enajenación de bienes de dominio privado del Estado</w:t>
            </w:r>
          </w:p>
        </w:tc>
        <w:tc>
          <w:tcPr>
            <w:tcW w:w="1749" w:type="dxa"/>
            <w:tcBorders>
              <w:top w:val="nil"/>
              <w:left w:val="nil"/>
              <w:bottom w:val="single" w:sz="8" w:space="0" w:color="auto"/>
              <w:right w:val="nil"/>
            </w:tcBorders>
            <w:shd w:val="clear" w:color="auto" w:fill="FFFFFF" w:themeFill="background1"/>
            <w:vAlign w:val="center"/>
            <w:hideMark/>
          </w:tcPr>
          <w:p w14:paraId="2178A06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12,210,086 </w:t>
            </w:r>
          </w:p>
        </w:tc>
      </w:tr>
      <w:tr w:rsidR="009654FE" w:rsidRPr="000842AA" w14:paraId="6064FF1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7B263FC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56A4A7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Enajenación de bienes muebles no sujetos a ser inventariados</w:t>
            </w:r>
          </w:p>
        </w:tc>
        <w:tc>
          <w:tcPr>
            <w:tcW w:w="1749" w:type="dxa"/>
            <w:tcBorders>
              <w:top w:val="nil"/>
              <w:left w:val="nil"/>
              <w:bottom w:val="single" w:sz="8" w:space="0" w:color="auto"/>
              <w:right w:val="nil"/>
            </w:tcBorders>
            <w:shd w:val="clear" w:color="auto" w:fill="FFFFFF" w:themeFill="background1"/>
            <w:vAlign w:val="center"/>
            <w:hideMark/>
          </w:tcPr>
          <w:p w14:paraId="59B719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B22679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1D9B3C1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5.1.3</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75C5E2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Accesorios de los Productos</w:t>
            </w:r>
          </w:p>
        </w:tc>
        <w:tc>
          <w:tcPr>
            <w:tcW w:w="1749" w:type="dxa"/>
            <w:tcBorders>
              <w:top w:val="nil"/>
              <w:left w:val="nil"/>
              <w:bottom w:val="single" w:sz="8" w:space="0" w:color="auto"/>
              <w:right w:val="nil"/>
            </w:tcBorders>
            <w:shd w:val="clear" w:color="auto" w:fill="FFFFFF" w:themeFill="background1"/>
            <w:vAlign w:val="center"/>
            <w:hideMark/>
          </w:tcPr>
          <w:p w14:paraId="5D94A8F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74945B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61EDDD1B"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5.1.4</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D48444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Rendimientos de capitales y valores del Estado</w:t>
            </w:r>
          </w:p>
        </w:tc>
        <w:tc>
          <w:tcPr>
            <w:tcW w:w="1749" w:type="dxa"/>
            <w:tcBorders>
              <w:top w:val="nil"/>
              <w:left w:val="nil"/>
              <w:bottom w:val="single" w:sz="8" w:space="0" w:color="auto"/>
              <w:right w:val="nil"/>
            </w:tcBorders>
            <w:shd w:val="clear" w:color="auto" w:fill="FFFFFF" w:themeFill="background1"/>
            <w:vAlign w:val="center"/>
            <w:hideMark/>
          </w:tcPr>
          <w:p w14:paraId="5871229A"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202,027,351 </w:t>
            </w:r>
          </w:p>
        </w:tc>
      </w:tr>
      <w:tr w:rsidR="009654FE" w:rsidRPr="000842AA" w14:paraId="0B123A7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21033F5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5.1.4.1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14A0B9C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Rendimientos Propios</w:t>
            </w:r>
          </w:p>
        </w:tc>
        <w:tc>
          <w:tcPr>
            <w:tcW w:w="1749" w:type="dxa"/>
            <w:tcBorders>
              <w:top w:val="nil"/>
              <w:left w:val="nil"/>
              <w:bottom w:val="single" w:sz="8" w:space="0" w:color="auto"/>
              <w:right w:val="nil"/>
            </w:tcBorders>
            <w:shd w:val="clear" w:color="auto" w:fill="FFFFFF" w:themeFill="background1"/>
            <w:vAlign w:val="center"/>
            <w:hideMark/>
          </w:tcPr>
          <w:p w14:paraId="7502E4D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202,027,351 </w:t>
            </w:r>
          </w:p>
        </w:tc>
      </w:tr>
      <w:tr w:rsidR="009654FE" w:rsidRPr="000842AA" w14:paraId="7CB6AFC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5559B4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5.1.4.2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D79366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Rendimientos Federales</w:t>
            </w:r>
          </w:p>
        </w:tc>
        <w:tc>
          <w:tcPr>
            <w:tcW w:w="1749" w:type="dxa"/>
            <w:tcBorders>
              <w:top w:val="nil"/>
              <w:left w:val="nil"/>
              <w:bottom w:val="single" w:sz="8" w:space="0" w:color="auto"/>
              <w:right w:val="nil"/>
            </w:tcBorders>
            <w:shd w:val="clear" w:color="auto" w:fill="FFFFFF" w:themeFill="background1"/>
            <w:vAlign w:val="center"/>
            <w:hideMark/>
          </w:tcPr>
          <w:p w14:paraId="5E2997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877A1D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78213C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5.1.9</w:t>
            </w:r>
          </w:p>
        </w:tc>
        <w:tc>
          <w:tcPr>
            <w:tcW w:w="6560" w:type="dxa"/>
            <w:tcBorders>
              <w:top w:val="nil"/>
              <w:left w:val="nil"/>
              <w:bottom w:val="single" w:sz="8" w:space="0" w:color="auto"/>
              <w:right w:val="single" w:sz="8" w:space="0" w:color="auto"/>
            </w:tcBorders>
            <w:shd w:val="clear" w:color="auto" w:fill="auto"/>
            <w:noWrap/>
            <w:vAlign w:val="center"/>
            <w:hideMark/>
          </w:tcPr>
          <w:p w14:paraId="243C77E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productos</w:t>
            </w:r>
          </w:p>
        </w:tc>
        <w:tc>
          <w:tcPr>
            <w:tcW w:w="1749" w:type="dxa"/>
            <w:tcBorders>
              <w:top w:val="nil"/>
              <w:left w:val="nil"/>
              <w:bottom w:val="single" w:sz="8" w:space="0" w:color="auto"/>
              <w:right w:val="nil"/>
            </w:tcBorders>
            <w:shd w:val="clear" w:color="auto" w:fill="FFFFFF" w:themeFill="background1"/>
            <w:vAlign w:val="center"/>
            <w:hideMark/>
          </w:tcPr>
          <w:p w14:paraId="3ED0B9E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316,211 </w:t>
            </w:r>
          </w:p>
        </w:tc>
      </w:tr>
      <w:tr w:rsidR="009654FE" w:rsidRPr="000842AA" w14:paraId="67A6BEB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0896CCE"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5.9</w:t>
            </w:r>
          </w:p>
        </w:tc>
        <w:tc>
          <w:tcPr>
            <w:tcW w:w="6560" w:type="dxa"/>
            <w:tcBorders>
              <w:top w:val="nil"/>
              <w:left w:val="nil"/>
              <w:bottom w:val="single" w:sz="8" w:space="0" w:color="auto"/>
              <w:right w:val="single" w:sz="8" w:space="0" w:color="auto"/>
            </w:tcBorders>
            <w:shd w:val="clear" w:color="auto" w:fill="auto"/>
            <w:noWrap/>
            <w:vAlign w:val="center"/>
            <w:hideMark/>
          </w:tcPr>
          <w:p w14:paraId="43200CA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Productos no comprendidos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auto"/>
            <w:vAlign w:val="center"/>
            <w:hideMark/>
          </w:tcPr>
          <w:p w14:paraId="3F923923"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048FC59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2EF6BD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5.9.1</w:t>
            </w:r>
          </w:p>
        </w:tc>
        <w:tc>
          <w:tcPr>
            <w:tcW w:w="6560" w:type="dxa"/>
            <w:tcBorders>
              <w:top w:val="nil"/>
              <w:left w:val="nil"/>
              <w:bottom w:val="single" w:sz="8" w:space="0" w:color="auto"/>
              <w:right w:val="single" w:sz="8" w:space="0" w:color="auto"/>
            </w:tcBorders>
            <w:shd w:val="clear" w:color="auto" w:fill="auto"/>
            <w:noWrap/>
            <w:vAlign w:val="center"/>
            <w:hideMark/>
          </w:tcPr>
          <w:p w14:paraId="3609E10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Productos no comprendidos en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FFFFFF" w:themeFill="background1"/>
            <w:vAlign w:val="center"/>
            <w:hideMark/>
          </w:tcPr>
          <w:p w14:paraId="340A273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EC8650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9B424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6</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14AD8F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Aprovechamientos</w:t>
            </w:r>
          </w:p>
        </w:tc>
        <w:tc>
          <w:tcPr>
            <w:tcW w:w="1749" w:type="dxa"/>
            <w:tcBorders>
              <w:top w:val="nil"/>
              <w:left w:val="nil"/>
              <w:bottom w:val="single" w:sz="8" w:space="0" w:color="auto"/>
              <w:right w:val="nil"/>
            </w:tcBorders>
            <w:shd w:val="clear" w:color="auto" w:fill="D9D9D9" w:themeFill="background1" w:themeFillShade="D9"/>
            <w:noWrap/>
            <w:vAlign w:val="center"/>
            <w:hideMark/>
          </w:tcPr>
          <w:p w14:paraId="3F724B8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466,441,347 </w:t>
            </w:r>
          </w:p>
        </w:tc>
      </w:tr>
      <w:tr w:rsidR="009654FE" w:rsidRPr="000842AA" w14:paraId="66C15FB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8D91929"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6.1</w:t>
            </w:r>
          </w:p>
        </w:tc>
        <w:tc>
          <w:tcPr>
            <w:tcW w:w="6560" w:type="dxa"/>
            <w:tcBorders>
              <w:top w:val="nil"/>
              <w:left w:val="nil"/>
              <w:bottom w:val="single" w:sz="8" w:space="0" w:color="auto"/>
              <w:right w:val="single" w:sz="8" w:space="0" w:color="auto"/>
            </w:tcBorders>
            <w:shd w:val="clear" w:color="auto" w:fill="auto"/>
            <w:noWrap/>
            <w:vAlign w:val="center"/>
            <w:hideMark/>
          </w:tcPr>
          <w:p w14:paraId="0BA6FC4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Aprovechamientos</w:t>
            </w:r>
          </w:p>
        </w:tc>
        <w:tc>
          <w:tcPr>
            <w:tcW w:w="1749" w:type="dxa"/>
            <w:tcBorders>
              <w:top w:val="nil"/>
              <w:left w:val="nil"/>
              <w:bottom w:val="single" w:sz="8" w:space="0" w:color="auto"/>
              <w:right w:val="nil"/>
            </w:tcBorders>
            <w:shd w:val="clear" w:color="auto" w:fill="auto"/>
            <w:noWrap/>
            <w:vAlign w:val="center"/>
            <w:hideMark/>
          </w:tcPr>
          <w:p w14:paraId="20292D73"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465,623,734 </w:t>
            </w:r>
          </w:p>
        </w:tc>
      </w:tr>
      <w:tr w:rsidR="009654FE" w:rsidRPr="000842AA" w14:paraId="2379C54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3816EC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6.1.1</w:t>
            </w:r>
          </w:p>
        </w:tc>
        <w:tc>
          <w:tcPr>
            <w:tcW w:w="6560" w:type="dxa"/>
            <w:tcBorders>
              <w:top w:val="nil"/>
              <w:left w:val="nil"/>
              <w:bottom w:val="single" w:sz="8" w:space="0" w:color="auto"/>
              <w:right w:val="single" w:sz="8" w:space="0" w:color="auto"/>
            </w:tcBorders>
            <w:shd w:val="clear" w:color="auto" w:fill="auto"/>
            <w:noWrap/>
            <w:vAlign w:val="center"/>
            <w:hideMark/>
          </w:tcPr>
          <w:p w14:paraId="3784BCB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Recargos</w:t>
            </w:r>
          </w:p>
        </w:tc>
        <w:tc>
          <w:tcPr>
            <w:tcW w:w="1749" w:type="dxa"/>
            <w:tcBorders>
              <w:top w:val="nil"/>
              <w:left w:val="nil"/>
              <w:bottom w:val="single" w:sz="8" w:space="0" w:color="auto"/>
              <w:right w:val="nil"/>
            </w:tcBorders>
            <w:shd w:val="clear" w:color="auto" w:fill="FFFFFF" w:themeFill="background1"/>
            <w:vAlign w:val="center"/>
            <w:hideMark/>
          </w:tcPr>
          <w:p w14:paraId="7A477C5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69BE040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19162E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6.1.2</w:t>
            </w:r>
          </w:p>
        </w:tc>
        <w:tc>
          <w:tcPr>
            <w:tcW w:w="6560" w:type="dxa"/>
            <w:tcBorders>
              <w:top w:val="nil"/>
              <w:left w:val="nil"/>
              <w:bottom w:val="single" w:sz="8" w:space="0" w:color="auto"/>
              <w:right w:val="single" w:sz="8" w:space="0" w:color="auto"/>
            </w:tcBorders>
            <w:shd w:val="clear" w:color="auto" w:fill="auto"/>
            <w:noWrap/>
            <w:vAlign w:val="center"/>
            <w:hideMark/>
          </w:tcPr>
          <w:p w14:paraId="118BD6F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Indemnizaciones</w:t>
            </w:r>
          </w:p>
        </w:tc>
        <w:tc>
          <w:tcPr>
            <w:tcW w:w="1749" w:type="dxa"/>
            <w:tcBorders>
              <w:top w:val="nil"/>
              <w:left w:val="nil"/>
              <w:bottom w:val="single" w:sz="8" w:space="0" w:color="auto"/>
              <w:right w:val="nil"/>
            </w:tcBorders>
            <w:shd w:val="clear" w:color="auto" w:fill="FFFFFF" w:themeFill="background1"/>
            <w:vAlign w:val="center"/>
            <w:hideMark/>
          </w:tcPr>
          <w:p w14:paraId="3CC196A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18172AF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9AD353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6.1.3</w:t>
            </w:r>
          </w:p>
        </w:tc>
        <w:tc>
          <w:tcPr>
            <w:tcW w:w="6560" w:type="dxa"/>
            <w:tcBorders>
              <w:top w:val="nil"/>
              <w:left w:val="nil"/>
              <w:bottom w:val="single" w:sz="8" w:space="0" w:color="auto"/>
              <w:right w:val="single" w:sz="8" w:space="0" w:color="auto"/>
            </w:tcBorders>
            <w:shd w:val="clear" w:color="auto" w:fill="auto"/>
            <w:noWrap/>
            <w:vAlign w:val="center"/>
            <w:hideMark/>
          </w:tcPr>
          <w:p w14:paraId="44DF736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Multas administrativas y multas impuestas por autoridades judiciales</w:t>
            </w:r>
          </w:p>
        </w:tc>
        <w:tc>
          <w:tcPr>
            <w:tcW w:w="1749" w:type="dxa"/>
            <w:tcBorders>
              <w:top w:val="nil"/>
              <w:left w:val="nil"/>
              <w:bottom w:val="single" w:sz="8" w:space="0" w:color="auto"/>
              <w:right w:val="nil"/>
            </w:tcBorders>
            <w:shd w:val="clear" w:color="auto" w:fill="FFFFFF" w:themeFill="background1"/>
            <w:vAlign w:val="center"/>
            <w:hideMark/>
          </w:tcPr>
          <w:p w14:paraId="4B5BB40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100,944,406 </w:t>
            </w:r>
          </w:p>
        </w:tc>
      </w:tr>
      <w:tr w:rsidR="009654FE" w:rsidRPr="000842AA" w14:paraId="08ADCB9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D73FAF"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6.1.4</w:t>
            </w:r>
          </w:p>
        </w:tc>
        <w:tc>
          <w:tcPr>
            <w:tcW w:w="6560" w:type="dxa"/>
            <w:tcBorders>
              <w:top w:val="nil"/>
              <w:left w:val="nil"/>
              <w:bottom w:val="single" w:sz="8" w:space="0" w:color="auto"/>
              <w:right w:val="single" w:sz="8" w:space="0" w:color="auto"/>
            </w:tcBorders>
            <w:shd w:val="clear" w:color="auto" w:fill="auto"/>
            <w:noWrap/>
            <w:vAlign w:val="center"/>
            <w:hideMark/>
          </w:tcPr>
          <w:p w14:paraId="1BB2F82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Otros aprovechamientos</w:t>
            </w:r>
          </w:p>
        </w:tc>
        <w:tc>
          <w:tcPr>
            <w:tcW w:w="1749" w:type="dxa"/>
            <w:tcBorders>
              <w:top w:val="nil"/>
              <w:left w:val="nil"/>
              <w:bottom w:val="single" w:sz="8" w:space="0" w:color="auto"/>
              <w:right w:val="nil"/>
            </w:tcBorders>
            <w:shd w:val="clear" w:color="auto" w:fill="auto"/>
            <w:noWrap/>
            <w:vAlign w:val="center"/>
            <w:hideMark/>
          </w:tcPr>
          <w:p w14:paraId="3BE62F35"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364,679,326 </w:t>
            </w:r>
          </w:p>
        </w:tc>
      </w:tr>
      <w:tr w:rsidR="009654FE" w:rsidRPr="000842AA" w14:paraId="54727C2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E68105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6.1.4.1</w:t>
            </w:r>
          </w:p>
        </w:tc>
        <w:tc>
          <w:tcPr>
            <w:tcW w:w="6560" w:type="dxa"/>
            <w:tcBorders>
              <w:top w:val="nil"/>
              <w:left w:val="nil"/>
              <w:bottom w:val="single" w:sz="8" w:space="0" w:color="auto"/>
              <w:right w:val="single" w:sz="8" w:space="0" w:color="auto"/>
            </w:tcBorders>
            <w:shd w:val="clear" w:color="auto" w:fill="auto"/>
            <w:noWrap/>
            <w:vAlign w:val="center"/>
            <w:hideMark/>
          </w:tcPr>
          <w:p w14:paraId="49477AB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w:t>
            </w:r>
          </w:p>
        </w:tc>
        <w:tc>
          <w:tcPr>
            <w:tcW w:w="1749" w:type="dxa"/>
            <w:tcBorders>
              <w:top w:val="nil"/>
              <w:left w:val="nil"/>
              <w:bottom w:val="single" w:sz="8" w:space="0" w:color="auto"/>
              <w:right w:val="nil"/>
            </w:tcBorders>
            <w:shd w:val="clear" w:color="auto" w:fill="FFFFFF" w:themeFill="background1"/>
            <w:vAlign w:val="center"/>
            <w:hideMark/>
          </w:tcPr>
          <w:p w14:paraId="563BEFF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364,679,326 </w:t>
            </w:r>
          </w:p>
        </w:tc>
      </w:tr>
      <w:tr w:rsidR="009654FE" w:rsidRPr="000842AA" w14:paraId="337DF97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711A35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6.2</w:t>
            </w:r>
          </w:p>
        </w:tc>
        <w:tc>
          <w:tcPr>
            <w:tcW w:w="6560" w:type="dxa"/>
            <w:tcBorders>
              <w:top w:val="nil"/>
              <w:left w:val="nil"/>
              <w:bottom w:val="single" w:sz="8" w:space="0" w:color="auto"/>
              <w:right w:val="single" w:sz="8" w:space="0" w:color="auto"/>
            </w:tcBorders>
            <w:shd w:val="clear" w:color="auto" w:fill="auto"/>
            <w:noWrap/>
            <w:vAlign w:val="center"/>
            <w:hideMark/>
          </w:tcPr>
          <w:p w14:paraId="0AB3D27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Aprovechamientos Patrimoniales</w:t>
            </w:r>
          </w:p>
        </w:tc>
        <w:tc>
          <w:tcPr>
            <w:tcW w:w="1749" w:type="dxa"/>
            <w:tcBorders>
              <w:top w:val="nil"/>
              <w:left w:val="nil"/>
              <w:bottom w:val="single" w:sz="8" w:space="0" w:color="auto"/>
              <w:right w:val="nil"/>
            </w:tcBorders>
            <w:shd w:val="clear" w:color="auto" w:fill="auto"/>
            <w:vAlign w:val="center"/>
            <w:hideMark/>
          </w:tcPr>
          <w:p w14:paraId="2F9CF55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193AFFF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2D7BCF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6.2.1</w:t>
            </w:r>
          </w:p>
        </w:tc>
        <w:tc>
          <w:tcPr>
            <w:tcW w:w="6560" w:type="dxa"/>
            <w:tcBorders>
              <w:top w:val="nil"/>
              <w:left w:val="nil"/>
              <w:bottom w:val="single" w:sz="8" w:space="0" w:color="auto"/>
              <w:right w:val="single" w:sz="8" w:space="0" w:color="auto"/>
            </w:tcBorders>
            <w:shd w:val="clear" w:color="auto" w:fill="auto"/>
            <w:noWrap/>
            <w:vAlign w:val="center"/>
            <w:hideMark/>
          </w:tcPr>
          <w:p w14:paraId="29794A2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Herencias, legados y donaciones que se hagan a favor del estado o instituciones que dependan de él</w:t>
            </w:r>
          </w:p>
        </w:tc>
        <w:tc>
          <w:tcPr>
            <w:tcW w:w="1749" w:type="dxa"/>
            <w:tcBorders>
              <w:top w:val="nil"/>
              <w:left w:val="nil"/>
              <w:bottom w:val="single" w:sz="8" w:space="0" w:color="auto"/>
              <w:right w:val="nil"/>
            </w:tcBorders>
            <w:shd w:val="clear" w:color="auto" w:fill="FFFFFF" w:themeFill="background1"/>
            <w:vAlign w:val="center"/>
            <w:hideMark/>
          </w:tcPr>
          <w:p w14:paraId="2D1EFF7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26D80F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779DBF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6.3</w:t>
            </w:r>
          </w:p>
        </w:tc>
        <w:tc>
          <w:tcPr>
            <w:tcW w:w="6560" w:type="dxa"/>
            <w:tcBorders>
              <w:top w:val="nil"/>
              <w:left w:val="nil"/>
              <w:bottom w:val="single" w:sz="8" w:space="0" w:color="auto"/>
              <w:right w:val="single" w:sz="8" w:space="0" w:color="auto"/>
            </w:tcBorders>
            <w:shd w:val="clear" w:color="auto" w:fill="auto"/>
            <w:noWrap/>
            <w:vAlign w:val="center"/>
            <w:hideMark/>
          </w:tcPr>
          <w:p w14:paraId="68F7EED6"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Accesorios de Aprovechamientos</w:t>
            </w:r>
          </w:p>
        </w:tc>
        <w:tc>
          <w:tcPr>
            <w:tcW w:w="1749" w:type="dxa"/>
            <w:tcBorders>
              <w:top w:val="nil"/>
              <w:left w:val="nil"/>
              <w:bottom w:val="single" w:sz="8" w:space="0" w:color="auto"/>
              <w:right w:val="nil"/>
            </w:tcBorders>
            <w:shd w:val="clear" w:color="auto" w:fill="auto"/>
            <w:noWrap/>
            <w:vAlign w:val="center"/>
            <w:hideMark/>
          </w:tcPr>
          <w:p w14:paraId="0A9287B9"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817,613 </w:t>
            </w:r>
          </w:p>
        </w:tc>
      </w:tr>
      <w:tr w:rsidR="009654FE" w:rsidRPr="000842AA" w14:paraId="4222BF5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DF9B63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6.3.1</w:t>
            </w:r>
          </w:p>
        </w:tc>
        <w:tc>
          <w:tcPr>
            <w:tcW w:w="6560" w:type="dxa"/>
            <w:tcBorders>
              <w:top w:val="nil"/>
              <w:left w:val="nil"/>
              <w:bottom w:val="single" w:sz="8" w:space="0" w:color="auto"/>
              <w:right w:val="single" w:sz="8" w:space="0" w:color="auto"/>
            </w:tcBorders>
            <w:shd w:val="clear" w:color="auto" w:fill="auto"/>
            <w:noWrap/>
            <w:vAlign w:val="center"/>
            <w:hideMark/>
          </w:tcPr>
          <w:p w14:paraId="5FD002B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Multas, recargos, gastos extraordinarios y otros accesorios</w:t>
            </w:r>
          </w:p>
        </w:tc>
        <w:tc>
          <w:tcPr>
            <w:tcW w:w="1749" w:type="dxa"/>
            <w:tcBorders>
              <w:top w:val="nil"/>
              <w:left w:val="nil"/>
              <w:bottom w:val="single" w:sz="8" w:space="0" w:color="auto"/>
              <w:right w:val="nil"/>
            </w:tcBorders>
            <w:shd w:val="clear" w:color="auto" w:fill="FFFFFF" w:themeFill="background1"/>
            <w:vAlign w:val="center"/>
            <w:hideMark/>
          </w:tcPr>
          <w:p w14:paraId="4A05232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817,612 </w:t>
            </w:r>
          </w:p>
        </w:tc>
      </w:tr>
      <w:tr w:rsidR="009654FE" w:rsidRPr="000842AA" w14:paraId="1BB5006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A12AE6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6.3.2</w:t>
            </w:r>
          </w:p>
        </w:tc>
        <w:tc>
          <w:tcPr>
            <w:tcW w:w="6560" w:type="dxa"/>
            <w:tcBorders>
              <w:top w:val="nil"/>
              <w:left w:val="nil"/>
              <w:bottom w:val="single" w:sz="8" w:space="0" w:color="auto"/>
              <w:right w:val="single" w:sz="8" w:space="0" w:color="auto"/>
            </w:tcBorders>
            <w:shd w:val="clear" w:color="auto" w:fill="auto"/>
            <w:noWrap/>
            <w:vAlign w:val="center"/>
            <w:hideMark/>
          </w:tcPr>
          <w:p w14:paraId="49B9FB7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Indemnizaciones</w:t>
            </w:r>
          </w:p>
        </w:tc>
        <w:tc>
          <w:tcPr>
            <w:tcW w:w="1749" w:type="dxa"/>
            <w:tcBorders>
              <w:top w:val="nil"/>
              <w:left w:val="nil"/>
              <w:bottom w:val="single" w:sz="8" w:space="0" w:color="auto"/>
              <w:right w:val="nil"/>
            </w:tcBorders>
            <w:shd w:val="clear" w:color="auto" w:fill="FFFFFF" w:themeFill="background1"/>
            <w:vAlign w:val="center"/>
            <w:hideMark/>
          </w:tcPr>
          <w:p w14:paraId="7EF1C23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7350E5F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9DDB82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6.9</w:t>
            </w:r>
          </w:p>
        </w:tc>
        <w:tc>
          <w:tcPr>
            <w:tcW w:w="6560" w:type="dxa"/>
            <w:tcBorders>
              <w:top w:val="nil"/>
              <w:left w:val="nil"/>
              <w:bottom w:val="single" w:sz="8" w:space="0" w:color="auto"/>
              <w:right w:val="single" w:sz="8" w:space="0" w:color="auto"/>
            </w:tcBorders>
            <w:shd w:val="clear" w:color="auto" w:fill="auto"/>
            <w:noWrap/>
            <w:vAlign w:val="center"/>
            <w:hideMark/>
          </w:tcPr>
          <w:p w14:paraId="19EE7B4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Aprovechamientos no comprendidos en las fracciones de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auto"/>
            <w:vAlign w:val="center"/>
            <w:hideMark/>
          </w:tcPr>
          <w:p w14:paraId="6CFAF9E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0698B96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193C5B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6.9.1</w:t>
            </w:r>
          </w:p>
        </w:tc>
        <w:tc>
          <w:tcPr>
            <w:tcW w:w="6560" w:type="dxa"/>
            <w:tcBorders>
              <w:top w:val="nil"/>
              <w:left w:val="nil"/>
              <w:bottom w:val="single" w:sz="8" w:space="0" w:color="auto"/>
              <w:right w:val="single" w:sz="8" w:space="0" w:color="auto"/>
            </w:tcBorders>
            <w:shd w:val="clear" w:color="auto" w:fill="auto"/>
            <w:noWrap/>
            <w:vAlign w:val="center"/>
            <w:hideMark/>
          </w:tcPr>
          <w:p w14:paraId="1D140CB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Aprovechamientos no comprendidos en las fracciones de la Ley de Ingresos vigente, causadas en ejercicios fiscales anteriores pendientes de liquidación o pago</w:t>
            </w:r>
          </w:p>
        </w:tc>
        <w:tc>
          <w:tcPr>
            <w:tcW w:w="1749" w:type="dxa"/>
            <w:tcBorders>
              <w:top w:val="nil"/>
              <w:left w:val="nil"/>
              <w:bottom w:val="single" w:sz="8" w:space="0" w:color="auto"/>
              <w:right w:val="nil"/>
            </w:tcBorders>
            <w:shd w:val="clear" w:color="auto" w:fill="FFFFFF" w:themeFill="background1"/>
            <w:vAlign w:val="center"/>
            <w:hideMark/>
          </w:tcPr>
          <w:p w14:paraId="2538942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5AC30B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0D9812"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8FBF1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ventas de bienes y servicios</w:t>
            </w:r>
          </w:p>
        </w:tc>
        <w:tc>
          <w:tcPr>
            <w:tcW w:w="1749" w:type="dxa"/>
            <w:tcBorders>
              <w:top w:val="nil"/>
              <w:left w:val="nil"/>
              <w:bottom w:val="single" w:sz="8" w:space="0" w:color="auto"/>
              <w:right w:val="nil"/>
            </w:tcBorders>
            <w:shd w:val="clear" w:color="auto" w:fill="D9D9D9" w:themeFill="background1" w:themeFillShade="D9"/>
            <w:vAlign w:val="center"/>
            <w:hideMark/>
          </w:tcPr>
          <w:p w14:paraId="45A2E80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3,440,102,905 </w:t>
            </w:r>
          </w:p>
        </w:tc>
      </w:tr>
      <w:tr w:rsidR="009654FE" w:rsidRPr="000842AA" w14:paraId="584042E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9D6C33E"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7.1</w:t>
            </w:r>
          </w:p>
        </w:tc>
        <w:tc>
          <w:tcPr>
            <w:tcW w:w="6560" w:type="dxa"/>
            <w:tcBorders>
              <w:top w:val="nil"/>
              <w:left w:val="nil"/>
              <w:bottom w:val="single" w:sz="8" w:space="0" w:color="auto"/>
              <w:right w:val="single" w:sz="8" w:space="0" w:color="auto"/>
            </w:tcBorders>
            <w:shd w:val="clear" w:color="auto" w:fill="auto"/>
            <w:noWrap/>
            <w:vAlign w:val="center"/>
            <w:hideMark/>
          </w:tcPr>
          <w:p w14:paraId="0F0CC95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Instituciones Públicas de Seguridad Social</w:t>
            </w:r>
          </w:p>
        </w:tc>
        <w:tc>
          <w:tcPr>
            <w:tcW w:w="1749" w:type="dxa"/>
            <w:tcBorders>
              <w:top w:val="nil"/>
              <w:left w:val="nil"/>
              <w:bottom w:val="single" w:sz="8" w:space="0" w:color="auto"/>
              <w:right w:val="nil"/>
            </w:tcBorders>
            <w:shd w:val="clear" w:color="auto" w:fill="auto"/>
            <w:vAlign w:val="center"/>
            <w:hideMark/>
          </w:tcPr>
          <w:p w14:paraId="7893C6D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128,926,934 </w:t>
            </w:r>
          </w:p>
        </w:tc>
      </w:tr>
      <w:tr w:rsidR="009654FE" w:rsidRPr="000842AA" w14:paraId="3CCB0D5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454850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7.1.1</w:t>
            </w:r>
          </w:p>
        </w:tc>
        <w:tc>
          <w:tcPr>
            <w:tcW w:w="6560" w:type="dxa"/>
            <w:tcBorders>
              <w:top w:val="nil"/>
              <w:left w:val="nil"/>
              <w:bottom w:val="single" w:sz="8" w:space="0" w:color="auto"/>
              <w:right w:val="single" w:sz="8" w:space="0" w:color="auto"/>
            </w:tcBorders>
            <w:shd w:val="clear" w:color="auto" w:fill="auto"/>
            <w:noWrap/>
            <w:vAlign w:val="center"/>
            <w:hideMark/>
          </w:tcPr>
          <w:p w14:paraId="2980D60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Seguridad Social de los Trabajadores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4E9ECA7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128,926,934 </w:t>
            </w:r>
          </w:p>
        </w:tc>
      </w:tr>
      <w:tr w:rsidR="009654FE" w:rsidRPr="000842AA" w14:paraId="16DB17C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4CC1D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7.1.2</w:t>
            </w:r>
          </w:p>
        </w:tc>
        <w:tc>
          <w:tcPr>
            <w:tcW w:w="6560" w:type="dxa"/>
            <w:tcBorders>
              <w:top w:val="nil"/>
              <w:left w:val="nil"/>
              <w:bottom w:val="single" w:sz="8" w:space="0" w:color="auto"/>
              <w:right w:val="single" w:sz="8" w:space="0" w:color="auto"/>
            </w:tcBorders>
            <w:shd w:val="clear" w:color="auto" w:fill="auto"/>
            <w:noWrap/>
            <w:vAlign w:val="center"/>
            <w:hideMark/>
          </w:tcPr>
          <w:p w14:paraId="359EF3D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Aplicación de reservas del Instituto de Seguridad Social de los Trabajadores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DFE7BA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29B120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E2CF4A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7.2</w:t>
            </w:r>
          </w:p>
        </w:tc>
        <w:tc>
          <w:tcPr>
            <w:tcW w:w="6560" w:type="dxa"/>
            <w:tcBorders>
              <w:top w:val="nil"/>
              <w:left w:val="nil"/>
              <w:bottom w:val="single" w:sz="8" w:space="0" w:color="auto"/>
              <w:right w:val="single" w:sz="8" w:space="0" w:color="auto"/>
            </w:tcBorders>
            <w:shd w:val="clear" w:color="auto" w:fill="auto"/>
            <w:noWrap/>
            <w:vAlign w:val="center"/>
            <w:hideMark/>
          </w:tcPr>
          <w:p w14:paraId="4DB29B0F"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Empresas Productivas del Estado</w:t>
            </w:r>
          </w:p>
        </w:tc>
        <w:tc>
          <w:tcPr>
            <w:tcW w:w="1749" w:type="dxa"/>
            <w:tcBorders>
              <w:top w:val="nil"/>
              <w:left w:val="nil"/>
              <w:bottom w:val="single" w:sz="8" w:space="0" w:color="auto"/>
              <w:right w:val="nil"/>
            </w:tcBorders>
            <w:shd w:val="clear" w:color="auto" w:fill="auto"/>
            <w:vAlign w:val="center"/>
            <w:hideMark/>
          </w:tcPr>
          <w:p w14:paraId="57F379F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4DB9E6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20FAF2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7.2.1</w:t>
            </w:r>
          </w:p>
        </w:tc>
        <w:tc>
          <w:tcPr>
            <w:tcW w:w="6560" w:type="dxa"/>
            <w:tcBorders>
              <w:top w:val="nil"/>
              <w:left w:val="nil"/>
              <w:bottom w:val="single" w:sz="8" w:space="0" w:color="auto"/>
              <w:right w:val="single" w:sz="8" w:space="0" w:color="auto"/>
            </w:tcBorders>
            <w:shd w:val="clear" w:color="auto" w:fill="auto"/>
            <w:noWrap/>
            <w:vAlign w:val="center"/>
            <w:hideMark/>
          </w:tcPr>
          <w:p w14:paraId="2EC004E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Venta de Bienes de Empresas Productivas del Estado</w:t>
            </w:r>
          </w:p>
        </w:tc>
        <w:tc>
          <w:tcPr>
            <w:tcW w:w="1749" w:type="dxa"/>
            <w:tcBorders>
              <w:top w:val="nil"/>
              <w:left w:val="nil"/>
              <w:bottom w:val="single" w:sz="8" w:space="0" w:color="auto"/>
              <w:right w:val="nil"/>
            </w:tcBorders>
            <w:shd w:val="clear" w:color="auto" w:fill="FFFFFF" w:themeFill="background1"/>
            <w:vAlign w:val="center"/>
            <w:hideMark/>
          </w:tcPr>
          <w:p w14:paraId="1788C43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414F74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859F43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7.2.2</w:t>
            </w:r>
          </w:p>
        </w:tc>
        <w:tc>
          <w:tcPr>
            <w:tcW w:w="6560" w:type="dxa"/>
            <w:tcBorders>
              <w:top w:val="nil"/>
              <w:left w:val="nil"/>
              <w:bottom w:val="single" w:sz="8" w:space="0" w:color="auto"/>
              <w:right w:val="single" w:sz="8" w:space="0" w:color="auto"/>
            </w:tcBorders>
            <w:shd w:val="clear" w:color="auto" w:fill="auto"/>
            <w:noWrap/>
            <w:vAlign w:val="center"/>
            <w:hideMark/>
          </w:tcPr>
          <w:p w14:paraId="1DFAF7C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Prestación de Servicios de Empresas Productivas del Estado</w:t>
            </w:r>
          </w:p>
        </w:tc>
        <w:tc>
          <w:tcPr>
            <w:tcW w:w="1749" w:type="dxa"/>
            <w:tcBorders>
              <w:top w:val="nil"/>
              <w:left w:val="nil"/>
              <w:bottom w:val="single" w:sz="8" w:space="0" w:color="auto"/>
              <w:right w:val="nil"/>
            </w:tcBorders>
            <w:shd w:val="clear" w:color="auto" w:fill="FFFFFF" w:themeFill="background1"/>
            <w:vAlign w:val="center"/>
            <w:hideMark/>
          </w:tcPr>
          <w:p w14:paraId="3FFFD18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EDC7B5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35F98E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7.3</w:t>
            </w:r>
          </w:p>
        </w:tc>
        <w:tc>
          <w:tcPr>
            <w:tcW w:w="6560" w:type="dxa"/>
            <w:tcBorders>
              <w:top w:val="nil"/>
              <w:left w:val="nil"/>
              <w:bottom w:val="single" w:sz="8" w:space="0" w:color="auto"/>
              <w:right w:val="single" w:sz="8" w:space="0" w:color="auto"/>
            </w:tcBorders>
            <w:shd w:val="clear" w:color="auto" w:fill="auto"/>
            <w:noWrap/>
            <w:vAlign w:val="center"/>
            <w:hideMark/>
          </w:tcPr>
          <w:p w14:paraId="457A2A5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Entidades Paraestatales y Fideicomisos No Empresariales y No Financieros</w:t>
            </w:r>
          </w:p>
        </w:tc>
        <w:tc>
          <w:tcPr>
            <w:tcW w:w="1749" w:type="dxa"/>
            <w:tcBorders>
              <w:top w:val="nil"/>
              <w:left w:val="nil"/>
              <w:bottom w:val="single" w:sz="8" w:space="0" w:color="auto"/>
              <w:right w:val="nil"/>
            </w:tcBorders>
            <w:shd w:val="clear" w:color="auto" w:fill="auto"/>
            <w:vAlign w:val="center"/>
            <w:hideMark/>
          </w:tcPr>
          <w:p w14:paraId="7AB7239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1,407,716,726 </w:t>
            </w:r>
          </w:p>
        </w:tc>
      </w:tr>
      <w:tr w:rsidR="009654FE" w:rsidRPr="000842AA" w14:paraId="4F351F1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73C63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w:t>
            </w:r>
          </w:p>
        </w:tc>
        <w:tc>
          <w:tcPr>
            <w:tcW w:w="6560" w:type="dxa"/>
            <w:tcBorders>
              <w:top w:val="nil"/>
              <w:left w:val="nil"/>
              <w:bottom w:val="single" w:sz="8" w:space="0" w:color="auto"/>
              <w:right w:val="single" w:sz="8" w:space="0" w:color="auto"/>
            </w:tcBorders>
            <w:shd w:val="clear" w:color="auto" w:fill="auto"/>
            <w:noWrap/>
            <w:vAlign w:val="center"/>
            <w:hideMark/>
          </w:tcPr>
          <w:p w14:paraId="338711A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para el Desarrollo de la Cultura Maya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5FBC206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5C6026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3F663E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w:t>
            </w:r>
          </w:p>
        </w:tc>
        <w:tc>
          <w:tcPr>
            <w:tcW w:w="6560" w:type="dxa"/>
            <w:tcBorders>
              <w:top w:val="nil"/>
              <w:left w:val="nil"/>
              <w:bottom w:val="single" w:sz="8" w:space="0" w:color="auto"/>
              <w:right w:val="single" w:sz="8" w:space="0" w:color="auto"/>
            </w:tcBorders>
            <w:shd w:val="clear" w:color="auto" w:fill="auto"/>
            <w:noWrap/>
            <w:vAlign w:val="center"/>
            <w:hideMark/>
          </w:tcPr>
          <w:p w14:paraId="5E62CD9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Comisión Ejecutiva Estatal de Atención a Victimas</w:t>
            </w:r>
          </w:p>
        </w:tc>
        <w:tc>
          <w:tcPr>
            <w:tcW w:w="1749" w:type="dxa"/>
            <w:tcBorders>
              <w:top w:val="nil"/>
              <w:left w:val="nil"/>
              <w:bottom w:val="single" w:sz="8" w:space="0" w:color="auto"/>
              <w:right w:val="nil"/>
            </w:tcBorders>
            <w:shd w:val="clear" w:color="auto" w:fill="FFFFFF" w:themeFill="background1"/>
            <w:vAlign w:val="center"/>
            <w:hideMark/>
          </w:tcPr>
          <w:p w14:paraId="0F75D05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4F5ECF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856113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w:t>
            </w:r>
          </w:p>
        </w:tc>
        <w:tc>
          <w:tcPr>
            <w:tcW w:w="6560" w:type="dxa"/>
            <w:tcBorders>
              <w:top w:val="nil"/>
              <w:left w:val="nil"/>
              <w:bottom w:val="single" w:sz="8" w:space="0" w:color="auto"/>
              <w:right w:val="single" w:sz="8" w:space="0" w:color="auto"/>
            </w:tcBorders>
            <w:shd w:val="clear" w:color="auto" w:fill="auto"/>
            <w:noWrap/>
            <w:vAlign w:val="center"/>
            <w:hideMark/>
          </w:tcPr>
          <w:p w14:paraId="68E02E5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para el Desarrollo y Certificación de la Infraestructura Física Educativa y Eléctrica de Yucatán</w:t>
            </w:r>
          </w:p>
        </w:tc>
        <w:tc>
          <w:tcPr>
            <w:tcW w:w="1749" w:type="dxa"/>
            <w:tcBorders>
              <w:top w:val="nil"/>
              <w:left w:val="nil"/>
              <w:bottom w:val="single" w:sz="8" w:space="0" w:color="auto"/>
              <w:right w:val="nil"/>
            </w:tcBorders>
            <w:shd w:val="clear" w:color="auto" w:fill="FFFFFF" w:themeFill="background1"/>
            <w:vAlign w:val="center"/>
            <w:hideMark/>
          </w:tcPr>
          <w:p w14:paraId="7B5FCAD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600,000 </w:t>
            </w:r>
          </w:p>
        </w:tc>
      </w:tr>
      <w:tr w:rsidR="009654FE" w:rsidRPr="000842AA" w14:paraId="0CE5A2A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9902BE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w:t>
            </w:r>
          </w:p>
        </w:tc>
        <w:tc>
          <w:tcPr>
            <w:tcW w:w="6560" w:type="dxa"/>
            <w:tcBorders>
              <w:top w:val="nil"/>
              <w:left w:val="nil"/>
              <w:bottom w:val="single" w:sz="8" w:space="0" w:color="auto"/>
              <w:right w:val="single" w:sz="8" w:space="0" w:color="auto"/>
            </w:tcBorders>
            <w:shd w:val="clear" w:color="auto" w:fill="auto"/>
            <w:noWrap/>
            <w:vAlign w:val="center"/>
            <w:hideMark/>
          </w:tcPr>
          <w:p w14:paraId="7AF0050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Infraestructura Carretera de Yucatán</w:t>
            </w:r>
          </w:p>
        </w:tc>
        <w:tc>
          <w:tcPr>
            <w:tcW w:w="1749" w:type="dxa"/>
            <w:tcBorders>
              <w:top w:val="nil"/>
              <w:left w:val="nil"/>
              <w:bottom w:val="single" w:sz="8" w:space="0" w:color="auto"/>
              <w:right w:val="nil"/>
            </w:tcBorders>
            <w:shd w:val="clear" w:color="auto" w:fill="FFFFFF" w:themeFill="background1"/>
            <w:vAlign w:val="center"/>
            <w:hideMark/>
          </w:tcPr>
          <w:p w14:paraId="64FE5A9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16,057,667 </w:t>
            </w:r>
          </w:p>
        </w:tc>
      </w:tr>
      <w:tr w:rsidR="009654FE" w:rsidRPr="000842AA" w14:paraId="322CC45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09EA88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7.3.5</w:t>
            </w:r>
          </w:p>
        </w:tc>
        <w:tc>
          <w:tcPr>
            <w:tcW w:w="6560" w:type="dxa"/>
            <w:tcBorders>
              <w:top w:val="nil"/>
              <w:left w:val="nil"/>
              <w:bottom w:val="single" w:sz="8" w:space="0" w:color="auto"/>
              <w:right w:val="single" w:sz="8" w:space="0" w:color="auto"/>
            </w:tcBorders>
            <w:shd w:val="clear" w:color="auto" w:fill="auto"/>
            <w:noWrap/>
            <w:vAlign w:val="center"/>
            <w:hideMark/>
          </w:tcPr>
          <w:p w14:paraId="41B5240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Junta de Agua Potable y Alcantarillado de Yucatán</w:t>
            </w:r>
          </w:p>
        </w:tc>
        <w:tc>
          <w:tcPr>
            <w:tcW w:w="1749" w:type="dxa"/>
            <w:tcBorders>
              <w:top w:val="nil"/>
              <w:left w:val="nil"/>
              <w:bottom w:val="single" w:sz="8" w:space="0" w:color="auto"/>
              <w:right w:val="nil"/>
            </w:tcBorders>
            <w:shd w:val="clear" w:color="auto" w:fill="FFFFFF" w:themeFill="background1"/>
            <w:vAlign w:val="center"/>
            <w:hideMark/>
          </w:tcPr>
          <w:p w14:paraId="5D34159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594,638,847 </w:t>
            </w:r>
          </w:p>
        </w:tc>
      </w:tr>
      <w:tr w:rsidR="009654FE" w:rsidRPr="000842AA" w14:paraId="0BFA78A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74A42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7.3.6</w:t>
            </w:r>
          </w:p>
        </w:tc>
        <w:tc>
          <w:tcPr>
            <w:tcW w:w="6560" w:type="dxa"/>
            <w:tcBorders>
              <w:top w:val="nil"/>
              <w:left w:val="nil"/>
              <w:bottom w:val="single" w:sz="8" w:space="0" w:color="auto"/>
              <w:right w:val="single" w:sz="8" w:space="0" w:color="auto"/>
            </w:tcBorders>
            <w:shd w:val="clear" w:color="auto" w:fill="auto"/>
            <w:noWrap/>
            <w:vAlign w:val="center"/>
            <w:hideMark/>
          </w:tcPr>
          <w:p w14:paraId="67C9691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para la Construcción y Conservación de Obra Pública en Yucatán</w:t>
            </w:r>
          </w:p>
        </w:tc>
        <w:tc>
          <w:tcPr>
            <w:tcW w:w="1749" w:type="dxa"/>
            <w:tcBorders>
              <w:top w:val="nil"/>
              <w:left w:val="nil"/>
              <w:bottom w:val="single" w:sz="8" w:space="0" w:color="auto"/>
              <w:right w:val="nil"/>
            </w:tcBorders>
            <w:shd w:val="clear" w:color="auto" w:fill="FFFFFF" w:themeFill="background1"/>
            <w:vAlign w:val="center"/>
            <w:hideMark/>
          </w:tcPr>
          <w:p w14:paraId="34D289B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180,000 </w:t>
            </w:r>
          </w:p>
        </w:tc>
      </w:tr>
      <w:tr w:rsidR="009654FE" w:rsidRPr="000842AA" w14:paraId="0BF0FA0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2F2FDC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7.3.7</w:t>
            </w:r>
          </w:p>
        </w:tc>
        <w:tc>
          <w:tcPr>
            <w:tcW w:w="6560" w:type="dxa"/>
            <w:tcBorders>
              <w:top w:val="nil"/>
              <w:left w:val="nil"/>
              <w:bottom w:val="single" w:sz="8" w:space="0" w:color="auto"/>
              <w:right w:val="single" w:sz="8" w:space="0" w:color="auto"/>
            </w:tcBorders>
            <w:shd w:val="clear" w:color="auto" w:fill="auto"/>
            <w:noWrap/>
            <w:vAlign w:val="center"/>
            <w:hideMark/>
          </w:tcPr>
          <w:p w14:paraId="5EFE78B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Vivienda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636A9C0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362,782,430 </w:t>
            </w:r>
          </w:p>
        </w:tc>
      </w:tr>
      <w:tr w:rsidR="009654FE" w:rsidRPr="000842AA" w14:paraId="26CCBE0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6B3F86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7.3.8</w:t>
            </w:r>
          </w:p>
        </w:tc>
        <w:tc>
          <w:tcPr>
            <w:tcW w:w="6560" w:type="dxa"/>
            <w:tcBorders>
              <w:top w:val="nil"/>
              <w:left w:val="nil"/>
              <w:bottom w:val="single" w:sz="8" w:space="0" w:color="auto"/>
              <w:right w:val="single" w:sz="8" w:space="0" w:color="auto"/>
            </w:tcBorders>
            <w:shd w:val="clear" w:color="auto" w:fill="auto"/>
            <w:noWrap/>
            <w:vAlign w:val="center"/>
            <w:hideMark/>
          </w:tcPr>
          <w:p w14:paraId="314DE49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del Deporte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1447EFF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10,664,938 </w:t>
            </w:r>
          </w:p>
        </w:tc>
      </w:tr>
      <w:tr w:rsidR="009654FE" w:rsidRPr="000842AA" w14:paraId="4BC8F67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7A2E55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7.3.9</w:t>
            </w:r>
          </w:p>
        </w:tc>
        <w:tc>
          <w:tcPr>
            <w:tcW w:w="6560" w:type="dxa"/>
            <w:tcBorders>
              <w:top w:val="nil"/>
              <w:left w:val="nil"/>
              <w:bottom w:val="single" w:sz="8" w:space="0" w:color="auto"/>
              <w:right w:val="single" w:sz="8" w:space="0" w:color="auto"/>
            </w:tcBorders>
            <w:shd w:val="clear" w:color="auto" w:fill="auto"/>
            <w:noWrap/>
            <w:vAlign w:val="center"/>
            <w:hideMark/>
          </w:tcPr>
          <w:p w14:paraId="5F45096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Colegio de Bachilleres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76879E1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39,285,500 </w:t>
            </w:r>
          </w:p>
        </w:tc>
      </w:tr>
      <w:tr w:rsidR="009654FE" w:rsidRPr="000842AA" w14:paraId="6B1CB0D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7A3A42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7.3.10</w:t>
            </w:r>
          </w:p>
        </w:tc>
        <w:tc>
          <w:tcPr>
            <w:tcW w:w="6560" w:type="dxa"/>
            <w:tcBorders>
              <w:top w:val="nil"/>
              <w:left w:val="nil"/>
              <w:bottom w:val="single" w:sz="8" w:space="0" w:color="auto"/>
              <w:right w:val="single" w:sz="8" w:space="0" w:color="auto"/>
            </w:tcBorders>
            <w:shd w:val="clear" w:color="auto" w:fill="auto"/>
            <w:noWrap/>
            <w:vAlign w:val="center"/>
            <w:hideMark/>
          </w:tcPr>
          <w:p w14:paraId="5BDDF24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Colegio de Estudios Científicos y Tecnológicos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6CA4033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2,759,645 </w:t>
            </w:r>
          </w:p>
        </w:tc>
      </w:tr>
      <w:tr w:rsidR="009654FE" w:rsidRPr="000842AA" w14:paraId="3D5FB1A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6B83FB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7.3.11</w:t>
            </w:r>
          </w:p>
        </w:tc>
        <w:tc>
          <w:tcPr>
            <w:tcW w:w="6560" w:type="dxa"/>
            <w:tcBorders>
              <w:top w:val="nil"/>
              <w:left w:val="nil"/>
              <w:bottom w:val="single" w:sz="8" w:space="0" w:color="auto"/>
              <w:right w:val="single" w:sz="8" w:space="0" w:color="auto"/>
            </w:tcBorders>
            <w:shd w:val="clear" w:color="auto" w:fill="auto"/>
            <w:noWrap/>
            <w:vAlign w:val="center"/>
            <w:hideMark/>
          </w:tcPr>
          <w:p w14:paraId="2571C1E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Colegio de Educación Profesional Técnica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1827792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14,500,000 </w:t>
            </w:r>
          </w:p>
        </w:tc>
      </w:tr>
      <w:tr w:rsidR="009654FE" w:rsidRPr="000842AA" w14:paraId="7614EBE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B2EF70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7.3.12</w:t>
            </w:r>
          </w:p>
        </w:tc>
        <w:tc>
          <w:tcPr>
            <w:tcW w:w="6560" w:type="dxa"/>
            <w:tcBorders>
              <w:top w:val="nil"/>
              <w:left w:val="nil"/>
              <w:bottom w:val="single" w:sz="8" w:space="0" w:color="auto"/>
              <w:right w:val="single" w:sz="8" w:space="0" w:color="auto"/>
            </w:tcBorders>
            <w:shd w:val="clear" w:color="auto" w:fill="auto"/>
            <w:noWrap/>
            <w:vAlign w:val="center"/>
            <w:hideMark/>
          </w:tcPr>
          <w:p w14:paraId="73C7E3E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Educación para Adultos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567F8B6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724767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BA9E65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7.3.13</w:t>
            </w:r>
          </w:p>
        </w:tc>
        <w:tc>
          <w:tcPr>
            <w:tcW w:w="6560" w:type="dxa"/>
            <w:tcBorders>
              <w:top w:val="nil"/>
              <w:left w:val="nil"/>
              <w:bottom w:val="single" w:sz="8" w:space="0" w:color="auto"/>
              <w:right w:val="single" w:sz="8" w:space="0" w:color="auto"/>
            </w:tcBorders>
            <w:shd w:val="clear" w:color="auto" w:fill="auto"/>
            <w:noWrap/>
            <w:vAlign w:val="center"/>
            <w:hideMark/>
          </w:tcPr>
          <w:p w14:paraId="5FF5614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Yucateco de Emprendedores</w:t>
            </w:r>
          </w:p>
        </w:tc>
        <w:tc>
          <w:tcPr>
            <w:tcW w:w="1749" w:type="dxa"/>
            <w:tcBorders>
              <w:top w:val="nil"/>
              <w:left w:val="nil"/>
              <w:bottom w:val="single" w:sz="8" w:space="0" w:color="auto"/>
              <w:right w:val="nil"/>
            </w:tcBorders>
            <w:shd w:val="clear" w:color="auto" w:fill="FFFFFF" w:themeFill="background1"/>
            <w:vAlign w:val="center"/>
            <w:hideMark/>
          </w:tcPr>
          <w:p w14:paraId="63A2C9C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8,519,451 </w:t>
            </w:r>
          </w:p>
        </w:tc>
      </w:tr>
      <w:tr w:rsidR="009654FE" w:rsidRPr="000842AA" w14:paraId="58E48B6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CE2A26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7.3.14</w:t>
            </w:r>
          </w:p>
        </w:tc>
        <w:tc>
          <w:tcPr>
            <w:tcW w:w="6560" w:type="dxa"/>
            <w:tcBorders>
              <w:top w:val="nil"/>
              <w:left w:val="nil"/>
              <w:bottom w:val="single" w:sz="8" w:space="0" w:color="auto"/>
              <w:right w:val="single" w:sz="8" w:space="0" w:color="auto"/>
            </w:tcBorders>
            <w:shd w:val="clear" w:color="auto" w:fill="auto"/>
            <w:noWrap/>
            <w:vAlign w:val="center"/>
            <w:hideMark/>
          </w:tcPr>
          <w:p w14:paraId="2D7C3E9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Promotor de Ferias de Yucatán</w:t>
            </w:r>
          </w:p>
        </w:tc>
        <w:tc>
          <w:tcPr>
            <w:tcW w:w="1749" w:type="dxa"/>
            <w:tcBorders>
              <w:top w:val="nil"/>
              <w:left w:val="nil"/>
              <w:bottom w:val="single" w:sz="8" w:space="0" w:color="auto"/>
              <w:right w:val="nil"/>
            </w:tcBorders>
            <w:shd w:val="clear" w:color="auto" w:fill="FFFFFF" w:themeFill="background1"/>
            <w:vAlign w:val="center"/>
            <w:hideMark/>
          </w:tcPr>
          <w:p w14:paraId="1279775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89,323,857 </w:t>
            </w:r>
          </w:p>
        </w:tc>
      </w:tr>
      <w:tr w:rsidR="009654FE" w:rsidRPr="000842AA" w14:paraId="5798424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2C4510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7.3.15</w:t>
            </w:r>
          </w:p>
        </w:tc>
        <w:tc>
          <w:tcPr>
            <w:tcW w:w="6560" w:type="dxa"/>
            <w:tcBorders>
              <w:top w:val="nil"/>
              <w:left w:val="nil"/>
              <w:bottom w:val="single" w:sz="8" w:space="0" w:color="auto"/>
              <w:right w:val="single" w:sz="8" w:space="0" w:color="auto"/>
            </w:tcBorders>
            <w:shd w:val="clear" w:color="auto" w:fill="auto"/>
            <w:noWrap/>
            <w:vAlign w:val="center"/>
            <w:hideMark/>
          </w:tcPr>
          <w:p w14:paraId="50660B6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Patronato de las Unidades de Servicios Culturales y Turísticos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75D06AA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82,011,417 </w:t>
            </w:r>
          </w:p>
        </w:tc>
      </w:tr>
      <w:tr w:rsidR="009654FE" w:rsidRPr="000842AA" w14:paraId="15C1987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733DE9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7.3.16</w:t>
            </w:r>
          </w:p>
        </w:tc>
        <w:tc>
          <w:tcPr>
            <w:tcW w:w="6560" w:type="dxa"/>
            <w:tcBorders>
              <w:top w:val="nil"/>
              <w:left w:val="nil"/>
              <w:bottom w:val="single" w:sz="8" w:space="0" w:color="auto"/>
              <w:right w:val="single" w:sz="8" w:space="0" w:color="auto"/>
            </w:tcBorders>
            <w:shd w:val="clear" w:color="auto" w:fill="auto"/>
            <w:noWrap/>
            <w:vAlign w:val="center"/>
            <w:hideMark/>
          </w:tcPr>
          <w:p w14:paraId="6BEEE1D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para el Desarrollo del Turismo de Reuniones en Yucatán</w:t>
            </w:r>
          </w:p>
        </w:tc>
        <w:tc>
          <w:tcPr>
            <w:tcW w:w="1749" w:type="dxa"/>
            <w:tcBorders>
              <w:top w:val="nil"/>
              <w:left w:val="nil"/>
              <w:bottom w:val="single" w:sz="8" w:space="0" w:color="auto"/>
              <w:right w:val="nil"/>
            </w:tcBorders>
            <w:shd w:val="clear" w:color="auto" w:fill="FFFFFF" w:themeFill="background1"/>
            <w:vAlign w:val="center"/>
            <w:hideMark/>
          </w:tcPr>
          <w:p w14:paraId="465A6AD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36,278,724 </w:t>
            </w:r>
          </w:p>
        </w:tc>
      </w:tr>
      <w:tr w:rsidR="009654FE" w:rsidRPr="000842AA" w14:paraId="7AD6EF6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F01F4D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7.3.17</w:t>
            </w:r>
          </w:p>
        </w:tc>
        <w:tc>
          <w:tcPr>
            <w:tcW w:w="6560" w:type="dxa"/>
            <w:tcBorders>
              <w:top w:val="nil"/>
              <w:left w:val="nil"/>
              <w:bottom w:val="single" w:sz="8" w:space="0" w:color="auto"/>
              <w:right w:val="single" w:sz="8" w:space="0" w:color="auto"/>
            </w:tcBorders>
            <w:shd w:val="clear" w:color="auto" w:fill="auto"/>
            <w:noWrap/>
            <w:vAlign w:val="center"/>
            <w:hideMark/>
          </w:tcPr>
          <w:p w14:paraId="491A315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Movilidad y Desarrollo Urbano Territorial</w:t>
            </w:r>
          </w:p>
        </w:tc>
        <w:tc>
          <w:tcPr>
            <w:tcW w:w="1749" w:type="dxa"/>
            <w:tcBorders>
              <w:top w:val="nil"/>
              <w:left w:val="nil"/>
              <w:bottom w:val="single" w:sz="8" w:space="0" w:color="auto"/>
              <w:right w:val="nil"/>
            </w:tcBorders>
            <w:shd w:val="clear" w:color="auto" w:fill="FFFFFF" w:themeFill="background1"/>
            <w:vAlign w:val="center"/>
            <w:hideMark/>
          </w:tcPr>
          <w:p w14:paraId="0CE2FB7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111AF4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2AB526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7.3.18</w:t>
            </w:r>
          </w:p>
        </w:tc>
        <w:tc>
          <w:tcPr>
            <w:tcW w:w="6560" w:type="dxa"/>
            <w:tcBorders>
              <w:top w:val="nil"/>
              <w:left w:val="nil"/>
              <w:bottom w:val="single" w:sz="8" w:space="0" w:color="auto"/>
              <w:right w:val="single" w:sz="8" w:space="0" w:color="auto"/>
            </w:tcBorders>
            <w:shd w:val="clear" w:color="auto" w:fill="auto"/>
            <w:noWrap/>
            <w:vAlign w:val="center"/>
            <w:hideMark/>
          </w:tcPr>
          <w:p w14:paraId="2186244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Sistema para el Desarrollo Integral de la Familia en Yucatán</w:t>
            </w:r>
          </w:p>
        </w:tc>
        <w:tc>
          <w:tcPr>
            <w:tcW w:w="1749" w:type="dxa"/>
            <w:tcBorders>
              <w:top w:val="nil"/>
              <w:left w:val="nil"/>
              <w:bottom w:val="single" w:sz="8" w:space="0" w:color="auto"/>
              <w:right w:val="nil"/>
            </w:tcBorders>
            <w:shd w:val="clear" w:color="auto" w:fill="FFFFFF" w:themeFill="background1"/>
            <w:vAlign w:val="center"/>
            <w:hideMark/>
          </w:tcPr>
          <w:p w14:paraId="322B45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10,771,027 </w:t>
            </w:r>
          </w:p>
        </w:tc>
      </w:tr>
      <w:tr w:rsidR="009654FE" w:rsidRPr="000842AA" w14:paraId="2620BC8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E7DCE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7.3.19</w:t>
            </w:r>
          </w:p>
        </w:tc>
        <w:tc>
          <w:tcPr>
            <w:tcW w:w="6560" w:type="dxa"/>
            <w:tcBorders>
              <w:top w:val="nil"/>
              <w:left w:val="nil"/>
              <w:bottom w:val="single" w:sz="8" w:space="0" w:color="auto"/>
              <w:right w:val="single" w:sz="8" w:space="0" w:color="auto"/>
            </w:tcBorders>
            <w:shd w:val="clear" w:color="auto" w:fill="auto"/>
            <w:noWrap/>
            <w:vAlign w:val="center"/>
            <w:hideMark/>
          </w:tcPr>
          <w:p w14:paraId="1B723A3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Junta de Asistencia Privada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082FA02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996C94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0ED939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7.3.20</w:t>
            </w:r>
          </w:p>
        </w:tc>
        <w:tc>
          <w:tcPr>
            <w:tcW w:w="6560" w:type="dxa"/>
            <w:tcBorders>
              <w:top w:val="nil"/>
              <w:left w:val="nil"/>
              <w:bottom w:val="single" w:sz="8" w:space="0" w:color="auto"/>
              <w:right w:val="single" w:sz="8" w:space="0" w:color="auto"/>
            </w:tcBorders>
            <w:shd w:val="clear" w:color="auto" w:fill="auto"/>
            <w:noWrap/>
            <w:vAlign w:val="center"/>
            <w:hideMark/>
          </w:tcPr>
          <w:p w14:paraId="4544983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Servicios de Salud de Yucatán</w:t>
            </w:r>
          </w:p>
        </w:tc>
        <w:tc>
          <w:tcPr>
            <w:tcW w:w="1749" w:type="dxa"/>
            <w:tcBorders>
              <w:top w:val="nil"/>
              <w:left w:val="nil"/>
              <w:bottom w:val="single" w:sz="8" w:space="0" w:color="auto"/>
              <w:right w:val="nil"/>
            </w:tcBorders>
            <w:shd w:val="clear" w:color="auto" w:fill="FFFFFF" w:themeFill="background1"/>
            <w:vAlign w:val="center"/>
            <w:hideMark/>
          </w:tcPr>
          <w:p w14:paraId="7390804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17,136,000 </w:t>
            </w:r>
          </w:p>
        </w:tc>
      </w:tr>
      <w:tr w:rsidR="009654FE" w:rsidRPr="000842AA" w14:paraId="650F7B1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8B4E2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7.3.21</w:t>
            </w:r>
          </w:p>
        </w:tc>
        <w:tc>
          <w:tcPr>
            <w:tcW w:w="6560" w:type="dxa"/>
            <w:tcBorders>
              <w:top w:val="nil"/>
              <w:left w:val="nil"/>
              <w:bottom w:val="single" w:sz="8" w:space="0" w:color="auto"/>
              <w:right w:val="single" w:sz="8" w:space="0" w:color="auto"/>
            </w:tcBorders>
            <w:shd w:val="clear" w:color="auto" w:fill="auto"/>
            <w:noWrap/>
            <w:vAlign w:val="center"/>
            <w:hideMark/>
          </w:tcPr>
          <w:p w14:paraId="4E526DC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Administración del Patrimonio de la Beneficencia Pública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4B49B0C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836,768 </w:t>
            </w:r>
          </w:p>
        </w:tc>
      </w:tr>
      <w:tr w:rsidR="009654FE" w:rsidRPr="000842AA" w14:paraId="441172B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DF1EF0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7.3.22</w:t>
            </w:r>
          </w:p>
        </w:tc>
        <w:tc>
          <w:tcPr>
            <w:tcW w:w="6560" w:type="dxa"/>
            <w:tcBorders>
              <w:top w:val="nil"/>
              <w:left w:val="nil"/>
              <w:bottom w:val="single" w:sz="8" w:space="0" w:color="auto"/>
              <w:right w:val="single" w:sz="8" w:space="0" w:color="auto"/>
            </w:tcBorders>
            <w:shd w:val="clear" w:color="auto" w:fill="auto"/>
            <w:noWrap/>
            <w:vAlign w:val="center"/>
            <w:hideMark/>
          </w:tcPr>
          <w:p w14:paraId="656CD3C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Hospital de la Amistad</w:t>
            </w:r>
          </w:p>
        </w:tc>
        <w:tc>
          <w:tcPr>
            <w:tcW w:w="1749" w:type="dxa"/>
            <w:tcBorders>
              <w:top w:val="nil"/>
              <w:left w:val="nil"/>
              <w:bottom w:val="single" w:sz="8" w:space="0" w:color="auto"/>
              <w:right w:val="nil"/>
            </w:tcBorders>
            <w:shd w:val="clear" w:color="auto" w:fill="FFFFFF" w:themeFill="background1"/>
            <w:vAlign w:val="center"/>
            <w:hideMark/>
          </w:tcPr>
          <w:p w14:paraId="1B05AED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150,000 </w:t>
            </w:r>
          </w:p>
        </w:tc>
      </w:tr>
      <w:tr w:rsidR="009654FE" w:rsidRPr="000842AA" w14:paraId="1662C8F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C6B36B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7.3.23</w:t>
            </w:r>
          </w:p>
        </w:tc>
        <w:tc>
          <w:tcPr>
            <w:tcW w:w="6560" w:type="dxa"/>
            <w:tcBorders>
              <w:top w:val="nil"/>
              <w:left w:val="nil"/>
              <w:bottom w:val="single" w:sz="8" w:space="0" w:color="auto"/>
              <w:right w:val="single" w:sz="8" w:space="0" w:color="auto"/>
            </w:tcBorders>
            <w:shd w:val="clear" w:color="auto" w:fill="auto"/>
            <w:noWrap/>
            <w:vAlign w:val="center"/>
            <w:hideMark/>
          </w:tcPr>
          <w:p w14:paraId="681FE37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Hospital Comunitario de Ticul Yucatán</w:t>
            </w:r>
          </w:p>
        </w:tc>
        <w:tc>
          <w:tcPr>
            <w:tcW w:w="1749" w:type="dxa"/>
            <w:tcBorders>
              <w:top w:val="nil"/>
              <w:left w:val="nil"/>
              <w:bottom w:val="single" w:sz="8" w:space="0" w:color="auto"/>
              <w:right w:val="nil"/>
            </w:tcBorders>
            <w:shd w:val="clear" w:color="auto" w:fill="FFFFFF" w:themeFill="background1"/>
            <w:vAlign w:val="center"/>
            <w:hideMark/>
          </w:tcPr>
          <w:p w14:paraId="2A65971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400,332 </w:t>
            </w:r>
          </w:p>
        </w:tc>
      </w:tr>
      <w:tr w:rsidR="009654FE" w:rsidRPr="000842AA" w14:paraId="79F3C22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6C4839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7.3.24</w:t>
            </w:r>
          </w:p>
        </w:tc>
        <w:tc>
          <w:tcPr>
            <w:tcW w:w="6560" w:type="dxa"/>
            <w:tcBorders>
              <w:top w:val="nil"/>
              <w:left w:val="nil"/>
              <w:bottom w:val="single" w:sz="8" w:space="0" w:color="auto"/>
              <w:right w:val="single" w:sz="8" w:space="0" w:color="auto"/>
            </w:tcBorders>
            <w:shd w:val="clear" w:color="auto" w:fill="auto"/>
            <w:noWrap/>
            <w:vAlign w:val="center"/>
            <w:hideMark/>
          </w:tcPr>
          <w:p w14:paraId="1BFA471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Hospital Comunitario de Peto Yucatán</w:t>
            </w:r>
          </w:p>
        </w:tc>
        <w:tc>
          <w:tcPr>
            <w:tcW w:w="1749" w:type="dxa"/>
            <w:tcBorders>
              <w:top w:val="nil"/>
              <w:left w:val="nil"/>
              <w:bottom w:val="single" w:sz="8" w:space="0" w:color="auto"/>
              <w:right w:val="nil"/>
            </w:tcBorders>
            <w:shd w:val="clear" w:color="auto" w:fill="FFFFFF" w:themeFill="background1"/>
            <w:vAlign w:val="center"/>
            <w:hideMark/>
          </w:tcPr>
          <w:p w14:paraId="6B85755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D8EAAA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76D39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7.3.25</w:t>
            </w:r>
          </w:p>
        </w:tc>
        <w:tc>
          <w:tcPr>
            <w:tcW w:w="6560" w:type="dxa"/>
            <w:tcBorders>
              <w:top w:val="nil"/>
              <w:left w:val="nil"/>
              <w:bottom w:val="single" w:sz="8" w:space="0" w:color="auto"/>
              <w:right w:val="single" w:sz="8" w:space="0" w:color="auto"/>
            </w:tcBorders>
            <w:shd w:val="clear" w:color="auto" w:fill="auto"/>
            <w:noWrap/>
            <w:vAlign w:val="center"/>
            <w:hideMark/>
          </w:tcPr>
          <w:p w14:paraId="5441C96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Centro Estatal de Trasplantes de Yucatán</w:t>
            </w:r>
          </w:p>
        </w:tc>
        <w:tc>
          <w:tcPr>
            <w:tcW w:w="1749" w:type="dxa"/>
            <w:tcBorders>
              <w:top w:val="nil"/>
              <w:left w:val="nil"/>
              <w:bottom w:val="single" w:sz="8" w:space="0" w:color="auto"/>
              <w:right w:val="nil"/>
            </w:tcBorders>
            <w:shd w:val="clear" w:color="auto" w:fill="FFFFFF" w:themeFill="background1"/>
            <w:vAlign w:val="center"/>
            <w:hideMark/>
          </w:tcPr>
          <w:p w14:paraId="7AD8E32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73CE94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5369D8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7.3.26</w:t>
            </w:r>
          </w:p>
        </w:tc>
        <w:tc>
          <w:tcPr>
            <w:tcW w:w="6560" w:type="dxa"/>
            <w:tcBorders>
              <w:top w:val="nil"/>
              <w:left w:val="nil"/>
              <w:bottom w:val="single" w:sz="8" w:space="0" w:color="auto"/>
              <w:right w:val="single" w:sz="8" w:space="0" w:color="auto"/>
            </w:tcBorders>
            <w:shd w:val="clear" w:color="auto" w:fill="auto"/>
            <w:noWrap/>
            <w:vAlign w:val="center"/>
            <w:hideMark/>
          </w:tcPr>
          <w:p w14:paraId="6B45B5B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Seguridad Jurídica Patrimonial de Yucatán</w:t>
            </w:r>
          </w:p>
        </w:tc>
        <w:tc>
          <w:tcPr>
            <w:tcW w:w="1749" w:type="dxa"/>
            <w:tcBorders>
              <w:top w:val="nil"/>
              <w:left w:val="nil"/>
              <w:bottom w:val="single" w:sz="8" w:space="0" w:color="auto"/>
              <w:right w:val="nil"/>
            </w:tcBorders>
            <w:shd w:val="clear" w:color="auto" w:fill="FFFFFF" w:themeFill="background1"/>
            <w:vAlign w:val="center"/>
            <w:hideMark/>
          </w:tcPr>
          <w:p w14:paraId="6C59AC8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4FE8CD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CEE73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7.3.27</w:t>
            </w:r>
          </w:p>
        </w:tc>
        <w:tc>
          <w:tcPr>
            <w:tcW w:w="6560" w:type="dxa"/>
            <w:tcBorders>
              <w:top w:val="nil"/>
              <w:left w:val="nil"/>
              <w:bottom w:val="single" w:sz="8" w:space="0" w:color="auto"/>
              <w:right w:val="single" w:sz="8" w:space="0" w:color="auto"/>
            </w:tcBorders>
            <w:shd w:val="clear" w:color="auto" w:fill="auto"/>
            <w:noWrap/>
            <w:vAlign w:val="center"/>
            <w:hideMark/>
          </w:tcPr>
          <w:p w14:paraId="4A8A1F2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Garante de la Orquesta Sinfónica de Yucatán</w:t>
            </w:r>
          </w:p>
        </w:tc>
        <w:tc>
          <w:tcPr>
            <w:tcW w:w="1749" w:type="dxa"/>
            <w:tcBorders>
              <w:top w:val="nil"/>
              <w:left w:val="nil"/>
              <w:bottom w:val="single" w:sz="8" w:space="0" w:color="auto"/>
              <w:right w:val="nil"/>
            </w:tcBorders>
            <w:shd w:val="clear" w:color="auto" w:fill="FFFFFF" w:themeFill="background1"/>
            <w:vAlign w:val="center"/>
            <w:hideMark/>
          </w:tcPr>
          <w:p w14:paraId="2FDAB92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23,648,822 </w:t>
            </w:r>
          </w:p>
        </w:tc>
      </w:tr>
      <w:tr w:rsidR="009654FE" w:rsidRPr="000842AA" w14:paraId="177BE2D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46D4B3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7.3.28</w:t>
            </w:r>
          </w:p>
        </w:tc>
        <w:tc>
          <w:tcPr>
            <w:tcW w:w="6560" w:type="dxa"/>
            <w:tcBorders>
              <w:top w:val="nil"/>
              <w:left w:val="nil"/>
              <w:bottom w:val="single" w:sz="8" w:space="0" w:color="auto"/>
              <w:right w:val="single" w:sz="8" w:space="0" w:color="auto"/>
            </w:tcBorders>
            <w:shd w:val="clear" w:color="auto" w:fill="auto"/>
            <w:noWrap/>
            <w:vAlign w:val="center"/>
            <w:hideMark/>
          </w:tcPr>
          <w:p w14:paraId="4FEAC78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Secretaría Técnica de Planeación y Evaluación</w:t>
            </w:r>
          </w:p>
        </w:tc>
        <w:tc>
          <w:tcPr>
            <w:tcW w:w="1749" w:type="dxa"/>
            <w:tcBorders>
              <w:top w:val="nil"/>
              <w:left w:val="nil"/>
              <w:bottom w:val="single" w:sz="8" w:space="0" w:color="auto"/>
              <w:right w:val="nil"/>
            </w:tcBorders>
            <w:shd w:val="clear" w:color="auto" w:fill="FFFFFF" w:themeFill="background1"/>
            <w:vAlign w:val="center"/>
            <w:hideMark/>
          </w:tcPr>
          <w:p w14:paraId="7CF67F3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3C44BA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B8FA1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7.3.29</w:t>
            </w:r>
          </w:p>
        </w:tc>
        <w:tc>
          <w:tcPr>
            <w:tcW w:w="6560" w:type="dxa"/>
            <w:tcBorders>
              <w:top w:val="nil"/>
              <w:left w:val="nil"/>
              <w:bottom w:val="single" w:sz="8" w:space="0" w:color="auto"/>
              <w:right w:val="single" w:sz="8" w:space="0" w:color="auto"/>
            </w:tcBorders>
            <w:shd w:val="clear" w:color="auto" w:fill="auto"/>
            <w:noWrap/>
            <w:vAlign w:val="center"/>
            <w:hideMark/>
          </w:tcPr>
          <w:p w14:paraId="015F048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Público para la Administración de la Reserva Territorial de Ucú</w:t>
            </w:r>
          </w:p>
        </w:tc>
        <w:tc>
          <w:tcPr>
            <w:tcW w:w="1749" w:type="dxa"/>
            <w:tcBorders>
              <w:top w:val="nil"/>
              <w:left w:val="nil"/>
              <w:bottom w:val="single" w:sz="8" w:space="0" w:color="auto"/>
              <w:right w:val="nil"/>
            </w:tcBorders>
            <w:shd w:val="clear" w:color="auto" w:fill="FFFFFF" w:themeFill="background1"/>
            <w:vAlign w:val="center"/>
            <w:hideMark/>
          </w:tcPr>
          <w:p w14:paraId="353C423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25,000,000 </w:t>
            </w:r>
          </w:p>
        </w:tc>
      </w:tr>
      <w:tr w:rsidR="009654FE" w:rsidRPr="000842AA" w14:paraId="2737723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C9678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7.3.30</w:t>
            </w:r>
          </w:p>
        </w:tc>
        <w:tc>
          <w:tcPr>
            <w:tcW w:w="6560" w:type="dxa"/>
            <w:tcBorders>
              <w:top w:val="nil"/>
              <w:left w:val="nil"/>
              <w:bottom w:val="single" w:sz="8" w:space="0" w:color="auto"/>
              <w:right w:val="single" w:sz="8" w:space="0" w:color="auto"/>
            </w:tcBorders>
            <w:shd w:val="clear" w:color="auto" w:fill="auto"/>
            <w:noWrap/>
            <w:vAlign w:val="center"/>
            <w:hideMark/>
          </w:tcPr>
          <w:p w14:paraId="339AC02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de las Artes de Yucatán</w:t>
            </w:r>
          </w:p>
        </w:tc>
        <w:tc>
          <w:tcPr>
            <w:tcW w:w="1749" w:type="dxa"/>
            <w:tcBorders>
              <w:top w:val="nil"/>
              <w:left w:val="nil"/>
              <w:bottom w:val="single" w:sz="8" w:space="0" w:color="auto"/>
              <w:right w:val="nil"/>
            </w:tcBorders>
            <w:shd w:val="clear" w:color="auto" w:fill="FFFFFF" w:themeFill="background1"/>
            <w:vAlign w:val="center"/>
            <w:hideMark/>
          </w:tcPr>
          <w:p w14:paraId="52C9EA8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8,922,044 </w:t>
            </w:r>
          </w:p>
        </w:tc>
      </w:tr>
      <w:tr w:rsidR="009654FE" w:rsidRPr="000842AA" w14:paraId="5BA4720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525B02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7.3.31</w:t>
            </w:r>
          </w:p>
        </w:tc>
        <w:tc>
          <w:tcPr>
            <w:tcW w:w="6560" w:type="dxa"/>
            <w:tcBorders>
              <w:top w:val="nil"/>
              <w:left w:val="nil"/>
              <w:bottom w:val="single" w:sz="8" w:space="0" w:color="auto"/>
              <w:right w:val="single" w:sz="8" w:space="0" w:color="auto"/>
            </w:tcBorders>
            <w:shd w:val="clear" w:color="auto" w:fill="auto"/>
            <w:noWrap/>
            <w:vAlign w:val="center"/>
            <w:hideMark/>
          </w:tcPr>
          <w:p w14:paraId="61E2970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Tecnológica Metropolitana</w:t>
            </w:r>
          </w:p>
        </w:tc>
        <w:tc>
          <w:tcPr>
            <w:tcW w:w="1749" w:type="dxa"/>
            <w:tcBorders>
              <w:top w:val="nil"/>
              <w:left w:val="nil"/>
              <w:bottom w:val="single" w:sz="8" w:space="0" w:color="auto"/>
              <w:right w:val="nil"/>
            </w:tcBorders>
            <w:shd w:val="clear" w:color="auto" w:fill="FFFFFF" w:themeFill="background1"/>
            <w:vAlign w:val="center"/>
            <w:hideMark/>
          </w:tcPr>
          <w:p w14:paraId="4CC9253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18,532,194 </w:t>
            </w:r>
          </w:p>
        </w:tc>
      </w:tr>
      <w:tr w:rsidR="009654FE" w:rsidRPr="000842AA" w14:paraId="67EB141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EB6B32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7.3.32</w:t>
            </w:r>
          </w:p>
        </w:tc>
        <w:tc>
          <w:tcPr>
            <w:tcW w:w="6560" w:type="dxa"/>
            <w:tcBorders>
              <w:top w:val="nil"/>
              <w:left w:val="nil"/>
              <w:bottom w:val="single" w:sz="8" w:space="0" w:color="auto"/>
              <w:right w:val="single" w:sz="8" w:space="0" w:color="auto"/>
            </w:tcBorders>
            <w:shd w:val="clear" w:color="auto" w:fill="auto"/>
            <w:noWrap/>
            <w:vAlign w:val="center"/>
            <w:hideMark/>
          </w:tcPr>
          <w:p w14:paraId="5204E09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Tecnológico Superior de Valladolid</w:t>
            </w:r>
          </w:p>
        </w:tc>
        <w:tc>
          <w:tcPr>
            <w:tcW w:w="1749" w:type="dxa"/>
            <w:tcBorders>
              <w:top w:val="nil"/>
              <w:left w:val="nil"/>
              <w:bottom w:val="single" w:sz="8" w:space="0" w:color="auto"/>
              <w:right w:val="nil"/>
            </w:tcBorders>
            <w:shd w:val="clear" w:color="auto" w:fill="FFFFFF" w:themeFill="background1"/>
            <w:vAlign w:val="center"/>
            <w:hideMark/>
          </w:tcPr>
          <w:p w14:paraId="2029353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7,099,829 </w:t>
            </w:r>
          </w:p>
        </w:tc>
      </w:tr>
      <w:tr w:rsidR="009654FE" w:rsidRPr="000842AA" w14:paraId="1D50DAC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06F588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7.3.33</w:t>
            </w:r>
          </w:p>
        </w:tc>
        <w:tc>
          <w:tcPr>
            <w:tcW w:w="6560" w:type="dxa"/>
            <w:tcBorders>
              <w:top w:val="nil"/>
              <w:left w:val="nil"/>
              <w:bottom w:val="single" w:sz="8" w:space="0" w:color="auto"/>
              <w:right w:val="single" w:sz="8" w:space="0" w:color="auto"/>
            </w:tcBorders>
            <w:shd w:val="clear" w:color="auto" w:fill="auto"/>
            <w:noWrap/>
            <w:vAlign w:val="center"/>
            <w:hideMark/>
          </w:tcPr>
          <w:p w14:paraId="0AA5060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Tecnológica del Centro</w:t>
            </w:r>
          </w:p>
        </w:tc>
        <w:tc>
          <w:tcPr>
            <w:tcW w:w="1749" w:type="dxa"/>
            <w:tcBorders>
              <w:top w:val="nil"/>
              <w:left w:val="nil"/>
              <w:bottom w:val="single" w:sz="8" w:space="0" w:color="auto"/>
              <w:right w:val="nil"/>
            </w:tcBorders>
            <w:shd w:val="clear" w:color="auto" w:fill="FFFFFF" w:themeFill="background1"/>
            <w:vAlign w:val="center"/>
            <w:hideMark/>
          </w:tcPr>
          <w:p w14:paraId="77E4BDC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2,960,000 </w:t>
            </w:r>
          </w:p>
        </w:tc>
      </w:tr>
      <w:tr w:rsidR="009654FE" w:rsidRPr="000842AA" w14:paraId="6CD64C4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1E5BE5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7.3.34</w:t>
            </w:r>
          </w:p>
        </w:tc>
        <w:tc>
          <w:tcPr>
            <w:tcW w:w="6560" w:type="dxa"/>
            <w:tcBorders>
              <w:top w:val="nil"/>
              <w:left w:val="nil"/>
              <w:bottom w:val="single" w:sz="8" w:space="0" w:color="auto"/>
              <w:right w:val="single" w:sz="8" w:space="0" w:color="auto"/>
            </w:tcBorders>
            <w:shd w:val="clear" w:color="auto" w:fill="auto"/>
            <w:noWrap/>
            <w:vAlign w:val="center"/>
            <w:hideMark/>
          </w:tcPr>
          <w:p w14:paraId="25C4C6D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Tecnológica del Mayab</w:t>
            </w:r>
          </w:p>
        </w:tc>
        <w:tc>
          <w:tcPr>
            <w:tcW w:w="1749" w:type="dxa"/>
            <w:tcBorders>
              <w:top w:val="nil"/>
              <w:left w:val="nil"/>
              <w:bottom w:val="single" w:sz="8" w:space="0" w:color="auto"/>
              <w:right w:val="nil"/>
            </w:tcBorders>
            <w:shd w:val="clear" w:color="auto" w:fill="FFFFFF" w:themeFill="background1"/>
            <w:vAlign w:val="center"/>
            <w:hideMark/>
          </w:tcPr>
          <w:p w14:paraId="090DADE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900,000 </w:t>
            </w:r>
          </w:p>
        </w:tc>
      </w:tr>
      <w:tr w:rsidR="009654FE" w:rsidRPr="000842AA" w14:paraId="50AAC68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439A20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7.3.35</w:t>
            </w:r>
          </w:p>
        </w:tc>
        <w:tc>
          <w:tcPr>
            <w:tcW w:w="6560" w:type="dxa"/>
            <w:tcBorders>
              <w:top w:val="nil"/>
              <w:left w:val="nil"/>
              <w:bottom w:val="single" w:sz="8" w:space="0" w:color="auto"/>
              <w:right w:val="single" w:sz="8" w:space="0" w:color="auto"/>
            </w:tcBorders>
            <w:shd w:val="clear" w:color="auto" w:fill="auto"/>
            <w:noWrap/>
            <w:vAlign w:val="center"/>
            <w:hideMark/>
          </w:tcPr>
          <w:p w14:paraId="6208C23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Tecnológica del Poniente</w:t>
            </w:r>
          </w:p>
        </w:tc>
        <w:tc>
          <w:tcPr>
            <w:tcW w:w="1749" w:type="dxa"/>
            <w:tcBorders>
              <w:top w:val="nil"/>
              <w:left w:val="nil"/>
              <w:bottom w:val="single" w:sz="8" w:space="0" w:color="auto"/>
              <w:right w:val="nil"/>
            </w:tcBorders>
            <w:shd w:val="clear" w:color="auto" w:fill="FFFFFF" w:themeFill="background1"/>
            <w:vAlign w:val="center"/>
            <w:hideMark/>
          </w:tcPr>
          <w:p w14:paraId="050FF8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1,919,071 </w:t>
            </w:r>
          </w:p>
        </w:tc>
      </w:tr>
      <w:tr w:rsidR="009654FE" w:rsidRPr="000842AA" w14:paraId="2B74A8C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290479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7.3.36</w:t>
            </w:r>
          </w:p>
        </w:tc>
        <w:tc>
          <w:tcPr>
            <w:tcW w:w="6560" w:type="dxa"/>
            <w:tcBorders>
              <w:top w:val="nil"/>
              <w:left w:val="nil"/>
              <w:bottom w:val="single" w:sz="8" w:space="0" w:color="auto"/>
              <w:right w:val="single" w:sz="8" w:space="0" w:color="auto"/>
            </w:tcBorders>
            <w:shd w:val="clear" w:color="auto" w:fill="auto"/>
            <w:noWrap/>
            <w:vAlign w:val="center"/>
            <w:hideMark/>
          </w:tcPr>
          <w:p w14:paraId="3418794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Tecnológico Superior del Sur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9F15C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4,161,600 </w:t>
            </w:r>
          </w:p>
        </w:tc>
      </w:tr>
      <w:tr w:rsidR="009654FE" w:rsidRPr="000842AA" w14:paraId="57F0B0A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57CB86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7.3.37</w:t>
            </w:r>
          </w:p>
        </w:tc>
        <w:tc>
          <w:tcPr>
            <w:tcW w:w="6560" w:type="dxa"/>
            <w:tcBorders>
              <w:top w:val="nil"/>
              <w:left w:val="nil"/>
              <w:bottom w:val="single" w:sz="8" w:space="0" w:color="auto"/>
              <w:right w:val="single" w:sz="8" w:space="0" w:color="auto"/>
            </w:tcBorders>
            <w:shd w:val="clear" w:color="auto" w:fill="auto"/>
            <w:noWrap/>
            <w:vAlign w:val="center"/>
            <w:hideMark/>
          </w:tcPr>
          <w:p w14:paraId="0CBC4CC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Tecnológico Superior de Motul</w:t>
            </w:r>
          </w:p>
        </w:tc>
        <w:tc>
          <w:tcPr>
            <w:tcW w:w="1749" w:type="dxa"/>
            <w:tcBorders>
              <w:top w:val="nil"/>
              <w:left w:val="nil"/>
              <w:bottom w:val="single" w:sz="8" w:space="0" w:color="auto"/>
              <w:right w:val="nil"/>
            </w:tcBorders>
            <w:shd w:val="clear" w:color="auto" w:fill="FFFFFF" w:themeFill="background1"/>
            <w:vAlign w:val="center"/>
            <w:hideMark/>
          </w:tcPr>
          <w:p w14:paraId="2ED90DB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4,141,696 </w:t>
            </w:r>
          </w:p>
        </w:tc>
      </w:tr>
      <w:tr w:rsidR="009654FE" w:rsidRPr="000842AA" w14:paraId="0765110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7B6AC5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7.3.38</w:t>
            </w:r>
          </w:p>
        </w:tc>
        <w:tc>
          <w:tcPr>
            <w:tcW w:w="6560" w:type="dxa"/>
            <w:tcBorders>
              <w:top w:val="nil"/>
              <w:left w:val="nil"/>
              <w:bottom w:val="single" w:sz="8" w:space="0" w:color="auto"/>
              <w:right w:val="single" w:sz="8" w:space="0" w:color="auto"/>
            </w:tcBorders>
            <w:shd w:val="clear" w:color="auto" w:fill="auto"/>
            <w:noWrap/>
            <w:vAlign w:val="center"/>
            <w:hideMark/>
          </w:tcPr>
          <w:p w14:paraId="45FEA17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Tecnológico Superior de Progreso</w:t>
            </w:r>
          </w:p>
        </w:tc>
        <w:tc>
          <w:tcPr>
            <w:tcW w:w="1749" w:type="dxa"/>
            <w:tcBorders>
              <w:top w:val="nil"/>
              <w:left w:val="nil"/>
              <w:bottom w:val="single" w:sz="8" w:space="0" w:color="auto"/>
              <w:right w:val="nil"/>
            </w:tcBorders>
            <w:shd w:val="clear" w:color="auto" w:fill="FFFFFF" w:themeFill="background1"/>
            <w:vAlign w:val="center"/>
            <w:hideMark/>
          </w:tcPr>
          <w:p w14:paraId="5484D82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4,709,681 </w:t>
            </w:r>
          </w:p>
        </w:tc>
      </w:tr>
      <w:tr w:rsidR="009654FE" w:rsidRPr="000842AA" w14:paraId="2FDA427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4C2B7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7.3.39</w:t>
            </w:r>
          </w:p>
        </w:tc>
        <w:tc>
          <w:tcPr>
            <w:tcW w:w="6560" w:type="dxa"/>
            <w:tcBorders>
              <w:top w:val="nil"/>
              <w:left w:val="nil"/>
              <w:bottom w:val="single" w:sz="8" w:space="0" w:color="auto"/>
              <w:right w:val="single" w:sz="8" w:space="0" w:color="auto"/>
            </w:tcBorders>
            <w:shd w:val="clear" w:color="auto" w:fill="auto"/>
            <w:noWrap/>
            <w:vAlign w:val="center"/>
            <w:hideMark/>
          </w:tcPr>
          <w:p w14:paraId="442C44D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de Oriente</w:t>
            </w:r>
          </w:p>
        </w:tc>
        <w:tc>
          <w:tcPr>
            <w:tcW w:w="1749" w:type="dxa"/>
            <w:tcBorders>
              <w:top w:val="nil"/>
              <w:left w:val="nil"/>
              <w:bottom w:val="single" w:sz="8" w:space="0" w:color="auto"/>
              <w:right w:val="nil"/>
            </w:tcBorders>
            <w:shd w:val="clear" w:color="auto" w:fill="FFFFFF" w:themeFill="background1"/>
            <w:vAlign w:val="center"/>
            <w:hideMark/>
          </w:tcPr>
          <w:p w14:paraId="715A4A1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5,821,355 </w:t>
            </w:r>
          </w:p>
        </w:tc>
      </w:tr>
      <w:tr w:rsidR="009654FE" w:rsidRPr="000842AA" w14:paraId="1E8F956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334492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7.3.40</w:t>
            </w:r>
          </w:p>
        </w:tc>
        <w:tc>
          <w:tcPr>
            <w:tcW w:w="6560" w:type="dxa"/>
            <w:tcBorders>
              <w:top w:val="nil"/>
              <w:left w:val="nil"/>
              <w:bottom w:val="single" w:sz="8" w:space="0" w:color="auto"/>
              <w:right w:val="single" w:sz="8" w:space="0" w:color="auto"/>
            </w:tcBorders>
            <w:shd w:val="clear" w:color="auto" w:fill="auto"/>
            <w:noWrap/>
            <w:vAlign w:val="center"/>
            <w:hideMark/>
          </w:tcPr>
          <w:p w14:paraId="67E78EB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Tecnológica Regional del Sur</w:t>
            </w:r>
          </w:p>
        </w:tc>
        <w:tc>
          <w:tcPr>
            <w:tcW w:w="1749" w:type="dxa"/>
            <w:tcBorders>
              <w:top w:val="nil"/>
              <w:left w:val="nil"/>
              <w:bottom w:val="single" w:sz="8" w:space="0" w:color="auto"/>
              <w:right w:val="nil"/>
            </w:tcBorders>
            <w:shd w:val="clear" w:color="auto" w:fill="FFFFFF" w:themeFill="background1"/>
            <w:vAlign w:val="center"/>
            <w:hideMark/>
          </w:tcPr>
          <w:p w14:paraId="395C21F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2,200,000 </w:t>
            </w:r>
          </w:p>
        </w:tc>
      </w:tr>
      <w:tr w:rsidR="009654FE" w:rsidRPr="000842AA" w14:paraId="5A0DFC4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563BC1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7.3.41</w:t>
            </w:r>
          </w:p>
        </w:tc>
        <w:tc>
          <w:tcPr>
            <w:tcW w:w="6560" w:type="dxa"/>
            <w:tcBorders>
              <w:top w:val="nil"/>
              <w:left w:val="nil"/>
              <w:bottom w:val="single" w:sz="8" w:space="0" w:color="auto"/>
              <w:right w:val="single" w:sz="8" w:space="0" w:color="auto"/>
            </w:tcBorders>
            <w:shd w:val="clear" w:color="auto" w:fill="auto"/>
            <w:noWrap/>
            <w:vAlign w:val="center"/>
            <w:hideMark/>
          </w:tcPr>
          <w:p w14:paraId="5E332A6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Politécnica de Yucatán</w:t>
            </w:r>
          </w:p>
        </w:tc>
        <w:tc>
          <w:tcPr>
            <w:tcW w:w="1749" w:type="dxa"/>
            <w:tcBorders>
              <w:top w:val="nil"/>
              <w:left w:val="nil"/>
              <w:bottom w:val="single" w:sz="8" w:space="0" w:color="auto"/>
              <w:right w:val="nil"/>
            </w:tcBorders>
            <w:shd w:val="clear" w:color="auto" w:fill="FFFFFF" w:themeFill="background1"/>
            <w:vAlign w:val="center"/>
            <w:hideMark/>
          </w:tcPr>
          <w:p w14:paraId="6BEF654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3,852,251 </w:t>
            </w:r>
          </w:p>
        </w:tc>
      </w:tr>
      <w:tr w:rsidR="009654FE" w:rsidRPr="000842AA" w14:paraId="5ABFE2D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5954B8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7.3.42</w:t>
            </w:r>
          </w:p>
        </w:tc>
        <w:tc>
          <w:tcPr>
            <w:tcW w:w="6560" w:type="dxa"/>
            <w:tcBorders>
              <w:top w:val="nil"/>
              <w:left w:val="nil"/>
              <w:bottom w:val="single" w:sz="8" w:space="0" w:color="auto"/>
              <w:right w:val="single" w:sz="8" w:space="0" w:color="auto"/>
            </w:tcBorders>
            <w:shd w:val="clear" w:color="auto" w:fill="auto"/>
            <w:noWrap/>
            <w:vAlign w:val="center"/>
            <w:hideMark/>
          </w:tcPr>
          <w:p w14:paraId="2B7F31F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Agencia para el Desarrollo de Yucatán</w:t>
            </w:r>
          </w:p>
        </w:tc>
        <w:tc>
          <w:tcPr>
            <w:tcW w:w="1749" w:type="dxa"/>
            <w:tcBorders>
              <w:top w:val="nil"/>
              <w:left w:val="nil"/>
              <w:bottom w:val="single" w:sz="8" w:space="0" w:color="auto"/>
              <w:right w:val="nil"/>
            </w:tcBorders>
            <w:shd w:val="clear" w:color="auto" w:fill="FFFFFF" w:themeFill="background1"/>
            <w:vAlign w:val="center"/>
            <w:hideMark/>
          </w:tcPr>
          <w:p w14:paraId="49ABB15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01BD35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E6E832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7.3.43</w:t>
            </w:r>
          </w:p>
        </w:tc>
        <w:tc>
          <w:tcPr>
            <w:tcW w:w="6560" w:type="dxa"/>
            <w:tcBorders>
              <w:top w:val="nil"/>
              <w:left w:val="nil"/>
              <w:bottom w:val="single" w:sz="8" w:space="0" w:color="auto"/>
              <w:right w:val="single" w:sz="8" w:space="0" w:color="auto"/>
            </w:tcBorders>
            <w:shd w:val="clear" w:color="auto" w:fill="auto"/>
            <w:noWrap/>
            <w:vAlign w:val="center"/>
            <w:hideMark/>
          </w:tcPr>
          <w:p w14:paraId="40AA9E0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de Capacitación para el Trabajo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6C7E309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1,384,525 </w:t>
            </w:r>
          </w:p>
        </w:tc>
      </w:tr>
      <w:tr w:rsidR="009654FE" w:rsidRPr="000842AA" w14:paraId="0ECFB8C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87CE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7.3.44</w:t>
            </w:r>
          </w:p>
        </w:tc>
        <w:tc>
          <w:tcPr>
            <w:tcW w:w="6560" w:type="dxa"/>
            <w:tcBorders>
              <w:top w:val="nil"/>
              <w:left w:val="nil"/>
              <w:bottom w:val="single" w:sz="8" w:space="0" w:color="auto"/>
              <w:right w:val="single" w:sz="8" w:space="0" w:color="auto"/>
            </w:tcBorders>
            <w:shd w:val="clear" w:color="auto" w:fill="auto"/>
            <w:noWrap/>
            <w:vAlign w:val="center"/>
            <w:hideMark/>
          </w:tcPr>
          <w:p w14:paraId="2314932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Público para la Administración del Palacio de la Música</w:t>
            </w:r>
          </w:p>
        </w:tc>
        <w:tc>
          <w:tcPr>
            <w:tcW w:w="1749" w:type="dxa"/>
            <w:tcBorders>
              <w:top w:val="nil"/>
              <w:left w:val="nil"/>
              <w:bottom w:val="single" w:sz="8" w:space="0" w:color="auto"/>
              <w:right w:val="nil"/>
            </w:tcBorders>
            <w:shd w:val="clear" w:color="auto" w:fill="FFFFFF" w:themeFill="background1"/>
            <w:vAlign w:val="center"/>
            <w:hideMark/>
          </w:tcPr>
          <w:p w14:paraId="675DA6A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4,000,000 </w:t>
            </w:r>
          </w:p>
        </w:tc>
      </w:tr>
      <w:tr w:rsidR="009654FE" w:rsidRPr="000842AA" w14:paraId="199FC0A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1EF744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7.3.45</w:t>
            </w:r>
          </w:p>
        </w:tc>
        <w:tc>
          <w:tcPr>
            <w:tcW w:w="6560" w:type="dxa"/>
            <w:tcBorders>
              <w:top w:val="nil"/>
              <w:left w:val="nil"/>
              <w:bottom w:val="single" w:sz="8" w:space="0" w:color="auto"/>
              <w:right w:val="single" w:sz="8" w:space="0" w:color="auto"/>
            </w:tcBorders>
            <w:shd w:val="clear" w:color="auto" w:fill="auto"/>
            <w:noWrap/>
            <w:vAlign w:val="center"/>
            <w:hideMark/>
          </w:tcPr>
          <w:p w14:paraId="6A4D333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para la Inclusión de las Personas con Discapacidad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EB2BA3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C4ADD2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0ADADB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7.3.46</w:t>
            </w:r>
          </w:p>
        </w:tc>
        <w:tc>
          <w:tcPr>
            <w:tcW w:w="6560" w:type="dxa"/>
            <w:tcBorders>
              <w:top w:val="nil"/>
              <w:left w:val="nil"/>
              <w:bottom w:val="single" w:sz="8" w:space="0" w:color="auto"/>
              <w:right w:val="single" w:sz="8" w:space="0" w:color="auto"/>
            </w:tcBorders>
            <w:shd w:val="clear" w:color="auto" w:fill="auto"/>
            <w:noWrap/>
            <w:vAlign w:val="center"/>
            <w:hideMark/>
          </w:tcPr>
          <w:p w14:paraId="41EF0FE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Parque Científico y Tecnológico de Yucatán</w:t>
            </w:r>
          </w:p>
        </w:tc>
        <w:tc>
          <w:tcPr>
            <w:tcW w:w="1749" w:type="dxa"/>
            <w:tcBorders>
              <w:top w:val="nil"/>
              <w:left w:val="nil"/>
              <w:bottom w:val="single" w:sz="8" w:space="0" w:color="auto"/>
              <w:right w:val="nil"/>
            </w:tcBorders>
            <w:shd w:val="clear" w:color="auto" w:fill="FFFFFF" w:themeFill="background1"/>
            <w:vAlign w:val="center"/>
            <w:hideMark/>
          </w:tcPr>
          <w:p w14:paraId="0B425F3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1,567,055 </w:t>
            </w:r>
          </w:p>
        </w:tc>
      </w:tr>
      <w:tr w:rsidR="009654FE" w:rsidRPr="000842AA" w14:paraId="0066E73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F13E349"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7.4</w:t>
            </w:r>
          </w:p>
        </w:tc>
        <w:tc>
          <w:tcPr>
            <w:tcW w:w="6560" w:type="dxa"/>
            <w:tcBorders>
              <w:top w:val="nil"/>
              <w:left w:val="nil"/>
              <w:bottom w:val="single" w:sz="8" w:space="0" w:color="auto"/>
              <w:right w:val="single" w:sz="8" w:space="0" w:color="auto"/>
            </w:tcBorders>
            <w:shd w:val="clear" w:color="auto" w:fill="auto"/>
            <w:noWrap/>
            <w:vAlign w:val="center"/>
            <w:hideMark/>
          </w:tcPr>
          <w:p w14:paraId="29033C7D"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Entidades Paraestatales Empresariales No Financieras con Participación Estatal Mayoritaria</w:t>
            </w:r>
          </w:p>
        </w:tc>
        <w:tc>
          <w:tcPr>
            <w:tcW w:w="1749" w:type="dxa"/>
            <w:tcBorders>
              <w:top w:val="nil"/>
              <w:left w:val="nil"/>
              <w:bottom w:val="single" w:sz="8" w:space="0" w:color="auto"/>
              <w:right w:val="nil"/>
            </w:tcBorders>
            <w:shd w:val="clear" w:color="auto" w:fill="auto"/>
            <w:vAlign w:val="center"/>
            <w:hideMark/>
          </w:tcPr>
          <w:p w14:paraId="7C34607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22,431,245 </w:t>
            </w:r>
          </w:p>
        </w:tc>
      </w:tr>
      <w:tr w:rsidR="009654FE" w:rsidRPr="000842AA" w14:paraId="58EDEB5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C1053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7.4.1</w:t>
            </w:r>
          </w:p>
        </w:tc>
        <w:tc>
          <w:tcPr>
            <w:tcW w:w="6560" w:type="dxa"/>
            <w:tcBorders>
              <w:top w:val="nil"/>
              <w:left w:val="nil"/>
              <w:bottom w:val="single" w:sz="8" w:space="0" w:color="auto"/>
              <w:right w:val="single" w:sz="8" w:space="0" w:color="auto"/>
            </w:tcBorders>
            <w:shd w:val="clear" w:color="auto" w:fill="auto"/>
            <w:noWrap/>
            <w:vAlign w:val="center"/>
            <w:hideMark/>
          </w:tcPr>
          <w:p w14:paraId="35F1FFD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Sistema Tele Yucatán S.A. de C.V.</w:t>
            </w:r>
          </w:p>
        </w:tc>
        <w:tc>
          <w:tcPr>
            <w:tcW w:w="1749" w:type="dxa"/>
            <w:tcBorders>
              <w:top w:val="nil"/>
              <w:left w:val="nil"/>
              <w:bottom w:val="single" w:sz="8" w:space="0" w:color="auto"/>
              <w:right w:val="nil"/>
            </w:tcBorders>
            <w:shd w:val="clear" w:color="auto" w:fill="FFFFFF" w:themeFill="background1"/>
            <w:vAlign w:val="center"/>
            <w:hideMark/>
          </w:tcPr>
          <w:p w14:paraId="1FF018A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21,088,718 </w:t>
            </w:r>
          </w:p>
        </w:tc>
      </w:tr>
      <w:tr w:rsidR="009654FE" w:rsidRPr="000842AA" w14:paraId="65C2E91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A6A8F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7.4.2</w:t>
            </w:r>
          </w:p>
        </w:tc>
        <w:tc>
          <w:tcPr>
            <w:tcW w:w="6560" w:type="dxa"/>
            <w:tcBorders>
              <w:top w:val="nil"/>
              <w:left w:val="nil"/>
              <w:bottom w:val="single" w:sz="8" w:space="0" w:color="auto"/>
              <w:right w:val="single" w:sz="8" w:space="0" w:color="auto"/>
            </w:tcBorders>
            <w:shd w:val="clear" w:color="auto" w:fill="auto"/>
            <w:noWrap/>
            <w:vAlign w:val="center"/>
            <w:hideMark/>
          </w:tcPr>
          <w:p w14:paraId="251A5BA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Aeropuerto de Chichén Itzá de Yucatán S.A. de C.V.</w:t>
            </w:r>
          </w:p>
        </w:tc>
        <w:tc>
          <w:tcPr>
            <w:tcW w:w="1749" w:type="dxa"/>
            <w:tcBorders>
              <w:top w:val="nil"/>
              <w:left w:val="nil"/>
              <w:bottom w:val="single" w:sz="8" w:space="0" w:color="auto"/>
              <w:right w:val="nil"/>
            </w:tcBorders>
            <w:shd w:val="clear" w:color="auto" w:fill="FFFFFF" w:themeFill="background1"/>
            <w:vAlign w:val="center"/>
            <w:hideMark/>
          </w:tcPr>
          <w:p w14:paraId="7F39C18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1,342,526 </w:t>
            </w:r>
          </w:p>
        </w:tc>
      </w:tr>
      <w:tr w:rsidR="009654FE" w:rsidRPr="000842AA" w14:paraId="0159F30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174A09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7.4.3</w:t>
            </w:r>
          </w:p>
        </w:tc>
        <w:tc>
          <w:tcPr>
            <w:tcW w:w="6560" w:type="dxa"/>
            <w:tcBorders>
              <w:top w:val="nil"/>
              <w:left w:val="nil"/>
              <w:bottom w:val="single" w:sz="8" w:space="0" w:color="auto"/>
              <w:right w:val="single" w:sz="8" w:space="0" w:color="auto"/>
            </w:tcBorders>
            <w:shd w:val="clear" w:color="auto" w:fill="auto"/>
            <w:noWrap/>
            <w:vAlign w:val="center"/>
            <w:hideMark/>
          </w:tcPr>
          <w:p w14:paraId="7240E7F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Empresa Portuaria Yucateca S.A. de C.V.</w:t>
            </w:r>
          </w:p>
        </w:tc>
        <w:tc>
          <w:tcPr>
            <w:tcW w:w="1749" w:type="dxa"/>
            <w:tcBorders>
              <w:top w:val="nil"/>
              <w:left w:val="nil"/>
              <w:bottom w:val="single" w:sz="8" w:space="0" w:color="auto"/>
              <w:right w:val="nil"/>
            </w:tcBorders>
            <w:shd w:val="clear" w:color="auto" w:fill="FFFFFF" w:themeFill="background1"/>
            <w:vAlign w:val="center"/>
            <w:hideMark/>
          </w:tcPr>
          <w:p w14:paraId="3F10C4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133856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2CCA96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7.4.4</w:t>
            </w:r>
          </w:p>
        </w:tc>
        <w:tc>
          <w:tcPr>
            <w:tcW w:w="6560" w:type="dxa"/>
            <w:tcBorders>
              <w:top w:val="nil"/>
              <w:left w:val="nil"/>
              <w:bottom w:val="single" w:sz="8" w:space="0" w:color="auto"/>
              <w:right w:val="single" w:sz="8" w:space="0" w:color="auto"/>
            </w:tcBorders>
            <w:shd w:val="clear" w:color="auto" w:fill="auto"/>
            <w:noWrap/>
            <w:vAlign w:val="center"/>
            <w:hideMark/>
          </w:tcPr>
          <w:p w14:paraId="308CDE0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Operadora Energética y Marítima de Yucatán</w:t>
            </w:r>
          </w:p>
        </w:tc>
        <w:tc>
          <w:tcPr>
            <w:tcW w:w="1749" w:type="dxa"/>
            <w:tcBorders>
              <w:top w:val="nil"/>
              <w:left w:val="nil"/>
              <w:bottom w:val="single" w:sz="8" w:space="0" w:color="auto"/>
              <w:right w:val="nil"/>
            </w:tcBorders>
            <w:shd w:val="clear" w:color="auto" w:fill="FFFFFF" w:themeFill="background1"/>
            <w:vAlign w:val="center"/>
            <w:hideMark/>
          </w:tcPr>
          <w:p w14:paraId="272E2AF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 </w:t>
            </w:r>
          </w:p>
        </w:tc>
      </w:tr>
      <w:tr w:rsidR="009654FE" w:rsidRPr="000842AA" w14:paraId="77DC215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09165F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7.5</w:t>
            </w:r>
          </w:p>
        </w:tc>
        <w:tc>
          <w:tcPr>
            <w:tcW w:w="6560" w:type="dxa"/>
            <w:tcBorders>
              <w:top w:val="nil"/>
              <w:left w:val="nil"/>
              <w:bottom w:val="single" w:sz="8" w:space="0" w:color="auto"/>
              <w:right w:val="single" w:sz="8" w:space="0" w:color="auto"/>
            </w:tcBorders>
            <w:shd w:val="clear" w:color="auto" w:fill="auto"/>
            <w:noWrap/>
            <w:vAlign w:val="center"/>
            <w:hideMark/>
          </w:tcPr>
          <w:p w14:paraId="050141E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Entidades Paraestatales Empresariales Financieras Monetarias con Participación Estatal Mayoritaria</w:t>
            </w:r>
          </w:p>
        </w:tc>
        <w:tc>
          <w:tcPr>
            <w:tcW w:w="1749" w:type="dxa"/>
            <w:tcBorders>
              <w:top w:val="nil"/>
              <w:left w:val="nil"/>
              <w:bottom w:val="single" w:sz="8" w:space="0" w:color="auto"/>
              <w:right w:val="nil"/>
            </w:tcBorders>
            <w:shd w:val="clear" w:color="auto" w:fill="auto"/>
            <w:vAlign w:val="center"/>
            <w:hideMark/>
          </w:tcPr>
          <w:p w14:paraId="1C4AAD04"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6D05206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2F8950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7.5.1</w:t>
            </w:r>
          </w:p>
        </w:tc>
        <w:tc>
          <w:tcPr>
            <w:tcW w:w="6560" w:type="dxa"/>
            <w:tcBorders>
              <w:top w:val="nil"/>
              <w:left w:val="nil"/>
              <w:bottom w:val="single" w:sz="8" w:space="0" w:color="auto"/>
              <w:right w:val="single" w:sz="8" w:space="0" w:color="auto"/>
            </w:tcBorders>
            <w:shd w:val="clear" w:color="auto" w:fill="auto"/>
            <w:noWrap/>
            <w:vAlign w:val="center"/>
            <w:hideMark/>
          </w:tcPr>
          <w:p w14:paraId="2579CF7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Venta de Bienes de Entidades Paraestatales Empresariales Financieras Monetarias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4D19ACC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ABF213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78B8393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7.5.2</w:t>
            </w:r>
          </w:p>
        </w:tc>
        <w:tc>
          <w:tcPr>
            <w:tcW w:w="6560" w:type="dxa"/>
            <w:tcBorders>
              <w:top w:val="nil"/>
              <w:left w:val="nil"/>
              <w:bottom w:val="single" w:sz="8" w:space="0" w:color="auto"/>
              <w:right w:val="single" w:sz="8" w:space="0" w:color="auto"/>
            </w:tcBorders>
            <w:shd w:val="clear" w:color="auto" w:fill="auto"/>
            <w:noWrap/>
            <w:vAlign w:val="center"/>
            <w:hideMark/>
          </w:tcPr>
          <w:p w14:paraId="4E792A9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Prestación de Servicios de Servicios de Entidades Paraestatales Empresariales Financieras Monetarias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19638A5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3D0BCB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16B281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7.6</w:t>
            </w:r>
          </w:p>
        </w:tc>
        <w:tc>
          <w:tcPr>
            <w:tcW w:w="6560" w:type="dxa"/>
            <w:tcBorders>
              <w:top w:val="nil"/>
              <w:left w:val="nil"/>
              <w:bottom w:val="single" w:sz="8" w:space="0" w:color="auto"/>
              <w:right w:val="single" w:sz="8" w:space="0" w:color="auto"/>
            </w:tcBorders>
            <w:shd w:val="clear" w:color="auto" w:fill="auto"/>
            <w:noWrap/>
            <w:vAlign w:val="center"/>
            <w:hideMark/>
          </w:tcPr>
          <w:p w14:paraId="76EE72D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Entidades Paraestatales Empresariales Financieras No Monetarias con Participación Estatal Mayoritaria</w:t>
            </w:r>
          </w:p>
        </w:tc>
        <w:tc>
          <w:tcPr>
            <w:tcW w:w="1749" w:type="dxa"/>
            <w:tcBorders>
              <w:top w:val="nil"/>
              <w:left w:val="nil"/>
              <w:bottom w:val="single" w:sz="8" w:space="0" w:color="auto"/>
              <w:right w:val="nil"/>
            </w:tcBorders>
            <w:shd w:val="clear" w:color="auto" w:fill="auto"/>
            <w:vAlign w:val="center"/>
            <w:hideMark/>
          </w:tcPr>
          <w:p w14:paraId="34B7A20E"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4AC1F6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79E58DB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7.6.1</w:t>
            </w:r>
          </w:p>
        </w:tc>
        <w:tc>
          <w:tcPr>
            <w:tcW w:w="6560" w:type="dxa"/>
            <w:tcBorders>
              <w:top w:val="nil"/>
              <w:left w:val="nil"/>
              <w:bottom w:val="single" w:sz="8" w:space="0" w:color="auto"/>
              <w:right w:val="single" w:sz="8" w:space="0" w:color="auto"/>
            </w:tcBorders>
            <w:shd w:val="clear" w:color="auto" w:fill="auto"/>
            <w:noWrap/>
            <w:vAlign w:val="center"/>
            <w:hideMark/>
          </w:tcPr>
          <w:p w14:paraId="767A139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Venta de Bienes de Entidades Paraestatales Empresariales Financieras No Monetarias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444DB88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34DD36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A3E8E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7.6.2</w:t>
            </w:r>
          </w:p>
        </w:tc>
        <w:tc>
          <w:tcPr>
            <w:tcW w:w="6560" w:type="dxa"/>
            <w:tcBorders>
              <w:top w:val="nil"/>
              <w:left w:val="nil"/>
              <w:bottom w:val="single" w:sz="8" w:space="0" w:color="auto"/>
              <w:right w:val="single" w:sz="8" w:space="0" w:color="auto"/>
            </w:tcBorders>
            <w:shd w:val="clear" w:color="auto" w:fill="auto"/>
            <w:noWrap/>
            <w:vAlign w:val="center"/>
            <w:hideMark/>
          </w:tcPr>
          <w:p w14:paraId="1CE9342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Prestación de Servicios de Entidades Paraestatales Empresariales Financieras No Monetarias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3981600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C3714E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4BB498C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7.7</w:t>
            </w:r>
          </w:p>
        </w:tc>
        <w:tc>
          <w:tcPr>
            <w:tcW w:w="6560" w:type="dxa"/>
            <w:tcBorders>
              <w:top w:val="nil"/>
              <w:left w:val="nil"/>
              <w:bottom w:val="single" w:sz="8" w:space="0" w:color="auto"/>
              <w:right w:val="single" w:sz="8" w:space="0" w:color="auto"/>
            </w:tcBorders>
            <w:shd w:val="clear" w:color="auto" w:fill="auto"/>
            <w:noWrap/>
            <w:vAlign w:val="center"/>
            <w:hideMark/>
          </w:tcPr>
          <w:p w14:paraId="6A55A2CB"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Fideicomisos Financieros Públicos con Participación Estatal Mayoritaria</w:t>
            </w:r>
          </w:p>
        </w:tc>
        <w:tc>
          <w:tcPr>
            <w:tcW w:w="1749" w:type="dxa"/>
            <w:tcBorders>
              <w:top w:val="nil"/>
              <w:left w:val="nil"/>
              <w:bottom w:val="single" w:sz="8" w:space="0" w:color="auto"/>
              <w:right w:val="nil"/>
            </w:tcBorders>
            <w:shd w:val="clear" w:color="auto" w:fill="auto"/>
            <w:vAlign w:val="center"/>
            <w:hideMark/>
          </w:tcPr>
          <w:p w14:paraId="72532EC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282022F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82A0F8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7.7.1</w:t>
            </w:r>
          </w:p>
        </w:tc>
        <w:tc>
          <w:tcPr>
            <w:tcW w:w="6560" w:type="dxa"/>
            <w:tcBorders>
              <w:top w:val="nil"/>
              <w:left w:val="nil"/>
              <w:bottom w:val="single" w:sz="8" w:space="0" w:color="auto"/>
              <w:right w:val="single" w:sz="8" w:space="0" w:color="auto"/>
            </w:tcBorders>
            <w:shd w:val="clear" w:color="auto" w:fill="auto"/>
            <w:noWrap/>
            <w:vAlign w:val="center"/>
            <w:hideMark/>
          </w:tcPr>
          <w:p w14:paraId="30A282A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Prestación de Servicios de Fideicomisos Financieros Públicos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657A83D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2DA426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73EA84D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7.7.2</w:t>
            </w:r>
          </w:p>
        </w:tc>
        <w:tc>
          <w:tcPr>
            <w:tcW w:w="6560" w:type="dxa"/>
            <w:tcBorders>
              <w:top w:val="nil"/>
              <w:left w:val="nil"/>
              <w:bottom w:val="single" w:sz="8" w:space="0" w:color="auto"/>
              <w:right w:val="single" w:sz="8" w:space="0" w:color="auto"/>
            </w:tcBorders>
            <w:shd w:val="clear" w:color="auto" w:fill="auto"/>
            <w:noWrap/>
            <w:vAlign w:val="center"/>
            <w:hideMark/>
          </w:tcPr>
          <w:p w14:paraId="06F6486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Ingresos por Venta de Bienes de Fideicomisos Financieros Públicos con Participación Estatal Mayoritaria</w:t>
            </w:r>
          </w:p>
        </w:tc>
        <w:tc>
          <w:tcPr>
            <w:tcW w:w="1749" w:type="dxa"/>
            <w:tcBorders>
              <w:top w:val="nil"/>
              <w:left w:val="nil"/>
              <w:bottom w:val="single" w:sz="8" w:space="0" w:color="auto"/>
              <w:right w:val="nil"/>
            </w:tcBorders>
            <w:shd w:val="clear" w:color="auto" w:fill="FFFFFF" w:themeFill="background1"/>
            <w:vAlign w:val="center"/>
            <w:hideMark/>
          </w:tcPr>
          <w:p w14:paraId="31436DD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646955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A313239"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7.8</w:t>
            </w:r>
          </w:p>
        </w:tc>
        <w:tc>
          <w:tcPr>
            <w:tcW w:w="6560" w:type="dxa"/>
            <w:tcBorders>
              <w:top w:val="nil"/>
              <w:left w:val="nil"/>
              <w:bottom w:val="single" w:sz="8" w:space="0" w:color="auto"/>
              <w:right w:val="single" w:sz="8" w:space="0" w:color="auto"/>
            </w:tcBorders>
            <w:shd w:val="clear" w:color="auto" w:fill="auto"/>
            <w:noWrap/>
            <w:vAlign w:val="center"/>
            <w:hideMark/>
          </w:tcPr>
          <w:p w14:paraId="1C6063EB"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por Venta de Bienes y Prestación de Servicios de los Poderes Legislativo y Judicial, y de los Órganos Autónomos</w:t>
            </w:r>
          </w:p>
        </w:tc>
        <w:tc>
          <w:tcPr>
            <w:tcW w:w="1749" w:type="dxa"/>
            <w:tcBorders>
              <w:top w:val="nil"/>
              <w:left w:val="nil"/>
              <w:bottom w:val="single" w:sz="8" w:space="0" w:color="auto"/>
              <w:right w:val="nil"/>
            </w:tcBorders>
            <w:shd w:val="clear" w:color="auto" w:fill="auto"/>
            <w:vAlign w:val="center"/>
            <w:hideMark/>
          </w:tcPr>
          <w:p w14:paraId="38E5E31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1,881,028,000 </w:t>
            </w:r>
          </w:p>
        </w:tc>
      </w:tr>
      <w:tr w:rsidR="009654FE" w:rsidRPr="000842AA" w14:paraId="3B7302C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CDBAC1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7.8.1</w:t>
            </w:r>
          </w:p>
        </w:tc>
        <w:tc>
          <w:tcPr>
            <w:tcW w:w="6560" w:type="dxa"/>
            <w:tcBorders>
              <w:top w:val="nil"/>
              <w:left w:val="nil"/>
              <w:bottom w:val="single" w:sz="8" w:space="0" w:color="auto"/>
              <w:right w:val="single" w:sz="8" w:space="0" w:color="auto"/>
            </w:tcBorders>
            <w:shd w:val="clear" w:color="auto" w:fill="auto"/>
            <w:noWrap/>
            <w:vAlign w:val="center"/>
            <w:hideMark/>
          </w:tcPr>
          <w:p w14:paraId="5266538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Autónoma de Yucatán</w:t>
            </w:r>
          </w:p>
        </w:tc>
        <w:tc>
          <w:tcPr>
            <w:tcW w:w="1749" w:type="dxa"/>
            <w:tcBorders>
              <w:top w:val="nil"/>
              <w:left w:val="nil"/>
              <w:bottom w:val="single" w:sz="8" w:space="0" w:color="auto"/>
              <w:right w:val="nil"/>
            </w:tcBorders>
            <w:shd w:val="clear" w:color="auto" w:fill="FFFFFF" w:themeFill="background1"/>
            <w:vAlign w:val="center"/>
            <w:hideMark/>
          </w:tcPr>
          <w:p w14:paraId="3AA0874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270,000,000 </w:t>
            </w:r>
          </w:p>
        </w:tc>
      </w:tr>
      <w:tr w:rsidR="009654FE" w:rsidRPr="000842AA" w14:paraId="072A546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63DEDB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7.8.2</w:t>
            </w:r>
          </w:p>
        </w:tc>
        <w:tc>
          <w:tcPr>
            <w:tcW w:w="6560" w:type="dxa"/>
            <w:tcBorders>
              <w:top w:val="nil"/>
              <w:left w:val="nil"/>
              <w:bottom w:val="single" w:sz="8" w:space="0" w:color="auto"/>
              <w:right w:val="single" w:sz="8" w:space="0" w:color="auto"/>
            </w:tcBorders>
            <w:shd w:val="clear" w:color="auto" w:fill="auto"/>
            <w:noWrap/>
            <w:vAlign w:val="center"/>
            <w:hideMark/>
          </w:tcPr>
          <w:p w14:paraId="50D5A7D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Tribunal de Justicia Administrativa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F95214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22F6CA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DF56C7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7.8.3</w:t>
            </w:r>
          </w:p>
        </w:tc>
        <w:tc>
          <w:tcPr>
            <w:tcW w:w="6560" w:type="dxa"/>
            <w:tcBorders>
              <w:top w:val="nil"/>
              <w:left w:val="nil"/>
              <w:bottom w:val="single" w:sz="8" w:space="0" w:color="auto"/>
              <w:right w:val="single" w:sz="8" w:space="0" w:color="auto"/>
            </w:tcBorders>
            <w:shd w:val="clear" w:color="auto" w:fill="auto"/>
            <w:noWrap/>
            <w:vAlign w:val="center"/>
            <w:hideMark/>
          </w:tcPr>
          <w:p w14:paraId="4B4F7BD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Instituto Estatal de Transparencia, Acceso a la Información Pública y Protección de Datos Personales</w:t>
            </w:r>
          </w:p>
        </w:tc>
        <w:tc>
          <w:tcPr>
            <w:tcW w:w="1749" w:type="dxa"/>
            <w:tcBorders>
              <w:top w:val="nil"/>
              <w:left w:val="nil"/>
              <w:bottom w:val="single" w:sz="8" w:space="0" w:color="auto"/>
              <w:right w:val="nil"/>
            </w:tcBorders>
            <w:shd w:val="clear" w:color="auto" w:fill="FFFFFF" w:themeFill="background1"/>
            <w:vAlign w:val="center"/>
            <w:hideMark/>
          </w:tcPr>
          <w:p w14:paraId="434E696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28,000 </w:t>
            </w:r>
          </w:p>
        </w:tc>
      </w:tr>
      <w:tr w:rsidR="009654FE" w:rsidRPr="000842AA" w14:paraId="46E10A5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067949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7.8.4</w:t>
            </w:r>
          </w:p>
        </w:tc>
        <w:tc>
          <w:tcPr>
            <w:tcW w:w="6560" w:type="dxa"/>
            <w:tcBorders>
              <w:top w:val="nil"/>
              <w:left w:val="nil"/>
              <w:bottom w:val="single" w:sz="8" w:space="0" w:color="auto"/>
              <w:right w:val="single" w:sz="8" w:space="0" w:color="auto"/>
            </w:tcBorders>
            <w:shd w:val="clear" w:color="auto" w:fill="auto"/>
            <w:noWrap/>
            <w:vAlign w:val="center"/>
            <w:hideMark/>
          </w:tcPr>
          <w:p w14:paraId="00BC238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Agencia de Transporte de Yucatán</w:t>
            </w:r>
          </w:p>
        </w:tc>
        <w:tc>
          <w:tcPr>
            <w:tcW w:w="1749" w:type="dxa"/>
            <w:tcBorders>
              <w:top w:val="nil"/>
              <w:left w:val="nil"/>
              <w:bottom w:val="single" w:sz="8" w:space="0" w:color="auto"/>
              <w:right w:val="nil"/>
            </w:tcBorders>
            <w:shd w:val="clear" w:color="auto" w:fill="FFFFFF" w:themeFill="background1"/>
            <w:vAlign w:val="center"/>
            <w:hideMark/>
          </w:tcPr>
          <w:p w14:paraId="4CAA934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1,611,000,000 </w:t>
            </w:r>
          </w:p>
        </w:tc>
      </w:tr>
      <w:tr w:rsidR="009654FE" w:rsidRPr="000842AA" w14:paraId="0DCF3E9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255D6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7.8.5</w:t>
            </w:r>
          </w:p>
        </w:tc>
        <w:tc>
          <w:tcPr>
            <w:tcW w:w="6560" w:type="dxa"/>
            <w:tcBorders>
              <w:top w:val="nil"/>
              <w:left w:val="nil"/>
              <w:bottom w:val="single" w:sz="8" w:space="0" w:color="auto"/>
              <w:right w:val="single" w:sz="8" w:space="0" w:color="auto"/>
            </w:tcBorders>
            <w:shd w:val="clear" w:color="auto" w:fill="auto"/>
            <w:noWrap/>
            <w:vAlign w:val="center"/>
            <w:hideMark/>
          </w:tcPr>
          <w:p w14:paraId="7223854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Agencia de Inteligencia Patrimonial y Económica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57BD22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79B1BD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2A0C46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7.9</w:t>
            </w:r>
          </w:p>
        </w:tc>
        <w:tc>
          <w:tcPr>
            <w:tcW w:w="6560" w:type="dxa"/>
            <w:tcBorders>
              <w:top w:val="nil"/>
              <w:left w:val="nil"/>
              <w:bottom w:val="single" w:sz="8" w:space="0" w:color="auto"/>
              <w:right w:val="single" w:sz="8" w:space="0" w:color="auto"/>
            </w:tcBorders>
            <w:shd w:val="clear" w:color="auto" w:fill="auto"/>
            <w:noWrap/>
            <w:vAlign w:val="center"/>
            <w:hideMark/>
          </w:tcPr>
          <w:p w14:paraId="4C9A867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Otros Ingresos</w:t>
            </w:r>
          </w:p>
        </w:tc>
        <w:tc>
          <w:tcPr>
            <w:tcW w:w="1749" w:type="dxa"/>
            <w:tcBorders>
              <w:top w:val="nil"/>
              <w:left w:val="nil"/>
              <w:bottom w:val="single" w:sz="8" w:space="0" w:color="auto"/>
              <w:right w:val="nil"/>
            </w:tcBorders>
            <w:shd w:val="clear" w:color="auto" w:fill="auto"/>
            <w:vAlign w:val="center"/>
            <w:hideMark/>
          </w:tcPr>
          <w:p w14:paraId="5F2488A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31166E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48841F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7.9.1</w:t>
            </w:r>
          </w:p>
        </w:tc>
        <w:tc>
          <w:tcPr>
            <w:tcW w:w="6560" w:type="dxa"/>
            <w:tcBorders>
              <w:top w:val="nil"/>
              <w:left w:val="nil"/>
              <w:bottom w:val="single" w:sz="8" w:space="0" w:color="auto"/>
              <w:right w:val="single" w:sz="8" w:space="0" w:color="auto"/>
            </w:tcBorders>
            <w:shd w:val="clear" w:color="auto" w:fill="auto"/>
            <w:noWrap/>
            <w:vAlign w:val="center"/>
            <w:hideMark/>
          </w:tcPr>
          <w:p w14:paraId="6A57EE1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ingresos</w:t>
            </w:r>
          </w:p>
        </w:tc>
        <w:tc>
          <w:tcPr>
            <w:tcW w:w="1749" w:type="dxa"/>
            <w:tcBorders>
              <w:top w:val="nil"/>
              <w:left w:val="nil"/>
              <w:bottom w:val="single" w:sz="8" w:space="0" w:color="auto"/>
              <w:right w:val="nil"/>
            </w:tcBorders>
            <w:shd w:val="clear" w:color="auto" w:fill="FFFFFF" w:themeFill="background1"/>
            <w:vAlign w:val="center"/>
            <w:hideMark/>
          </w:tcPr>
          <w:p w14:paraId="4A567D4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35BC25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7DA5C91D"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C216108"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Participaciones, Aportaciones, Convenios, Incentivos Derivados de la Colaboración Fiscal y Fondos Distintos de Aportaciones</w:t>
            </w:r>
          </w:p>
        </w:tc>
        <w:tc>
          <w:tcPr>
            <w:tcW w:w="1749" w:type="dxa"/>
            <w:tcBorders>
              <w:top w:val="nil"/>
              <w:left w:val="nil"/>
              <w:bottom w:val="single" w:sz="8" w:space="0" w:color="auto"/>
              <w:right w:val="nil"/>
            </w:tcBorders>
            <w:shd w:val="clear" w:color="auto" w:fill="D9D9D9" w:themeFill="background1" w:themeFillShade="D9"/>
            <w:vAlign w:val="center"/>
            <w:hideMark/>
          </w:tcPr>
          <w:p w14:paraId="079467B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45,218,734,755 </w:t>
            </w:r>
          </w:p>
        </w:tc>
      </w:tr>
      <w:tr w:rsidR="009654FE" w:rsidRPr="000842AA" w14:paraId="0667096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BABAB"/>
            <w:noWrap/>
            <w:vAlign w:val="center"/>
            <w:hideMark/>
          </w:tcPr>
          <w:p w14:paraId="523AEB1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8.1</w:t>
            </w:r>
          </w:p>
        </w:tc>
        <w:tc>
          <w:tcPr>
            <w:tcW w:w="6560" w:type="dxa"/>
            <w:tcBorders>
              <w:top w:val="nil"/>
              <w:left w:val="nil"/>
              <w:bottom w:val="single" w:sz="8" w:space="0" w:color="auto"/>
              <w:right w:val="single" w:sz="8" w:space="0" w:color="auto"/>
            </w:tcBorders>
            <w:shd w:val="clear" w:color="auto" w:fill="ABABAB"/>
            <w:noWrap/>
            <w:vAlign w:val="center"/>
            <w:hideMark/>
          </w:tcPr>
          <w:p w14:paraId="395A357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Participaciones</w:t>
            </w:r>
          </w:p>
        </w:tc>
        <w:tc>
          <w:tcPr>
            <w:tcW w:w="1749" w:type="dxa"/>
            <w:tcBorders>
              <w:top w:val="nil"/>
              <w:left w:val="nil"/>
              <w:bottom w:val="single" w:sz="8" w:space="0" w:color="auto"/>
              <w:right w:val="nil"/>
            </w:tcBorders>
            <w:shd w:val="clear" w:color="auto" w:fill="ABABAB"/>
            <w:vAlign w:val="center"/>
            <w:hideMark/>
          </w:tcPr>
          <w:p w14:paraId="54C0E03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21,984,013,724 </w:t>
            </w:r>
          </w:p>
        </w:tc>
      </w:tr>
      <w:tr w:rsidR="009654FE" w:rsidRPr="000842AA" w14:paraId="76343D2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39E0A9A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ADA5C5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General</w:t>
            </w:r>
          </w:p>
        </w:tc>
        <w:tc>
          <w:tcPr>
            <w:tcW w:w="1749" w:type="dxa"/>
            <w:tcBorders>
              <w:top w:val="nil"/>
              <w:left w:val="nil"/>
              <w:bottom w:val="single" w:sz="8" w:space="0" w:color="auto"/>
              <w:right w:val="nil"/>
            </w:tcBorders>
            <w:shd w:val="clear" w:color="auto" w:fill="FFFFFF" w:themeFill="background1"/>
            <w:vAlign w:val="center"/>
            <w:hideMark/>
          </w:tcPr>
          <w:p w14:paraId="26145CA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16,898,413,453 </w:t>
            </w:r>
          </w:p>
        </w:tc>
      </w:tr>
      <w:tr w:rsidR="009654FE" w:rsidRPr="000842AA" w14:paraId="4BD91BD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4D1BC98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3E0E31E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Fomento Municipal</w:t>
            </w:r>
          </w:p>
        </w:tc>
        <w:tc>
          <w:tcPr>
            <w:tcW w:w="1749" w:type="dxa"/>
            <w:tcBorders>
              <w:top w:val="nil"/>
              <w:left w:val="nil"/>
              <w:bottom w:val="single" w:sz="8" w:space="0" w:color="auto"/>
              <w:right w:val="nil"/>
            </w:tcBorders>
            <w:shd w:val="clear" w:color="auto" w:fill="FFFFFF" w:themeFill="background1"/>
            <w:vAlign w:val="center"/>
            <w:hideMark/>
          </w:tcPr>
          <w:p w14:paraId="419D552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1,091,573,014 </w:t>
            </w:r>
          </w:p>
        </w:tc>
      </w:tr>
      <w:tr w:rsidR="009654FE" w:rsidRPr="000842AA" w14:paraId="07CA511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630D593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8.1.3</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1225BFC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Especial sobre Producción y Servicios (IEPS)</w:t>
            </w:r>
          </w:p>
        </w:tc>
        <w:tc>
          <w:tcPr>
            <w:tcW w:w="1749" w:type="dxa"/>
            <w:tcBorders>
              <w:top w:val="nil"/>
              <w:left w:val="nil"/>
              <w:bottom w:val="single" w:sz="8" w:space="0" w:color="auto"/>
              <w:right w:val="nil"/>
            </w:tcBorders>
            <w:shd w:val="clear" w:color="auto" w:fill="FFFFFF" w:themeFill="background1"/>
            <w:vAlign w:val="center"/>
            <w:hideMark/>
          </w:tcPr>
          <w:p w14:paraId="4D3BBCE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397,432,117 </w:t>
            </w:r>
          </w:p>
        </w:tc>
      </w:tr>
      <w:tr w:rsidR="009654FE" w:rsidRPr="000842AA" w14:paraId="7D9CE37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7796C1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8.1.4</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D779D7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Compensación sobre Automóviles Nuevos (ISAN)</w:t>
            </w:r>
          </w:p>
        </w:tc>
        <w:tc>
          <w:tcPr>
            <w:tcW w:w="1749" w:type="dxa"/>
            <w:tcBorders>
              <w:top w:val="nil"/>
              <w:left w:val="nil"/>
              <w:bottom w:val="single" w:sz="8" w:space="0" w:color="auto"/>
              <w:right w:val="nil"/>
            </w:tcBorders>
            <w:shd w:val="clear" w:color="auto" w:fill="FFFFFF" w:themeFill="background1"/>
            <w:vAlign w:val="center"/>
            <w:hideMark/>
          </w:tcPr>
          <w:p w14:paraId="20E1483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47,033,760 </w:t>
            </w:r>
          </w:p>
        </w:tc>
      </w:tr>
      <w:tr w:rsidR="009654FE" w:rsidRPr="000842AA" w14:paraId="068C18D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06CF128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8.1.5</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5106141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Fiscalización y Recaudación (FOFIR)</w:t>
            </w:r>
          </w:p>
        </w:tc>
        <w:tc>
          <w:tcPr>
            <w:tcW w:w="1749" w:type="dxa"/>
            <w:tcBorders>
              <w:top w:val="nil"/>
              <w:left w:val="nil"/>
              <w:bottom w:val="single" w:sz="8" w:space="0" w:color="auto"/>
              <w:right w:val="nil"/>
            </w:tcBorders>
            <w:shd w:val="clear" w:color="auto" w:fill="FFFFFF" w:themeFill="background1"/>
            <w:vAlign w:val="center"/>
            <w:hideMark/>
          </w:tcPr>
          <w:p w14:paraId="713E854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1,568,166,757 </w:t>
            </w:r>
          </w:p>
        </w:tc>
      </w:tr>
      <w:tr w:rsidR="009654FE" w:rsidRPr="000842AA" w14:paraId="33285E8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7A0AE9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8.1.6</w:t>
            </w:r>
          </w:p>
        </w:tc>
        <w:tc>
          <w:tcPr>
            <w:tcW w:w="6560" w:type="dxa"/>
            <w:tcBorders>
              <w:top w:val="nil"/>
              <w:left w:val="nil"/>
              <w:bottom w:val="single" w:sz="8" w:space="0" w:color="auto"/>
              <w:right w:val="single" w:sz="8" w:space="0" w:color="auto"/>
            </w:tcBorders>
            <w:shd w:val="clear" w:color="auto" w:fill="auto"/>
            <w:noWrap/>
            <w:vAlign w:val="center"/>
            <w:hideMark/>
          </w:tcPr>
          <w:p w14:paraId="7A55C3B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Compensación (Repecos e Intermedios)</w:t>
            </w:r>
          </w:p>
        </w:tc>
        <w:tc>
          <w:tcPr>
            <w:tcW w:w="1749" w:type="dxa"/>
            <w:tcBorders>
              <w:top w:val="nil"/>
              <w:left w:val="nil"/>
              <w:bottom w:val="single" w:sz="8" w:space="0" w:color="auto"/>
              <w:right w:val="nil"/>
            </w:tcBorders>
            <w:shd w:val="clear" w:color="auto" w:fill="FFFFFF" w:themeFill="background1"/>
            <w:vAlign w:val="center"/>
            <w:hideMark/>
          </w:tcPr>
          <w:p w14:paraId="4741676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9,599,045 </w:t>
            </w:r>
          </w:p>
        </w:tc>
      </w:tr>
      <w:tr w:rsidR="009654FE" w:rsidRPr="000842AA" w14:paraId="7F93987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2EBFAD9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8.1.7</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A739BC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Venta final de gasolina y diésel</w:t>
            </w:r>
          </w:p>
        </w:tc>
        <w:tc>
          <w:tcPr>
            <w:tcW w:w="1749" w:type="dxa"/>
            <w:tcBorders>
              <w:top w:val="nil"/>
              <w:left w:val="nil"/>
              <w:bottom w:val="single" w:sz="8" w:space="0" w:color="auto"/>
              <w:right w:val="nil"/>
            </w:tcBorders>
            <w:shd w:val="clear" w:color="auto" w:fill="FFFFFF" w:themeFill="background1"/>
            <w:vAlign w:val="center"/>
            <w:hideMark/>
          </w:tcPr>
          <w:p w14:paraId="102BE8E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726,385,830 </w:t>
            </w:r>
          </w:p>
        </w:tc>
      </w:tr>
      <w:tr w:rsidR="009654FE" w:rsidRPr="000842AA" w14:paraId="1917BD2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5C4C5123"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8.1.8</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6D1922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 ISR</w:t>
            </w:r>
          </w:p>
        </w:tc>
        <w:tc>
          <w:tcPr>
            <w:tcW w:w="1749" w:type="dxa"/>
            <w:tcBorders>
              <w:top w:val="nil"/>
              <w:left w:val="nil"/>
              <w:bottom w:val="single" w:sz="8" w:space="0" w:color="auto"/>
              <w:right w:val="nil"/>
            </w:tcBorders>
            <w:shd w:val="clear" w:color="auto" w:fill="FFFFFF" w:themeFill="background1"/>
            <w:vAlign w:val="center"/>
            <w:hideMark/>
          </w:tcPr>
          <w:p w14:paraId="60E05488"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1,245,409,748 </w:t>
            </w:r>
          </w:p>
        </w:tc>
      </w:tr>
      <w:tr w:rsidR="009654FE" w:rsidRPr="000842AA" w14:paraId="60723BC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3EC0292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8.1.8.1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6CF8A36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ISR Estado</w:t>
            </w:r>
          </w:p>
        </w:tc>
        <w:tc>
          <w:tcPr>
            <w:tcW w:w="1749" w:type="dxa"/>
            <w:tcBorders>
              <w:top w:val="nil"/>
              <w:left w:val="nil"/>
              <w:bottom w:val="single" w:sz="8" w:space="0" w:color="auto"/>
              <w:right w:val="nil"/>
            </w:tcBorders>
            <w:shd w:val="clear" w:color="auto" w:fill="FFFFFF" w:themeFill="background1"/>
            <w:vAlign w:val="center"/>
            <w:hideMark/>
          </w:tcPr>
          <w:p w14:paraId="19A16A2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1,098,861,375 </w:t>
            </w:r>
          </w:p>
        </w:tc>
      </w:tr>
      <w:tr w:rsidR="009654FE" w:rsidRPr="000842AA" w14:paraId="331510B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196CF4F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8.1.8.2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3FDE11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ISR Municipios</w:t>
            </w:r>
          </w:p>
        </w:tc>
        <w:tc>
          <w:tcPr>
            <w:tcW w:w="1749" w:type="dxa"/>
            <w:tcBorders>
              <w:top w:val="nil"/>
              <w:left w:val="nil"/>
              <w:bottom w:val="single" w:sz="8" w:space="0" w:color="auto"/>
              <w:right w:val="nil"/>
            </w:tcBorders>
            <w:shd w:val="clear" w:color="auto" w:fill="FFFFFF" w:themeFill="background1"/>
            <w:vAlign w:val="center"/>
            <w:hideMark/>
          </w:tcPr>
          <w:p w14:paraId="3DB064B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146,548,373 </w:t>
            </w:r>
          </w:p>
        </w:tc>
      </w:tr>
      <w:tr w:rsidR="009654FE" w:rsidRPr="000842AA" w14:paraId="2A2E84A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4A2EC120"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8.1.9</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EB3CC8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 de Estabilización de los ingresos de las Entidades Federativas</w:t>
            </w:r>
          </w:p>
        </w:tc>
        <w:tc>
          <w:tcPr>
            <w:tcW w:w="1749" w:type="dxa"/>
            <w:tcBorders>
              <w:top w:val="nil"/>
              <w:left w:val="nil"/>
              <w:bottom w:val="single" w:sz="8" w:space="0" w:color="auto"/>
              <w:right w:val="nil"/>
            </w:tcBorders>
            <w:shd w:val="clear" w:color="auto" w:fill="FFFFFF" w:themeFill="background1"/>
            <w:vAlign w:val="center"/>
            <w:hideMark/>
          </w:tcPr>
          <w:p w14:paraId="52B94F92"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62114A9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5A3FB1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8.1.9.1</w:t>
            </w:r>
          </w:p>
        </w:tc>
        <w:tc>
          <w:tcPr>
            <w:tcW w:w="6560" w:type="dxa"/>
            <w:tcBorders>
              <w:top w:val="nil"/>
              <w:left w:val="nil"/>
              <w:bottom w:val="single" w:sz="8" w:space="0" w:color="auto"/>
              <w:right w:val="single" w:sz="8" w:space="0" w:color="auto"/>
            </w:tcBorders>
            <w:shd w:val="clear" w:color="auto" w:fill="auto"/>
            <w:noWrap/>
            <w:vAlign w:val="center"/>
            <w:hideMark/>
          </w:tcPr>
          <w:p w14:paraId="0EE4AE4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Estabilización de los ingresos de las Entidades Federativas por Fondo General</w:t>
            </w:r>
          </w:p>
        </w:tc>
        <w:tc>
          <w:tcPr>
            <w:tcW w:w="1749" w:type="dxa"/>
            <w:tcBorders>
              <w:top w:val="nil"/>
              <w:left w:val="nil"/>
              <w:bottom w:val="single" w:sz="8" w:space="0" w:color="auto"/>
              <w:right w:val="nil"/>
            </w:tcBorders>
            <w:shd w:val="clear" w:color="auto" w:fill="FFFFFF" w:themeFill="background1"/>
            <w:vAlign w:val="center"/>
            <w:hideMark/>
          </w:tcPr>
          <w:p w14:paraId="75FF66A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5C9E9A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C665D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8.1.9.2</w:t>
            </w:r>
          </w:p>
        </w:tc>
        <w:tc>
          <w:tcPr>
            <w:tcW w:w="6560" w:type="dxa"/>
            <w:tcBorders>
              <w:top w:val="nil"/>
              <w:left w:val="nil"/>
              <w:bottom w:val="single" w:sz="8" w:space="0" w:color="auto"/>
              <w:right w:val="single" w:sz="8" w:space="0" w:color="auto"/>
            </w:tcBorders>
            <w:shd w:val="clear" w:color="auto" w:fill="auto"/>
            <w:noWrap/>
            <w:vAlign w:val="center"/>
            <w:hideMark/>
          </w:tcPr>
          <w:p w14:paraId="0E2EA20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Estabilización de los ingresos de las Entidades Federativas por Fondo de Fomento Municipal</w:t>
            </w:r>
          </w:p>
        </w:tc>
        <w:tc>
          <w:tcPr>
            <w:tcW w:w="1749" w:type="dxa"/>
            <w:tcBorders>
              <w:top w:val="nil"/>
              <w:left w:val="nil"/>
              <w:bottom w:val="single" w:sz="8" w:space="0" w:color="auto"/>
              <w:right w:val="nil"/>
            </w:tcBorders>
            <w:shd w:val="clear" w:color="auto" w:fill="FFFFFF" w:themeFill="background1"/>
            <w:vAlign w:val="center"/>
            <w:hideMark/>
          </w:tcPr>
          <w:p w14:paraId="2E0B626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6D5137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E163B6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8.1.9.3</w:t>
            </w:r>
          </w:p>
        </w:tc>
        <w:tc>
          <w:tcPr>
            <w:tcW w:w="6560" w:type="dxa"/>
            <w:tcBorders>
              <w:top w:val="nil"/>
              <w:left w:val="nil"/>
              <w:bottom w:val="single" w:sz="8" w:space="0" w:color="auto"/>
              <w:right w:val="single" w:sz="8" w:space="0" w:color="auto"/>
            </w:tcBorders>
            <w:shd w:val="clear" w:color="auto" w:fill="auto"/>
            <w:noWrap/>
            <w:vAlign w:val="center"/>
            <w:hideMark/>
          </w:tcPr>
          <w:p w14:paraId="25F2E3E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Estabilización de los ingresos de las Entidades Federativas por Fondo de Fiscalización y Recaudación</w:t>
            </w:r>
          </w:p>
        </w:tc>
        <w:tc>
          <w:tcPr>
            <w:tcW w:w="1749" w:type="dxa"/>
            <w:tcBorders>
              <w:top w:val="nil"/>
              <w:left w:val="nil"/>
              <w:bottom w:val="single" w:sz="8" w:space="0" w:color="auto"/>
              <w:right w:val="nil"/>
            </w:tcBorders>
            <w:shd w:val="clear" w:color="auto" w:fill="FFFFFF" w:themeFill="background1"/>
            <w:vAlign w:val="center"/>
            <w:hideMark/>
          </w:tcPr>
          <w:p w14:paraId="721DA87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FD9BA4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BABAB"/>
            <w:noWrap/>
            <w:vAlign w:val="center"/>
            <w:hideMark/>
          </w:tcPr>
          <w:p w14:paraId="67583FC0"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8.2</w:t>
            </w:r>
          </w:p>
        </w:tc>
        <w:tc>
          <w:tcPr>
            <w:tcW w:w="6560" w:type="dxa"/>
            <w:tcBorders>
              <w:top w:val="nil"/>
              <w:left w:val="nil"/>
              <w:bottom w:val="single" w:sz="8" w:space="0" w:color="auto"/>
              <w:right w:val="single" w:sz="8" w:space="0" w:color="auto"/>
            </w:tcBorders>
            <w:shd w:val="clear" w:color="auto" w:fill="ABABAB"/>
            <w:noWrap/>
            <w:vAlign w:val="center"/>
            <w:hideMark/>
          </w:tcPr>
          <w:p w14:paraId="3F929745"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Aportaciones</w:t>
            </w:r>
          </w:p>
        </w:tc>
        <w:tc>
          <w:tcPr>
            <w:tcW w:w="1749" w:type="dxa"/>
            <w:tcBorders>
              <w:top w:val="nil"/>
              <w:left w:val="nil"/>
              <w:bottom w:val="single" w:sz="8" w:space="0" w:color="auto"/>
              <w:right w:val="nil"/>
            </w:tcBorders>
            <w:shd w:val="clear" w:color="auto" w:fill="ABABAB"/>
            <w:vAlign w:val="center"/>
            <w:hideMark/>
          </w:tcPr>
          <w:p w14:paraId="75C208D5"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18,997,335,227 </w:t>
            </w:r>
          </w:p>
        </w:tc>
      </w:tr>
      <w:tr w:rsidR="009654FE" w:rsidRPr="000842AA" w14:paraId="4D5AF3D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ECB389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8.2.1</w:t>
            </w:r>
          </w:p>
        </w:tc>
        <w:tc>
          <w:tcPr>
            <w:tcW w:w="6560" w:type="dxa"/>
            <w:tcBorders>
              <w:top w:val="nil"/>
              <w:left w:val="nil"/>
              <w:bottom w:val="single" w:sz="8" w:space="0" w:color="auto"/>
              <w:right w:val="single" w:sz="8" w:space="0" w:color="auto"/>
            </w:tcBorders>
            <w:shd w:val="clear" w:color="auto" w:fill="auto"/>
            <w:noWrap/>
            <w:vAlign w:val="center"/>
            <w:hideMark/>
          </w:tcPr>
          <w:p w14:paraId="6546BEB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la Nómina Educativa y Gasto Operativo</w:t>
            </w:r>
          </w:p>
        </w:tc>
        <w:tc>
          <w:tcPr>
            <w:tcW w:w="1749" w:type="dxa"/>
            <w:tcBorders>
              <w:top w:val="nil"/>
              <w:left w:val="nil"/>
              <w:bottom w:val="single" w:sz="8" w:space="0" w:color="auto"/>
              <w:right w:val="nil"/>
            </w:tcBorders>
            <w:shd w:val="clear" w:color="auto" w:fill="FFFFFF" w:themeFill="background1"/>
            <w:vAlign w:val="center"/>
            <w:hideMark/>
          </w:tcPr>
          <w:p w14:paraId="660E4AD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8,806,420,555 </w:t>
            </w:r>
          </w:p>
        </w:tc>
      </w:tr>
      <w:tr w:rsidR="009654FE" w:rsidRPr="000842AA" w14:paraId="0AC3D26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548C2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8.2.2</w:t>
            </w:r>
          </w:p>
        </w:tc>
        <w:tc>
          <w:tcPr>
            <w:tcW w:w="6560" w:type="dxa"/>
            <w:tcBorders>
              <w:top w:val="nil"/>
              <w:left w:val="nil"/>
              <w:bottom w:val="single" w:sz="8" w:space="0" w:color="auto"/>
              <w:right w:val="single" w:sz="8" w:space="0" w:color="auto"/>
            </w:tcBorders>
            <w:shd w:val="clear" w:color="auto" w:fill="auto"/>
            <w:noWrap/>
            <w:vAlign w:val="center"/>
            <w:hideMark/>
          </w:tcPr>
          <w:p w14:paraId="436B507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los Servicios de Salud</w:t>
            </w:r>
          </w:p>
        </w:tc>
        <w:tc>
          <w:tcPr>
            <w:tcW w:w="1749" w:type="dxa"/>
            <w:tcBorders>
              <w:top w:val="nil"/>
              <w:left w:val="nil"/>
              <w:bottom w:val="single" w:sz="8" w:space="0" w:color="auto"/>
              <w:right w:val="nil"/>
            </w:tcBorders>
            <w:shd w:val="clear" w:color="auto" w:fill="FFFFFF" w:themeFill="background1"/>
            <w:vAlign w:val="center"/>
            <w:hideMark/>
          </w:tcPr>
          <w:p w14:paraId="06FBF3C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2,754,398,308 </w:t>
            </w:r>
          </w:p>
        </w:tc>
      </w:tr>
      <w:tr w:rsidR="009654FE" w:rsidRPr="000842AA" w14:paraId="15D0D73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56B098B"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8.2.3</w:t>
            </w:r>
          </w:p>
        </w:tc>
        <w:tc>
          <w:tcPr>
            <w:tcW w:w="6560" w:type="dxa"/>
            <w:tcBorders>
              <w:top w:val="nil"/>
              <w:left w:val="nil"/>
              <w:bottom w:val="single" w:sz="8" w:space="0" w:color="auto"/>
              <w:right w:val="single" w:sz="8" w:space="0" w:color="auto"/>
            </w:tcBorders>
            <w:shd w:val="clear" w:color="auto" w:fill="auto"/>
            <w:noWrap/>
            <w:vAlign w:val="center"/>
            <w:hideMark/>
          </w:tcPr>
          <w:p w14:paraId="4659CA5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 de Aportaciones para la infraestructura Social</w:t>
            </w:r>
          </w:p>
        </w:tc>
        <w:tc>
          <w:tcPr>
            <w:tcW w:w="1749" w:type="dxa"/>
            <w:tcBorders>
              <w:top w:val="nil"/>
              <w:left w:val="nil"/>
              <w:bottom w:val="single" w:sz="8" w:space="0" w:color="auto"/>
              <w:right w:val="nil"/>
            </w:tcBorders>
            <w:shd w:val="clear" w:color="auto" w:fill="auto"/>
            <w:vAlign w:val="center"/>
            <w:hideMark/>
          </w:tcPr>
          <w:p w14:paraId="7DB4A2A7"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2,659,127,050 </w:t>
            </w:r>
          </w:p>
        </w:tc>
      </w:tr>
      <w:tr w:rsidR="009654FE" w:rsidRPr="000842AA" w14:paraId="1D41B79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7DCCD8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8.2.3.1</w:t>
            </w:r>
          </w:p>
        </w:tc>
        <w:tc>
          <w:tcPr>
            <w:tcW w:w="6560" w:type="dxa"/>
            <w:tcBorders>
              <w:top w:val="nil"/>
              <w:left w:val="nil"/>
              <w:bottom w:val="single" w:sz="8" w:space="0" w:color="auto"/>
              <w:right w:val="single" w:sz="8" w:space="0" w:color="auto"/>
            </w:tcBorders>
            <w:shd w:val="clear" w:color="auto" w:fill="auto"/>
            <w:noWrap/>
            <w:vAlign w:val="center"/>
            <w:hideMark/>
          </w:tcPr>
          <w:p w14:paraId="3CC522C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la Infraestructura Social Municipales</w:t>
            </w:r>
          </w:p>
        </w:tc>
        <w:tc>
          <w:tcPr>
            <w:tcW w:w="1749" w:type="dxa"/>
            <w:tcBorders>
              <w:top w:val="nil"/>
              <w:left w:val="nil"/>
              <w:bottom w:val="single" w:sz="8" w:space="0" w:color="auto"/>
              <w:right w:val="nil"/>
            </w:tcBorders>
            <w:shd w:val="clear" w:color="auto" w:fill="FFFFFF" w:themeFill="background1"/>
            <w:vAlign w:val="center"/>
            <w:hideMark/>
          </w:tcPr>
          <w:p w14:paraId="71D5419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2,336,802,248 </w:t>
            </w:r>
          </w:p>
        </w:tc>
      </w:tr>
      <w:tr w:rsidR="009654FE" w:rsidRPr="000842AA" w14:paraId="6200A65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D2BDF4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8.2.3.2</w:t>
            </w:r>
          </w:p>
        </w:tc>
        <w:tc>
          <w:tcPr>
            <w:tcW w:w="6560" w:type="dxa"/>
            <w:tcBorders>
              <w:top w:val="nil"/>
              <w:left w:val="nil"/>
              <w:bottom w:val="single" w:sz="8" w:space="0" w:color="auto"/>
              <w:right w:val="single" w:sz="8" w:space="0" w:color="auto"/>
            </w:tcBorders>
            <w:shd w:val="clear" w:color="auto" w:fill="auto"/>
            <w:noWrap/>
            <w:vAlign w:val="center"/>
            <w:hideMark/>
          </w:tcPr>
          <w:p w14:paraId="1720DFE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la Infraestructura Social Estatal</w:t>
            </w:r>
          </w:p>
        </w:tc>
        <w:tc>
          <w:tcPr>
            <w:tcW w:w="1749" w:type="dxa"/>
            <w:tcBorders>
              <w:top w:val="nil"/>
              <w:left w:val="nil"/>
              <w:bottom w:val="single" w:sz="8" w:space="0" w:color="auto"/>
              <w:right w:val="nil"/>
            </w:tcBorders>
            <w:shd w:val="clear" w:color="auto" w:fill="FFFFFF" w:themeFill="background1"/>
            <w:vAlign w:val="center"/>
            <w:hideMark/>
          </w:tcPr>
          <w:p w14:paraId="633ACE1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322,324,802 </w:t>
            </w:r>
          </w:p>
        </w:tc>
      </w:tr>
      <w:tr w:rsidR="009654FE" w:rsidRPr="000842AA" w14:paraId="5AB4B29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DFA1F9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8.2.4</w:t>
            </w:r>
          </w:p>
        </w:tc>
        <w:tc>
          <w:tcPr>
            <w:tcW w:w="6560" w:type="dxa"/>
            <w:tcBorders>
              <w:top w:val="nil"/>
              <w:left w:val="nil"/>
              <w:bottom w:val="single" w:sz="8" w:space="0" w:color="auto"/>
              <w:right w:val="single" w:sz="8" w:space="0" w:color="auto"/>
            </w:tcBorders>
            <w:shd w:val="clear" w:color="auto" w:fill="auto"/>
            <w:noWrap/>
            <w:vAlign w:val="center"/>
            <w:hideMark/>
          </w:tcPr>
          <w:p w14:paraId="0F9B92D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el Fortalecimiento de los Municipios</w:t>
            </w:r>
          </w:p>
        </w:tc>
        <w:tc>
          <w:tcPr>
            <w:tcW w:w="1749" w:type="dxa"/>
            <w:tcBorders>
              <w:top w:val="nil"/>
              <w:left w:val="nil"/>
              <w:bottom w:val="single" w:sz="8" w:space="0" w:color="auto"/>
              <w:right w:val="nil"/>
            </w:tcBorders>
            <w:shd w:val="clear" w:color="auto" w:fill="FFFFFF" w:themeFill="background1"/>
            <w:vAlign w:val="center"/>
            <w:hideMark/>
          </w:tcPr>
          <w:p w14:paraId="5E5E176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2,249,188,462 </w:t>
            </w:r>
          </w:p>
        </w:tc>
      </w:tr>
      <w:tr w:rsidR="009654FE" w:rsidRPr="000842AA" w14:paraId="2725A61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13350F2"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8.2.5</w:t>
            </w:r>
          </w:p>
        </w:tc>
        <w:tc>
          <w:tcPr>
            <w:tcW w:w="6560" w:type="dxa"/>
            <w:tcBorders>
              <w:top w:val="nil"/>
              <w:left w:val="nil"/>
              <w:bottom w:val="single" w:sz="8" w:space="0" w:color="auto"/>
              <w:right w:val="single" w:sz="8" w:space="0" w:color="auto"/>
            </w:tcBorders>
            <w:shd w:val="clear" w:color="auto" w:fill="auto"/>
            <w:noWrap/>
            <w:vAlign w:val="center"/>
            <w:hideMark/>
          </w:tcPr>
          <w:p w14:paraId="08B53FD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 de Aportaciones Múltiples</w:t>
            </w:r>
          </w:p>
        </w:tc>
        <w:tc>
          <w:tcPr>
            <w:tcW w:w="1749" w:type="dxa"/>
            <w:tcBorders>
              <w:top w:val="nil"/>
              <w:left w:val="nil"/>
              <w:bottom w:val="single" w:sz="8" w:space="0" w:color="auto"/>
              <w:right w:val="nil"/>
            </w:tcBorders>
            <w:shd w:val="clear" w:color="auto" w:fill="auto"/>
            <w:vAlign w:val="center"/>
            <w:hideMark/>
          </w:tcPr>
          <w:p w14:paraId="2C5DD79E"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782,412,013 </w:t>
            </w:r>
          </w:p>
        </w:tc>
      </w:tr>
      <w:tr w:rsidR="009654FE" w:rsidRPr="000842AA" w14:paraId="2A7F355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A60693C"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8.2.5.1</w:t>
            </w:r>
          </w:p>
        </w:tc>
        <w:tc>
          <w:tcPr>
            <w:tcW w:w="6560" w:type="dxa"/>
            <w:tcBorders>
              <w:top w:val="nil"/>
              <w:left w:val="nil"/>
              <w:bottom w:val="single" w:sz="8" w:space="0" w:color="auto"/>
              <w:right w:val="single" w:sz="8" w:space="0" w:color="auto"/>
            </w:tcBorders>
            <w:shd w:val="clear" w:color="auto" w:fill="auto"/>
            <w:noWrap/>
            <w:vAlign w:val="center"/>
            <w:hideMark/>
          </w:tcPr>
          <w:p w14:paraId="0FB21032"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Infraestructura Educativa</w:t>
            </w:r>
          </w:p>
        </w:tc>
        <w:tc>
          <w:tcPr>
            <w:tcW w:w="1749" w:type="dxa"/>
            <w:tcBorders>
              <w:top w:val="nil"/>
              <w:left w:val="nil"/>
              <w:bottom w:val="single" w:sz="8" w:space="0" w:color="auto"/>
              <w:right w:val="nil"/>
            </w:tcBorders>
            <w:shd w:val="clear" w:color="auto" w:fill="auto"/>
            <w:vAlign w:val="center"/>
            <w:hideMark/>
          </w:tcPr>
          <w:p w14:paraId="3D240922"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364,440,818 </w:t>
            </w:r>
          </w:p>
        </w:tc>
      </w:tr>
      <w:tr w:rsidR="009654FE" w:rsidRPr="000842AA" w14:paraId="72500C8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D2D47B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8.2.5.1.1</w:t>
            </w:r>
          </w:p>
        </w:tc>
        <w:tc>
          <w:tcPr>
            <w:tcW w:w="6560" w:type="dxa"/>
            <w:tcBorders>
              <w:top w:val="nil"/>
              <w:left w:val="nil"/>
              <w:bottom w:val="single" w:sz="8" w:space="0" w:color="auto"/>
              <w:right w:val="single" w:sz="8" w:space="0" w:color="auto"/>
            </w:tcBorders>
            <w:shd w:val="clear" w:color="auto" w:fill="auto"/>
            <w:noWrap/>
            <w:vAlign w:val="center"/>
            <w:hideMark/>
          </w:tcPr>
          <w:p w14:paraId="7D24B81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Infraestructura Educativa Básica</w:t>
            </w:r>
          </w:p>
        </w:tc>
        <w:tc>
          <w:tcPr>
            <w:tcW w:w="1749" w:type="dxa"/>
            <w:tcBorders>
              <w:top w:val="nil"/>
              <w:left w:val="nil"/>
              <w:bottom w:val="single" w:sz="8" w:space="0" w:color="auto"/>
              <w:right w:val="nil"/>
            </w:tcBorders>
            <w:shd w:val="clear" w:color="auto" w:fill="FFFFFF" w:themeFill="background1"/>
            <w:vAlign w:val="center"/>
            <w:hideMark/>
          </w:tcPr>
          <w:p w14:paraId="04B6C27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249,981,587 </w:t>
            </w:r>
          </w:p>
        </w:tc>
      </w:tr>
      <w:tr w:rsidR="009654FE" w:rsidRPr="000842AA" w14:paraId="1FC20C7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3FE609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8.2.5.1.2</w:t>
            </w:r>
          </w:p>
        </w:tc>
        <w:tc>
          <w:tcPr>
            <w:tcW w:w="6560" w:type="dxa"/>
            <w:tcBorders>
              <w:top w:val="nil"/>
              <w:left w:val="nil"/>
              <w:bottom w:val="single" w:sz="8" w:space="0" w:color="auto"/>
              <w:right w:val="single" w:sz="8" w:space="0" w:color="auto"/>
            </w:tcBorders>
            <w:shd w:val="clear" w:color="auto" w:fill="auto"/>
            <w:noWrap/>
            <w:vAlign w:val="center"/>
            <w:hideMark/>
          </w:tcPr>
          <w:p w14:paraId="50CBE23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Infraestructura Educativa Superior</w:t>
            </w:r>
          </w:p>
        </w:tc>
        <w:tc>
          <w:tcPr>
            <w:tcW w:w="1749" w:type="dxa"/>
            <w:tcBorders>
              <w:top w:val="nil"/>
              <w:left w:val="nil"/>
              <w:bottom w:val="single" w:sz="8" w:space="0" w:color="auto"/>
              <w:right w:val="nil"/>
            </w:tcBorders>
            <w:shd w:val="clear" w:color="auto" w:fill="FFFFFF" w:themeFill="background1"/>
            <w:vAlign w:val="center"/>
            <w:hideMark/>
          </w:tcPr>
          <w:p w14:paraId="38B2004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93,220,862 </w:t>
            </w:r>
          </w:p>
        </w:tc>
      </w:tr>
      <w:tr w:rsidR="009654FE" w:rsidRPr="000842AA" w14:paraId="759E6B2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2644B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8.2.5.1.3</w:t>
            </w:r>
          </w:p>
        </w:tc>
        <w:tc>
          <w:tcPr>
            <w:tcW w:w="6560" w:type="dxa"/>
            <w:tcBorders>
              <w:top w:val="nil"/>
              <w:left w:val="nil"/>
              <w:bottom w:val="single" w:sz="8" w:space="0" w:color="auto"/>
              <w:right w:val="single" w:sz="8" w:space="0" w:color="auto"/>
            </w:tcBorders>
            <w:shd w:val="clear" w:color="auto" w:fill="auto"/>
            <w:noWrap/>
            <w:vAlign w:val="center"/>
            <w:hideMark/>
          </w:tcPr>
          <w:p w14:paraId="0C9F2EA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Infraestructura Educativa Media Superior y Superior</w:t>
            </w:r>
          </w:p>
        </w:tc>
        <w:tc>
          <w:tcPr>
            <w:tcW w:w="1749" w:type="dxa"/>
            <w:tcBorders>
              <w:top w:val="nil"/>
              <w:left w:val="nil"/>
              <w:bottom w:val="single" w:sz="8" w:space="0" w:color="auto"/>
              <w:right w:val="nil"/>
            </w:tcBorders>
            <w:shd w:val="clear" w:color="auto" w:fill="FFFFFF" w:themeFill="background1"/>
            <w:vAlign w:val="center"/>
            <w:hideMark/>
          </w:tcPr>
          <w:p w14:paraId="51CE625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21,238,369 </w:t>
            </w:r>
          </w:p>
        </w:tc>
      </w:tr>
      <w:tr w:rsidR="009654FE" w:rsidRPr="000842AA" w14:paraId="0E610EC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980C98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8.2.5.2</w:t>
            </w:r>
          </w:p>
        </w:tc>
        <w:tc>
          <w:tcPr>
            <w:tcW w:w="6560" w:type="dxa"/>
            <w:tcBorders>
              <w:top w:val="nil"/>
              <w:left w:val="nil"/>
              <w:bottom w:val="single" w:sz="8" w:space="0" w:color="auto"/>
              <w:right w:val="single" w:sz="8" w:space="0" w:color="auto"/>
            </w:tcBorders>
            <w:shd w:val="clear" w:color="auto" w:fill="auto"/>
            <w:noWrap/>
            <w:vAlign w:val="center"/>
            <w:hideMark/>
          </w:tcPr>
          <w:p w14:paraId="3CC0E3B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Asistencia Social</w:t>
            </w:r>
          </w:p>
        </w:tc>
        <w:tc>
          <w:tcPr>
            <w:tcW w:w="1749" w:type="dxa"/>
            <w:tcBorders>
              <w:top w:val="nil"/>
              <w:left w:val="nil"/>
              <w:bottom w:val="single" w:sz="8" w:space="0" w:color="auto"/>
              <w:right w:val="nil"/>
            </w:tcBorders>
            <w:shd w:val="clear" w:color="auto" w:fill="FFFFFF" w:themeFill="background1"/>
            <w:vAlign w:val="center"/>
            <w:hideMark/>
          </w:tcPr>
          <w:p w14:paraId="4EEDA85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417,971,195 </w:t>
            </w:r>
          </w:p>
        </w:tc>
      </w:tr>
      <w:tr w:rsidR="009654FE" w:rsidRPr="000842AA" w14:paraId="76654F6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C804F44"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8.2.6</w:t>
            </w:r>
          </w:p>
        </w:tc>
        <w:tc>
          <w:tcPr>
            <w:tcW w:w="6560" w:type="dxa"/>
            <w:tcBorders>
              <w:top w:val="nil"/>
              <w:left w:val="nil"/>
              <w:bottom w:val="single" w:sz="8" w:space="0" w:color="auto"/>
              <w:right w:val="single" w:sz="8" w:space="0" w:color="auto"/>
            </w:tcBorders>
            <w:shd w:val="clear" w:color="auto" w:fill="auto"/>
            <w:noWrap/>
            <w:vAlign w:val="center"/>
            <w:hideMark/>
          </w:tcPr>
          <w:p w14:paraId="216DCA48"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 de Aportaciones para la Educación Tecnológica y de Adultos</w:t>
            </w:r>
          </w:p>
        </w:tc>
        <w:tc>
          <w:tcPr>
            <w:tcW w:w="1749" w:type="dxa"/>
            <w:tcBorders>
              <w:top w:val="nil"/>
              <w:left w:val="nil"/>
              <w:bottom w:val="single" w:sz="8" w:space="0" w:color="auto"/>
              <w:right w:val="nil"/>
            </w:tcBorders>
            <w:shd w:val="clear" w:color="auto" w:fill="auto"/>
            <w:vAlign w:val="center"/>
            <w:hideMark/>
          </w:tcPr>
          <w:p w14:paraId="0BF5F930"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256,090,417 </w:t>
            </w:r>
          </w:p>
        </w:tc>
      </w:tr>
      <w:tr w:rsidR="009654FE" w:rsidRPr="000842AA" w14:paraId="6F16E90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7A4C9C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8.2.6.1</w:t>
            </w:r>
          </w:p>
        </w:tc>
        <w:tc>
          <w:tcPr>
            <w:tcW w:w="6560" w:type="dxa"/>
            <w:tcBorders>
              <w:top w:val="nil"/>
              <w:left w:val="nil"/>
              <w:bottom w:val="single" w:sz="8" w:space="0" w:color="auto"/>
              <w:right w:val="single" w:sz="8" w:space="0" w:color="auto"/>
            </w:tcBorders>
            <w:shd w:val="clear" w:color="auto" w:fill="auto"/>
            <w:noWrap/>
            <w:vAlign w:val="center"/>
            <w:hideMark/>
          </w:tcPr>
          <w:p w14:paraId="77DDFF0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Educación Tecnológica</w:t>
            </w:r>
          </w:p>
        </w:tc>
        <w:tc>
          <w:tcPr>
            <w:tcW w:w="1749" w:type="dxa"/>
            <w:tcBorders>
              <w:top w:val="nil"/>
              <w:left w:val="nil"/>
              <w:bottom w:val="single" w:sz="8" w:space="0" w:color="auto"/>
              <w:right w:val="nil"/>
            </w:tcBorders>
            <w:shd w:val="clear" w:color="auto" w:fill="FFFFFF" w:themeFill="background1"/>
            <w:vAlign w:val="center"/>
            <w:hideMark/>
          </w:tcPr>
          <w:p w14:paraId="1A8EB0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147,499,614 </w:t>
            </w:r>
          </w:p>
        </w:tc>
      </w:tr>
      <w:tr w:rsidR="009654FE" w:rsidRPr="000842AA" w14:paraId="0D2A17B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CF5D3E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8.2.6.2</w:t>
            </w:r>
          </w:p>
        </w:tc>
        <w:tc>
          <w:tcPr>
            <w:tcW w:w="6560" w:type="dxa"/>
            <w:tcBorders>
              <w:top w:val="nil"/>
              <w:left w:val="nil"/>
              <w:bottom w:val="single" w:sz="8" w:space="0" w:color="auto"/>
              <w:right w:val="single" w:sz="8" w:space="0" w:color="auto"/>
            </w:tcBorders>
            <w:shd w:val="clear" w:color="auto" w:fill="auto"/>
            <w:noWrap/>
            <w:vAlign w:val="center"/>
            <w:hideMark/>
          </w:tcPr>
          <w:p w14:paraId="5DCE5D2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Educación de Adultos</w:t>
            </w:r>
          </w:p>
        </w:tc>
        <w:tc>
          <w:tcPr>
            <w:tcW w:w="1749" w:type="dxa"/>
            <w:tcBorders>
              <w:top w:val="nil"/>
              <w:left w:val="nil"/>
              <w:bottom w:val="single" w:sz="8" w:space="0" w:color="auto"/>
              <w:right w:val="nil"/>
            </w:tcBorders>
            <w:shd w:val="clear" w:color="auto" w:fill="FFFFFF" w:themeFill="background1"/>
            <w:vAlign w:val="center"/>
            <w:hideMark/>
          </w:tcPr>
          <w:p w14:paraId="50D8185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108,590,803 </w:t>
            </w:r>
          </w:p>
        </w:tc>
      </w:tr>
      <w:tr w:rsidR="009654FE" w:rsidRPr="000842AA" w14:paraId="57611A1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2DCD97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8.2.7</w:t>
            </w:r>
          </w:p>
        </w:tc>
        <w:tc>
          <w:tcPr>
            <w:tcW w:w="6560" w:type="dxa"/>
            <w:tcBorders>
              <w:top w:val="nil"/>
              <w:left w:val="nil"/>
              <w:bottom w:val="single" w:sz="8" w:space="0" w:color="auto"/>
              <w:right w:val="single" w:sz="8" w:space="0" w:color="auto"/>
            </w:tcBorders>
            <w:shd w:val="clear" w:color="auto" w:fill="auto"/>
            <w:noWrap/>
            <w:vAlign w:val="center"/>
            <w:hideMark/>
          </w:tcPr>
          <w:p w14:paraId="0D8E979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la Seguridad Pública de los Estados</w:t>
            </w:r>
          </w:p>
        </w:tc>
        <w:tc>
          <w:tcPr>
            <w:tcW w:w="1749" w:type="dxa"/>
            <w:tcBorders>
              <w:top w:val="nil"/>
              <w:left w:val="nil"/>
              <w:bottom w:val="single" w:sz="8" w:space="0" w:color="auto"/>
              <w:right w:val="nil"/>
            </w:tcBorders>
            <w:shd w:val="clear" w:color="auto" w:fill="FFFFFF" w:themeFill="background1"/>
            <w:vAlign w:val="center"/>
            <w:hideMark/>
          </w:tcPr>
          <w:p w14:paraId="325A905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212,773,217 </w:t>
            </w:r>
          </w:p>
        </w:tc>
      </w:tr>
      <w:tr w:rsidR="009654FE" w:rsidRPr="000842AA" w14:paraId="33AEA6B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332200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8.2.8</w:t>
            </w:r>
          </w:p>
        </w:tc>
        <w:tc>
          <w:tcPr>
            <w:tcW w:w="6560" w:type="dxa"/>
            <w:tcBorders>
              <w:top w:val="nil"/>
              <w:left w:val="nil"/>
              <w:bottom w:val="single" w:sz="8" w:space="0" w:color="auto"/>
              <w:right w:val="single" w:sz="8" w:space="0" w:color="auto"/>
            </w:tcBorders>
            <w:shd w:val="clear" w:color="auto" w:fill="auto"/>
            <w:noWrap/>
            <w:vAlign w:val="center"/>
            <w:hideMark/>
          </w:tcPr>
          <w:p w14:paraId="750346D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Aportaciones para el Fortalecimiento de las Entidades Federativas</w:t>
            </w:r>
          </w:p>
        </w:tc>
        <w:tc>
          <w:tcPr>
            <w:tcW w:w="1749" w:type="dxa"/>
            <w:tcBorders>
              <w:top w:val="nil"/>
              <w:left w:val="nil"/>
              <w:bottom w:val="single" w:sz="8" w:space="0" w:color="auto"/>
              <w:right w:val="nil"/>
            </w:tcBorders>
            <w:shd w:val="clear" w:color="auto" w:fill="FFFFFF" w:themeFill="background1"/>
            <w:vAlign w:val="center"/>
            <w:hideMark/>
          </w:tcPr>
          <w:p w14:paraId="19C19CF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1,276,925,205 </w:t>
            </w:r>
          </w:p>
        </w:tc>
      </w:tr>
      <w:tr w:rsidR="009654FE" w:rsidRPr="000842AA" w14:paraId="37C9F39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BABAB"/>
            <w:noWrap/>
            <w:vAlign w:val="center"/>
            <w:hideMark/>
          </w:tcPr>
          <w:p w14:paraId="4E3D7F4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w:t>
            </w:r>
          </w:p>
        </w:tc>
        <w:tc>
          <w:tcPr>
            <w:tcW w:w="6560" w:type="dxa"/>
            <w:tcBorders>
              <w:top w:val="nil"/>
              <w:left w:val="nil"/>
              <w:bottom w:val="single" w:sz="8" w:space="0" w:color="auto"/>
              <w:right w:val="single" w:sz="8" w:space="0" w:color="auto"/>
            </w:tcBorders>
            <w:shd w:val="clear" w:color="auto" w:fill="ABABAB"/>
            <w:noWrap/>
            <w:vAlign w:val="center"/>
            <w:hideMark/>
          </w:tcPr>
          <w:p w14:paraId="2849DD95"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Convenios</w:t>
            </w:r>
          </w:p>
        </w:tc>
        <w:tc>
          <w:tcPr>
            <w:tcW w:w="1749" w:type="dxa"/>
            <w:tcBorders>
              <w:top w:val="nil"/>
              <w:left w:val="nil"/>
              <w:bottom w:val="single" w:sz="8" w:space="0" w:color="auto"/>
              <w:right w:val="nil"/>
            </w:tcBorders>
            <w:shd w:val="clear" w:color="auto" w:fill="ABABAB"/>
            <w:vAlign w:val="center"/>
            <w:hideMark/>
          </w:tcPr>
          <w:p w14:paraId="34C6557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2,882,147,164 </w:t>
            </w:r>
          </w:p>
        </w:tc>
      </w:tr>
      <w:tr w:rsidR="009654FE" w:rsidRPr="000842AA" w14:paraId="6277656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5992287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8.3.1</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72743CE"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Salud</w:t>
            </w:r>
          </w:p>
        </w:tc>
        <w:tc>
          <w:tcPr>
            <w:tcW w:w="1749" w:type="dxa"/>
            <w:tcBorders>
              <w:top w:val="nil"/>
              <w:left w:val="nil"/>
              <w:bottom w:val="single" w:sz="8" w:space="0" w:color="auto"/>
              <w:right w:val="nil"/>
            </w:tcBorders>
            <w:shd w:val="clear" w:color="auto" w:fill="D9D9D9" w:themeFill="background1" w:themeFillShade="D9"/>
            <w:vAlign w:val="center"/>
            <w:hideMark/>
          </w:tcPr>
          <w:p w14:paraId="1861293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894,330,866 </w:t>
            </w:r>
          </w:p>
        </w:tc>
      </w:tr>
      <w:tr w:rsidR="009654FE" w:rsidRPr="000842AA" w14:paraId="3B87A34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97AA16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8.3.1.1</w:t>
            </w:r>
          </w:p>
        </w:tc>
        <w:tc>
          <w:tcPr>
            <w:tcW w:w="6560" w:type="dxa"/>
            <w:tcBorders>
              <w:top w:val="nil"/>
              <w:left w:val="nil"/>
              <w:bottom w:val="single" w:sz="8" w:space="0" w:color="auto"/>
              <w:right w:val="single" w:sz="8" w:space="0" w:color="auto"/>
            </w:tcBorders>
            <w:shd w:val="clear" w:color="auto" w:fill="auto"/>
            <w:noWrap/>
            <w:vAlign w:val="center"/>
            <w:hideMark/>
          </w:tcPr>
          <w:p w14:paraId="108F872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Prestación Gratuita de Servicios de Salud</w:t>
            </w:r>
          </w:p>
        </w:tc>
        <w:tc>
          <w:tcPr>
            <w:tcW w:w="1749" w:type="dxa"/>
            <w:tcBorders>
              <w:top w:val="nil"/>
              <w:left w:val="nil"/>
              <w:bottom w:val="single" w:sz="8" w:space="0" w:color="auto"/>
              <w:right w:val="nil"/>
            </w:tcBorders>
            <w:shd w:val="clear" w:color="auto" w:fill="FFFFFF" w:themeFill="background1"/>
            <w:vAlign w:val="center"/>
            <w:hideMark/>
          </w:tcPr>
          <w:p w14:paraId="6D3F96C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844,548,565 </w:t>
            </w:r>
          </w:p>
        </w:tc>
      </w:tr>
      <w:tr w:rsidR="009654FE" w:rsidRPr="000842AA" w14:paraId="7114627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D8F14E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8.3.1.2</w:t>
            </w:r>
          </w:p>
        </w:tc>
        <w:tc>
          <w:tcPr>
            <w:tcW w:w="6560" w:type="dxa"/>
            <w:tcBorders>
              <w:top w:val="nil"/>
              <w:left w:val="nil"/>
              <w:bottom w:val="single" w:sz="8" w:space="0" w:color="auto"/>
              <w:right w:val="single" w:sz="8" w:space="0" w:color="auto"/>
            </w:tcBorders>
            <w:shd w:val="clear" w:color="auto" w:fill="auto"/>
            <w:noWrap/>
            <w:vAlign w:val="center"/>
            <w:hideMark/>
          </w:tcPr>
          <w:p w14:paraId="5521103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Convenio Específico CRESCA Conadic Cenadic Yuc 001</w:t>
            </w:r>
          </w:p>
        </w:tc>
        <w:tc>
          <w:tcPr>
            <w:tcW w:w="1749" w:type="dxa"/>
            <w:tcBorders>
              <w:top w:val="nil"/>
              <w:left w:val="nil"/>
              <w:bottom w:val="single" w:sz="8" w:space="0" w:color="auto"/>
              <w:right w:val="nil"/>
            </w:tcBorders>
            <w:shd w:val="clear" w:color="auto" w:fill="FFFFFF" w:themeFill="background1"/>
            <w:vAlign w:val="center"/>
            <w:hideMark/>
          </w:tcPr>
          <w:p w14:paraId="70791B2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4,313,618 </w:t>
            </w:r>
          </w:p>
        </w:tc>
      </w:tr>
      <w:tr w:rsidR="009654FE" w:rsidRPr="000842AA" w14:paraId="723246A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612564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8.3.1.3</w:t>
            </w:r>
          </w:p>
        </w:tc>
        <w:tc>
          <w:tcPr>
            <w:tcW w:w="6560" w:type="dxa"/>
            <w:tcBorders>
              <w:top w:val="nil"/>
              <w:left w:val="nil"/>
              <w:bottom w:val="single" w:sz="8" w:space="0" w:color="auto"/>
              <w:right w:val="single" w:sz="8" w:space="0" w:color="auto"/>
            </w:tcBorders>
            <w:shd w:val="clear" w:color="auto" w:fill="auto"/>
            <w:noWrap/>
            <w:vAlign w:val="center"/>
            <w:hideMark/>
          </w:tcPr>
          <w:p w14:paraId="7883F28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Protección contra riesgos catastróficos</w:t>
            </w:r>
          </w:p>
        </w:tc>
        <w:tc>
          <w:tcPr>
            <w:tcW w:w="1749" w:type="dxa"/>
            <w:tcBorders>
              <w:top w:val="nil"/>
              <w:left w:val="nil"/>
              <w:bottom w:val="single" w:sz="8" w:space="0" w:color="auto"/>
              <w:right w:val="nil"/>
            </w:tcBorders>
            <w:shd w:val="clear" w:color="auto" w:fill="FFFFFF" w:themeFill="background1"/>
            <w:vAlign w:val="center"/>
            <w:hideMark/>
          </w:tcPr>
          <w:p w14:paraId="78FBE2A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DACC55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DCE555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8.3.1.4</w:t>
            </w:r>
          </w:p>
        </w:tc>
        <w:tc>
          <w:tcPr>
            <w:tcW w:w="6560" w:type="dxa"/>
            <w:tcBorders>
              <w:top w:val="nil"/>
              <w:left w:val="nil"/>
              <w:bottom w:val="single" w:sz="8" w:space="0" w:color="auto"/>
              <w:right w:val="single" w:sz="8" w:space="0" w:color="auto"/>
            </w:tcBorders>
            <w:shd w:val="clear" w:color="auto" w:fill="auto"/>
            <w:noWrap/>
            <w:vAlign w:val="center"/>
            <w:hideMark/>
          </w:tcPr>
          <w:p w14:paraId="3FAD5D4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Seguro Médico XXI</w:t>
            </w:r>
          </w:p>
        </w:tc>
        <w:tc>
          <w:tcPr>
            <w:tcW w:w="1749" w:type="dxa"/>
            <w:tcBorders>
              <w:top w:val="nil"/>
              <w:left w:val="nil"/>
              <w:bottom w:val="single" w:sz="8" w:space="0" w:color="auto"/>
              <w:right w:val="nil"/>
            </w:tcBorders>
            <w:shd w:val="clear" w:color="auto" w:fill="FFFFFF" w:themeFill="background1"/>
            <w:vAlign w:val="center"/>
            <w:hideMark/>
          </w:tcPr>
          <w:p w14:paraId="78E1134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976CC9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81B3F8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8.3.1.5</w:t>
            </w:r>
          </w:p>
        </w:tc>
        <w:tc>
          <w:tcPr>
            <w:tcW w:w="6560" w:type="dxa"/>
            <w:tcBorders>
              <w:top w:val="nil"/>
              <w:left w:val="nil"/>
              <w:bottom w:val="single" w:sz="8" w:space="0" w:color="auto"/>
              <w:right w:val="single" w:sz="8" w:space="0" w:color="auto"/>
            </w:tcBorders>
            <w:shd w:val="clear" w:color="auto" w:fill="auto"/>
            <w:noWrap/>
            <w:vAlign w:val="center"/>
            <w:hideMark/>
          </w:tcPr>
          <w:p w14:paraId="6861A67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Acuerdo para el Fortalecimiento de las Acciones de Salud Pública en los Estados (AFASPE)</w:t>
            </w:r>
          </w:p>
        </w:tc>
        <w:tc>
          <w:tcPr>
            <w:tcW w:w="1749" w:type="dxa"/>
            <w:tcBorders>
              <w:top w:val="nil"/>
              <w:left w:val="nil"/>
              <w:bottom w:val="single" w:sz="8" w:space="0" w:color="auto"/>
              <w:right w:val="nil"/>
            </w:tcBorders>
            <w:shd w:val="clear" w:color="auto" w:fill="FFFFFF" w:themeFill="background1"/>
            <w:vAlign w:val="center"/>
            <w:hideMark/>
          </w:tcPr>
          <w:p w14:paraId="053BFD7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1F9C53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D929B7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8.3.1.6</w:t>
            </w:r>
          </w:p>
        </w:tc>
        <w:tc>
          <w:tcPr>
            <w:tcW w:w="6560" w:type="dxa"/>
            <w:tcBorders>
              <w:top w:val="nil"/>
              <w:left w:val="nil"/>
              <w:bottom w:val="single" w:sz="8" w:space="0" w:color="auto"/>
              <w:right w:val="single" w:sz="8" w:space="0" w:color="auto"/>
            </w:tcBorders>
            <w:shd w:val="clear" w:color="auto" w:fill="auto"/>
            <w:noWrap/>
            <w:vAlign w:val="center"/>
            <w:hideMark/>
          </w:tcPr>
          <w:p w14:paraId="4C62CDF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Fortalecimiento a la Atención Médica (Caravanas)</w:t>
            </w:r>
          </w:p>
        </w:tc>
        <w:tc>
          <w:tcPr>
            <w:tcW w:w="1749" w:type="dxa"/>
            <w:tcBorders>
              <w:top w:val="nil"/>
              <w:left w:val="nil"/>
              <w:bottom w:val="single" w:sz="8" w:space="0" w:color="auto"/>
              <w:right w:val="nil"/>
            </w:tcBorders>
            <w:shd w:val="clear" w:color="auto" w:fill="FFFFFF" w:themeFill="background1"/>
            <w:vAlign w:val="center"/>
            <w:hideMark/>
          </w:tcPr>
          <w:p w14:paraId="05845D3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3,974,005 </w:t>
            </w:r>
          </w:p>
        </w:tc>
      </w:tr>
      <w:tr w:rsidR="009654FE" w:rsidRPr="000842AA" w14:paraId="3D3C94D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60F1FC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8.3.1.7</w:t>
            </w:r>
          </w:p>
        </w:tc>
        <w:tc>
          <w:tcPr>
            <w:tcW w:w="6560" w:type="dxa"/>
            <w:tcBorders>
              <w:top w:val="nil"/>
              <w:left w:val="nil"/>
              <w:bottom w:val="single" w:sz="8" w:space="0" w:color="auto"/>
              <w:right w:val="single" w:sz="8" w:space="0" w:color="auto"/>
            </w:tcBorders>
            <w:shd w:val="clear" w:color="auto" w:fill="auto"/>
            <w:noWrap/>
            <w:vAlign w:val="center"/>
            <w:hideMark/>
          </w:tcPr>
          <w:p w14:paraId="2D42DE8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Comisión Federal para la Protección contra riesgos Sanitarios (COFEPRIS)</w:t>
            </w:r>
          </w:p>
        </w:tc>
        <w:tc>
          <w:tcPr>
            <w:tcW w:w="1749" w:type="dxa"/>
            <w:tcBorders>
              <w:top w:val="nil"/>
              <w:left w:val="nil"/>
              <w:bottom w:val="single" w:sz="8" w:space="0" w:color="auto"/>
              <w:right w:val="nil"/>
            </w:tcBorders>
            <w:shd w:val="clear" w:color="auto" w:fill="FFFFFF" w:themeFill="background1"/>
            <w:vAlign w:val="center"/>
            <w:hideMark/>
          </w:tcPr>
          <w:p w14:paraId="795E99B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59FB07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826EA5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8.3.1.8</w:t>
            </w:r>
          </w:p>
        </w:tc>
        <w:tc>
          <w:tcPr>
            <w:tcW w:w="6560" w:type="dxa"/>
            <w:tcBorders>
              <w:top w:val="nil"/>
              <w:left w:val="nil"/>
              <w:bottom w:val="single" w:sz="8" w:space="0" w:color="auto"/>
              <w:right w:val="single" w:sz="8" w:space="0" w:color="auto"/>
            </w:tcBorders>
            <w:shd w:val="clear" w:color="auto" w:fill="auto"/>
            <w:noWrap/>
            <w:vAlign w:val="center"/>
            <w:hideMark/>
          </w:tcPr>
          <w:p w14:paraId="67F8536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a las Instancias de Mujeres (PAIMEF)</w:t>
            </w:r>
          </w:p>
        </w:tc>
        <w:tc>
          <w:tcPr>
            <w:tcW w:w="1749" w:type="dxa"/>
            <w:tcBorders>
              <w:top w:val="nil"/>
              <w:left w:val="nil"/>
              <w:bottom w:val="single" w:sz="8" w:space="0" w:color="auto"/>
              <w:right w:val="nil"/>
            </w:tcBorders>
            <w:shd w:val="clear" w:color="auto" w:fill="FFFFFF" w:themeFill="background1"/>
            <w:vAlign w:val="center"/>
            <w:hideMark/>
          </w:tcPr>
          <w:p w14:paraId="3CA4B42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8,694,094 </w:t>
            </w:r>
          </w:p>
        </w:tc>
      </w:tr>
      <w:tr w:rsidR="009654FE" w:rsidRPr="000842AA" w14:paraId="0CCD235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A422BA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8.3.1.9</w:t>
            </w:r>
          </w:p>
        </w:tc>
        <w:tc>
          <w:tcPr>
            <w:tcW w:w="6560" w:type="dxa"/>
            <w:tcBorders>
              <w:top w:val="nil"/>
              <w:left w:val="nil"/>
              <w:bottom w:val="single" w:sz="8" w:space="0" w:color="auto"/>
              <w:right w:val="single" w:sz="8" w:space="0" w:color="auto"/>
            </w:tcBorders>
            <w:shd w:val="clear" w:color="auto" w:fill="auto"/>
            <w:noWrap/>
            <w:vAlign w:val="center"/>
            <w:hideMark/>
          </w:tcPr>
          <w:p w14:paraId="4790D49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Fortalecimiento a la Transversalidad de la Perspectiva de Género</w:t>
            </w:r>
          </w:p>
        </w:tc>
        <w:tc>
          <w:tcPr>
            <w:tcW w:w="1749" w:type="dxa"/>
            <w:tcBorders>
              <w:top w:val="nil"/>
              <w:left w:val="nil"/>
              <w:bottom w:val="single" w:sz="8" w:space="0" w:color="auto"/>
              <w:right w:val="nil"/>
            </w:tcBorders>
            <w:shd w:val="clear" w:color="auto" w:fill="FFFFFF" w:themeFill="background1"/>
            <w:vAlign w:val="center"/>
            <w:hideMark/>
          </w:tcPr>
          <w:p w14:paraId="1A38B6E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13,016,591 </w:t>
            </w:r>
          </w:p>
        </w:tc>
      </w:tr>
      <w:tr w:rsidR="009654FE" w:rsidRPr="000842AA" w14:paraId="0B47FBA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4D1AAA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8.3.1.10</w:t>
            </w:r>
          </w:p>
        </w:tc>
        <w:tc>
          <w:tcPr>
            <w:tcW w:w="6560" w:type="dxa"/>
            <w:tcBorders>
              <w:top w:val="nil"/>
              <w:left w:val="nil"/>
              <w:bottom w:val="single" w:sz="8" w:space="0" w:color="auto"/>
              <w:right w:val="single" w:sz="8" w:space="0" w:color="auto"/>
            </w:tcBorders>
            <w:shd w:val="clear" w:color="auto" w:fill="auto"/>
            <w:noWrap/>
            <w:vAlign w:val="center"/>
            <w:hideMark/>
          </w:tcPr>
          <w:p w14:paraId="6A8BBD2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Atención a la Salud y Medicamentos Gratuitos para la población sin Seguridad Social Laboral</w:t>
            </w:r>
          </w:p>
        </w:tc>
        <w:tc>
          <w:tcPr>
            <w:tcW w:w="1749" w:type="dxa"/>
            <w:tcBorders>
              <w:top w:val="nil"/>
              <w:left w:val="nil"/>
              <w:bottom w:val="single" w:sz="8" w:space="0" w:color="auto"/>
              <w:right w:val="nil"/>
            </w:tcBorders>
            <w:shd w:val="clear" w:color="auto" w:fill="FFFFFF" w:themeFill="background1"/>
            <w:vAlign w:val="center"/>
            <w:hideMark/>
          </w:tcPr>
          <w:p w14:paraId="0DE452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E04EE2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38CFB7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8.3.1.11</w:t>
            </w:r>
          </w:p>
        </w:tc>
        <w:tc>
          <w:tcPr>
            <w:tcW w:w="6560" w:type="dxa"/>
            <w:tcBorders>
              <w:top w:val="nil"/>
              <w:left w:val="nil"/>
              <w:bottom w:val="single" w:sz="8" w:space="0" w:color="auto"/>
              <w:right w:val="single" w:sz="8" w:space="0" w:color="auto"/>
            </w:tcBorders>
            <w:shd w:val="clear" w:color="auto" w:fill="auto"/>
            <w:noWrap/>
            <w:vAlign w:val="center"/>
            <w:hideMark/>
          </w:tcPr>
          <w:p w14:paraId="32981C5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Atención a personas con Discapacidad "Equipamiento"</w:t>
            </w:r>
          </w:p>
        </w:tc>
        <w:tc>
          <w:tcPr>
            <w:tcW w:w="1749" w:type="dxa"/>
            <w:tcBorders>
              <w:top w:val="nil"/>
              <w:left w:val="nil"/>
              <w:bottom w:val="single" w:sz="8" w:space="0" w:color="auto"/>
              <w:right w:val="nil"/>
            </w:tcBorders>
            <w:shd w:val="clear" w:color="auto" w:fill="FFFFFF" w:themeFill="background1"/>
            <w:vAlign w:val="center"/>
            <w:hideMark/>
          </w:tcPr>
          <w:p w14:paraId="1083DEB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1,256,737 </w:t>
            </w:r>
          </w:p>
        </w:tc>
      </w:tr>
      <w:tr w:rsidR="009654FE" w:rsidRPr="000842AA" w14:paraId="40CC185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E30FA7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8.3.1.12</w:t>
            </w:r>
          </w:p>
        </w:tc>
        <w:tc>
          <w:tcPr>
            <w:tcW w:w="6560" w:type="dxa"/>
            <w:tcBorders>
              <w:top w:val="nil"/>
              <w:left w:val="nil"/>
              <w:bottom w:val="single" w:sz="8" w:space="0" w:color="auto"/>
              <w:right w:val="single" w:sz="8" w:space="0" w:color="auto"/>
            </w:tcBorders>
            <w:shd w:val="clear" w:color="auto" w:fill="auto"/>
            <w:noWrap/>
            <w:vAlign w:val="center"/>
            <w:hideMark/>
          </w:tcPr>
          <w:p w14:paraId="0804F50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Acciones en materia de Salud Pública en las Entidades Federativas (SANAS)</w:t>
            </w:r>
          </w:p>
        </w:tc>
        <w:tc>
          <w:tcPr>
            <w:tcW w:w="1749" w:type="dxa"/>
            <w:tcBorders>
              <w:top w:val="nil"/>
              <w:left w:val="nil"/>
              <w:bottom w:val="single" w:sz="8" w:space="0" w:color="auto"/>
              <w:right w:val="nil"/>
            </w:tcBorders>
            <w:shd w:val="clear" w:color="auto" w:fill="FFFFFF" w:themeFill="background1"/>
            <w:vAlign w:val="center"/>
            <w:hideMark/>
          </w:tcPr>
          <w:p w14:paraId="4138F2E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18,527,256 </w:t>
            </w:r>
          </w:p>
        </w:tc>
      </w:tr>
      <w:tr w:rsidR="009654FE" w:rsidRPr="000842AA" w14:paraId="3D1C221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0CF45F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8.3.1.13</w:t>
            </w:r>
          </w:p>
        </w:tc>
        <w:tc>
          <w:tcPr>
            <w:tcW w:w="6560" w:type="dxa"/>
            <w:tcBorders>
              <w:top w:val="nil"/>
              <w:left w:val="nil"/>
              <w:bottom w:val="single" w:sz="8" w:space="0" w:color="auto"/>
              <w:right w:val="single" w:sz="8" w:space="0" w:color="auto"/>
            </w:tcBorders>
            <w:shd w:val="clear" w:color="auto" w:fill="auto"/>
            <w:noWrap/>
            <w:vAlign w:val="center"/>
            <w:hideMark/>
          </w:tcPr>
          <w:p w14:paraId="5ABC8FB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Salud</w:t>
            </w:r>
          </w:p>
        </w:tc>
        <w:tc>
          <w:tcPr>
            <w:tcW w:w="1749" w:type="dxa"/>
            <w:tcBorders>
              <w:top w:val="nil"/>
              <w:left w:val="nil"/>
              <w:bottom w:val="single" w:sz="8" w:space="0" w:color="auto"/>
              <w:right w:val="nil"/>
            </w:tcBorders>
            <w:shd w:val="clear" w:color="auto" w:fill="FFFFFF" w:themeFill="background1"/>
            <w:vAlign w:val="center"/>
            <w:hideMark/>
          </w:tcPr>
          <w:p w14:paraId="0EE332A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005068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7B53AC6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8.3.2</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090D02"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Educación</w:t>
            </w:r>
          </w:p>
        </w:tc>
        <w:tc>
          <w:tcPr>
            <w:tcW w:w="1749" w:type="dxa"/>
            <w:tcBorders>
              <w:top w:val="nil"/>
              <w:left w:val="nil"/>
              <w:bottom w:val="single" w:sz="8" w:space="0" w:color="auto"/>
              <w:right w:val="nil"/>
            </w:tcBorders>
            <w:shd w:val="clear" w:color="auto" w:fill="D9D9D9" w:themeFill="background1" w:themeFillShade="D9"/>
            <w:vAlign w:val="center"/>
            <w:hideMark/>
          </w:tcPr>
          <w:p w14:paraId="7A44E4A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1,800,369,173 </w:t>
            </w:r>
          </w:p>
        </w:tc>
      </w:tr>
      <w:tr w:rsidR="009654FE" w:rsidRPr="000842AA" w14:paraId="2A9DD05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BD9437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w:t>
            </w:r>
          </w:p>
        </w:tc>
        <w:tc>
          <w:tcPr>
            <w:tcW w:w="6560" w:type="dxa"/>
            <w:tcBorders>
              <w:top w:val="nil"/>
              <w:left w:val="nil"/>
              <w:bottom w:val="single" w:sz="8" w:space="0" w:color="auto"/>
              <w:right w:val="single" w:sz="8" w:space="0" w:color="auto"/>
            </w:tcBorders>
            <w:shd w:val="clear" w:color="auto" w:fill="auto"/>
            <w:noWrap/>
            <w:vAlign w:val="center"/>
            <w:hideMark/>
          </w:tcPr>
          <w:p w14:paraId="78FCEEF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Convenio de Coordinación y Colaboración (CONADE)</w:t>
            </w:r>
          </w:p>
        </w:tc>
        <w:tc>
          <w:tcPr>
            <w:tcW w:w="1749" w:type="dxa"/>
            <w:tcBorders>
              <w:top w:val="nil"/>
              <w:left w:val="nil"/>
              <w:bottom w:val="single" w:sz="8" w:space="0" w:color="auto"/>
              <w:right w:val="nil"/>
            </w:tcBorders>
            <w:shd w:val="clear" w:color="auto" w:fill="FFFFFF" w:themeFill="background1"/>
            <w:vAlign w:val="center"/>
            <w:hideMark/>
          </w:tcPr>
          <w:p w14:paraId="1A6833F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A9B2F0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34F468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w:t>
            </w:r>
          </w:p>
        </w:tc>
        <w:tc>
          <w:tcPr>
            <w:tcW w:w="6560" w:type="dxa"/>
            <w:tcBorders>
              <w:top w:val="nil"/>
              <w:left w:val="nil"/>
              <w:bottom w:val="single" w:sz="8" w:space="0" w:color="auto"/>
              <w:right w:val="single" w:sz="8" w:space="0" w:color="auto"/>
            </w:tcBorders>
            <w:shd w:val="clear" w:color="auto" w:fill="auto"/>
            <w:noWrap/>
            <w:vAlign w:val="center"/>
            <w:hideMark/>
          </w:tcPr>
          <w:p w14:paraId="135121C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U080 Apoyos a centros y organizaciones de educación</w:t>
            </w:r>
          </w:p>
        </w:tc>
        <w:tc>
          <w:tcPr>
            <w:tcW w:w="1749" w:type="dxa"/>
            <w:tcBorders>
              <w:top w:val="nil"/>
              <w:left w:val="nil"/>
              <w:bottom w:val="single" w:sz="8" w:space="0" w:color="auto"/>
              <w:right w:val="nil"/>
            </w:tcBorders>
            <w:shd w:val="clear" w:color="auto" w:fill="FFFFFF" w:themeFill="background1"/>
            <w:vAlign w:val="center"/>
            <w:hideMark/>
          </w:tcPr>
          <w:p w14:paraId="2A89916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1,000,000,000 </w:t>
            </w:r>
          </w:p>
        </w:tc>
      </w:tr>
      <w:tr w:rsidR="009654FE" w:rsidRPr="000842AA" w14:paraId="28A6585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E67CB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w:t>
            </w:r>
          </w:p>
        </w:tc>
        <w:tc>
          <w:tcPr>
            <w:tcW w:w="6560" w:type="dxa"/>
            <w:tcBorders>
              <w:top w:val="nil"/>
              <w:left w:val="nil"/>
              <w:bottom w:val="single" w:sz="8" w:space="0" w:color="auto"/>
              <w:right w:val="single" w:sz="8" w:space="0" w:color="auto"/>
            </w:tcBorders>
            <w:shd w:val="clear" w:color="auto" w:fill="auto"/>
            <w:noWrap/>
            <w:vAlign w:val="center"/>
            <w:hideMark/>
          </w:tcPr>
          <w:p w14:paraId="5EF7C57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Gastos de operación para el Colegio de Estudios Científicos y Tecnológicos de Yucatán (CECYTEY)</w:t>
            </w:r>
          </w:p>
        </w:tc>
        <w:tc>
          <w:tcPr>
            <w:tcW w:w="1749" w:type="dxa"/>
            <w:tcBorders>
              <w:top w:val="nil"/>
              <w:left w:val="nil"/>
              <w:bottom w:val="single" w:sz="8" w:space="0" w:color="auto"/>
              <w:right w:val="nil"/>
            </w:tcBorders>
            <w:shd w:val="clear" w:color="auto" w:fill="FFFFFF" w:themeFill="background1"/>
            <w:vAlign w:val="center"/>
            <w:hideMark/>
          </w:tcPr>
          <w:p w14:paraId="62606F9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86,850,048 </w:t>
            </w:r>
          </w:p>
        </w:tc>
      </w:tr>
      <w:tr w:rsidR="009654FE" w:rsidRPr="000842AA" w14:paraId="2B083BA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096C8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8.3.2.4</w:t>
            </w:r>
          </w:p>
        </w:tc>
        <w:tc>
          <w:tcPr>
            <w:tcW w:w="6560" w:type="dxa"/>
            <w:tcBorders>
              <w:top w:val="nil"/>
              <w:left w:val="nil"/>
              <w:bottom w:val="single" w:sz="8" w:space="0" w:color="auto"/>
              <w:right w:val="single" w:sz="8" w:space="0" w:color="auto"/>
            </w:tcBorders>
            <w:shd w:val="clear" w:color="auto" w:fill="auto"/>
            <w:noWrap/>
            <w:vAlign w:val="center"/>
            <w:hideMark/>
          </w:tcPr>
          <w:p w14:paraId="0386B15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Colegio de Bachilleres de Yucatán (COBAY)</w:t>
            </w:r>
          </w:p>
        </w:tc>
        <w:tc>
          <w:tcPr>
            <w:tcW w:w="1749" w:type="dxa"/>
            <w:tcBorders>
              <w:top w:val="nil"/>
              <w:left w:val="nil"/>
              <w:bottom w:val="single" w:sz="8" w:space="0" w:color="auto"/>
              <w:right w:val="nil"/>
            </w:tcBorders>
            <w:shd w:val="clear" w:color="auto" w:fill="FFFFFF" w:themeFill="background1"/>
            <w:vAlign w:val="center"/>
            <w:hideMark/>
          </w:tcPr>
          <w:p w14:paraId="614EE73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400,544,533 </w:t>
            </w:r>
          </w:p>
        </w:tc>
      </w:tr>
      <w:tr w:rsidR="009654FE" w:rsidRPr="000842AA" w14:paraId="0418D73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5E59BB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8.3.2.5</w:t>
            </w:r>
          </w:p>
        </w:tc>
        <w:tc>
          <w:tcPr>
            <w:tcW w:w="6560" w:type="dxa"/>
            <w:tcBorders>
              <w:top w:val="nil"/>
              <w:left w:val="nil"/>
              <w:bottom w:val="single" w:sz="8" w:space="0" w:color="auto"/>
              <w:right w:val="single" w:sz="8" w:space="0" w:color="auto"/>
            </w:tcBorders>
            <w:shd w:val="clear" w:color="auto" w:fill="auto"/>
            <w:noWrap/>
            <w:vAlign w:val="center"/>
            <w:hideMark/>
          </w:tcPr>
          <w:p w14:paraId="04935C6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Atención a la Demanda (IEAEY)</w:t>
            </w:r>
          </w:p>
        </w:tc>
        <w:tc>
          <w:tcPr>
            <w:tcW w:w="1749" w:type="dxa"/>
            <w:tcBorders>
              <w:top w:val="nil"/>
              <w:left w:val="nil"/>
              <w:bottom w:val="single" w:sz="8" w:space="0" w:color="auto"/>
              <w:right w:val="nil"/>
            </w:tcBorders>
            <w:shd w:val="clear" w:color="auto" w:fill="FFFFFF" w:themeFill="background1"/>
            <w:vAlign w:val="center"/>
            <w:hideMark/>
          </w:tcPr>
          <w:p w14:paraId="244B9ED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16,409,433 </w:t>
            </w:r>
          </w:p>
        </w:tc>
      </w:tr>
      <w:tr w:rsidR="009654FE" w:rsidRPr="000842AA" w14:paraId="55F50AC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80585F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8.3.2.6</w:t>
            </w:r>
          </w:p>
        </w:tc>
        <w:tc>
          <w:tcPr>
            <w:tcW w:w="6560" w:type="dxa"/>
            <w:tcBorders>
              <w:top w:val="nil"/>
              <w:left w:val="nil"/>
              <w:bottom w:val="single" w:sz="8" w:space="0" w:color="auto"/>
              <w:right w:val="single" w:sz="8" w:space="0" w:color="auto"/>
            </w:tcBorders>
            <w:shd w:val="clear" w:color="auto" w:fill="auto"/>
            <w:noWrap/>
            <w:vAlign w:val="center"/>
            <w:hideMark/>
          </w:tcPr>
          <w:p w14:paraId="16F2246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a la Universidad de Oriente</w:t>
            </w:r>
          </w:p>
        </w:tc>
        <w:tc>
          <w:tcPr>
            <w:tcW w:w="1749" w:type="dxa"/>
            <w:tcBorders>
              <w:top w:val="nil"/>
              <w:left w:val="nil"/>
              <w:bottom w:val="single" w:sz="8" w:space="0" w:color="auto"/>
              <w:right w:val="nil"/>
            </w:tcBorders>
            <w:shd w:val="clear" w:color="auto" w:fill="FFFFFF" w:themeFill="background1"/>
            <w:vAlign w:val="center"/>
            <w:hideMark/>
          </w:tcPr>
          <w:p w14:paraId="626BA06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19,111,589 </w:t>
            </w:r>
          </w:p>
        </w:tc>
      </w:tr>
      <w:tr w:rsidR="009654FE" w:rsidRPr="000842AA" w14:paraId="5E03EF4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4AB1DB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8.3.2.7</w:t>
            </w:r>
          </w:p>
        </w:tc>
        <w:tc>
          <w:tcPr>
            <w:tcW w:w="6560" w:type="dxa"/>
            <w:tcBorders>
              <w:top w:val="nil"/>
              <w:left w:val="nil"/>
              <w:bottom w:val="single" w:sz="8" w:space="0" w:color="auto"/>
              <w:right w:val="single" w:sz="8" w:space="0" w:color="auto"/>
            </w:tcBorders>
            <w:shd w:val="clear" w:color="auto" w:fill="auto"/>
            <w:noWrap/>
            <w:vAlign w:val="center"/>
            <w:hideMark/>
          </w:tcPr>
          <w:p w14:paraId="23A0539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para la Universidad Tecnológica Metropolitana</w:t>
            </w:r>
          </w:p>
        </w:tc>
        <w:tc>
          <w:tcPr>
            <w:tcW w:w="1749" w:type="dxa"/>
            <w:tcBorders>
              <w:top w:val="nil"/>
              <w:left w:val="nil"/>
              <w:bottom w:val="single" w:sz="8" w:space="0" w:color="auto"/>
              <w:right w:val="nil"/>
            </w:tcBorders>
            <w:shd w:val="clear" w:color="auto" w:fill="FFFFFF" w:themeFill="background1"/>
            <w:vAlign w:val="center"/>
            <w:hideMark/>
          </w:tcPr>
          <w:p w14:paraId="58B2CA3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59,172,298 </w:t>
            </w:r>
          </w:p>
        </w:tc>
      </w:tr>
      <w:tr w:rsidR="009654FE" w:rsidRPr="000842AA" w14:paraId="228BB7F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7FF4E1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8.3.2.8</w:t>
            </w:r>
          </w:p>
        </w:tc>
        <w:tc>
          <w:tcPr>
            <w:tcW w:w="6560" w:type="dxa"/>
            <w:tcBorders>
              <w:top w:val="nil"/>
              <w:left w:val="nil"/>
              <w:bottom w:val="single" w:sz="8" w:space="0" w:color="auto"/>
              <w:right w:val="single" w:sz="8" w:space="0" w:color="auto"/>
            </w:tcBorders>
            <w:shd w:val="clear" w:color="auto" w:fill="auto"/>
            <w:noWrap/>
            <w:vAlign w:val="center"/>
            <w:hideMark/>
          </w:tcPr>
          <w:p w14:paraId="78636CE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para la Universidad Tecnológica Regional del Sur</w:t>
            </w:r>
          </w:p>
        </w:tc>
        <w:tc>
          <w:tcPr>
            <w:tcW w:w="1749" w:type="dxa"/>
            <w:tcBorders>
              <w:top w:val="nil"/>
              <w:left w:val="nil"/>
              <w:bottom w:val="single" w:sz="8" w:space="0" w:color="auto"/>
              <w:right w:val="nil"/>
            </w:tcBorders>
            <w:shd w:val="clear" w:color="auto" w:fill="FFFFFF" w:themeFill="background1"/>
            <w:vAlign w:val="center"/>
            <w:hideMark/>
          </w:tcPr>
          <w:p w14:paraId="195665C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19,243,921 </w:t>
            </w:r>
          </w:p>
        </w:tc>
      </w:tr>
      <w:tr w:rsidR="009654FE" w:rsidRPr="000842AA" w14:paraId="2D4FA8A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51C964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8.3.2.9</w:t>
            </w:r>
          </w:p>
        </w:tc>
        <w:tc>
          <w:tcPr>
            <w:tcW w:w="6560" w:type="dxa"/>
            <w:tcBorders>
              <w:top w:val="nil"/>
              <w:left w:val="nil"/>
              <w:bottom w:val="single" w:sz="8" w:space="0" w:color="auto"/>
              <w:right w:val="single" w:sz="8" w:space="0" w:color="auto"/>
            </w:tcBorders>
            <w:shd w:val="clear" w:color="auto" w:fill="auto"/>
            <w:noWrap/>
            <w:vAlign w:val="center"/>
            <w:hideMark/>
          </w:tcPr>
          <w:p w14:paraId="14BE1A0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para la Universidad Tecnológica del Centro</w:t>
            </w:r>
          </w:p>
        </w:tc>
        <w:tc>
          <w:tcPr>
            <w:tcW w:w="1749" w:type="dxa"/>
            <w:tcBorders>
              <w:top w:val="nil"/>
              <w:left w:val="nil"/>
              <w:bottom w:val="single" w:sz="8" w:space="0" w:color="auto"/>
              <w:right w:val="nil"/>
            </w:tcBorders>
            <w:shd w:val="clear" w:color="auto" w:fill="FFFFFF" w:themeFill="background1"/>
            <w:vAlign w:val="center"/>
            <w:hideMark/>
          </w:tcPr>
          <w:p w14:paraId="5BFA53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11,616,451 </w:t>
            </w:r>
          </w:p>
        </w:tc>
      </w:tr>
      <w:tr w:rsidR="009654FE" w:rsidRPr="000842AA" w14:paraId="14E6F9C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406E8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8.3.2.10</w:t>
            </w:r>
          </w:p>
        </w:tc>
        <w:tc>
          <w:tcPr>
            <w:tcW w:w="6560" w:type="dxa"/>
            <w:tcBorders>
              <w:top w:val="nil"/>
              <w:left w:val="nil"/>
              <w:bottom w:val="single" w:sz="8" w:space="0" w:color="auto"/>
              <w:right w:val="single" w:sz="8" w:space="0" w:color="auto"/>
            </w:tcBorders>
            <w:shd w:val="clear" w:color="auto" w:fill="auto"/>
            <w:noWrap/>
            <w:vAlign w:val="center"/>
            <w:hideMark/>
          </w:tcPr>
          <w:p w14:paraId="78027BC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para la Universidad Tecnológica del Poniente</w:t>
            </w:r>
          </w:p>
        </w:tc>
        <w:tc>
          <w:tcPr>
            <w:tcW w:w="1749" w:type="dxa"/>
            <w:tcBorders>
              <w:top w:val="nil"/>
              <w:left w:val="nil"/>
              <w:bottom w:val="single" w:sz="8" w:space="0" w:color="auto"/>
              <w:right w:val="nil"/>
            </w:tcBorders>
            <w:shd w:val="clear" w:color="auto" w:fill="FFFFFF" w:themeFill="background1"/>
            <w:vAlign w:val="center"/>
            <w:hideMark/>
          </w:tcPr>
          <w:p w14:paraId="1252FE0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11,615,148 </w:t>
            </w:r>
          </w:p>
        </w:tc>
      </w:tr>
      <w:tr w:rsidR="009654FE" w:rsidRPr="000842AA" w14:paraId="160C4EA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C090E7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8.3.2.11</w:t>
            </w:r>
          </w:p>
        </w:tc>
        <w:tc>
          <w:tcPr>
            <w:tcW w:w="6560" w:type="dxa"/>
            <w:tcBorders>
              <w:top w:val="nil"/>
              <w:left w:val="nil"/>
              <w:bottom w:val="single" w:sz="8" w:space="0" w:color="auto"/>
              <w:right w:val="single" w:sz="8" w:space="0" w:color="auto"/>
            </w:tcBorders>
            <w:shd w:val="clear" w:color="auto" w:fill="auto"/>
            <w:noWrap/>
            <w:vAlign w:val="center"/>
            <w:hideMark/>
          </w:tcPr>
          <w:p w14:paraId="027D273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Apoyos Financieros para la Universidad Tecnológica del Mayab</w:t>
            </w:r>
          </w:p>
        </w:tc>
        <w:tc>
          <w:tcPr>
            <w:tcW w:w="1749" w:type="dxa"/>
            <w:tcBorders>
              <w:top w:val="nil"/>
              <w:left w:val="nil"/>
              <w:bottom w:val="single" w:sz="8" w:space="0" w:color="auto"/>
              <w:right w:val="nil"/>
            </w:tcBorders>
            <w:shd w:val="clear" w:color="auto" w:fill="FFFFFF" w:themeFill="background1"/>
            <w:vAlign w:val="center"/>
            <w:hideMark/>
          </w:tcPr>
          <w:p w14:paraId="1656ABD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13,165,659 </w:t>
            </w:r>
          </w:p>
        </w:tc>
      </w:tr>
      <w:tr w:rsidR="009654FE" w:rsidRPr="000842AA" w14:paraId="1597825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1320F7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8.3.2.12</w:t>
            </w:r>
          </w:p>
        </w:tc>
        <w:tc>
          <w:tcPr>
            <w:tcW w:w="6560" w:type="dxa"/>
            <w:tcBorders>
              <w:top w:val="nil"/>
              <w:left w:val="nil"/>
              <w:bottom w:val="single" w:sz="8" w:space="0" w:color="auto"/>
              <w:right w:val="single" w:sz="8" w:space="0" w:color="auto"/>
            </w:tcBorders>
            <w:shd w:val="clear" w:color="auto" w:fill="auto"/>
            <w:noWrap/>
            <w:vAlign w:val="center"/>
            <w:hideMark/>
          </w:tcPr>
          <w:p w14:paraId="28884E4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para el Desarrollo Profesional Docente para el Tipo Superior PRODEP</w:t>
            </w:r>
          </w:p>
        </w:tc>
        <w:tc>
          <w:tcPr>
            <w:tcW w:w="1749" w:type="dxa"/>
            <w:tcBorders>
              <w:top w:val="nil"/>
              <w:left w:val="nil"/>
              <w:bottom w:val="single" w:sz="8" w:space="0" w:color="auto"/>
              <w:right w:val="nil"/>
            </w:tcBorders>
            <w:shd w:val="clear" w:color="auto" w:fill="FFFFFF" w:themeFill="background1"/>
            <w:vAlign w:val="center"/>
            <w:hideMark/>
          </w:tcPr>
          <w:p w14:paraId="102FD1F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154,885 </w:t>
            </w:r>
          </w:p>
        </w:tc>
      </w:tr>
      <w:tr w:rsidR="009654FE" w:rsidRPr="000842AA" w14:paraId="3A65D9C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071377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8.3.2.13</w:t>
            </w:r>
          </w:p>
        </w:tc>
        <w:tc>
          <w:tcPr>
            <w:tcW w:w="6560" w:type="dxa"/>
            <w:tcBorders>
              <w:top w:val="nil"/>
              <w:left w:val="nil"/>
              <w:bottom w:val="single" w:sz="8" w:space="0" w:color="auto"/>
              <w:right w:val="single" w:sz="8" w:space="0" w:color="auto"/>
            </w:tcBorders>
            <w:shd w:val="clear" w:color="auto" w:fill="auto"/>
            <w:noWrap/>
            <w:vAlign w:val="center"/>
            <w:hideMark/>
          </w:tcPr>
          <w:p w14:paraId="426A094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Desarrollo Cultural Infantil</w:t>
            </w:r>
          </w:p>
        </w:tc>
        <w:tc>
          <w:tcPr>
            <w:tcW w:w="1749" w:type="dxa"/>
            <w:tcBorders>
              <w:top w:val="nil"/>
              <w:left w:val="nil"/>
              <w:bottom w:val="single" w:sz="8" w:space="0" w:color="auto"/>
              <w:right w:val="nil"/>
            </w:tcBorders>
            <w:shd w:val="clear" w:color="auto" w:fill="FFFFFF" w:themeFill="background1"/>
            <w:vAlign w:val="center"/>
            <w:hideMark/>
          </w:tcPr>
          <w:p w14:paraId="78F3C1F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11E2E4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060A39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8.3.2.14</w:t>
            </w:r>
          </w:p>
        </w:tc>
        <w:tc>
          <w:tcPr>
            <w:tcW w:w="6560" w:type="dxa"/>
            <w:tcBorders>
              <w:top w:val="nil"/>
              <w:left w:val="nil"/>
              <w:bottom w:val="single" w:sz="8" w:space="0" w:color="auto"/>
              <w:right w:val="single" w:sz="8" w:space="0" w:color="auto"/>
            </w:tcBorders>
            <w:shd w:val="clear" w:color="auto" w:fill="auto"/>
            <w:noWrap/>
            <w:vAlign w:val="center"/>
            <w:hideMark/>
          </w:tcPr>
          <w:p w14:paraId="46710B8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Nacional de Inglés en la Educación Básica</w:t>
            </w:r>
          </w:p>
        </w:tc>
        <w:tc>
          <w:tcPr>
            <w:tcW w:w="1749" w:type="dxa"/>
            <w:tcBorders>
              <w:top w:val="nil"/>
              <w:left w:val="nil"/>
              <w:bottom w:val="single" w:sz="8" w:space="0" w:color="auto"/>
              <w:right w:val="nil"/>
            </w:tcBorders>
            <w:shd w:val="clear" w:color="auto" w:fill="FFFFFF" w:themeFill="background1"/>
            <w:vAlign w:val="center"/>
            <w:hideMark/>
          </w:tcPr>
          <w:p w14:paraId="79D4506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15,874,636 </w:t>
            </w:r>
          </w:p>
        </w:tc>
      </w:tr>
      <w:tr w:rsidR="009654FE" w:rsidRPr="000842AA" w14:paraId="5444220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DE23B2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8.3.2.15</w:t>
            </w:r>
          </w:p>
        </w:tc>
        <w:tc>
          <w:tcPr>
            <w:tcW w:w="6560" w:type="dxa"/>
            <w:tcBorders>
              <w:top w:val="nil"/>
              <w:left w:val="nil"/>
              <w:bottom w:val="single" w:sz="8" w:space="0" w:color="auto"/>
              <w:right w:val="single" w:sz="8" w:space="0" w:color="auto"/>
            </w:tcBorders>
            <w:shd w:val="clear" w:color="auto" w:fill="auto"/>
            <w:noWrap/>
            <w:vAlign w:val="center"/>
            <w:hideMark/>
          </w:tcPr>
          <w:p w14:paraId="4B03129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a las Culturas Municipales y Comunitarias PACMYC</w:t>
            </w:r>
          </w:p>
        </w:tc>
        <w:tc>
          <w:tcPr>
            <w:tcW w:w="1749" w:type="dxa"/>
            <w:tcBorders>
              <w:top w:val="nil"/>
              <w:left w:val="nil"/>
              <w:bottom w:val="single" w:sz="8" w:space="0" w:color="auto"/>
              <w:right w:val="nil"/>
            </w:tcBorders>
            <w:shd w:val="clear" w:color="auto" w:fill="FFFFFF" w:themeFill="background1"/>
            <w:vAlign w:val="center"/>
            <w:hideMark/>
          </w:tcPr>
          <w:p w14:paraId="4FED0E2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08CF40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4DAC4D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8.3.2.16</w:t>
            </w:r>
          </w:p>
        </w:tc>
        <w:tc>
          <w:tcPr>
            <w:tcW w:w="6560" w:type="dxa"/>
            <w:tcBorders>
              <w:top w:val="nil"/>
              <w:left w:val="nil"/>
              <w:bottom w:val="single" w:sz="8" w:space="0" w:color="auto"/>
              <w:right w:val="single" w:sz="8" w:space="0" w:color="auto"/>
            </w:tcBorders>
            <w:shd w:val="clear" w:color="auto" w:fill="auto"/>
            <w:noWrap/>
            <w:vAlign w:val="center"/>
            <w:hideMark/>
          </w:tcPr>
          <w:p w14:paraId="67BEDCA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Desarrollo Cultural Municipal</w:t>
            </w:r>
          </w:p>
        </w:tc>
        <w:tc>
          <w:tcPr>
            <w:tcW w:w="1749" w:type="dxa"/>
            <w:tcBorders>
              <w:top w:val="nil"/>
              <w:left w:val="nil"/>
              <w:bottom w:val="single" w:sz="8" w:space="0" w:color="auto"/>
              <w:right w:val="nil"/>
            </w:tcBorders>
            <w:shd w:val="clear" w:color="auto" w:fill="FFFFFF" w:themeFill="background1"/>
            <w:vAlign w:val="center"/>
            <w:hideMark/>
          </w:tcPr>
          <w:p w14:paraId="2022C28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F3E5D6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A79B1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8.3.2.17</w:t>
            </w:r>
          </w:p>
        </w:tc>
        <w:tc>
          <w:tcPr>
            <w:tcW w:w="6560" w:type="dxa"/>
            <w:tcBorders>
              <w:top w:val="nil"/>
              <w:left w:val="nil"/>
              <w:bottom w:val="single" w:sz="8" w:space="0" w:color="auto"/>
              <w:right w:val="single" w:sz="8" w:space="0" w:color="auto"/>
            </w:tcBorders>
            <w:shd w:val="clear" w:color="auto" w:fill="auto"/>
            <w:noWrap/>
            <w:vAlign w:val="center"/>
            <w:hideMark/>
          </w:tcPr>
          <w:p w14:paraId="598B9A6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Convenio de Coordinación para la creación, operación y apoyo financiero del ICATY</w:t>
            </w:r>
          </w:p>
        </w:tc>
        <w:tc>
          <w:tcPr>
            <w:tcW w:w="1749" w:type="dxa"/>
            <w:tcBorders>
              <w:top w:val="nil"/>
              <w:left w:val="nil"/>
              <w:bottom w:val="single" w:sz="8" w:space="0" w:color="auto"/>
              <w:right w:val="nil"/>
            </w:tcBorders>
            <w:shd w:val="clear" w:color="auto" w:fill="FFFFFF" w:themeFill="background1"/>
            <w:vAlign w:val="center"/>
            <w:hideMark/>
          </w:tcPr>
          <w:p w14:paraId="5BAEE2C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6,689,601 </w:t>
            </w:r>
          </w:p>
        </w:tc>
      </w:tr>
      <w:tr w:rsidR="009654FE" w:rsidRPr="000842AA" w14:paraId="7736807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6914CD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8.3.2.18</w:t>
            </w:r>
          </w:p>
        </w:tc>
        <w:tc>
          <w:tcPr>
            <w:tcW w:w="6560" w:type="dxa"/>
            <w:tcBorders>
              <w:top w:val="nil"/>
              <w:left w:val="nil"/>
              <w:bottom w:val="single" w:sz="8" w:space="0" w:color="auto"/>
              <w:right w:val="single" w:sz="8" w:space="0" w:color="auto"/>
            </w:tcBorders>
            <w:shd w:val="clear" w:color="auto" w:fill="auto"/>
            <w:noWrap/>
            <w:vAlign w:val="center"/>
            <w:hideMark/>
          </w:tcPr>
          <w:p w14:paraId="3F3CF46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Institucional de Fomento Regional para el Desarrollo Científico, Tecnológico y de Innovación (FORDECYT)</w:t>
            </w:r>
          </w:p>
        </w:tc>
        <w:tc>
          <w:tcPr>
            <w:tcW w:w="1749" w:type="dxa"/>
            <w:tcBorders>
              <w:top w:val="nil"/>
              <w:left w:val="nil"/>
              <w:bottom w:val="single" w:sz="8" w:space="0" w:color="auto"/>
              <w:right w:val="nil"/>
            </w:tcBorders>
            <w:shd w:val="clear" w:color="auto" w:fill="FFFFFF" w:themeFill="background1"/>
            <w:vAlign w:val="center"/>
            <w:hideMark/>
          </w:tcPr>
          <w:p w14:paraId="2079AEE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6E1DEB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0EB652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8.3.2.19</w:t>
            </w:r>
          </w:p>
        </w:tc>
        <w:tc>
          <w:tcPr>
            <w:tcW w:w="6560" w:type="dxa"/>
            <w:tcBorders>
              <w:top w:val="nil"/>
              <w:left w:val="nil"/>
              <w:bottom w:val="single" w:sz="8" w:space="0" w:color="auto"/>
              <w:right w:val="single" w:sz="8" w:space="0" w:color="auto"/>
            </w:tcBorders>
            <w:shd w:val="clear" w:color="auto" w:fill="auto"/>
            <w:noWrap/>
            <w:vAlign w:val="center"/>
            <w:hideMark/>
          </w:tcPr>
          <w:p w14:paraId="6194F9E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 solidario para la operación de la Universidad Politécnica del Estado de Yucatán</w:t>
            </w:r>
          </w:p>
        </w:tc>
        <w:tc>
          <w:tcPr>
            <w:tcW w:w="1749" w:type="dxa"/>
            <w:tcBorders>
              <w:top w:val="nil"/>
              <w:left w:val="nil"/>
              <w:bottom w:val="single" w:sz="8" w:space="0" w:color="auto"/>
              <w:right w:val="nil"/>
            </w:tcBorders>
            <w:shd w:val="clear" w:color="auto" w:fill="FFFFFF" w:themeFill="background1"/>
            <w:vAlign w:val="center"/>
            <w:hideMark/>
          </w:tcPr>
          <w:p w14:paraId="2B4450F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5,783,827 </w:t>
            </w:r>
          </w:p>
        </w:tc>
      </w:tr>
      <w:tr w:rsidR="009654FE" w:rsidRPr="000842AA" w14:paraId="7D732BD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2297F3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8.3.2.20</w:t>
            </w:r>
          </w:p>
        </w:tc>
        <w:tc>
          <w:tcPr>
            <w:tcW w:w="6560" w:type="dxa"/>
            <w:tcBorders>
              <w:top w:val="nil"/>
              <w:left w:val="nil"/>
              <w:bottom w:val="single" w:sz="8" w:space="0" w:color="auto"/>
              <w:right w:val="single" w:sz="8" w:space="0" w:color="auto"/>
            </w:tcBorders>
            <w:shd w:val="clear" w:color="auto" w:fill="auto"/>
            <w:noWrap/>
            <w:vAlign w:val="center"/>
            <w:hideMark/>
          </w:tcPr>
          <w:p w14:paraId="1D0293D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Convenio para la Operación del Programa Expansión de la Educación Inicial</w:t>
            </w:r>
          </w:p>
        </w:tc>
        <w:tc>
          <w:tcPr>
            <w:tcW w:w="1749" w:type="dxa"/>
            <w:tcBorders>
              <w:top w:val="nil"/>
              <w:left w:val="nil"/>
              <w:bottom w:val="single" w:sz="8" w:space="0" w:color="auto"/>
              <w:right w:val="nil"/>
            </w:tcBorders>
            <w:shd w:val="clear" w:color="auto" w:fill="FFFFFF" w:themeFill="background1"/>
            <w:vAlign w:val="center"/>
            <w:hideMark/>
          </w:tcPr>
          <w:p w14:paraId="06EE425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6,336,035 </w:t>
            </w:r>
          </w:p>
        </w:tc>
      </w:tr>
      <w:tr w:rsidR="009654FE" w:rsidRPr="000842AA" w14:paraId="643B1E3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666A29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8.3.2.21</w:t>
            </w:r>
          </w:p>
        </w:tc>
        <w:tc>
          <w:tcPr>
            <w:tcW w:w="6560" w:type="dxa"/>
            <w:tcBorders>
              <w:top w:val="nil"/>
              <w:left w:val="nil"/>
              <w:bottom w:val="single" w:sz="8" w:space="0" w:color="auto"/>
              <w:right w:val="single" w:sz="8" w:space="0" w:color="auto"/>
            </w:tcBorders>
            <w:shd w:val="clear" w:color="auto" w:fill="auto"/>
            <w:noWrap/>
            <w:vAlign w:val="center"/>
            <w:hideMark/>
          </w:tcPr>
          <w:p w14:paraId="6A78448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 Financiero del Servicios Educativo Denominado Telebachillerato Comunitario</w:t>
            </w:r>
          </w:p>
        </w:tc>
        <w:tc>
          <w:tcPr>
            <w:tcW w:w="1749" w:type="dxa"/>
            <w:tcBorders>
              <w:top w:val="nil"/>
              <w:left w:val="nil"/>
              <w:bottom w:val="single" w:sz="8" w:space="0" w:color="auto"/>
              <w:right w:val="nil"/>
            </w:tcBorders>
            <w:shd w:val="clear" w:color="auto" w:fill="FFFFFF" w:themeFill="background1"/>
            <w:vAlign w:val="center"/>
            <w:hideMark/>
          </w:tcPr>
          <w:p w14:paraId="22E91E4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72,595,255 </w:t>
            </w:r>
          </w:p>
        </w:tc>
      </w:tr>
      <w:tr w:rsidR="009654FE" w:rsidRPr="000842AA" w14:paraId="555BCC6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04474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8.3.2.22</w:t>
            </w:r>
          </w:p>
        </w:tc>
        <w:tc>
          <w:tcPr>
            <w:tcW w:w="6560" w:type="dxa"/>
            <w:tcBorders>
              <w:top w:val="nil"/>
              <w:left w:val="nil"/>
              <w:bottom w:val="single" w:sz="8" w:space="0" w:color="auto"/>
              <w:right w:val="single" w:sz="8" w:space="0" w:color="auto"/>
            </w:tcBorders>
            <w:shd w:val="clear" w:color="auto" w:fill="auto"/>
            <w:noWrap/>
            <w:vAlign w:val="center"/>
            <w:hideMark/>
          </w:tcPr>
          <w:p w14:paraId="7E2F5A5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para el Desarrollo Profesional Docente para la Educación Básica</w:t>
            </w:r>
          </w:p>
        </w:tc>
        <w:tc>
          <w:tcPr>
            <w:tcW w:w="1749" w:type="dxa"/>
            <w:tcBorders>
              <w:top w:val="nil"/>
              <w:left w:val="nil"/>
              <w:bottom w:val="single" w:sz="8" w:space="0" w:color="auto"/>
              <w:right w:val="nil"/>
            </w:tcBorders>
            <w:shd w:val="clear" w:color="auto" w:fill="FFFFFF" w:themeFill="background1"/>
            <w:vAlign w:val="center"/>
            <w:hideMark/>
          </w:tcPr>
          <w:p w14:paraId="79A8A20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14,247,001 </w:t>
            </w:r>
          </w:p>
        </w:tc>
      </w:tr>
      <w:tr w:rsidR="009654FE" w:rsidRPr="000842AA" w14:paraId="454DE37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DBDE66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8.3.2.23</w:t>
            </w:r>
          </w:p>
        </w:tc>
        <w:tc>
          <w:tcPr>
            <w:tcW w:w="6560" w:type="dxa"/>
            <w:tcBorders>
              <w:top w:val="nil"/>
              <w:left w:val="nil"/>
              <w:bottom w:val="single" w:sz="8" w:space="0" w:color="auto"/>
              <w:right w:val="single" w:sz="8" w:space="0" w:color="auto"/>
            </w:tcBorders>
            <w:shd w:val="clear" w:color="auto" w:fill="auto"/>
            <w:noWrap/>
            <w:vAlign w:val="center"/>
            <w:hideMark/>
          </w:tcPr>
          <w:p w14:paraId="393E07B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nacional convivencia escolar</w:t>
            </w:r>
          </w:p>
        </w:tc>
        <w:tc>
          <w:tcPr>
            <w:tcW w:w="1749" w:type="dxa"/>
            <w:tcBorders>
              <w:top w:val="nil"/>
              <w:left w:val="nil"/>
              <w:bottom w:val="single" w:sz="8" w:space="0" w:color="auto"/>
              <w:right w:val="nil"/>
            </w:tcBorders>
            <w:shd w:val="clear" w:color="auto" w:fill="FFFFFF" w:themeFill="background1"/>
            <w:vAlign w:val="center"/>
            <w:hideMark/>
          </w:tcPr>
          <w:p w14:paraId="1BB9E33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D49614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81BE7B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8.3.2.24</w:t>
            </w:r>
          </w:p>
        </w:tc>
        <w:tc>
          <w:tcPr>
            <w:tcW w:w="6560" w:type="dxa"/>
            <w:tcBorders>
              <w:top w:val="nil"/>
              <w:left w:val="nil"/>
              <w:bottom w:val="single" w:sz="8" w:space="0" w:color="auto"/>
              <w:right w:val="single" w:sz="8" w:space="0" w:color="auto"/>
            </w:tcBorders>
            <w:shd w:val="clear" w:color="auto" w:fill="auto"/>
            <w:noWrap/>
            <w:vAlign w:val="center"/>
            <w:hideMark/>
          </w:tcPr>
          <w:p w14:paraId="4195BDC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Fortalecimiento de la Excelencia Educativa PFCE</w:t>
            </w:r>
          </w:p>
        </w:tc>
        <w:tc>
          <w:tcPr>
            <w:tcW w:w="1749" w:type="dxa"/>
            <w:tcBorders>
              <w:top w:val="nil"/>
              <w:left w:val="nil"/>
              <w:bottom w:val="single" w:sz="8" w:space="0" w:color="auto"/>
              <w:right w:val="nil"/>
            </w:tcBorders>
            <w:shd w:val="clear" w:color="auto" w:fill="FFFFFF" w:themeFill="background1"/>
            <w:vAlign w:val="center"/>
            <w:hideMark/>
          </w:tcPr>
          <w:p w14:paraId="289F95F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22,676,562 </w:t>
            </w:r>
          </w:p>
        </w:tc>
      </w:tr>
      <w:tr w:rsidR="009654FE" w:rsidRPr="000842AA" w14:paraId="3C0CDAD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324AE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8.3.2.25</w:t>
            </w:r>
          </w:p>
        </w:tc>
        <w:tc>
          <w:tcPr>
            <w:tcW w:w="6560" w:type="dxa"/>
            <w:tcBorders>
              <w:top w:val="nil"/>
              <w:left w:val="nil"/>
              <w:bottom w:val="single" w:sz="8" w:space="0" w:color="auto"/>
              <w:right w:val="single" w:sz="8" w:space="0" w:color="auto"/>
            </w:tcBorders>
            <w:shd w:val="clear" w:color="auto" w:fill="auto"/>
            <w:noWrap/>
            <w:vAlign w:val="center"/>
            <w:hideMark/>
          </w:tcPr>
          <w:p w14:paraId="4142F98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Apoyo a Instituciones Estatales de Cultura</w:t>
            </w:r>
          </w:p>
        </w:tc>
        <w:tc>
          <w:tcPr>
            <w:tcW w:w="1749" w:type="dxa"/>
            <w:tcBorders>
              <w:top w:val="nil"/>
              <w:left w:val="nil"/>
              <w:bottom w:val="single" w:sz="8" w:space="0" w:color="auto"/>
              <w:right w:val="nil"/>
            </w:tcBorders>
            <w:shd w:val="clear" w:color="auto" w:fill="FFFFFF" w:themeFill="background1"/>
            <w:vAlign w:val="center"/>
            <w:hideMark/>
          </w:tcPr>
          <w:p w14:paraId="416ADF7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46A41F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4350DF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8.3.2.26</w:t>
            </w:r>
          </w:p>
        </w:tc>
        <w:tc>
          <w:tcPr>
            <w:tcW w:w="6560" w:type="dxa"/>
            <w:tcBorders>
              <w:top w:val="nil"/>
              <w:left w:val="nil"/>
              <w:bottom w:val="single" w:sz="8" w:space="0" w:color="auto"/>
              <w:right w:val="single" w:sz="8" w:space="0" w:color="auto"/>
            </w:tcBorders>
            <w:shd w:val="clear" w:color="auto" w:fill="auto"/>
            <w:noWrap/>
            <w:vAlign w:val="center"/>
            <w:hideMark/>
          </w:tcPr>
          <w:p w14:paraId="12650FE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Fortalecimiento de los servicios de educación especial 2020</w:t>
            </w:r>
          </w:p>
        </w:tc>
        <w:tc>
          <w:tcPr>
            <w:tcW w:w="1749" w:type="dxa"/>
            <w:tcBorders>
              <w:top w:val="nil"/>
              <w:left w:val="nil"/>
              <w:bottom w:val="single" w:sz="8" w:space="0" w:color="auto"/>
              <w:right w:val="nil"/>
            </w:tcBorders>
            <w:shd w:val="clear" w:color="auto" w:fill="FFFFFF" w:themeFill="background1"/>
            <w:vAlign w:val="center"/>
            <w:hideMark/>
          </w:tcPr>
          <w:p w14:paraId="4A20B91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14,727,481 </w:t>
            </w:r>
          </w:p>
        </w:tc>
      </w:tr>
      <w:tr w:rsidR="009654FE" w:rsidRPr="000842AA" w14:paraId="1B4686F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B72401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8.3.2.27</w:t>
            </w:r>
          </w:p>
        </w:tc>
        <w:tc>
          <w:tcPr>
            <w:tcW w:w="6560" w:type="dxa"/>
            <w:tcBorders>
              <w:top w:val="nil"/>
              <w:left w:val="nil"/>
              <w:bottom w:val="single" w:sz="8" w:space="0" w:color="auto"/>
              <w:right w:val="single" w:sz="8" w:space="0" w:color="auto"/>
            </w:tcBorders>
            <w:shd w:val="clear" w:color="auto" w:fill="auto"/>
            <w:noWrap/>
            <w:vAlign w:val="center"/>
            <w:hideMark/>
          </w:tcPr>
          <w:p w14:paraId="49112FC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Premio a Deportistas y Entrenadores Destacados</w:t>
            </w:r>
          </w:p>
        </w:tc>
        <w:tc>
          <w:tcPr>
            <w:tcW w:w="1749" w:type="dxa"/>
            <w:tcBorders>
              <w:top w:val="nil"/>
              <w:left w:val="nil"/>
              <w:bottom w:val="single" w:sz="8" w:space="0" w:color="auto"/>
              <w:right w:val="nil"/>
            </w:tcBorders>
            <w:shd w:val="clear" w:color="auto" w:fill="FFFFFF" w:themeFill="background1"/>
            <w:vAlign w:val="center"/>
            <w:hideMark/>
          </w:tcPr>
          <w:p w14:paraId="3363EB4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F809A6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BB3BE9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8.3.2.28</w:t>
            </w:r>
          </w:p>
        </w:tc>
        <w:tc>
          <w:tcPr>
            <w:tcW w:w="6560" w:type="dxa"/>
            <w:tcBorders>
              <w:top w:val="nil"/>
              <w:left w:val="nil"/>
              <w:bottom w:val="single" w:sz="8" w:space="0" w:color="auto"/>
              <w:right w:val="single" w:sz="8" w:space="0" w:color="auto"/>
            </w:tcBorders>
            <w:shd w:val="clear" w:color="auto" w:fill="auto"/>
            <w:noWrap/>
            <w:vAlign w:val="center"/>
            <w:hideMark/>
          </w:tcPr>
          <w:p w14:paraId="39A2938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Desarrollo de Aprendizajes significativos en Educación Básica 2020</w:t>
            </w:r>
          </w:p>
        </w:tc>
        <w:tc>
          <w:tcPr>
            <w:tcW w:w="1749" w:type="dxa"/>
            <w:tcBorders>
              <w:top w:val="nil"/>
              <w:left w:val="nil"/>
              <w:bottom w:val="single" w:sz="8" w:space="0" w:color="auto"/>
              <w:right w:val="nil"/>
            </w:tcBorders>
            <w:shd w:val="clear" w:color="auto" w:fill="FFFFFF" w:themeFill="background1"/>
            <w:vAlign w:val="center"/>
            <w:hideMark/>
          </w:tcPr>
          <w:p w14:paraId="2D0337C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95C807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3B1111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8.3.2.29</w:t>
            </w:r>
          </w:p>
        </w:tc>
        <w:tc>
          <w:tcPr>
            <w:tcW w:w="6560" w:type="dxa"/>
            <w:tcBorders>
              <w:top w:val="nil"/>
              <w:left w:val="nil"/>
              <w:bottom w:val="single" w:sz="8" w:space="0" w:color="auto"/>
              <w:right w:val="single" w:sz="8" w:space="0" w:color="auto"/>
            </w:tcBorders>
            <w:shd w:val="clear" w:color="auto" w:fill="auto"/>
            <w:noWrap/>
            <w:vAlign w:val="center"/>
            <w:hideMark/>
          </w:tcPr>
          <w:p w14:paraId="2AE9F3A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Atención a la Diversidad de la Educación Indígena 2020</w:t>
            </w:r>
          </w:p>
        </w:tc>
        <w:tc>
          <w:tcPr>
            <w:tcW w:w="1749" w:type="dxa"/>
            <w:tcBorders>
              <w:top w:val="nil"/>
              <w:left w:val="nil"/>
              <w:bottom w:val="single" w:sz="8" w:space="0" w:color="auto"/>
              <w:right w:val="nil"/>
            </w:tcBorders>
            <w:shd w:val="clear" w:color="auto" w:fill="FFFFFF" w:themeFill="background1"/>
            <w:vAlign w:val="center"/>
            <w:hideMark/>
          </w:tcPr>
          <w:p w14:paraId="6C34318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BD14AB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CB994F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8.3.2.30</w:t>
            </w:r>
          </w:p>
        </w:tc>
        <w:tc>
          <w:tcPr>
            <w:tcW w:w="6560" w:type="dxa"/>
            <w:tcBorders>
              <w:top w:val="nil"/>
              <w:left w:val="nil"/>
              <w:bottom w:val="single" w:sz="8" w:space="0" w:color="auto"/>
              <w:right w:val="single" w:sz="8" w:space="0" w:color="auto"/>
            </w:tcBorders>
            <w:shd w:val="clear" w:color="auto" w:fill="auto"/>
            <w:noWrap/>
            <w:vAlign w:val="center"/>
            <w:hideMark/>
          </w:tcPr>
          <w:p w14:paraId="5694E75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Becas de Apoyo a la Educación básica de madres jóvenes y jóvenes embarazadas</w:t>
            </w:r>
          </w:p>
        </w:tc>
        <w:tc>
          <w:tcPr>
            <w:tcW w:w="1749" w:type="dxa"/>
            <w:tcBorders>
              <w:top w:val="nil"/>
              <w:left w:val="nil"/>
              <w:bottom w:val="single" w:sz="8" w:space="0" w:color="auto"/>
              <w:right w:val="nil"/>
            </w:tcBorders>
            <w:shd w:val="clear" w:color="auto" w:fill="FFFFFF" w:themeFill="background1"/>
            <w:vAlign w:val="center"/>
            <w:hideMark/>
          </w:tcPr>
          <w:p w14:paraId="297B574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734A93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72C203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8.3.2.31</w:t>
            </w:r>
          </w:p>
        </w:tc>
        <w:tc>
          <w:tcPr>
            <w:tcW w:w="6560" w:type="dxa"/>
            <w:tcBorders>
              <w:top w:val="nil"/>
              <w:left w:val="nil"/>
              <w:bottom w:val="single" w:sz="8" w:space="0" w:color="auto"/>
              <w:right w:val="single" w:sz="8" w:space="0" w:color="auto"/>
            </w:tcBorders>
            <w:shd w:val="clear" w:color="auto" w:fill="auto"/>
            <w:noWrap/>
            <w:vAlign w:val="center"/>
            <w:hideMark/>
          </w:tcPr>
          <w:p w14:paraId="62DD318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Programas de Apoyo a la Cultura</w:t>
            </w:r>
          </w:p>
        </w:tc>
        <w:tc>
          <w:tcPr>
            <w:tcW w:w="1749" w:type="dxa"/>
            <w:tcBorders>
              <w:top w:val="nil"/>
              <w:left w:val="nil"/>
              <w:bottom w:val="single" w:sz="8" w:space="0" w:color="auto"/>
              <w:right w:val="nil"/>
            </w:tcBorders>
            <w:shd w:val="clear" w:color="auto" w:fill="FFFFFF" w:themeFill="background1"/>
            <w:vAlign w:val="center"/>
            <w:hideMark/>
          </w:tcPr>
          <w:p w14:paraId="5AC0F2E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2,654,810 </w:t>
            </w:r>
          </w:p>
        </w:tc>
      </w:tr>
      <w:tr w:rsidR="009654FE" w:rsidRPr="000842AA" w14:paraId="4C7B767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4BABF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8.3.2.32</w:t>
            </w:r>
          </w:p>
        </w:tc>
        <w:tc>
          <w:tcPr>
            <w:tcW w:w="6560" w:type="dxa"/>
            <w:tcBorders>
              <w:top w:val="nil"/>
              <w:left w:val="nil"/>
              <w:bottom w:val="single" w:sz="8" w:space="0" w:color="auto"/>
              <w:right w:val="single" w:sz="8" w:space="0" w:color="auto"/>
            </w:tcBorders>
            <w:shd w:val="clear" w:color="auto" w:fill="auto"/>
            <w:noWrap/>
            <w:vAlign w:val="center"/>
            <w:hideMark/>
          </w:tcPr>
          <w:p w14:paraId="44121E6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Proyectos de Cultura (PEF)</w:t>
            </w:r>
          </w:p>
        </w:tc>
        <w:tc>
          <w:tcPr>
            <w:tcW w:w="1749" w:type="dxa"/>
            <w:tcBorders>
              <w:top w:val="nil"/>
              <w:left w:val="nil"/>
              <w:bottom w:val="single" w:sz="8" w:space="0" w:color="auto"/>
              <w:right w:val="nil"/>
            </w:tcBorders>
            <w:shd w:val="clear" w:color="auto" w:fill="FFFFFF" w:themeFill="background1"/>
            <w:vAlign w:val="center"/>
            <w:hideMark/>
          </w:tcPr>
          <w:p w14:paraId="0624CA8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479EAD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77C74A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8.3.2.33</w:t>
            </w:r>
          </w:p>
        </w:tc>
        <w:tc>
          <w:tcPr>
            <w:tcW w:w="6560" w:type="dxa"/>
            <w:tcBorders>
              <w:top w:val="nil"/>
              <w:left w:val="nil"/>
              <w:bottom w:val="single" w:sz="8" w:space="0" w:color="auto"/>
              <w:right w:val="single" w:sz="8" w:space="0" w:color="auto"/>
            </w:tcBorders>
            <w:shd w:val="clear" w:color="auto" w:fill="auto"/>
            <w:noWrap/>
            <w:vAlign w:val="center"/>
            <w:hideMark/>
          </w:tcPr>
          <w:p w14:paraId="3C93A75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Macro Regional del evento Nacionales CONADE</w:t>
            </w:r>
          </w:p>
        </w:tc>
        <w:tc>
          <w:tcPr>
            <w:tcW w:w="1749" w:type="dxa"/>
            <w:tcBorders>
              <w:top w:val="nil"/>
              <w:left w:val="nil"/>
              <w:bottom w:val="single" w:sz="8" w:space="0" w:color="auto"/>
              <w:right w:val="nil"/>
            </w:tcBorders>
            <w:shd w:val="clear" w:color="auto" w:fill="FFFFFF" w:themeFill="background1"/>
            <w:vAlign w:val="center"/>
            <w:hideMark/>
          </w:tcPr>
          <w:p w14:paraId="0788C1A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900,000 </w:t>
            </w:r>
          </w:p>
        </w:tc>
      </w:tr>
      <w:tr w:rsidR="009654FE" w:rsidRPr="000842AA" w14:paraId="2BBA190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433761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8.3.2.34</w:t>
            </w:r>
          </w:p>
        </w:tc>
        <w:tc>
          <w:tcPr>
            <w:tcW w:w="6560" w:type="dxa"/>
            <w:tcBorders>
              <w:top w:val="nil"/>
              <w:left w:val="nil"/>
              <w:bottom w:val="single" w:sz="8" w:space="0" w:color="auto"/>
              <w:right w:val="single" w:sz="8" w:space="0" w:color="auto"/>
            </w:tcBorders>
            <w:shd w:val="clear" w:color="auto" w:fill="auto"/>
            <w:noWrap/>
            <w:vAlign w:val="center"/>
            <w:hideMark/>
          </w:tcPr>
          <w:p w14:paraId="7546932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Educación</w:t>
            </w:r>
          </w:p>
        </w:tc>
        <w:tc>
          <w:tcPr>
            <w:tcW w:w="1749" w:type="dxa"/>
            <w:tcBorders>
              <w:top w:val="nil"/>
              <w:left w:val="nil"/>
              <w:bottom w:val="single" w:sz="8" w:space="0" w:color="auto"/>
              <w:right w:val="nil"/>
            </w:tcBorders>
            <w:shd w:val="clear" w:color="auto" w:fill="FFFFFF" w:themeFill="background1"/>
            <w:vAlign w:val="center"/>
            <w:hideMark/>
          </w:tcPr>
          <w:p w14:paraId="2F88BCA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12036E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1D5EEA8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8.3.3</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57ED5F"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Económico</w:t>
            </w:r>
          </w:p>
        </w:tc>
        <w:tc>
          <w:tcPr>
            <w:tcW w:w="1749" w:type="dxa"/>
            <w:tcBorders>
              <w:top w:val="nil"/>
              <w:left w:val="nil"/>
              <w:bottom w:val="single" w:sz="8" w:space="0" w:color="auto"/>
              <w:right w:val="nil"/>
            </w:tcBorders>
            <w:shd w:val="clear" w:color="auto" w:fill="D9D9D9" w:themeFill="background1" w:themeFillShade="D9"/>
            <w:vAlign w:val="center"/>
            <w:hideMark/>
          </w:tcPr>
          <w:p w14:paraId="113A356C"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E3EDB0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E6ADA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8.3.3.1</w:t>
            </w:r>
          </w:p>
        </w:tc>
        <w:tc>
          <w:tcPr>
            <w:tcW w:w="6560" w:type="dxa"/>
            <w:tcBorders>
              <w:top w:val="nil"/>
              <w:left w:val="nil"/>
              <w:bottom w:val="single" w:sz="8" w:space="0" w:color="auto"/>
              <w:right w:val="single" w:sz="8" w:space="0" w:color="auto"/>
            </w:tcBorders>
            <w:shd w:val="clear" w:color="auto" w:fill="auto"/>
            <w:noWrap/>
            <w:vAlign w:val="center"/>
            <w:hideMark/>
          </w:tcPr>
          <w:p w14:paraId="6BA1D8C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Nacional del Empleo</w:t>
            </w:r>
          </w:p>
        </w:tc>
        <w:tc>
          <w:tcPr>
            <w:tcW w:w="1749" w:type="dxa"/>
            <w:tcBorders>
              <w:top w:val="nil"/>
              <w:left w:val="nil"/>
              <w:bottom w:val="single" w:sz="8" w:space="0" w:color="auto"/>
              <w:right w:val="nil"/>
            </w:tcBorders>
            <w:shd w:val="clear" w:color="auto" w:fill="FFFFFF" w:themeFill="background1"/>
            <w:vAlign w:val="center"/>
            <w:hideMark/>
          </w:tcPr>
          <w:p w14:paraId="3B065D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E4D6A5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C65BDB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8.3.3.2</w:t>
            </w:r>
          </w:p>
        </w:tc>
        <w:tc>
          <w:tcPr>
            <w:tcW w:w="6560" w:type="dxa"/>
            <w:tcBorders>
              <w:top w:val="nil"/>
              <w:left w:val="nil"/>
              <w:bottom w:val="single" w:sz="8" w:space="0" w:color="auto"/>
              <w:right w:val="single" w:sz="8" w:space="0" w:color="auto"/>
            </w:tcBorders>
            <w:shd w:val="clear" w:color="auto" w:fill="auto"/>
            <w:noWrap/>
            <w:vAlign w:val="center"/>
            <w:hideMark/>
          </w:tcPr>
          <w:p w14:paraId="762AE57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Incubación de Empresas de Tecnología de Información</w:t>
            </w:r>
          </w:p>
        </w:tc>
        <w:tc>
          <w:tcPr>
            <w:tcW w:w="1749" w:type="dxa"/>
            <w:tcBorders>
              <w:top w:val="nil"/>
              <w:left w:val="nil"/>
              <w:bottom w:val="single" w:sz="8" w:space="0" w:color="auto"/>
              <w:right w:val="nil"/>
            </w:tcBorders>
            <w:shd w:val="clear" w:color="auto" w:fill="FFFFFF" w:themeFill="background1"/>
            <w:vAlign w:val="center"/>
            <w:hideMark/>
          </w:tcPr>
          <w:p w14:paraId="66B2394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FD491F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AF528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8.3.3.3</w:t>
            </w:r>
          </w:p>
        </w:tc>
        <w:tc>
          <w:tcPr>
            <w:tcW w:w="6560" w:type="dxa"/>
            <w:tcBorders>
              <w:top w:val="nil"/>
              <w:left w:val="nil"/>
              <w:bottom w:val="single" w:sz="8" w:space="0" w:color="auto"/>
              <w:right w:val="single" w:sz="8" w:space="0" w:color="auto"/>
            </w:tcBorders>
            <w:shd w:val="clear" w:color="auto" w:fill="auto"/>
            <w:noWrap/>
            <w:vAlign w:val="center"/>
            <w:hideMark/>
          </w:tcPr>
          <w:p w14:paraId="0A20A13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para el Desarrollo de la Industria del Software (PROSOFT)</w:t>
            </w:r>
          </w:p>
        </w:tc>
        <w:tc>
          <w:tcPr>
            <w:tcW w:w="1749" w:type="dxa"/>
            <w:tcBorders>
              <w:top w:val="nil"/>
              <w:left w:val="nil"/>
              <w:bottom w:val="single" w:sz="8" w:space="0" w:color="auto"/>
              <w:right w:val="nil"/>
            </w:tcBorders>
            <w:shd w:val="clear" w:color="auto" w:fill="FFFFFF" w:themeFill="background1"/>
            <w:vAlign w:val="center"/>
            <w:hideMark/>
          </w:tcPr>
          <w:p w14:paraId="20D6144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4978347"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8F107C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8.3.3.4</w:t>
            </w:r>
          </w:p>
        </w:tc>
        <w:tc>
          <w:tcPr>
            <w:tcW w:w="6560" w:type="dxa"/>
            <w:tcBorders>
              <w:top w:val="nil"/>
              <w:left w:val="nil"/>
              <w:bottom w:val="single" w:sz="8" w:space="0" w:color="auto"/>
              <w:right w:val="single" w:sz="8" w:space="0" w:color="auto"/>
            </w:tcBorders>
            <w:shd w:val="clear" w:color="auto" w:fill="auto"/>
            <w:noWrap/>
            <w:vAlign w:val="center"/>
            <w:hideMark/>
          </w:tcPr>
          <w:p w14:paraId="41C41C9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Convenio de Colaboración de Apoyos del Fondo Nacional Emprendedor</w:t>
            </w:r>
          </w:p>
        </w:tc>
        <w:tc>
          <w:tcPr>
            <w:tcW w:w="1749" w:type="dxa"/>
            <w:tcBorders>
              <w:top w:val="nil"/>
              <w:left w:val="nil"/>
              <w:bottom w:val="single" w:sz="8" w:space="0" w:color="auto"/>
              <w:right w:val="nil"/>
            </w:tcBorders>
            <w:shd w:val="clear" w:color="auto" w:fill="FFFFFF" w:themeFill="background1"/>
            <w:vAlign w:val="center"/>
            <w:hideMark/>
          </w:tcPr>
          <w:p w14:paraId="1B8A52C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EC053E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6393F77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8.3.3.5</w:t>
            </w:r>
          </w:p>
        </w:tc>
        <w:tc>
          <w:tcPr>
            <w:tcW w:w="6560" w:type="dxa"/>
            <w:tcBorders>
              <w:top w:val="nil"/>
              <w:left w:val="nil"/>
              <w:bottom w:val="single" w:sz="8" w:space="0" w:color="auto"/>
              <w:right w:val="single" w:sz="8" w:space="0" w:color="auto"/>
            </w:tcBorders>
            <w:shd w:val="clear" w:color="auto" w:fill="auto"/>
            <w:noWrap/>
            <w:vAlign w:val="center"/>
            <w:hideMark/>
          </w:tcPr>
          <w:p w14:paraId="3E8A2ED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Económico</w:t>
            </w:r>
          </w:p>
        </w:tc>
        <w:tc>
          <w:tcPr>
            <w:tcW w:w="1749" w:type="dxa"/>
            <w:tcBorders>
              <w:top w:val="nil"/>
              <w:left w:val="nil"/>
              <w:bottom w:val="single" w:sz="8" w:space="0" w:color="auto"/>
              <w:right w:val="nil"/>
            </w:tcBorders>
            <w:shd w:val="clear" w:color="auto" w:fill="FFFFFF" w:themeFill="background1"/>
            <w:vAlign w:val="center"/>
            <w:hideMark/>
          </w:tcPr>
          <w:p w14:paraId="5633729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BA2199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035F126C"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8.3.4</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525C6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Social y Humano</w:t>
            </w:r>
          </w:p>
        </w:tc>
        <w:tc>
          <w:tcPr>
            <w:tcW w:w="1749" w:type="dxa"/>
            <w:tcBorders>
              <w:top w:val="nil"/>
              <w:left w:val="nil"/>
              <w:bottom w:val="single" w:sz="8" w:space="0" w:color="auto"/>
              <w:right w:val="nil"/>
            </w:tcBorders>
            <w:shd w:val="clear" w:color="auto" w:fill="D9D9D9" w:themeFill="background1" w:themeFillShade="D9"/>
            <w:vAlign w:val="center"/>
            <w:hideMark/>
          </w:tcPr>
          <w:p w14:paraId="7FAEAFF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68,504,554 </w:t>
            </w:r>
          </w:p>
        </w:tc>
      </w:tr>
      <w:tr w:rsidR="009654FE" w:rsidRPr="000842AA" w14:paraId="59A89E7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4BD3F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w:t>
            </w:r>
          </w:p>
        </w:tc>
        <w:tc>
          <w:tcPr>
            <w:tcW w:w="6560" w:type="dxa"/>
            <w:tcBorders>
              <w:top w:val="nil"/>
              <w:left w:val="nil"/>
              <w:bottom w:val="single" w:sz="8" w:space="0" w:color="auto"/>
              <w:right w:val="single" w:sz="8" w:space="0" w:color="auto"/>
            </w:tcBorders>
            <w:shd w:val="clear" w:color="auto" w:fill="auto"/>
            <w:noWrap/>
            <w:vAlign w:val="center"/>
            <w:hideMark/>
          </w:tcPr>
          <w:p w14:paraId="2B27C2C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Proagua Agua Limpia</w:t>
            </w:r>
          </w:p>
        </w:tc>
        <w:tc>
          <w:tcPr>
            <w:tcW w:w="1749" w:type="dxa"/>
            <w:tcBorders>
              <w:top w:val="nil"/>
              <w:left w:val="nil"/>
              <w:bottom w:val="single" w:sz="8" w:space="0" w:color="auto"/>
              <w:right w:val="nil"/>
            </w:tcBorders>
            <w:shd w:val="clear" w:color="auto" w:fill="FFFFFF" w:themeFill="background1"/>
            <w:vAlign w:val="center"/>
            <w:hideMark/>
          </w:tcPr>
          <w:p w14:paraId="2F6891A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1,442,365 </w:t>
            </w:r>
          </w:p>
        </w:tc>
      </w:tr>
      <w:tr w:rsidR="009654FE" w:rsidRPr="000842AA" w14:paraId="1F1D453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4D328A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8.3.4.2</w:t>
            </w:r>
          </w:p>
        </w:tc>
        <w:tc>
          <w:tcPr>
            <w:tcW w:w="6560" w:type="dxa"/>
            <w:tcBorders>
              <w:top w:val="nil"/>
              <w:left w:val="nil"/>
              <w:bottom w:val="single" w:sz="8" w:space="0" w:color="auto"/>
              <w:right w:val="single" w:sz="8" w:space="0" w:color="auto"/>
            </w:tcBorders>
            <w:shd w:val="clear" w:color="auto" w:fill="auto"/>
            <w:noWrap/>
            <w:vAlign w:val="center"/>
            <w:hideMark/>
          </w:tcPr>
          <w:p w14:paraId="23CC1D3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Cultura del Agua</w:t>
            </w:r>
          </w:p>
        </w:tc>
        <w:tc>
          <w:tcPr>
            <w:tcW w:w="1749" w:type="dxa"/>
            <w:tcBorders>
              <w:top w:val="nil"/>
              <w:left w:val="nil"/>
              <w:bottom w:val="single" w:sz="8" w:space="0" w:color="auto"/>
              <w:right w:val="nil"/>
            </w:tcBorders>
            <w:shd w:val="clear" w:color="auto" w:fill="FFFFFF" w:themeFill="background1"/>
            <w:vAlign w:val="center"/>
            <w:hideMark/>
          </w:tcPr>
          <w:p w14:paraId="688A5CF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542,146 </w:t>
            </w:r>
          </w:p>
        </w:tc>
      </w:tr>
      <w:tr w:rsidR="009654FE" w:rsidRPr="000842AA" w14:paraId="7AA6517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0F57F3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8.3.4.3</w:t>
            </w:r>
          </w:p>
        </w:tc>
        <w:tc>
          <w:tcPr>
            <w:tcW w:w="6560" w:type="dxa"/>
            <w:tcBorders>
              <w:top w:val="nil"/>
              <w:left w:val="nil"/>
              <w:bottom w:val="single" w:sz="8" w:space="0" w:color="auto"/>
              <w:right w:val="single" w:sz="8" w:space="0" w:color="auto"/>
            </w:tcBorders>
            <w:shd w:val="clear" w:color="auto" w:fill="auto"/>
            <w:noWrap/>
            <w:vAlign w:val="center"/>
            <w:hideMark/>
          </w:tcPr>
          <w:p w14:paraId="251E1CD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Desarrollo Integral para Organismos Operadores (PRODI)</w:t>
            </w:r>
          </w:p>
        </w:tc>
        <w:tc>
          <w:tcPr>
            <w:tcW w:w="1749" w:type="dxa"/>
            <w:tcBorders>
              <w:top w:val="nil"/>
              <w:left w:val="nil"/>
              <w:bottom w:val="single" w:sz="8" w:space="0" w:color="auto"/>
              <w:right w:val="nil"/>
            </w:tcBorders>
            <w:shd w:val="clear" w:color="auto" w:fill="FFFFFF" w:themeFill="background1"/>
            <w:vAlign w:val="center"/>
            <w:hideMark/>
          </w:tcPr>
          <w:p w14:paraId="0F458FB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23F28F8"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991209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8.3.4.4</w:t>
            </w:r>
          </w:p>
        </w:tc>
        <w:tc>
          <w:tcPr>
            <w:tcW w:w="6560" w:type="dxa"/>
            <w:tcBorders>
              <w:top w:val="nil"/>
              <w:left w:val="nil"/>
              <w:bottom w:val="single" w:sz="8" w:space="0" w:color="auto"/>
              <w:right w:val="single" w:sz="8" w:space="0" w:color="auto"/>
            </w:tcBorders>
            <w:shd w:val="clear" w:color="auto" w:fill="auto"/>
            <w:noWrap/>
            <w:vAlign w:val="center"/>
            <w:hideMark/>
          </w:tcPr>
          <w:p w14:paraId="2F9C4E8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a la Vivienda</w:t>
            </w:r>
          </w:p>
        </w:tc>
        <w:tc>
          <w:tcPr>
            <w:tcW w:w="1749" w:type="dxa"/>
            <w:tcBorders>
              <w:top w:val="nil"/>
              <w:left w:val="nil"/>
              <w:bottom w:val="single" w:sz="8" w:space="0" w:color="auto"/>
              <w:right w:val="nil"/>
            </w:tcBorders>
            <w:shd w:val="clear" w:color="auto" w:fill="FFFFFF" w:themeFill="background1"/>
            <w:vAlign w:val="center"/>
            <w:hideMark/>
          </w:tcPr>
          <w:p w14:paraId="1A7E16D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2568E6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C139D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8.3.4.5</w:t>
            </w:r>
          </w:p>
        </w:tc>
        <w:tc>
          <w:tcPr>
            <w:tcW w:w="6560" w:type="dxa"/>
            <w:tcBorders>
              <w:top w:val="nil"/>
              <w:left w:val="nil"/>
              <w:bottom w:val="single" w:sz="8" w:space="0" w:color="auto"/>
              <w:right w:val="single" w:sz="8" w:space="0" w:color="auto"/>
            </w:tcBorders>
            <w:shd w:val="clear" w:color="auto" w:fill="auto"/>
            <w:noWrap/>
            <w:vAlign w:val="center"/>
            <w:hideMark/>
          </w:tcPr>
          <w:p w14:paraId="1789E35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Infraestructura Indígena</w:t>
            </w:r>
          </w:p>
        </w:tc>
        <w:tc>
          <w:tcPr>
            <w:tcW w:w="1749" w:type="dxa"/>
            <w:tcBorders>
              <w:top w:val="nil"/>
              <w:left w:val="nil"/>
              <w:bottom w:val="single" w:sz="8" w:space="0" w:color="auto"/>
              <w:right w:val="nil"/>
            </w:tcBorders>
            <w:shd w:val="clear" w:color="auto" w:fill="FFFFFF" w:themeFill="background1"/>
            <w:vAlign w:val="center"/>
            <w:hideMark/>
          </w:tcPr>
          <w:p w14:paraId="1FE43F2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7E40F0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DA124B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8.3.4.6</w:t>
            </w:r>
          </w:p>
        </w:tc>
        <w:tc>
          <w:tcPr>
            <w:tcW w:w="6560" w:type="dxa"/>
            <w:tcBorders>
              <w:top w:val="nil"/>
              <w:left w:val="nil"/>
              <w:bottom w:val="single" w:sz="8" w:space="0" w:color="auto"/>
              <w:right w:val="single" w:sz="8" w:space="0" w:color="auto"/>
            </w:tcBorders>
            <w:shd w:val="clear" w:color="auto" w:fill="auto"/>
            <w:noWrap/>
            <w:vAlign w:val="center"/>
            <w:hideMark/>
          </w:tcPr>
          <w:p w14:paraId="4A093AA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Espacios Poder Joven</w:t>
            </w:r>
          </w:p>
        </w:tc>
        <w:tc>
          <w:tcPr>
            <w:tcW w:w="1749" w:type="dxa"/>
            <w:tcBorders>
              <w:top w:val="nil"/>
              <w:left w:val="nil"/>
              <w:bottom w:val="single" w:sz="8" w:space="0" w:color="auto"/>
              <w:right w:val="nil"/>
            </w:tcBorders>
            <w:shd w:val="clear" w:color="auto" w:fill="FFFFFF" w:themeFill="background1"/>
            <w:vAlign w:val="center"/>
            <w:hideMark/>
          </w:tcPr>
          <w:p w14:paraId="5F1C9DF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8A4E95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32054C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8.3.4.7</w:t>
            </w:r>
          </w:p>
        </w:tc>
        <w:tc>
          <w:tcPr>
            <w:tcW w:w="6560" w:type="dxa"/>
            <w:tcBorders>
              <w:top w:val="nil"/>
              <w:left w:val="nil"/>
              <w:bottom w:val="single" w:sz="8" w:space="0" w:color="auto"/>
              <w:right w:val="single" w:sz="8" w:space="0" w:color="auto"/>
            </w:tcBorders>
            <w:shd w:val="clear" w:color="auto" w:fill="auto"/>
            <w:noWrap/>
            <w:vAlign w:val="center"/>
            <w:hideMark/>
          </w:tcPr>
          <w:p w14:paraId="7A61581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Red Nacional del Programa de Radio y Televisión</w:t>
            </w:r>
          </w:p>
        </w:tc>
        <w:tc>
          <w:tcPr>
            <w:tcW w:w="1749" w:type="dxa"/>
            <w:tcBorders>
              <w:top w:val="nil"/>
              <w:left w:val="nil"/>
              <w:bottom w:val="single" w:sz="8" w:space="0" w:color="auto"/>
              <w:right w:val="nil"/>
            </w:tcBorders>
            <w:shd w:val="clear" w:color="auto" w:fill="FFFFFF" w:themeFill="background1"/>
            <w:vAlign w:val="center"/>
            <w:hideMark/>
          </w:tcPr>
          <w:p w14:paraId="037C751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8EB454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999983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8.3.4.8</w:t>
            </w:r>
          </w:p>
        </w:tc>
        <w:tc>
          <w:tcPr>
            <w:tcW w:w="6560" w:type="dxa"/>
            <w:tcBorders>
              <w:top w:val="nil"/>
              <w:left w:val="nil"/>
              <w:bottom w:val="single" w:sz="8" w:space="0" w:color="auto"/>
              <w:right w:val="single" w:sz="8" w:space="0" w:color="auto"/>
            </w:tcBorders>
            <w:shd w:val="clear" w:color="auto" w:fill="auto"/>
            <w:noWrap/>
            <w:vAlign w:val="center"/>
            <w:hideMark/>
          </w:tcPr>
          <w:p w14:paraId="24711A0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desarrollo integral de las comunidades indígenas</w:t>
            </w:r>
          </w:p>
        </w:tc>
        <w:tc>
          <w:tcPr>
            <w:tcW w:w="1749" w:type="dxa"/>
            <w:tcBorders>
              <w:top w:val="nil"/>
              <w:left w:val="nil"/>
              <w:bottom w:val="single" w:sz="8" w:space="0" w:color="auto"/>
              <w:right w:val="nil"/>
            </w:tcBorders>
            <w:shd w:val="clear" w:color="auto" w:fill="FFFFFF" w:themeFill="background1"/>
            <w:vAlign w:val="center"/>
            <w:hideMark/>
          </w:tcPr>
          <w:p w14:paraId="220019D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435389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4CCE91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8.3.4.9</w:t>
            </w:r>
          </w:p>
        </w:tc>
        <w:tc>
          <w:tcPr>
            <w:tcW w:w="6560" w:type="dxa"/>
            <w:tcBorders>
              <w:top w:val="nil"/>
              <w:left w:val="nil"/>
              <w:bottom w:val="single" w:sz="8" w:space="0" w:color="auto"/>
              <w:right w:val="single" w:sz="8" w:space="0" w:color="auto"/>
            </w:tcBorders>
            <w:shd w:val="clear" w:color="auto" w:fill="auto"/>
            <w:noWrap/>
            <w:vAlign w:val="center"/>
            <w:hideMark/>
          </w:tcPr>
          <w:p w14:paraId="7417EC5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Proagua Rural</w:t>
            </w:r>
          </w:p>
        </w:tc>
        <w:tc>
          <w:tcPr>
            <w:tcW w:w="1749" w:type="dxa"/>
            <w:tcBorders>
              <w:top w:val="nil"/>
              <w:left w:val="nil"/>
              <w:bottom w:val="single" w:sz="8" w:space="0" w:color="auto"/>
              <w:right w:val="nil"/>
            </w:tcBorders>
            <w:shd w:val="clear" w:color="auto" w:fill="FFFFFF" w:themeFill="background1"/>
            <w:vAlign w:val="center"/>
            <w:hideMark/>
          </w:tcPr>
          <w:p w14:paraId="54D32B6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56,462,143 </w:t>
            </w:r>
          </w:p>
        </w:tc>
      </w:tr>
      <w:tr w:rsidR="009654FE" w:rsidRPr="000842AA" w14:paraId="33BE562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8C8730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8.3.4.10</w:t>
            </w:r>
          </w:p>
        </w:tc>
        <w:tc>
          <w:tcPr>
            <w:tcW w:w="6560" w:type="dxa"/>
            <w:tcBorders>
              <w:top w:val="nil"/>
              <w:left w:val="nil"/>
              <w:bottom w:val="single" w:sz="8" w:space="0" w:color="auto"/>
              <w:right w:val="single" w:sz="8" w:space="0" w:color="auto"/>
            </w:tcBorders>
            <w:shd w:val="clear" w:color="auto" w:fill="auto"/>
            <w:noWrap/>
            <w:vAlign w:val="center"/>
            <w:hideMark/>
          </w:tcPr>
          <w:p w14:paraId="4CF10D7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Apartado Urbano</w:t>
            </w:r>
          </w:p>
        </w:tc>
        <w:tc>
          <w:tcPr>
            <w:tcW w:w="1749" w:type="dxa"/>
            <w:tcBorders>
              <w:top w:val="nil"/>
              <w:left w:val="nil"/>
              <w:bottom w:val="single" w:sz="8" w:space="0" w:color="auto"/>
              <w:right w:val="nil"/>
            </w:tcBorders>
            <w:shd w:val="clear" w:color="auto" w:fill="FFFFFF" w:themeFill="background1"/>
            <w:vAlign w:val="center"/>
            <w:hideMark/>
          </w:tcPr>
          <w:p w14:paraId="569F2E4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93CCD3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7FB9DD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8.3.4.11</w:t>
            </w:r>
          </w:p>
        </w:tc>
        <w:tc>
          <w:tcPr>
            <w:tcW w:w="6560" w:type="dxa"/>
            <w:tcBorders>
              <w:top w:val="nil"/>
              <w:left w:val="nil"/>
              <w:bottom w:val="single" w:sz="8" w:space="0" w:color="auto"/>
              <w:right w:val="single" w:sz="8" w:space="0" w:color="auto"/>
            </w:tcBorders>
            <w:shd w:val="clear" w:color="auto" w:fill="auto"/>
            <w:noWrap/>
            <w:vAlign w:val="center"/>
            <w:hideMark/>
          </w:tcPr>
          <w:p w14:paraId="7AE1FC4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Proagua agua limpia SARS-COV2 (COVID-19)</w:t>
            </w:r>
          </w:p>
        </w:tc>
        <w:tc>
          <w:tcPr>
            <w:tcW w:w="1749" w:type="dxa"/>
            <w:tcBorders>
              <w:top w:val="nil"/>
              <w:left w:val="nil"/>
              <w:bottom w:val="single" w:sz="8" w:space="0" w:color="auto"/>
              <w:right w:val="nil"/>
            </w:tcBorders>
            <w:shd w:val="clear" w:color="auto" w:fill="FFFFFF" w:themeFill="background1"/>
            <w:vAlign w:val="center"/>
            <w:hideMark/>
          </w:tcPr>
          <w:p w14:paraId="4A97B6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D825AC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C992A8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8.3.4.12</w:t>
            </w:r>
          </w:p>
        </w:tc>
        <w:tc>
          <w:tcPr>
            <w:tcW w:w="6560" w:type="dxa"/>
            <w:tcBorders>
              <w:top w:val="nil"/>
              <w:left w:val="nil"/>
              <w:bottom w:val="single" w:sz="8" w:space="0" w:color="auto"/>
              <w:right w:val="single" w:sz="8" w:space="0" w:color="auto"/>
            </w:tcBorders>
            <w:shd w:val="clear" w:color="auto" w:fill="auto"/>
            <w:noWrap/>
            <w:vAlign w:val="center"/>
            <w:hideMark/>
          </w:tcPr>
          <w:p w14:paraId="4B01EA7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UNESCO Fondo internacional para la Diversidad Cultural (FIDC)</w:t>
            </w:r>
          </w:p>
        </w:tc>
        <w:tc>
          <w:tcPr>
            <w:tcW w:w="1749" w:type="dxa"/>
            <w:tcBorders>
              <w:top w:val="nil"/>
              <w:left w:val="nil"/>
              <w:bottom w:val="single" w:sz="8" w:space="0" w:color="auto"/>
              <w:right w:val="nil"/>
            </w:tcBorders>
            <w:shd w:val="clear" w:color="auto" w:fill="FFFFFF" w:themeFill="background1"/>
            <w:vAlign w:val="center"/>
            <w:hideMark/>
          </w:tcPr>
          <w:p w14:paraId="238DAF1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F0B178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CE2175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8.3.4.13</w:t>
            </w:r>
          </w:p>
        </w:tc>
        <w:tc>
          <w:tcPr>
            <w:tcW w:w="6560" w:type="dxa"/>
            <w:tcBorders>
              <w:top w:val="nil"/>
              <w:left w:val="nil"/>
              <w:bottom w:val="single" w:sz="8" w:space="0" w:color="auto"/>
              <w:right w:val="single" w:sz="8" w:space="0" w:color="auto"/>
            </w:tcBorders>
            <w:shd w:val="clear" w:color="auto" w:fill="auto"/>
            <w:noWrap/>
            <w:vAlign w:val="center"/>
            <w:hideMark/>
          </w:tcPr>
          <w:p w14:paraId="68A6D05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al Empleo</w:t>
            </w:r>
          </w:p>
        </w:tc>
        <w:tc>
          <w:tcPr>
            <w:tcW w:w="1749" w:type="dxa"/>
            <w:tcBorders>
              <w:top w:val="nil"/>
              <w:left w:val="nil"/>
              <w:bottom w:val="single" w:sz="8" w:space="0" w:color="auto"/>
              <w:right w:val="nil"/>
            </w:tcBorders>
            <w:shd w:val="clear" w:color="auto" w:fill="FFFFFF" w:themeFill="background1"/>
            <w:vAlign w:val="center"/>
            <w:hideMark/>
          </w:tcPr>
          <w:p w14:paraId="6293114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10,057,900 </w:t>
            </w:r>
          </w:p>
        </w:tc>
      </w:tr>
      <w:tr w:rsidR="009654FE" w:rsidRPr="000842AA" w14:paraId="56D72E1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7917E9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8.3.4.14</w:t>
            </w:r>
          </w:p>
        </w:tc>
        <w:tc>
          <w:tcPr>
            <w:tcW w:w="6560" w:type="dxa"/>
            <w:tcBorders>
              <w:top w:val="nil"/>
              <w:left w:val="nil"/>
              <w:bottom w:val="single" w:sz="8" w:space="0" w:color="auto"/>
              <w:right w:val="single" w:sz="8" w:space="0" w:color="auto"/>
            </w:tcBorders>
            <w:shd w:val="clear" w:color="auto" w:fill="auto"/>
            <w:noWrap/>
            <w:vAlign w:val="center"/>
            <w:hideMark/>
          </w:tcPr>
          <w:p w14:paraId="13B3233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Social y Humano</w:t>
            </w:r>
          </w:p>
        </w:tc>
        <w:tc>
          <w:tcPr>
            <w:tcW w:w="1749" w:type="dxa"/>
            <w:tcBorders>
              <w:top w:val="nil"/>
              <w:left w:val="nil"/>
              <w:bottom w:val="single" w:sz="8" w:space="0" w:color="auto"/>
              <w:right w:val="nil"/>
            </w:tcBorders>
            <w:shd w:val="clear" w:color="auto" w:fill="FFFFFF" w:themeFill="background1"/>
            <w:vAlign w:val="center"/>
            <w:hideMark/>
          </w:tcPr>
          <w:p w14:paraId="5A5A576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B4F0C8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1810A40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8.3.5</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5171F27E"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Seguridad</w:t>
            </w:r>
          </w:p>
        </w:tc>
        <w:tc>
          <w:tcPr>
            <w:tcW w:w="1749" w:type="dxa"/>
            <w:tcBorders>
              <w:top w:val="nil"/>
              <w:left w:val="nil"/>
              <w:bottom w:val="single" w:sz="8" w:space="0" w:color="auto"/>
              <w:right w:val="nil"/>
            </w:tcBorders>
            <w:shd w:val="clear" w:color="auto" w:fill="D9D9D9" w:themeFill="background1" w:themeFillShade="D9"/>
            <w:vAlign w:val="center"/>
            <w:hideMark/>
          </w:tcPr>
          <w:p w14:paraId="1B70A3F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3330D37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2A1648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8.3.5.1</w:t>
            </w:r>
          </w:p>
        </w:tc>
        <w:tc>
          <w:tcPr>
            <w:tcW w:w="6560" w:type="dxa"/>
            <w:tcBorders>
              <w:top w:val="nil"/>
              <w:left w:val="nil"/>
              <w:bottom w:val="single" w:sz="8" w:space="0" w:color="auto"/>
              <w:right w:val="single" w:sz="8" w:space="0" w:color="auto"/>
            </w:tcBorders>
            <w:shd w:val="clear" w:color="auto" w:fill="auto"/>
            <w:noWrap/>
            <w:vAlign w:val="center"/>
            <w:hideMark/>
          </w:tcPr>
          <w:p w14:paraId="749B3B34"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Subsidio para las acciones de búsqueda de personas desaparecidas o no localizadas</w:t>
            </w:r>
          </w:p>
        </w:tc>
        <w:tc>
          <w:tcPr>
            <w:tcW w:w="1749" w:type="dxa"/>
            <w:tcBorders>
              <w:top w:val="nil"/>
              <w:left w:val="nil"/>
              <w:bottom w:val="single" w:sz="8" w:space="0" w:color="auto"/>
              <w:right w:val="nil"/>
            </w:tcBorders>
            <w:shd w:val="clear" w:color="auto" w:fill="FFFFFF" w:themeFill="background1"/>
            <w:vAlign w:val="center"/>
            <w:hideMark/>
          </w:tcPr>
          <w:p w14:paraId="023B2CC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F276B6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32E210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8.3.5.2</w:t>
            </w:r>
          </w:p>
        </w:tc>
        <w:tc>
          <w:tcPr>
            <w:tcW w:w="6560" w:type="dxa"/>
            <w:tcBorders>
              <w:top w:val="nil"/>
              <w:left w:val="nil"/>
              <w:bottom w:val="single" w:sz="8" w:space="0" w:color="auto"/>
              <w:right w:val="single" w:sz="8" w:space="0" w:color="auto"/>
            </w:tcBorders>
            <w:shd w:val="clear" w:color="auto" w:fill="auto"/>
            <w:noWrap/>
            <w:vAlign w:val="center"/>
            <w:hideMark/>
          </w:tcPr>
          <w:p w14:paraId="4BB6DAD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Seguridad</w:t>
            </w:r>
          </w:p>
        </w:tc>
        <w:tc>
          <w:tcPr>
            <w:tcW w:w="1749" w:type="dxa"/>
            <w:tcBorders>
              <w:top w:val="nil"/>
              <w:left w:val="nil"/>
              <w:bottom w:val="single" w:sz="8" w:space="0" w:color="auto"/>
              <w:right w:val="nil"/>
            </w:tcBorders>
            <w:shd w:val="clear" w:color="auto" w:fill="FFFFFF" w:themeFill="background1"/>
            <w:vAlign w:val="center"/>
            <w:hideMark/>
          </w:tcPr>
          <w:p w14:paraId="40F76D4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B0E0AB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50DE0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8.3.6</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7762C3FA"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Buen Gobierno</w:t>
            </w:r>
          </w:p>
        </w:tc>
        <w:tc>
          <w:tcPr>
            <w:tcW w:w="1749" w:type="dxa"/>
            <w:tcBorders>
              <w:top w:val="nil"/>
              <w:left w:val="nil"/>
              <w:bottom w:val="single" w:sz="8" w:space="0" w:color="auto"/>
              <w:right w:val="nil"/>
            </w:tcBorders>
            <w:shd w:val="clear" w:color="auto" w:fill="D9D9D9" w:themeFill="background1" w:themeFillShade="D9"/>
            <w:vAlign w:val="center"/>
            <w:hideMark/>
          </w:tcPr>
          <w:p w14:paraId="23053D51"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8,520,940 </w:t>
            </w:r>
          </w:p>
        </w:tc>
      </w:tr>
      <w:tr w:rsidR="009654FE" w:rsidRPr="000842AA" w14:paraId="2B91506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4BCFFF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8.3.6.1</w:t>
            </w:r>
          </w:p>
        </w:tc>
        <w:tc>
          <w:tcPr>
            <w:tcW w:w="6560" w:type="dxa"/>
            <w:tcBorders>
              <w:top w:val="nil"/>
              <w:left w:val="nil"/>
              <w:bottom w:val="single" w:sz="8" w:space="0" w:color="auto"/>
              <w:right w:val="single" w:sz="8" w:space="0" w:color="auto"/>
            </w:tcBorders>
            <w:shd w:val="clear" w:color="auto" w:fill="auto"/>
            <w:noWrap/>
            <w:vAlign w:val="center"/>
            <w:hideMark/>
          </w:tcPr>
          <w:p w14:paraId="61B4948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Armonización Contable</w:t>
            </w:r>
          </w:p>
        </w:tc>
        <w:tc>
          <w:tcPr>
            <w:tcW w:w="1749" w:type="dxa"/>
            <w:tcBorders>
              <w:top w:val="nil"/>
              <w:left w:val="nil"/>
              <w:bottom w:val="single" w:sz="8" w:space="0" w:color="auto"/>
              <w:right w:val="nil"/>
            </w:tcBorders>
            <w:shd w:val="clear" w:color="auto" w:fill="FFFFFF" w:themeFill="background1"/>
            <w:vAlign w:val="center"/>
            <w:hideMark/>
          </w:tcPr>
          <w:p w14:paraId="67B1D04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2,123,006 </w:t>
            </w:r>
          </w:p>
        </w:tc>
      </w:tr>
      <w:tr w:rsidR="009654FE" w:rsidRPr="000842AA" w14:paraId="6653EB2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00C7246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8.3.6.2</w:t>
            </w:r>
          </w:p>
        </w:tc>
        <w:tc>
          <w:tcPr>
            <w:tcW w:w="6560" w:type="dxa"/>
            <w:tcBorders>
              <w:top w:val="nil"/>
              <w:left w:val="nil"/>
              <w:bottom w:val="single" w:sz="8" w:space="0" w:color="auto"/>
              <w:right w:val="single" w:sz="8" w:space="0" w:color="auto"/>
            </w:tcBorders>
            <w:shd w:val="clear" w:color="auto" w:fill="auto"/>
            <w:noWrap/>
            <w:vAlign w:val="center"/>
            <w:hideMark/>
          </w:tcPr>
          <w:p w14:paraId="72CBCC0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Modernización Integral del Registro Civil</w:t>
            </w:r>
          </w:p>
        </w:tc>
        <w:tc>
          <w:tcPr>
            <w:tcW w:w="1749" w:type="dxa"/>
            <w:tcBorders>
              <w:top w:val="nil"/>
              <w:left w:val="nil"/>
              <w:bottom w:val="single" w:sz="8" w:space="0" w:color="auto"/>
              <w:right w:val="nil"/>
            </w:tcBorders>
            <w:shd w:val="clear" w:color="auto" w:fill="FFFFFF" w:themeFill="background1"/>
            <w:vAlign w:val="center"/>
            <w:hideMark/>
          </w:tcPr>
          <w:p w14:paraId="0F5FB94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303,228 </w:t>
            </w:r>
          </w:p>
        </w:tc>
      </w:tr>
      <w:tr w:rsidR="009654FE" w:rsidRPr="000842AA" w14:paraId="3282A72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3C70210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8.3.6.3</w:t>
            </w:r>
          </w:p>
        </w:tc>
        <w:tc>
          <w:tcPr>
            <w:tcW w:w="6560" w:type="dxa"/>
            <w:tcBorders>
              <w:top w:val="nil"/>
              <w:left w:val="nil"/>
              <w:bottom w:val="single" w:sz="8" w:space="0" w:color="auto"/>
              <w:right w:val="single" w:sz="8" w:space="0" w:color="auto"/>
            </w:tcBorders>
            <w:shd w:val="clear" w:color="auto" w:fill="auto"/>
            <w:noWrap/>
            <w:vAlign w:val="center"/>
            <w:hideMark/>
          </w:tcPr>
          <w:p w14:paraId="34AF49A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Modernización y Vinculación Registral y Catastral del padrón Inmobiliario</w:t>
            </w:r>
          </w:p>
        </w:tc>
        <w:tc>
          <w:tcPr>
            <w:tcW w:w="1749" w:type="dxa"/>
            <w:tcBorders>
              <w:top w:val="nil"/>
              <w:left w:val="nil"/>
              <w:bottom w:val="single" w:sz="8" w:space="0" w:color="auto"/>
              <w:right w:val="nil"/>
            </w:tcBorders>
            <w:shd w:val="clear" w:color="auto" w:fill="FFFFFF" w:themeFill="background1"/>
            <w:vAlign w:val="center"/>
            <w:hideMark/>
          </w:tcPr>
          <w:p w14:paraId="43A881A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1559FD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59545C7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8.3.6.4</w:t>
            </w:r>
          </w:p>
        </w:tc>
        <w:tc>
          <w:tcPr>
            <w:tcW w:w="6560" w:type="dxa"/>
            <w:tcBorders>
              <w:top w:val="nil"/>
              <w:left w:val="nil"/>
              <w:bottom w:val="single" w:sz="8" w:space="0" w:color="auto"/>
              <w:right w:val="single" w:sz="8" w:space="0" w:color="auto"/>
            </w:tcBorders>
            <w:shd w:val="clear" w:color="auto" w:fill="auto"/>
            <w:noWrap/>
            <w:vAlign w:val="center"/>
            <w:hideMark/>
          </w:tcPr>
          <w:p w14:paraId="146B0E8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Desarrollo Regional Turístico Sustentable y Pueblos Mágicos</w:t>
            </w:r>
          </w:p>
        </w:tc>
        <w:tc>
          <w:tcPr>
            <w:tcW w:w="1749" w:type="dxa"/>
            <w:tcBorders>
              <w:top w:val="nil"/>
              <w:left w:val="nil"/>
              <w:bottom w:val="single" w:sz="8" w:space="0" w:color="auto"/>
              <w:right w:val="nil"/>
            </w:tcBorders>
            <w:shd w:val="clear" w:color="auto" w:fill="FFFFFF" w:themeFill="background1"/>
            <w:vAlign w:val="center"/>
            <w:hideMark/>
          </w:tcPr>
          <w:p w14:paraId="6A1922B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638236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noWrap/>
            <w:vAlign w:val="center"/>
            <w:hideMark/>
          </w:tcPr>
          <w:p w14:paraId="2CE2FC3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8.3.6.5</w:t>
            </w:r>
          </w:p>
        </w:tc>
        <w:tc>
          <w:tcPr>
            <w:tcW w:w="6560" w:type="dxa"/>
            <w:tcBorders>
              <w:top w:val="nil"/>
              <w:left w:val="nil"/>
              <w:bottom w:val="single" w:sz="8" w:space="0" w:color="auto"/>
              <w:right w:val="single" w:sz="8" w:space="0" w:color="auto"/>
            </w:tcBorders>
            <w:shd w:val="clear" w:color="auto" w:fill="auto"/>
            <w:noWrap/>
            <w:vAlign w:val="center"/>
            <w:hideMark/>
          </w:tcPr>
          <w:p w14:paraId="1AF37BE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Agua Potable Drenaje y Tratamiento</w:t>
            </w:r>
          </w:p>
        </w:tc>
        <w:tc>
          <w:tcPr>
            <w:tcW w:w="1749" w:type="dxa"/>
            <w:tcBorders>
              <w:top w:val="nil"/>
              <w:left w:val="nil"/>
              <w:bottom w:val="single" w:sz="8" w:space="0" w:color="auto"/>
              <w:right w:val="nil"/>
            </w:tcBorders>
            <w:shd w:val="clear" w:color="auto" w:fill="FFFFFF" w:themeFill="background1"/>
            <w:vAlign w:val="center"/>
            <w:hideMark/>
          </w:tcPr>
          <w:p w14:paraId="09E58BF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C81452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2B4077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8.3.6.6</w:t>
            </w:r>
          </w:p>
        </w:tc>
        <w:tc>
          <w:tcPr>
            <w:tcW w:w="6560" w:type="dxa"/>
            <w:tcBorders>
              <w:top w:val="nil"/>
              <w:left w:val="nil"/>
              <w:bottom w:val="single" w:sz="8" w:space="0" w:color="auto"/>
              <w:right w:val="single" w:sz="8" w:space="0" w:color="auto"/>
            </w:tcBorders>
            <w:shd w:val="clear" w:color="auto" w:fill="auto"/>
            <w:noWrap/>
            <w:vAlign w:val="center"/>
            <w:hideMark/>
          </w:tcPr>
          <w:p w14:paraId="7F8FCF5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para el Bienestar y el Avance de las Mujeres (FOBAM)</w:t>
            </w:r>
          </w:p>
        </w:tc>
        <w:tc>
          <w:tcPr>
            <w:tcW w:w="1749" w:type="dxa"/>
            <w:tcBorders>
              <w:top w:val="nil"/>
              <w:left w:val="nil"/>
              <w:bottom w:val="single" w:sz="8" w:space="0" w:color="auto"/>
              <w:right w:val="nil"/>
            </w:tcBorders>
            <w:shd w:val="clear" w:color="auto" w:fill="FFFFFF" w:themeFill="background1"/>
            <w:vAlign w:val="center"/>
            <w:hideMark/>
          </w:tcPr>
          <w:p w14:paraId="4B1194A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2,949,935 </w:t>
            </w:r>
          </w:p>
        </w:tc>
      </w:tr>
      <w:tr w:rsidR="009654FE" w:rsidRPr="000842AA" w14:paraId="686375B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46CBA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8.3.6.7</w:t>
            </w:r>
          </w:p>
        </w:tc>
        <w:tc>
          <w:tcPr>
            <w:tcW w:w="6560" w:type="dxa"/>
            <w:tcBorders>
              <w:top w:val="nil"/>
              <w:left w:val="nil"/>
              <w:bottom w:val="single" w:sz="8" w:space="0" w:color="auto"/>
              <w:right w:val="single" w:sz="8" w:space="0" w:color="auto"/>
            </w:tcBorders>
            <w:shd w:val="clear" w:color="auto" w:fill="auto"/>
            <w:noWrap/>
            <w:vAlign w:val="center"/>
            <w:hideMark/>
          </w:tcPr>
          <w:p w14:paraId="64FE86A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para refugios especializados para mujeres víctimas de violencia, sus hijas e hijos</w:t>
            </w:r>
          </w:p>
        </w:tc>
        <w:tc>
          <w:tcPr>
            <w:tcW w:w="1749" w:type="dxa"/>
            <w:tcBorders>
              <w:top w:val="nil"/>
              <w:left w:val="nil"/>
              <w:bottom w:val="single" w:sz="8" w:space="0" w:color="auto"/>
              <w:right w:val="nil"/>
            </w:tcBorders>
            <w:shd w:val="clear" w:color="auto" w:fill="FFFFFF" w:themeFill="background1"/>
            <w:vAlign w:val="center"/>
            <w:hideMark/>
          </w:tcPr>
          <w:p w14:paraId="1381749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3,144,771 </w:t>
            </w:r>
          </w:p>
        </w:tc>
      </w:tr>
      <w:tr w:rsidR="009654FE" w:rsidRPr="000842AA" w14:paraId="351FF90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AA8B12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8.3.6.8</w:t>
            </w:r>
          </w:p>
        </w:tc>
        <w:tc>
          <w:tcPr>
            <w:tcW w:w="6560" w:type="dxa"/>
            <w:tcBorders>
              <w:top w:val="nil"/>
              <w:left w:val="nil"/>
              <w:bottom w:val="single" w:sz="8" w:space="0" w:color="auto"/>
              <w:right w:val="single" w:sz="8" w:space="0" w:color="auto"/>
            </w:tcBorders>
            <w:shd w:val="clear" w:color="auto" w:fill="auto"/>
            <w:noWrap/>
            <w:vAlign w:val="center"/>
            <w:hideMark/>
          </w:tcPr>
          <w:p w14:paraId="44A1B2D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Coordinación del Sistema Nacional de Protección Civil</w:t>
            </w:r>
          </w:p>
        </w:tc>
        <w:tc>
          <w:tcPr>
            <w:tcW w:w="1749" w:type="dxa"/>
            <w:tcBorders>
              <w:top w:val="nil"/>
              <w:left w:val="nil"/>
              <w:bottom w:val="single" w:sz="8" w:space="0" w:color="auto"/>
              <w:right w:val="nil"/>
            </w:tcBorders>
            <w:shd w:val="clear" w:color="auto" w:fill="FFFFFF" w:themeFill="background1"/>
            <w:vAlign w:val="center"/>
            <w:hideMark/>
          </w:tcPr>
          <w:p w14:paraId="0A568B0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551022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6A1AD4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8.3.6.9</w:t>
            </w:r>
          </w:p>
        </w:tc>
        <w:tc>
          <w:tcPr>
            <w:tcW w:w="6560" w:type="dxa"/>
            <w:tcBorders>
              <w:top w:val="nil"/>
              <w:left w:val="nil"/>
              <w:bottom w:val="single" w:sz="8" w:space="0" w:color="auto"/>
              <w:right w:val="single" w:sz="8" w:space="0" w:color="auto"/>
            </w:tcBorders>
            <w:shd w:val="clear" w:color="auto" w:fill="auto"/>
            <w:noWrap/>
            <w:vAlign w:val="center"/>
            <w:hideMark/>
          </w:tcPr>
          <w:p w14:paraId="238162E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Administración y Enajenación de activos (INDEP)</w:t>
            </w:r>
          </w:p>
        </w:tc>
        <w:tc>
          <w:tcPr>
            <w:tcW w:w="1749" w:type="dxa"/>
            <w:tcBorders>
              <w:top w:val="nil"/>
              <w:left w:val="nil"/>
              <w:bottom w:val="single" w:sz="8" w:space="0" w:color="auto"/>
              <w:right w:val="nil"/>
            </w:tcBorders>
            <w:shd w:val="clear" w:color="auto" w:fill="FFFFFF" w:themeFill="background1"/>
            <w:vAlign w:val="center"/>
            <w:hideMark/>
          </w:tcPr>
          <w:p w14:paraId="35BCC15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D4D376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FCBDE0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8.3.6.10</w:t>
            </w:r>
          </w:p>
        </w:tc>
        <w:tc>
          <w:tcPr>
            <w:tcW w:w="6560" w:type="dxa"/>
            <w:tcBorders>
              <w:top w:val="nil"/>
              <w:left w:val="nil"/>
              <w:bottom w:val="single" w:sz="8" w:space="0" w:color="auto"/>
              <w:right w:val="single" w:sz="8" w:space="0" w:color="auto"/>
            </w:tcBorders>
            <w:shd w:val="clear" w:color="auto" w:fill="auto"/>
            <w:noWrap/>
            <w:vAlign w:val="center"/>
            <w:hideMark/>
          </w:tcPr>
          <w:p w14:paraId="3B112F7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Fortalecimiento del Centro de Justicia para las Mujeres</w:t>
            </w:r>
          </w:p>
        </w:tc>
        <w:tc>
          <w:tcPr>
            <w:tcW w:w="1749" w:type="dxa"/>
            <w:tcBorders>
              <w:top w:val="nil"/>
              <w:left w:val="nil"/>
              <w:bottom w:val="single" w:sz="8" w:space="0" w:color="auto"/>
              <w:right w:val="nil"/>
            </w:tcBorders>
            <w:shd w:val="clear" w:color="auto" w:fill="FFFFFF" w:themeFill="background1"/>
            <w:vAlign w:val="center"/>
            <w:hideMark/>
          </w:tcPr>
          <w:p w14:paraId="1D56FDA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D009E4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6530E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8.3.6.11</w:t>
            </w:r>
          </w:p>
        </w:tc>
        <w:tc>
          <w:tcPr>
            <w:tcW w:w="6560" w:type="dxa"/>
            <w:tcBorders>
              <w:top w:val="nil"/>
              <w:left w:val="nil"/>
              <w:bottom w:val="single" w:sz="8" w:space="0" w:color="auto"/>
              <w:right w:val="single" w:sz="8" w:space="0" w:color="auto"/>
            </w:tcBorders>
            <w:shd w:val="clear" w:color="auto" w:fill="auto"/>
            <w:noWrap/>
            <w:vAlign w:val="center"/>
            <w:hideMark/>
          </w:tcPr>
          <w:p w14:paraId="3B50272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Buen Gobierno</w:t>
            </w:r>
          </w:p>
        </w:tc>
        <w:tc>
          <w:tcPr>
            <w:tcW w:w="1749" w:type="dxa"/>
            <w:tcBorders>
              <w:top w:val="nil"/>
              <w:left w:val="nil"/>
              <w:bottom w:val="single" w:sz="8" w:space="0" w:color="auto"/>
              <w:right w:val="nil"/>
            </w:tcBorders>
            <w:shd w:val="clear" w:color="auto" w:fill="FFFFFF" w:themeFill="background1"/>
            <w:vAlign w:val="center"/>
            <w:hideMark/>
          </w:tcPr>
          <w:p w14:paraId="0CFACFC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692A54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C556CB"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8.3.7</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9FA8C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Ramo 23</w:t>
            </w:r>
          </w:p>
        </w:tc>
        <w:tc>
          <w:tcPr>
            <w:tcW w:w="1749" w:type="dxa"/>
            <w:tcBorders>
              <w:top w:val="nil"/>
              <w:left w:val="nil"/>
              <w:bottom w:val="single" w:sz="8" w:space="0" w:color="auto"/>
              <w:right w:val="nil"/>
            </w:tcBorders>
            <w:shd w:val="clear" w:color="auto" w:fill="D9D9D9" w:themeFill="background1" w:themeFillShade="D9"/>
            <w:vAlign w:val="center"/>
            <w:hideMark/>
          </w:tcPr>
          <w:p w14:paraId="6419A317"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27D9686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2DBCBF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8.3.7.1</w:t>
            </w:r>
          </w:p>
        </w:tc>
        <w:tc>
          <w:tcPr>
            <w:tcW w:w="6560" w:type="dxa"/>
            <w:tcBorders>
              <w:top w:val="nil"/>
              <w:left w:val="nil"/>
              <w:bottom w:val="single" w:sz="8" w:space="0" w:color="auto"/>
              <w:right w:val="single" w:sz="8" w:space="0" w:color="auto"/>
            </w:tcBorders>
            <w:shd w:val="clear" w:color="auto" w:fill="auto"/>
            <w:noWrap/>
            <w:vAlign w:val="center"/>
            <w:hideMark/>
          </w:tcPr>
          <w:p w14:paraId="452DAD6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Accesibilidad para personas con Discapacidad</w:t>
            </w:r>
          </w:p>
        </w:tc>
        <w:tc>
          <w:tcPr>
            <w:tcW w:w="1749" w:type="dxa"/>
            <w:tcBorders>
              <w:top w:val="nil"/>
              <w:left w:val="nil"/>
              <w:bottom w:val="single" w:sz="8" w:space="0" w:color="auto"/>
              <w:right w:val="nil"/>
            </w:tcBorders>
            <w:shd w:val="clear" w:color="auto" w:fill="FFFFFF" w:themeFill="background1"/>
            <w:vAlign w:val="center"/>
            <w:hideMark/>
          </w:tcPr>
          <w:p w14:paraId="046167D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9422B2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A87850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8.3.7.2</w:t>
            </w:r>
          </w:p>
        </w:tc>
        <w:tc>
          <w:tcPr>
            <w:tcW w:w="6560" w:type="dxa"/>
            <w:tcBorders>
              <w:top w:val="nil"/>
              <w:left w:val="nil"/>
              <w:bottom w:val="single" w:sz="8" w:space="0" w:color="auto"/>
              <w:right w:val="single" w:sz="8" w:space="0" w:color="auto"/>
            </w:tcBorders>
            <w:shd w:val="clear" w:color="auto" w:fill="auto"/>
            <w:noWrap/>
            <w:vAlign w:val="center"/>
            <w:hideMark/>
          </w:tcPr>
          <w:p w14:paraId="1C06FAD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Fondo Metropolitano (FIFONMETRO)</w:t>
            </w:r>
          </w:p>
        </w:tc>
        <w:tc>
          <w:tcPr>
            <w:tcW w:w="1749" w:type="dxa"/>
            <w:tcBorders>
              <w:top w:val="nil"/>
              <w:left w:val="nil"/>
              <w:bottom w:val="single" w:sz="8" w:space="0" w:color="auto"/>
              <w:right w:val="nil"/>
            </w:tcBorders>
            <w:shd w:val="clear" w:color="auto" w:fill="FFFFFF" w:themeFill="background1"/>
            <w:vAlign w:val="center"/>
            <w:hideMark/>
          </w:tcPr>
          <w:p w14:paraId="52D1E4C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9F2940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A7EBCA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8.3.7.3</w:t>
            </w:r>
          </w:p>
        </w:tc>
        <w:tc>
          <w:tcPr>
            <w:tcW w:w="6560" w:type="dxa"/>
            <w:tcBorders>
              <w:top w:val="nil"/>
              <w:left w:val="nil"/>
              <w:bottom w:val="single" w:sz="8" w:space="0" w:color="auto"/>
              <w:right w:val="single" w:sz="8" w:space="0" w:color="auto"/>
            </w:tcBorders>
            <w:shd w:val="clear" w:color="auto" w:fill="auto"/>
            <w:noWrap/>
            <w:vAlign w:val="center"/>
            <w:hideMark/>
          </w:tcPr>
          <w:p w14:paraId="4B19318F"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Regional</w:t>
            </w:r>
          </w:p>
        </w:tc>
        <w:tc>
          <w:tcPr>
            <w:tcW w:w="1749" w:type="dxa"/>
            <w:tcBorders>
              <w:top w:val="nil"/>
              <w:left w:val="nil"/>
              <w:bottom w:val="single" w:sz="8" w:space="0" w:color="auto"/>
              <w:right w:val="nil"/>
            </w:tcBorders>
            <w:shd w:val="clear" w:color="auto" w:fill="FFFFFF" w:themeFill="background1"/>
            <w:vAlign w:val="center"/>
            <w:hideMark/>
          </w:tcPr>
          <w:p w14:paraId="208F065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B4A1B1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A252C9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8.3.7.4</w:t>
            </w:r>
          </w:p>
        </w:tc>
        <w:tc>
          <w:tcPr>
            <w:tcW w:w="6560" w:type="dxa"/>
            <w:tcBorders>
              <w:top w:val="nil"/>
              <w:left w:val="nil"/>
              <w:bottom w:val="single" w:sz="8" w:space="0" w:color="auto"/>
              <w:right w:val="single" w:sz="8" w:space="0" w:color="auto"/>
            </w:tcBorders>
            <w:shd w:val="clear" w:color="auto" w:fill="auto"/>
            <w:noWrap/>
            <w:vAlign w:val="center"/>
            <w:hideMark/>
          </w:tcPr>
          <w:p w14:paraId="5F2BFC6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Nacional de Infraestructura (FONADIN)</w:t>
            </w:r>
          </w:p>
        </w:tc>
        <w:tc>
          <w:tcPr>
            <w:tcW w:w="1749" w:type="dxa"/>
            <w:tcBorders>
              <w:top w:val="nil"/>
              <w:left w:val="nil"/>
              <w:bottom w:val="single" w:sz="8" w:space="0" w:color="auto"/>
              <w:right w:val="nil"/>
            </w:tcBorders>
            <w:shd w:val="clear" w:color="auto" w:fill="FFFFFF" w:themeFill="background1"/>
            <w:vAlign w:val="center"/>
            <w:hideMark/>
          </w:tcPr>
          <w:p w14:paraId="357F2F6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5CC438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4FD522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8.3.7.5</w:t>
            </w:r>
          </w:p>
        </w:tc>
        <w:tc>
          <w:tcPr>
            <w:tcW w:w="6560" w:type="dxa"/>
            <w:tcBorders>
              <w:top w:val="nil"/>
              <w:left w:val="nil"/>
              <w:bottom w:val="single" w:sz="8" w:space="0" w:color="auto"/>
              <w:right w:val="single" w:sz="8" w:space="0" w:color="auto"/>
            </w:tcBorders>
            <w:shd w:val="clear" w:color="auto" w:fill="auto"/>
            <w:noWrap/>
            <w:vAlign w:val="center"/>
            <w:hideMark/>
          </w:tcPr>
          <w:p w14:paraId="5545D9D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Proyecto de Desarrollo Regional (Zona Henequenera)</w:t>
            </w:r>
          </w:p>
        </w:tc>
        <w:tc>
          <w:tcPr>
            <w:tcW w:w="1749" w:type="dxa"/>
            <w:tcBorders>
              <w:top w:val="nil"/>
              <w:left w:val="nil"/>
              <w:bottom w:val="single" w:sz="8" w:space="0" w:color="auto"/>
              <w:right w:val="nil"/>
            </w:tcBorders>
            <w:shd w:val="clear" w:color="auto" w:fill="FFFFFF" w:themeFill="background1"/>
            <w:vAlign w:val="center"/>
            <w:hideMark/>
          </w:tcPr>
          <w:p w14:paraId="73C2087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C763FE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848759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8.3.7.6</w:t>
            </w:r>
          </w:p>
        </w:tc>
        <w:tc>
          <w:tcPr>
            <w:tcW w:w="6560" w:type="dxa"/>
            <w:tcBorders>
              <w:top w:val="nil"/>
              <w:left w:val="nil"/>
              <w:bottom w:val="single" w:sz="8" w:space="0" w:color="auto"/>
              <w:right w:val="single" w:sz="8" w:space="0" w:color="auto"/>
            </w:tcBorders>
            <w:shd w:val="clear" w:color="auto" w:fill="auto"/>
            <w:noWrap/>
            <w:vAlign w:val="center"/>
            <w:hideMark/>
          </w:tcPr>
          <w:p w14:paraId="4ED3844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Fondo de Fortalecimiento</w:t>
            </w:r>
          </w:p>
        </w:tc>
        <w:tc>
          <w:tcPr>
            <w:tcW w:w="1749" w:type="dxa"/>
            <w:tcBorders>
              <w:top w:val="nil"/>
              <w:left w:val="nil"/>
              <w:bottom w:val="single" w:sz="8" w:space="0" w:color="auto"/>
              <w:right w:val="nil"/>
            </w:tcBorders>
            <w:shd w:val="clear" w:color="auto" w:fill="FFFFFF" w:themeFill="background1"/>
            <w:vAlign w:val="center"/>
            <w:hideMark/>
          </w:tcPr>
          <w:p w14:paraId="2385BB7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74CC66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F7ED2D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8.3.7.7</w:t>
            </w:r>
          </w:p>
        </w:tc>
        <w:tc>
          <w:tcPr>
            <w:tcW w:w="6560" w:type="dxa"/>
            <w:tcBorders>
              <w:top w:val="nil"/>
              <w:left w:val="nil"/>
              <w:bottom w:val="single" w:sz="8" w:space="0" w:color="auto"/>
              <w:right w:val="single" w:sz="8" w:space="0" w:color="auto"/>
            </w:tcBorders>
            <w:shd w:val="clear" w:color="auto" w:fill="auto"/>
            <w:noWrap/>
            <w:vAlign w:val="center"/>
            <w:hideMark/>
          </w:tcPr>
          <w:p w14:paraId="7F6C66D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5% Museos o Zonas Arqueológicas</w:t>
            </w:r>
          </w:p>
        </w:tc>
        <w:tc>
          <w:tcPr>
            <w:tcW w:w="1749" w:type="dxa"/>
            <w:tcBorders>
              <w:top w:val="nil"/>
              <w:left w:val="nil"/>
              <w:bottom w:val="single" w:sz="8" w:space="0" w:color="auto"/>
              <w:right w:val="nil"/>
            </w:tcBorders>
            <w:shd w:val="clear" w:color="auto" w:fill="FFFFFF" w:themeFill="background1"/>
            <w:vAlign w:val="center"/>
            <w:hideMark/>
          </w:tcPr>
          <w:p w14:paraId="7CB217E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6C3994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76509A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8.3.7.8</w:t>
            </w:r>
          </w:p>
        </w:tc>
        <w:tc>
          <w:tcPr>
            <w:tcW w:w="6560" w:type="dxa"/>
            <w:tcBorders>
              <w:top w:val="nil"/>
              <w:left w:val="nil"/>
              <w:bottom w:val="single" w:sz="8" w:space="0" w:color="auto"/>
              <w:right w:val="single" w:sz="8" w:space="0" w:color="auto"/>
            </w:tcBorders>
            <w:shd w:val="clear" w:color="auto" w:fill="auto"/>
            <w:noWrap/>
            <w:vAlign w:val="center"/>
            <w:hideMark/>
          </w:tcPr>
          <w:p w14:paraId="3A304581"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Subsidios para Contingencias Económicas</w:t>
            </w:r>
          </w:p>
        </w:tc>
        <w:tc>
          <w:tcPr>
            <w:tcW w:w="1749" w:type="dxa"/>
            <w:tcBorders>
              <w:top w:val="nil"/>
              <w:left w:val="nil"/>
              <w:bottom w:val="single" w:sz="8" w:space="0" w:color="auto"/>
              <w:right w:val="nil"/>
            </w:tcBorders>
            <w:shd w:val="clear" w:color="auto" w:fill="FFFFFF" w:themeFill="background1"/>
            <w:vAlign w:val="center"/>
            <w:hideMark/>
          </w:tcPr>
          <w:p w14:paraId="68E726A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926D3E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18DB4DB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8.3.7.9</w:t>
            </w:r>
          </w:p>
        </w:tc>
        <w:tc>
          <w:tcPr>
            <w:tcW w:w="6560" w:type="dxa"/>
            <w:tcBorders>
              <w:top w:val="nil"/>
              <w:left w:val="nil"/>
              <w:bottom w:val="single" w:sz="8" w:space="0" w:color="auto"/>
              <w:right w:val="single" w:sz="8" w:space="0" w:color="auto"/>
            </w:tcBorders>
            <w:shd w:val="clear" w:color="auto" w:fill="auto"/>
            <w:noWrap/>
            <w:vAlign w:val="center"/>
            <w:hideMark/>
          </w:tcPr>
          <w:p w14:paraId="3041766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Fideicomiso para la Infraestructura de los Estados (FIES)</w:t>
            </w:r>
          </w:p>
        </w:tc>
        <w:tc>
          <w:tcPr>
            <w:tcW w:w="1749" w:type="dxa"/>
            <w:tcBorders>
              <w:top w:val="nil"/>
              <w:left w:val="nil"/>
              <w:bottom w:val="single" w:sz="8" w:space="0" w:color="auto"/>
              <w:right w:val="nil"/>
            </w:tcBorders>
            <w:shd w:val="clear" w:color="auto" w:fill="FFFFFF" w:themeFill="background1"/>
            <w:vAlign w:val="center"/>
            <w:hideMark/>
          </w:tcPr>
          <w:p w14:paraId="5A67BF6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3D288C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19BCD3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8.3.7.10</w:t>
            </w:r>
          </w:p>
        </w:tc>
        <w:tc>
          <w:tcPr>
            <w:tcW w:w="6560" w:type="dxa"/>
            <w:tcBorders>
              <w:top w:val="nil"/>
              <w:left w:val="nil"/>
              <w:bottom w:val="single" w:sz="8" w:space="0" w:color="auto"/>
              <w:right w:val="single" w:sz="8" w:space="0" w:color="auto"/>
            </w:tcBorders>
            <w:shd w:val="clear" w:color="auto" w:fill="auto"/>
            <w:noWrap/>
            <w:vAlign w:val="center"/>
            <w:hideMark/>
          </w:tcPr>
          <w:p w14:paraId="111D56DC" w14:textId="482FDB04"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infraestructura en su vertiente ampliación mejoramiento de la vivienda de la SEDATU</w:t>
            </w:r>
          </w:p>
        </w:tc>
        <w:tc>
          <w:tcPr>
            <w:tcW w:w="1749" w:type="dxa"/>
            <w:tcBorders>
              <w:top w:val="nil"/>
              <w:left w:val="nil"/>
              <w:bottom w:val="single" w:sz="8" w:space="0" w:color="auto"/>
              <w:right w:val="nil"/>
            </w:tcBorders>
            <w:shd w:val="clear" w:color="auto" w:fill="FFFFFF" w:themeFill="background1"/>
            <w:vAlign w:val="center"/>
            <w:hideMark/>
          </w:tcPr>
          <w:p w14:paraId="2D99E42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99DA4F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ED6279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8.3.7.11</w:t>
            </w:r>
          </w:p>
        </w:tc>
        <w:tc>
          <w:tcPr>
            <w:tcW w:w="6560" w:type="dxa"/>
            <w:tcBorders>
              <w:top w:val="nil"/>
              <w:left w:val="nil"/>
              <w:bottom w:val="single" w:sz="8" w:space="0" w:color="auto"/>
              <w:right w:val="single" w:sz="8" w:space="0" w:color="auto"/>
            </w:tcBorders>
            <w:shd w:val="clear" w:color="auto" w:fill="auto"/>
            <w:noWrap/>
            <w:vAlign w:val="center"/>
            <w:hideMark/>
          </w:tcPr>
          <w:p w14:paraId="38BA8C6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Ramo 23</w:t>
            </w:r>
          </w:p>
        </w:tc>
        <w:tc>
          <w:tcPr>
            <w:tcW w:w="1749" w:type="dxa"/>
            <w:tcBorders>
              <w:top w:val="nil"/>
              <w:left w:val="nil"/>
              <w:bottom w:val="single" w:sz="8" w:space="0" w:color="auto"/>
              <w:right w:val="nil"/>
            </w:tcBorders>
            <w:shd w:val="clear" w:color="auto" w:fill="FFFFFF" w:themeFill="background1"/>
            <w:vAlign w:val="center"/>
            <w:hideMark/>
          </w:tcPr>
          <w:p w14:paraId="67A9012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50A1F23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CF286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8.3.8</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4D842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Comunicación y Transporte</w:t>
            </w:r>
          </w:p>
        </w:tc>
        <w:tc>
          <w:tcPr>
            <w:tcW w:w="1749" w:type="dxa"/>
            <w:tcBorders>
              <w:top w:val="nil"/>
              <w:left w:val="nil"/>
              <w:bottom w:val="single" w:sz="8" w:space="0" w:color="auto"/>
              <w:right w:val="nil"/>
            </w:tcBorders>
            <w:shd w:val="clear" w:color="auto" w:fill="D9D9D9" w:themeFill="background1" w:themeFillShade="D9"/>
            <w:vAlign w:val="center"/>
            <w:hideMark/>
          </w:tcPr>
          <w:p w14:paraId="4DD3C7B9"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0 </w:t>
            </w:r>
          </w:p>
        </w:tc>
      </w:tr>
      <w:tr w:rsidR="009654FE" w:rsidRPr="000842AA" w14:paraId="7359789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FD5813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8.3.8.1</w:t>
            </w:r>
          </w:p>
        </w:tc>
        <w:tc>
          <w:tcPr>
            <w:tcW w:w="6560" w:type="dxa"/>
            <w:tcBorders>
              <w:top w:val="nil"/>
              <w:left w:val="nil"/>
              <w:bottom w:val="single" w:sz="8" w:space="0" w:color="auto"/>
              <w:right w:val="single" w:sz="8" w:space="0" w:color="auto"/>
            </w:tcBorders>
            <w:shd w:val="clear" w:color="auto" w:fill="auto"/>
            <w:noWrap/>
            <w:vAlign w:val="center"/>
            <w:hideMark/>
          </w:tcPr>
          <w:p w14:paraId="6CCC04E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Conservación y Estudios y Proyectos de Caminos Rurales</w:t>
            </w:r>
          </w:p>
        </w:tc>
        <w:tc>
          <w:tcPr>
            <w:tcW w:w="1749" w:type="dxa"/>
            <w:tcBorders>
              <w:top w:val="nil"/>
              <w:left w:val="nil"/>
              <w:bottom w:val="single" w:sz="8" w:space="0" w:color="auto"/>
              <w:right w:val="nil"/>
            </w:tcBorders>
            <w:shd w:val="clear" w:color="auto" w:fill="FFFFFF" w:themeFill="background1"/>
            <w:vAlign w:val="center"/>
            <w:hideMark/>
          </w:tcPr>
          <w:p w14:paraId="69E4388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AF5328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A73579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8.3.8.2</w:t>
            </w:r>
          </w:p>
        </w:tc>
        <w:tc>
          <w:tcPr>
            <w:tcW w:w="6560" w:type="dxa"/>
            <w:tcBorders>
              <w:top w:val="nil"/>
              <w:left w:val="nil"/>
              <w:bottom w:val="single" w:sz="8" w:space="0" w:color="auto"/>
              <w:right w:val="single" w:sz="8" w:space="0" w:color="auto"/>
            </w:tcBorders>
            <w:shd w:val="clear" w:color="auto" w:fill="auto"/>
            <w:noWrap/>
            <w:vAlign w:val="center"/>
            <w:hideMark/>
          </w:tcPr>
          <w:p w14:paraId="45F46B6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Comunicación y Transporte</w:t>
            </w:r>
          </w:p>
        </w:tc>
        <w:tc>
          <w:tcPr>
            <w:tcW w:w="1749" w:type="dxa"/>
            <w:tcBorders>
              <w:top w:val="nil"/>
              <w:left w:val="nil"/>
              <w:bottom w:val="single" w:sz="8" w:space="0" w:color="auto"/>
              <w:right w:val="nil"/>
            </w:tcBorders>
            <w:shd w:val="clear" w:color="auto" w:fill="FFFFFF" w:themeFill="background1"/>
            <w:vAlign w:val="center"/>
            <w:hideMark/>
          </w:tcPr>
          <w:p w14:paraId="4CC98B6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47E775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A1200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8.3.9</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571126"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Agricultura, Ganadería, Desarrollo Rural, Pesca y Alimentación</w:t>
            </w:r>
          </w:p>
        </w:tc>
        <w:tc>
          <w:tcPr>
            <w:tcW w:w="1749" w:type="dxa"/>
            <w:tcBorders>
              <w:top w:val="nil"/>
              <w:left w:val="nil"/>
              <w:bottom w:val="single" w:sz="8" w:space="0" w:color="auto"/>
              <w:right w:val="nil"/>
            </w:tcBorders>
            <w:shd w:val="clear" w:color="auto" w:fill="D9D9D9" w:themeFill="background1" w:themeFillShade="D9"/>
            <w:vAlign w:val="center"/>
            <w:hideMark/>
          </w:tcPr>
          <w:p w14:paraId="5A39BFC3"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110,421,631 </w:t>
            </w:r>
          </w:p>
        </w:tc>
      </w:tr>
      <w:tr w:rsidR="009654FE" w:rsidRPr="000842AA" w14:paraId="0B7DE5E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2B4A30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8.3.9.1</w:t>
            </w:r>
          </w:p>
        </w:tc>
        <w:tc>
          <w:tcPr>
            <w:tcW w:w="6560" w:type="dxa"/>
            <w:tcBorders>
              <w:top w:val="nil"/>
              <w:left w:val="nil"/>
              <w:bottom w:val="single" w:sz="8" w:space="0" w:color="auto"/>
              <w:right w:val="single" w:sz="8" w:space="0" w:color="auto"/>
            </w:tcBorders>
            <w:shd w:val="clear" w:color="auto" w:fill="auto"/>
            <w:noWrap/>
            <w:vAlign w:val="center"/>
            <w:hideMark/>
          </w:tcPr>
          <w:p w14:paraId="56DF8216"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Impulso a la Capitalización Pesquera y Acuícola</w:t>
            </w:r>
          </w:p>
        </w:tc>
        <w:tc>
          <w:tcPr>
            <w:tcW w:w="1749" w:type="dxa"/>
            <w:tcBorders>
              <w:top w:val="nil"/>
              <w:left w:val="nil"/>
              <w:bottom w:val="single" w:sz="8" w:space="0" w:color="auto"/>
              <w:right w:val="nil"/>
            </w:tcBorders>
            <w:shd w:val="clear" w:color="auto" w:fill="FFFFFF" w:themeFill="background1"/>
            <w:vAlign w:val="center"/>
            <w:hideMark/>
          </w:tcPr>
          <w:p w14:paraId="578E5C75"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85A364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7E86F0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8.3.9.2</w:t>
            </w:r>
          </w:p>
        </w:tc>
        <w:tc>
          <w:tcPr>
            <w:tcW w:w="6560" w:type="dxa"/>
            <w:tcBorders>
              <w:top w:val="nil"/>
              <w:left w:val="nil"/>
              <w:bottom w:val="single" w:sz="8" w:space="0" w:color="auto"/>
              <w:right w:val="single" w:sz="8" w:space="0" w:color="auto"/>
            </w:tcBorders>
            <w:shd w:val="clear" w:color="auto" w:fill="auto"/>
            <w:noWrap/>
            <w:vAlign w:val="center"/>
            <w:hideMark/>
          </w:tcPr>
          <w:p w14:paraId="2AF869A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Componente de Atención a Desastres Naturales</w:t>
            </w:r>
          </w:p>
        </w:tc>
        <w:tc>
          <w:tcPr>
            <w:tcW w:w="1749" w:type="dxa"/>
            <w:tcBorders>
              <w:top w:val="nil"/>
              <w:left w:val="nil"/>
              <w:bottom w:val="single" w:sz="8" w:space="0" w:color="auto"/>
              <w:right w:val="nil"/>
            </w:tcBorders>
            <w:shd w:val="clear" w:color="auto" w:fill="FFFFFF" w:themeFill="background1"/>
            <w:vAlign w:val="center"/>
            <w:hideMark/>
          </w:tcPr>
          <w:p w14:paraId="16F9631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B7A531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7E116F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8.3.9.3</w:t>
            </w:r>
          </w:p>
        </w:tc>
        <w:tc>
          <w:tcPr>
            <w:tcW w:w="6560" w:type="dxa"/>
            <w:tcBorders>
              <w:top w:val="nil"/>
              <w:left w:val="nil"/>
              <w:bottom w:val="single" w:sz="8" w:space="0" w:color="auto"/>
              <w:right w:val="single" w:sz="8" w:space="0" w:color="auto"/>
            </w:tcBorders>
            <w:shd w:val="clear" w:color="auto" w:fill="auto"/>
            <w:noWrap/>
            <w:vAlign w:val="center"/>
            <w:hideMark/>
          </w:tcPr>
          <w:p w14:paraId="513BAF9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rehabilitación modernización tecnificada y equipamiento de unidades de riego</w:t>
            </w:r>
          </w:p>
        </w:tc>
        <w:tc>
          <w:tcPr>
            <w:tcW w:w="1749" w:type="dxa"/>
            <w:tcBorders>
              <w:top w:val="nil"/>
              <w:left w:val="nil"/>
              <w:bottom w:val="single" w:sz="8" w:space="0" w:color="auto"/>
              <w:right w:val="nil"/>
            </w:tcBorders>
            <w:shd w:val="clear" w:color="auto" w:fill="FFFFFF" w:themeFill="background1"/>
            <w:vAlign w:val="center"/>
            <w:hideMark/>
          </w:tcPr>
          <w:p w14:paraId="79CD13B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37,271,375 </w:t>
            </w:r>
          </w:p>
        </w:tc>
      </w:tr>
      <w:tr w:rsidR="009654FE" w:rsidRPr="000842AA" w14:paraId="7A839ED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ED2335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8.3.9.4</w:t>
            </w:r>
          </w:p>
        </w:tc>
        <w:tc>
          <w:tcPr>
            <w:tcW w:w="6560" w:type="dxa"/>
            <w:tcBorders>
              <w:top w:val="nil"/>
              <w:left w:val="nil"/>
              <w:bottom w:val="single" w:sz="8" w:space="0" w:color="auto"/>
              <w:right w:val="single" w:sz="8" w:space="0" w:color="auto"/>
            </w:tcBorders>
            <w:shd w:val="clear" w:color="auto" w:fill="auto"/>
            <w:noWrap/>
            <w:vAlign w:val="center"/>
            <w:hideMark/>
          </w:tcPr>
          <w:p w14:paraId="5109050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Prevención, Combate y Control de Incendios Forestales</w:t>
            </w:r>
          </w:p>
        </w:tc>
        <w:tc>
          <w:tcPr>
            <w:tcW w:w="1749" w:type="dxa"/>
            <w:tcBorders>
              <w:top w:val="nil"/>
              <w:left w:val="nil"/>
              <w:bottom w:val="single" w:sz="8" w:space="0" w:color="auto"/>
              <w:right w:val="nil"/>
            </w:tcBorders>
            <w:shd w:val="clear" w:color="auto" w:fill="FFFFFF" w:themeFill="background1"/>
            <w:vAlign w:val="center"/>
            <w:hideMark/>
          </w:tcPr>
          <w:p w14:paraId="62127E4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1,918,914 </w:t>
            </w:r>
          </w:p>
        </w:tc>
      </w:tr>
      <w:tr w:rsidR="009654FE" w:rsidRPr="000842AA" w14:paraId="5BDAF5E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670B223"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8.3.9.5</w:t>
            </w:r>
          </w:p>
        </w:tc>
        <w:tc>
          <w:tcPr>
            <w:tcW w:w="6560" w:type="dxa"/>
            <w:tcBorders>
              <w:top w:val="nil"/>
              <w:left w:val="nil"/>
              <w:bottom w:val="single" w:sz="8" w:space="0" w:color="auto"/>
              <w:right w:val="single" w:sz="8" w:space="0" w:color="auto"/>
            </w:tcBorders>
            <w:shd w:val="clear" w:color="auto" w:fill="auto"/>
            <w:noWrap/>
            <w:vAlign w:val="center"/>
            <w:hideMark/>
          </w:tcPr>
          <w:p w14:paraId="4C6EA61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Programa de Apoyo a la Infraestructura Hidroagrícola CONAGUA</w:t>
            </w:r>
          </w:p>
        </w:tc>
        <w:tc>
          <w:tcPr>
            <w:tcW w:w="1749" w:type="dxa"/>
            <w:tcBorders>
              <w:top w:val="nil"/>
              <w:left w:val="nil"/>
              <w:bottom w:val="single" w:sz="8" w:space="0" w:color="auto"/>
              <w:right w:val="nil"/>
            </w:tcBorders>
            <w:shd w:val="clear" w:color="auto" w:fill="FFFFFF" w:themeFill="background1"/>
            <w:vAlign w:val="center"/>
            <w:hideMark/>
          </w:tcPr>
          <w:p w14:paraId="4BE6446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14,731,342 </w:t>
            </w:r>
          </w:p>
        </w:tc>
      </w:tr>
      <w:tr w:rsidR="009654FE" w:rsidRPr="000842AA" w14:paraId="29B30D4B"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18EB5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8.3.9.6</w:t>
            </w:r>
          </w:p>
        </w:tc>
        <w:tc>
          <w:tcPr>
            <w:tcW w:w="6560" w:type="dxa"/>
            <w:tcBorders>
              <w:top w:val="nil"/>
              <w:left w:val="nil"/>
              <w:bottom w:val="single" w:sz="8" w:space="0" w:color="auto"/>
              <w:right w:val="single" w:sz="8" w:space="0" w:color="auto"/>
            </w:tcBorders>
            <w:shd w:val="clear" w:color="auto" w:fill="auto"/>
            <w:noWrap/>
            <w:vAlign w:val="center"/>
            <w:hideMark/>
          </w:tcPr>
          <w:p w14:paraId="29089669"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Sembrando vida</w:t>
            </w:r>
          </w:p>
        </w:tc>
        <w:tc>
          <w:tcPr>
            <w:tcW w:w="1749" w:type="dxa"/>
            <w:tcBorders>
              <w:top w:val="nil"/>
              <w:left w:val="nil"/>
              <w:bottom w:val="single" w:sz="8" w:space="0" w:color="auto"/>
              <w:right w:val="nil"/>
            </w:tcBorders>
            <w:shd w:val="clear" w:color="auto" w:fill="FFFFFF" w:themeFill="background1"/>
            <w:vAlign w:val="center"/>
            <w:hideMark/>
          </w:tcPr>
          <w:p w14:paraId="497F0A1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73C05A6"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511B02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8.3.9.7</w:t>
            </w:r>
          </w:p>
        </w:tc>
        <w:tc>
          <w:tcPr>
            <w:tcW w:w="6560" w:type="dxa"/>
            <w:tcBorders>
              <w:top w:val="nil"/>
              <w:left w:val="nil"/>
              <w:bottom w:val="single" w:sz="8" w:space="0" w:color="auto"/>
              <w:right w:val="single" w:sz="8" w:space="0" w:color="auto"/>
            </w:tcBorders>
            <w:shd w:val="clear" w:color="auto" w:fill="auto"/>
            <w:noWrap/>
            <w:vAlign w:val="center"/>
            <w:hideMark/>
          </w:tcPr>
          <w:p w14:paraId="22A024C2"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Sanidad e Inocuidad Agroalimentaria</w:t>
            </w:r>
          </w:p>
        </w:tc>
        <w:tc>
          <w:tcPr>
            <w:tcW w:w="1749" w:type="dxa"/>
            <w:tcBorders>
              <w:top w:val="nil"/>
              <w:left w:val="nil"/>
              <w:bottom w:val="single" w:sz="8" w:space="0" w:color="auto"/>
              <w:right w:val="nil"/>
            </w:tcBorders>
            <w:shd w:val="clear" w:color="auto" w:fill="FFFFFF" w:themeFill="background1"/>
            <w:vAlign w:val="center"/>
            <w:hideMark/>
          </w:tcPr>
          <w:p w14:paraId="74AEF6B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56,500,000 </w:t>
            </w:r>
          </w:p>
        </w:tc>
      </w:tr>
      <w:tr w:rsidR="009654FE" w:rsidRPr="000842AA" w14:paraId="7166524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4B1A79E"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8.3.9.8</w:t>
            </w:r>
          </w:p>
        </w:tc>
        <w:tc>
          <w:tcPr>
            <w:tcW w:w="6560" w:type="dxa"/>
            <w:tcBorders>
              <w:top w:val="nil"/>
              <w:left w:val="nil"/>
              <w:bottom w:val="single" w:sz="8" w:space="0" w:color="auto"/>
              <w:right w:val="single" w:sz="8" w:space="0" w:color="auto"/>
            </w:tcBorders>
            <w:shd w:val="clear" w:color="auto" w:fill="auto"/>
            <w:noWrap/>
            <w:vAlign w:val="center"/>
            <w:hideMark/>
          </w:tcPr>
          <w:p w14:paraId="3E782B0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Convenios AGDRPyA</w:t>
            </w:r>
          </w:p>
        </w:tc>
        <w:tc>
          <w:tcPr>
            <w:tcW w:w="1749" w:type="dxa"/>
            <w:tcBorders>
              <w:top w:val="nil"/>
              <w:left w:val="nil"/>
              <w:bottom w:val="single" w:sz="8" w:space="0" w:color="auto"/>
              <w:right w:val="nil"/>
            </w:tcBorders>
            <w:shd w:val="clear" w:color="auto" w:fill="FFFFFF" w:themeFill="background1"/>
            <w:vAlign w:val="center"/>
            <w:hideMark/>
          </w:tcPr>
          <w:p w14:paraId="23182C4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C4D513E"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BABAB"/>
            <w:noWrap/>
            <w:vAlign w:val="center"/>
            <w:hideMark/>
          </w:tcPr>
          <w:p w14:paraId="7D6ECB53"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8.4</w:t>
            </w:r>
          </w:p>
        </w:tc>
        <w:tc>
          <w:tcPr>
            <w:tcW w:w="6560" w:type="dxa"/>
            <w:tcBorders>
              <w:top w:val="nil"/>
              <w:left w:val="nil"/>
              <w:bottom w:val="single" w:sz="8" w:space="0" w:color="auto"/>
              <w:right w:val="single" w:sz="8" w:space="0" w:color="auto"/>
            </w:tcBorders>
            <w:shd w:val="clear" w:color="auto" w:fill="ABABAB"/>
            <w:noWrap/>
            <w:vAlign w:val="center"/>
            <w:hideMark/>
          </w:tcPr>
          <w:p w14:paraId="1E7B1A14"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Incentivos Derivados de la Colaboración Fiscal</w:t>
            </w:r>
          </w:p>
        </w:tc>
        <w:tc>
          <w:tcPr>
            <w:tcW w:w="1749" w:type="dxa"/>
            <w:tcBorders>
              <w:top w:val="nil"/>
              <w:left w:val="nil"/>
              <w:bottom w:val="single" w:sz="8" w:space="0" w:color="auto"/>
              <w:right w:val="nil"/>
            </w:tcBorders>
            <w:shd w:val="clear" w:color="auto" w:fill="ABABAB"/>
            <w:vAlign w:val="center"/>
            <w:hideMark/>
          </w:tcPr>
          <w:p w14:paraId="73A42C88"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1,355,238,640 </w:t>
            </w:r>
          </w:p>
        </w:tc>
      </w:tr>
      <w:tr w:rsidR="009654FE" w:rsidRPr="000842AA" w14:paraId="0CDBB97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D32B0D5"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8.4.1</w:t>
            </w:r>
          </w:p>
        </w:tc>
        <w:tc>
          <w:tcPr>
            <w:tcW w:w="6560" w:type="dxa"/>
            <w:tcBorders>
              <w:top w:val="nil"/>
              <w:left w:val="nil"/>
              <w:bottom w:val="single" w:sz="8" w:space="0" w:color="auto"/>
              <w:right w:val="single" w:sz="8" w:space="0" w:color="auto"/>
            </w:tcBorders>
            <w:shd w:val="clear" w:color="auto" w:fill="auto"/>
            <w:noWrap/>
            <w:vAlign w:val="center"/>
            <w:hideMark/>
          </w:tcPr>
          <w:p w14:paraId="5CB6B837"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Incentivos por colaboración Administrativa</w:t>
            </w:r>
          </w:p>
        </w:tc>
        <w:tc>
          <w:tcPr>
            <w:tcW w:w="1749" w:type="dxa"/>
            <w:tcBorders>
              <w:top w:val="nil"/>
              <w:left w:val="nil"/>
              <w:bottom w:val="single" w:sz="8" w:space="0" w:color="auto"/>
              <w:right w:val="nil"/>
            </w:tcBorders>
            <w:shd w:val="clear" w:color="auto" w:fill="auto"/>
            <w:vAlign w:val="center"/>
            <w:hideMark/>
          </w:tcPr>
          <w:p w14:paraId="68C5F1D7"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1,355,238,640 </w:t>
            </w:r>
          </w:p>
        </w:tc>
      </w:tr>
      <w:tr w:rsidR="009654FE" w:rsidRPr="000842AA" w14:paraId="2E3E40E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4670DC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8.4.1.1</w:t>
            </w:r>
          </w:p>
        </w:tc>
        <w:tc>
          <w:tcPr>
            <w:tcW w:w="6560" w:type="dxa"/>
            <w:tcBorders>
              <w:top w:val="nil"/>
              <w:left w:val="nil"/>
              <w:bottom w:val="single" w:sz="8" w:space="0" w:color="auto"/>
              <w:right w:val="single" w:sz="8" w:space="0" w:color="auto"/>
            </w:tcBorders>
            <w:shd w:val="clear" w:color="auto" w:fill="auto"/>
            <w:noWrap/>
            <w:vAlign w:val="center"/>
            <w:hideMark/>
          </w:tcPr>
          <w:p w14:paraId="6089702D"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Impuestos Federales Administrados por el Estado</w:t>
            </w:r>
          </w:p>
        </w:tc>
        <w:tc>
          <w:tcPr>
            <w:tcW w:w="1749" w:type="dxa"/>
            <w:tcBorders>
              <w:top w:val="nil"/>
              <w:left w:val="nil"/>
              <w:bottom w:val="single" w:sz="8" w:space="0" w:color="auto"/>
              <w:right w:val="nil"/>
            </w:tcBorders>
            <w:shd w:val="clear" w:color="auto" w:fill="auto"/>
            <w:vAlign w:val="center"/>
            <w:hideMark/>
          </w:tcPr>
          <w:p w14:paraId="13A14E1C"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592,197,444 </w:t>
            </w:r>
          </w:p>
        </w:tc>
      </w:tr>
      <w:tr w:rsidR="009654FE" w:rsidRPr="000842AA" w14:paraId="12DDAF3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254C57E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8.4.1.1.1</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7CD5E48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 Impuestos sobre tenencia o uso de vehículos</w:t>
            </w:r>
          </w:p>
        </w:tc>
        <w:tc>
          <w:tcPr>
            <w:tcW w:w="1749" w:type="dxa"/>
            <w:tcBorders>
              <w:top w:val="nil"/>
              <w:left w:val="nil"/>
              <w:bottom w:val="single" w:sz="8" w:space="0" w:color="auto"/>
              <w:right w:val="nil"/>
            </w:tcBorders>
            <w:shd w:val="clear" w:color="auto" w:fill="FFFFFF" w:themeFill="background1"/>
            <w:vAlign w:val="center"/>
            <w:hideMark/>
          </w:tcPr>
          <w:p w14:paraId="34AE040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12E0DC6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FFFFFF" w:themeFill="background1"/>
            <w:vAlign w:val="center"/>
            <w:hideMark/>
          </w:tcPr>
          <w:p w14:paraId="5D9720E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8.4.1.1.2</w:t>
            </w:r>
          </w:p>
        </w:tc>
        <w:tc>
          <w:tcPr>
            <w:tcW w:w="6560" w:type="dxa"/>
            <w:tcBorders>
              <w:top w:val="nil"/>
              <w:left w:val="nil"/>
              <w:bottom w:val="single" w:sz="8" w:space="0" w:color="auto"/>
              <w:right w:val="single" w:sz="8" w:space="0" w:color="auto"/>
            </w:tcBorders>
            <w:shd w:val="clear" w:color="auto" w:fill="FFFFFF" w:themeFill="background1"/>
            <w:noWrap/>
            <w:vAlign w:val="center"/>
            <w:hideMark/>
          </w:tcPr>
          <w:p w14:paraId="09D51A0E"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b) Impuesto sobre automóviles nuevos</w:t>
            </w:r>
          </w:p>
        </w:tc>
        <w:tc>
          <w:tcPr>
            <w:tcW w:w="1749" w:type="dxa"/>
            <w:tcBorders>
              <w:top w:val="nil"/>
              <w:left w:val="nil"/>
              <w:bottom w:val="single" w:sz="8" w:space="0" w:color="auto"/>
              <w:right w:val="nil"/>
            </w:tcBorders>
            <w:shd w:val="clear" w:color="auto" w:fill="FFFFFF" w:themeFill="background1"/>
            <w:vAlign w:val="center"/>
            <w:hideMark/>
          </w:tcPr>
          <w:p w14:paraId="4F55350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378,274,372 </w:t>
            </w:r>
          </w:p>
        </w:tc>
      </w:tr>
      <w:tr w:rsidR="009654FE" w:rsidRPr="000842AA" w14:paraId="145D6F3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77473D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8.4.1.1.3</w:t>
            </w:r>
          </w:p>
        </w:tc>
        <w:tc>
          <w:tcPr>
            <w:tcW w:w="6560" w:type="dxa"/>
            <w:tcBorders>
              <w:top w:val="nil"/>
              <w:left w:val="nil"/>
              <w:bottom w:val="single" w:sz="8" w:space="0" w:color="auto"/>
              <w:right w:val="single" w:sz="8" w:space="0" w:color="auto"/>
            </w:tcBorders>
            <w:shd w:val="clear" w:color="auto" w:fill="auto"/>
            <w:noWrap/>
            <w:vAlign w:val="center"/>
            <w:hideMark/>
          </w:tcPr>
          <w:p w14:paraId="298C2AA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c) Impuesto Especial Sobre Producción y Servicios a las gasolinas y diésel</w:t>
            </w:r>
          </w:p>
        </w:tc>
        <w:tc>
          <w:tcPr>
            <w:tcW w:w="1749" w:type="dxa"/>
            <w:tcBorders>
              <w:top w:val="nil"/>
              <w:left w:val="nil"/>
              <w:bottom w:val="single" w:sz="8" w:space="0" w:color="auto"/>
              <w:right w:val="nil"/>
            </w:tcBorders>
            <w:shd w:val="clear" w:color="auto" w:fill="FFFFFF" w:themeFill="background1"/>
            <w:vAlign w:val="center"/>
            <w:hideMark/>
          </w:tcPr>
          <w:p w14:paraId="014D7A6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942DEC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F7FD0B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8.4.1.1.4</w:t>
            </w:r>
          </w:p>
        </w:tc>
        <w:tc>
          <w:tcPr>
            <w:tcW w:w="6560" w:type="dxa"/>
            <w:tcBorders>
              <w:top w:val="nil"/>
              <w:left w:val="nil"/>
              <w:bottom w:val="single" w:sz="8" w:space="0" w:color="auto"/>
              <w:right w:val="single" w:sz="8" w:space="0" w:color="auto"/>
            </w:tcBorders>
            <w:shd w:val="clear" w:color="auto" w:fill="auto"/>
            <w:noWrap/>
            <w:vAlign w:val="center"/>
            <w:hideMark/>
          </w:tcPr>
          <w:p w14:paraId="4576017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d) Impuesto Sobre la Renta de quienes tributan en los términos del Capítulo IV del Título IV de la Ley del Impuesto Sobre la Renta respecto de la enajenación de terrenos construcciones o terrenos y construcciones</w:t>
            </w:r>
          </w:p>
        </w:tc>
        <w:tc>
          <w:tcPr>
            <w:tcW w:w="1749" w:type="dxa"/>
            <w:tcBorders>
              <w:top w:val="nil"/>
              <w:left w:val="nil"/>
              <w:bottom w:val="single" w:sz="8" w:space="0" w:color="auto"/>
              <w:right w:val="nil"/>
            </w:tcBorders>
            <w:shd w:val="clear" w:color="auto" w:fill="FFFFFF" w:themeFill="background1"/>
            <w:vAlign w:val="center"/>
            <w:hideMark/>
          </w:tcPr>
          <w:p w14:paraId="5B23D8D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213,923,072 </w:t>
            </w:r>
          </w:p>
        </w:tc>
      </w:tr>
      <w:tr w:rsidR="009654FE" w:rsidRPr="000842AA" w14:paraId="2B9FA0F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568C83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8.4.1.2</w:t>
            </w:r>
          </w:p>
        </w:tc>
        <w:tc>
          <w:tcPr>
            <w:tcW w:w="6560" w:type="dxa"/>
            <w:tcBorders>
              <w:top w:val="nil"/>
              <w:left w:val="nil"/>
              <w:bottom w:val="single" w:sz="8" w:space="0" w:color="auto"/>
              <w:right w:val="single" w:sz="8" w:space="0" w:color="auto"/>
            </w:tcBorders>
            <w:shd w:val="clear" w:color="auto" w:fill="auto"/>
            <w:noWrap/>
            <w:vAlign w:val="center"/>
            <w:hideMark/>
          </w:tcPr>
          <w:p w14:paraId="7FD4C21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Incentivos y Multas</w:t>
            </w:r>
          </w:p>
        </w:tc>
        <w:tc>
          <w:tcPr>
            <w:tcW w:w="1749" w:type="dxa"/>
            <w:tcBorders>
              <w:top w:val="nil"/>
              <w:left w:val="nil"/>
              <w:bottom w:val="single" w:sz="8" w:space="0" w:color="auto"/>
              <w:right w:val="nil"/>
            </w:tcBorders>
            <w:shd w:val="clear" w:color="auto" w:fill="FFFFFF" w:themeFill="background1"/>
            <w:vAlign w:val="center"/>
            <w:hideMark/>
          </w:tcPr>
          <w:p w14:paraId="2027A2D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763,041,196 </w:t>
            </w:r>
          </w:p>
        </w:tc>
      </w:tr>
      <w:tr w:rsidR="009654FE" w:rsidRPr="000842AA" w14:paraId="6331D8C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5EF3C23"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8.5</w:t>
            </w:r>
          </w:p>
        </w:tc>
        <w:tc>
          <w:tcPr>
            <w:tcW w:w="6560" w:type="dxa"/>
            <w:tcBorders>
              <w:top w:val="nil"/>
              <w:left w:val="nil"/>
              <w:bottom w:val="single" w:sz="8" w:space="0" w:color="auto"/>
              <w:right w:val="single" w:sz="8" w:space="0" w:color="auto"/>
            </w:tcBorders>
            <w:shd w:val="clear" w:color="auto" w:fill="auto"/>
            <w:noWrap/>
            <w:vAlign w:val="center"/>
            <w:hideMark/>
          </w:tcPr>
          <w:p w14:paraId="65E2CFB9"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Fondos Distintos de Aportaciones</w:t>
            </w:r>
          </w:p>
        </w:tc>
        <w:tc>
          <w:tcPr>
            <w:tcW w:w="1749" w:type="dxa"/>
            <w:tcBorders>
              <w:top w:val="nil"/>
              <w:left w:val="nil"/>
              <w:bottom w:val="single" w:sz="8" w:space="0" w:color="auto"/>
              <w:right w:val="nil"/>
            </w:tcBorders>
            <w:shd w:val="clear" w:color="auto" w:fill="auto"/>
            <w:vAlign w:val="center"/>
            <w:hideMark/>
          </w:tcPr>
          <w:p w14:paraId="4947D136"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35EC0F2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A558A0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8.5.1</w:t>
            </w:r>
          </w:p>
        </w:tc>
        <w:tc>
          <w:tcPr>
            <w:tcW w:w="6560" w:type="dxa"/>
            <w:tcBorders>
              <w:top w:val="nil"/>
              <w:left w:val="nil"/>
              <w:bottom w:val="single" w:sz="8" w:space="0" w:color="auto"/>
              <w:right w:val="single" w:sz="8" w:space="0" w:color="auto"/>
            </w:tcBorders>
            <w:shd w:val="clear" w:color="auto" w:fill="auto"/>
            <w:noWrap/>
            <w:vAlign w:val="center"/>
            <w:hideMark/>
          </w:tcPr>
          <w:p w14:paraId="0E9C280D"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Otros fondos distintos de aportaciones</w:t>
            </w:r>
          </w:p>
        </w:tc>
        <w:tc>
          <w:tcPr>
            <w:tcW w:w="1749" w:type="dxa"/>
            <w:tcBorders>
              <w:top w:val="nil"/>
              <w:left w:val="nil"/>
              <w:bottom w:val="single" w:sz="8" w:space="0" w:color="auto"/>
              <w:right w:val="nil"/>
            </w:tcBorders>
            <w:shd w:val="clear" w:color="auto" w:fill="FFFFFF" w:themeFill="background1"/>
            <w:vAlign w:val="center"/>
            <w:hideMark/>
          </w:tcPr>
          <w:p w14:paraId="17B92C7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A332B5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0EF66F"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9</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2510C5EF"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Transferencias, Asignaciones, Subsidios y Subvenciones, y Pensiones y Jubilaciones</w:t>
            </w:r>
          </w:p>
        </w:tc>
        <w:tc>
          <w:tcPr>
            <w:tcW w:w="1749" w:type="dxa"/>
            <w:tcBorders>
              <w:top w:val="nil"/>
              <w:left w:val="nil"/>
              <w:bottom w:val="single" w:sz="8" w:space="0" w:color="auto"/>
              <w:right w:val="nil"/>
            </w:tcBorders>
            <w:shd w:val="clear" w:color="auto" w:fill="D9D9D9" w:themeFill="background1" w:themeFillShade="D9"/>
            <w:vAlign w:val="center"/>
            <w:hideMark/>
          </w:tcPr>
          <w:p w14:paraId="0F8631DA"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2,405,684,687 </w:t>
            </w:r>
          </w:p>
        </w:tc>
      </w:tr>
      <w:tr w:rsidR="009654FE" w:rsidRPr="000842AA" w14:paraId="7BA9CCA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813B7A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9.1</w:t>
            </w:r>
          </w:p>
        </w:tc>
        <w:tc>
          <w:tcPr>
            <w:tcW w:w="6560" w:type="dxa"/>
            <w:tcBorders>
              <w:top w:val="nil"/>
              <w:left w:val="nil"/>
              <w:bottom w:val="single" w:sz="8" w:space="0" w:color="auto"/>
              <w:right w:val="single" w:sz="8" w:space="0" w:color="auto"/>
            </w:tcBorders>
            <w:shd w:val="clear" w:color="auto" w:fill="auto"/>
            <w:noWrap/>
            <w:vAlign w:val="center"/>
            <w:hideMark/>
          </w:tcPr>
          <w:p w14:paraId="777A2B5B"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Transferencias y Asignaciones</w:t>
            </w:r>
          </w:p>
        </w:tc>
        <w:tc>
          <w:tcPr>
            <w:tcW w:w="1749" w:type="dxa"/>
            <w:tcBorders>
              <w:top w:val="nil"/>
              <w:left w:val="nil"/>
              <w:bottom w:val="single" w:sz="8" w:space="0" w:color="auto"/>
              <w:right w:val="nil"/>
            </w:tcBorders>
            <w:shd w:val="clear" w:color="auto" w:fill="auto"/>
            <w:vAlign w:val="center"/>
            <w:hideMark/>
          </w:tcPr>
          <w:p w14:paraId="24DE3527"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22F7983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C1CA79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9.1.1</w:t>
            </w:r>
          </w:p>
        </w:tc>
        <w:tc>
          <w:tcPr>
            <w:tcW w:w="6560" w:type="dxa"/>
            <w:tcBorders>
              <w:top w:val="nil"/>
              <w:left w:val="nil"/>
              <w:bottom w:val="single" w:sz="8" w:space="0" w:color="auto"/>
              <w:right w:val="single" w:sz="8" w:space="0" w:color="auto"/>
            </w:tcBorders>
            <w:shd w:val="clear" w:color="auto" w:fill="auto"/>
            <w:noWrap/>
            <w:vAlign w:val="center"/>
            <w:hideMark/>
          </w:tcPr>
          <w:p w14:paraId="32570B93"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Transferencias</w:t>
            </w:r>
          </w:p>
        </w:tc>
        <w:tc>
          <w:tcPr>
            <w:tcW w:w="1749" w:type="dxa"/>
            <w:tcBorders>
              <w:top w:val="nil"/>
              <w:left w:val="nil"/>
              <w:bottom w:val="single" w:sz="8" w:space="0" w:color="auto"/>
              <w:right w:val="nil"/>
            </w:tcBorders>
            <w:shd w:val="clear" w:color="auto" w:fill="FFFFFF" w:themeFill="background1"/>
            <w:vAlign w:val="center"/>
            <w:hideMark/>
          </w:tcPr>
          <w:p w14:paraId="5063E29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F06308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F96362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9.1.2</w:t>
            </w:r>
          </w:p>
        </w:tc>
        <w:tc>
          <w:tcPr>
            <w:tcW w:w="6560" w:type="dxa"/>
            <w:tcBorders>
              <w:top w:val="nil"/>
              <w:left w:val="nil"/>
              <w:bottom w:val="single" w:sz="8" w:space="0" w:color="auto"/>
              <w:right w:val="single" w:sz="8" w:space="0" w:color="auto"/>
            </w:tcBorders>
            <w:shd w:val="clear" w:color="auto" w:fill="auto"/>
            <w:noWrap/>
            <w:vAlign w:val="center"/>
            <w:hideMark/>
          </w:tcPr>
          <w:p w14:paraId="10A8C31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Asignaciones</w:t>
            </w:r>
          </w:p>
        </w:tc>
        <w:tc>
          <w:tcPr>
            <w:tcW w:w="1749" w:type="dxa"/>
            <w:tcBorders>
              <w:top w:val="nil"/>
              <w:left w:val="nil"/>
              <w:bottom w:val="single" w:sz="8" w:space="0" w:color="auto"/>
              <w:right w:val="nil"/>
            </w:tcBorders>
            <w:shd w:val="clear" w:color="auto" w:fill="FFFFFF" w:themeFill="background1"/>
            <w:vAlign w:val="center"/>
            <w:hideMark/>
          </w:tcPr>
          <w:p w14:paraId="355167C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2D2458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B7F9316"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9.3</w:t>
            </w:r>
          </w:p>
        </w:tc>
        <w:tc>
          <w:tcPr>
            <w:tcW w:w="6560" w:type="dxa"/>
            <w:tcBorders>
              <w:top w:val="nil"/>
              <w:left w:val="nil"/>
              <w:bottom w:val="single" w:sz="8" w:space="0" w:color="auto"/>
              <w:right w:val="single" w:sz="8" w:space="0" w:color="auto"/>
            </w:tcBorders>
            <w:shd w:val="clear" w:color="auto" w:fill="auto"/>
            <w:noWrap/>
            <w:vAlign w:val="center"/>
            <w:hideMark/>
          </w:tcPr>
          <w:p w14:paraId="683AA51B"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Subsidios y Subvenciones</w:t>
            </w:r>
          </w:p>
        </w:tc>
        <w:tc>
          <w:tcPr>
            <w:tcW w:w="1749" w:type="dxa"/>
            <w:tcBorders>
              <w:top w:val="nil"/>
              <w:left w:val="nil"/>
              <w:bottom w:val="single" w:sz="8" w:space="0" w:color="auto"/>
              <w:right w:val="nil"/>
            </w:tcBorders>
            <w:shd w:val="clear" w:color="auto" w:fill="auto"/>
            <w:vAlign w:val="center"/>
            <w:hideMark/>
          </w:tcPr>
          <w:p w14:paraId="2CDCEF3A"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2,405,684,687 </w:t>
            </w:r>
          </w:p>
        </w:tc>
      </w:tr>
      <w:tr w:rsidR="009654FE" w:rsidRPr="000842AA" w14:paraId="614A4DF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7C34F5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9.3.1</w:t>
            </w:r>
          </w:p>
        </w:tc>
        <w:tc>
          <w:tcPr>
            <w:tcW w:w="6560" w:type="dxa"/>
            <w:tcBorders>
              <w:top w:val="nil"/>
              <w:left w:val="nil"/>
              <w:bottom w:val="single" w:sz="8" w:space="0" w:color="auto"/>
              <w:right w:val="single" w:sz="8" w:space="0" w:color="auto"/>
            </w:tcBorders>
            <w:shd w:val="clear" w:color="auto" w:fill="auto"/>
            <w:noWrap/>
            <w:vAlign w:val="center"/>
            <w:hideMark/>
          </w:tcPr>
          <w:p w14:paraId="2AC7DF5A"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Universidad Autónoma de Yucatán</w:t>
            </w:r>
          </w:p>
        </w:tc>
        <w:tc>
          <w:tcPr>
            <w:tcW w:w="1749" w:type="dxa"/>
            <w:tcBorders>
              <w:top w:val="nil"/>
              <w:left w:val="nil"/>
              <w:bottom w:val="single" w:sz="8" w:space="0" w:color="auto"/>
              <w:right w:val="nil"/>
            </w:tcBorders>
            <w:shd w:val="clear" w:color="auto" w:fill="FFFFFF" w:themeFill="background1"/>
            <w:vAlign w:val="center"/>
            <w:hideMark/>
          </w:tcPr>
          <w:p w14:paraId="50D04740"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2,405,684,687 </w:t>
            </w:r>
          </w:p>
        </w:tc>
      </w:tr>
      <w:tr w:rsidR="009654FE" w:rsidRPr="000842AA" w14:paraId="52A5AFA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A9F111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9.5</w:t>
            </w:r>
          </w:p>
        </w:tc>
        <w:tc>
          <w:tcPr>
            <w:tcW w:w="6560" w:type="dxa"/>
            <w:tcBorders>
              <w:top w:val="nil"/>
              <w:left w:val="nil"/>
              <w:bottom w:val="single" w:sz="8" w:space="0" w:color="auto"/>
              <w:right w:val="single" w:sz="8" w:space="0" w:color="auto"/>
            </w:tcBorders>
            <w:shd w:val="clear" w:color="auto" w:fill="auto"/>
            <w:noWrap/>
            <w:vAlign w:val="center"/>
            <w:hideMark/>
          </w:tcPr>
          <w:p w14:paraId="436091CD"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Pensiones y Jubilaciones</w:t>
            </w:r>
          </w:p>
        </w:tc>
        <w:tc>
          <w:tcPr>
            <w:tcW w:w="1749" w:type="dxa"/>
            <w:tcBorders>
              <w:top w:val="nil"/>
              <w:left w:val="nil"/>
              <w:bottom w:val="single" w:sz="8" w:space="0" w:color="auto"/>
              <w:right w:val="nil"/>
            </w:tcBorders>
            <w:shd w:val="clear" w:color="auto" w:fill="auto"/>
            <w:vAlign w:val="center"/>
            <w:hideMark/>
          </w:tcPr>
          <w:p w14:paraId="6AC64082"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32C0210D"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950F116"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9.5.1</w:t>
            </w:r>
          </w:p>
        </w:tc>
        <w:tc>
          <w:tcPr>
            <w:tcW w:w="6560" w:type="dxa"/>
            <w:tcBorders>
              <w:top w:val="nil"/>
              <w:left w:val="nil"/>
              <w:bottom w:val="single" w:sz="8" w:space="0" w:color="auto"/>
              <w:right w:val="single" w:sz="8" w:space="0" w:color="auto"/>
            </w:tcBorders>
            <w:shd w:val="clear" w:color="auto" w:fill="auto"/>
            <w:noWrap/>
            <w:vAlign w:val="center"/>
            <w:hideMark/>
          </w:tcPr>
          <w:p w14:paraId="713DBB2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Pensiones</w:t>
            </w:r>
          </w:p>
        </w:tc>
        <w:tc>
          <w:tcPr>
            <w:tcW w:w="1749" w:type="dxa"/>
            <w:tcBorders>
              <w:top w:val="nil"/>
              <w:left w:val="nil"/>
              <w:bottom w:val="single" w:sz="8" w:space="0" w:color="auto"/>
              <w:right w:val="nil"/>
            </w:tcBorders>
            <w:shd w:val="clear" w:color="auto" w:fill="FFFFFF" w:themeFill="background1"/>
            <w:vAlign w:val="center"/>
            <w:hideMark/>
          </w:tcPr>
          <w:p w14:paraId="684178B2"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656FB7B5"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FC0C82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9.5.2</w:t>
            </w:r>
          </w:p>
        </w:tc>
        <w:tc>
          <w:tcPr>
            <w:tcW w:w="6560" w:type="dxa"/>
            <w:tcBorders>
              <w:top w:val="nil"/>
              <w:left w:val="nil"/>
              <w:bottom w:val="single" w:sz="8" w:space="0" w:color="auto"/>
              <w:right w:val="single" w:sz="8" w:space="0" w:color="auto"/>
            </w:tcBorders>
            <w:shd w:val="clear" w:color="auto" w:fill="auto"/>
            <w:noWrap/>
            <w:vAlign w:val="center"/>
            <w:hideMark/>
          </w:tcPr>
          <w:p w14:paraId="71CACD70"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Jubilaciones</w:t>
            </w:r>
          </w:p>
        </w:tc>
        <w:tc>
          <w:tcPr>
            <w:tcW w:w="1749" w:type="dxa"/>
            <w:tcBorders>
              <w:top w:val="nil"/>
              <w:left w:val="nil"/>
              <w:bottom w:val="single" w:sz="8" w:space="0" w:color="auto"/>
              <w:right w:val="nil"/>
            </w:tcBorders>
            <w:shd w:val="clear" w:color="auto" w:fill="FFFFFF" w:themeFill="background1"/>
            <w:vAlign w:val="center"/>
            <w:hideMark/>
          </w:tcPr>
          <w:p w14:paraId="0C38430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760BFF6A"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9E790FF"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9.7</w:t>
            </w:r>
          </w:p>
        </w:tc>
        <w:tc>
          <w:tcPr>
            <w:tcW w:w="6560" w:type="dxa"/>
            <w:tcBorders>
              <w:top w:val="nil"/>
              <w:left w:val="nil"/>
              <w:bottom w:val="single" w:sz="8" w:space="0" w:color="auto"/>
              <w:right w:val="single" w:sz="8" w:space="0" w:color="auto"/>
            </w:tcBorders>
            <w:shd w:val="clear" w:color="auto" w:fill="auto"/>
            <w:noWrap/>
            <w:vAlign w:val="center"/>
            <w:hideMark/>
          </w:tcPr>
          <w:p w14:paraId="13B22BE1"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Transferencias del Fondo Mexicano del Petróleo para la Estabilización y el Desarrollo</w:t>
            </w:r>
          </w:p>
        </w:tc>
        <w:tc>
          <w:tcPr>
            <w:tcW w:w="1749" w:type="dxa"/>
            <w:tcBorders>
              <w:top w:val="nil"/>
              <w:left w:val="nil"/>
              <w:bottom w:val="single" w:sz="8" w:space="0" w:color="auto"/>
              <w:right w:val="nil"/>
            </w:tcBorders>
            <w:shd w:val="clear" w:color="auto" w:fill="auto"/>
            <w:vAlign w:val="center"/>
            <w:hideMark/>
          </w:tcPr>
          <w:p w14:paraId="354A14C8"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37A97B8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5527FA4"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9.7.1</w:t>
            </w:r>
          </w:p>
        </w:tc>
        <w:tc>
          <w:tcPr>
            <w:tcW w:w="6560" w:type="dxa"/>
            <w:tcBorders>
              <w:top w:val="nil"/>
              <w:left w:val="nil"/>
              <w:bottom w:val="single" w:sz="8" w:space="0" w:color="auto"/>
              <w:right w:val="single" w:sz="8" w:space="0" w:color="auto"/>
            </w:tcBorders>
            <w:shd w:val="clear" w:color="auto" w:fill="auto"/>
            <w:noWrap/>
            <w:vAlign w:val="center"/>
            <w:hideMark/>
          </w:tcPr>
          <w:p w14:paraId="08F7936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Transferencias del Fondo Mexicano del Petróleo para la Estabilización y el Desarrollo</w:t>
            </w:r>
          </w:p>
        </w:tc>
        <w:tc>
          <w:tcPr>
            <w:tcW w:w="1749" w:type="dxa"/>
            <w:tcBorders>
              <w:top w:val="nil"/>
              <w:left w:val="nil"/>
              <w:bottom w:val="single" w:sz="8" w:space="0" w:color="auto"/>
              <w:right w:val="nil"/>
            </w:tcBorders>
            <w:shd w:val="clear" w:color="auto" w:fill="FFFFFF" w:themeFill="background1"/>
            <w:vAlign w:val="center"/>
            <w:hideMark/>
          </w:tcPr>
          <w:p w14:paraId="1CDF255F"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82EF8BF"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F42DCC"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0</w:t>
            </w:r>
          </w:p>
        </w:tc>
        <w:tc>
          <w:tcPr>
            <w:tcW w:w="656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8DE9D0"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Ingresos Derivados de Financiamientos</w:t>
            </w:r>
          </w:p>
        </w:tc>
        <w:tc>
          <w:tcPr>
            <w:tcW w:w="1749" w:type="dxa"/>
            <w:tcBorders>
              <w:top w:val="nil"/>
              <w:left w:val="nil"/>
              <w:bottom w:val="single" w:sz="8" w:space="0" w:color="auto"/>
              <w:right w:val="nil"/>
            </w:tcBorders>
            <w:shd w:val="clear" w:color="auto" w:fill="D9D9D9" w:themeFill="background1" w:themeFillShade="D9"/>
            <w:vAlign w:val="center"/>
            <w:hideMark/>
          </w:tcPr>
          <w:p w14:paraId="1C4FB066" w14:textId="77777777" w:rsidR="009654FE" w:rsidRPr="000842AA" w:rsidRDefault="009654FE" w:rsidP="00CF770A">
            <w:pPr>
              <w:spacing w:after="0" w:line="180" w:lineRule="exact"/>
              <w:jc w:val="righ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 xml:space="preserve">1,633,000,000 </w:t>
            </w:r>
          </w:p>
        </w:tc>
      </w:tr>
      <w:tr w:rsidR="009654FE" w:rsidRPr="000842AA" w14:paraId="2D3742F4"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D0979FF"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0.1</w:t>
            </w:r>
          </w:p>
        </w:tc>
        <w:tc>
          <w:tcPr>
            <w:tcW w:w="6560" w:type="dxa"/>
            <w:tcBorders>
              <w:top w:val="nil"/>
              <w:left w:val="nil"/>
              <w:bottom w:val="single" w:sz="8" w:space="0" w:color="auto"/>
              <w:right w:val="single" w:sz="8" w:space="0" w:color="auto"/>
            </w:tcBorders>
            <w:shd w:val="clear" w:color="auto" w:fill="auto"/>
            <w:noWrap/>
            <w:vAlign w:val="center"/>
            <w:hideMark/>
          </w:tcPr>
          <w:p w14:paraId="6F9A17D5"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Endeudamiento Interno</w:t>
            </w:r>
          </w:p>
        </w:tc>
        <w:tc>
          <w:tcPr>
            <w:tcW w:w="1749" w:type="dxa"/>
            <w:tcBorders>
              <w:top w:val="nil"/>
              <w:left w:val="nil"/>
              <w:bottom w:val="single" w:sz="8" w:space="0" w:color="auto"/>
              <w:right w:val="nil"/>
            </w:tcBorders>
            <w:shd w:val="clear" w:color="auto" w:fill="auto"/>
            <w:vAlign w:val="center"/>
            <w:hideMark/>
          </w:tcPr>
          <w:p w14:paraId="05912B50"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1,633,000,000 </w:t>
            </w:r>
          </w:p>
        </w:tc>
      </w:tr>
      <w:tr w:rsidR="009654FE" w:rsidRPr="000842AA" w14:paraId="182F6E60"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3C10488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0.1.1</w:t>
            </w:r>
          </w:p>
        </w:tc>
        <w:tc>
          <w:tcPr>
            <w:tcW w:w="6560" w:type="dxa"/>
            <w:tcBorders>
              <w:top w:val="nil"/>
              <w:left w:val="nil"/>
              <w:bottom w:val="single" w:sz="8" w:space="0" w:color="auto"/>
              <w:right w:val="single" w:sz="8" w:space="0" w:color="auto"/>
            </w:tcBorders>
            <w:shd w:val="clear" w:color="auto" w:fill="auto"/>
            <w:noWrap/>
            <w:vAlign w:val="center"/>
            <w:hideMark/>
          </w:tcPr>
          <w:p w14:paraId="57BB6498"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Participaciones</w:t>
            </w:r>
          </w:p>
        </w:tc>
        <w:tc>
          <w:tcPr>
            <w:tcW w:w="1749" w:type="dxa"/>
            <w:tcBorders>
              <w:top w:val="nil"/>
              <w:left w:val="nil"/>
              <w:bottom w:val="single" w:sz="8" w:space="0" w:color="auto"/>
              <w:right w:val="nil"/>
            </w:tcBorders>
            <w:shd w:val="clear" w:color="auto" w:fill="FFFFFF" w:themeFill="background1"/>
            <w:vAlign w:val="center"/>
            <w:hideMark/>
          </w:tcPr>
          <w:p w14:paraId="4B0EF73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1,633,000,000 </w:t>
            </w:r>
          </w:p>
        </w:tc>
      </w:tr>
      <w:tr w:rsidR="009654FE" w:rsidRPr="000842AA" w14:paraId="68F64C0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6EAA077A"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0.1.2</w:t>
            </w:r>
          </w:p>
        </w:tc>
        <w:tc>
          <w:tcPr>
            <w:tcW w:w="6560" w:type="dxa"/>
            <w:tcBorders>
              <w:top w:val="nil"/>
              <w:left w:val="nil"/>
              <w:bottom w:val="single" w:sz="8" w:space="0" w:color="auto"/>
              <w:right w:val="single" w:sz="8" w:space="0" w:color="auto"/>
            </w:tcBorders>
            <w:shd w:val="clear" w:color="auto" w:fill="auto"/>
            <w:noWrap/>
            <w:vAlign w:val="center"/>
            <w:hideMark/>
          </w:tcPr>
          <w:p w14:paraId="0BEDD2C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Aportaciones</w:t>
            </w:r>
          </w:p>
        </w:tc>
        <w:tc>
          <w:tcPr>
            <w:tcW w:w="1749" w:type="dxa"/>
            <w:tcBorders>
              <w:top w:val="nil"/>
              <w:left w:val="nil"/>
              <w:bottom w:val="single" w:sz="8" w:space="0" w:color="auto"/>
              <w:right w:val="nil"/>
            </w:tcBorders>
            <w:shd w:val="clear" w:color="auto" w:fill="FFFFFF" w:themeFill="background1"/>
            <w:vAlign w:val="center"/>
            <w:hideMark/>
          </w:tcPr>
          <w:p w14:paraId="3DBBCEB8"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81E51B2"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4BD05514"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0.2</w:t>
            </w:r>
          </w:p>
        </w:tc>
        <w:tc>
          <w:tcPr>
            <w:tcW w:w="6560" w:type="dxa"/>
            <w:tcBorders>
              <w:top w:val="nil"/>
              <w:left w:val="nil"/>
              <w:bottom w:val="single" w:sz="8" w:space="0" w:color="auto"/>
              <w:right w:val="single" w:sz="8" w:space="0" w:color="auto"/>
            </w:tcBorders>
            <w:shd w:val="clear" w:color="auto" w:fill="auto"/>
            <w:noWrap/>
            <w:vAlign w:val="center"/>
            <w:hideMark/>
          </w:tcPr>
          <w:p w14:paraId="125CCF9D"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Endeudamiento Externo</w:t>
            </w:r>
          </w:p>
        </w:tc>
        <w:tc>
          <w:tcPr>
            <w:tcW w:w="1749" w:type="dxa"/>
            <w:tcBorders>
              <w:top w:val="nil"/>
              <w:left w:val="nil"/>
              <w:bottom w:val="single" w:sz="8" w:space="0" w:color="auto"/>
              <w:right w:val="nil"/>
            </w:tcBorders>
            <w:shd w:val="clear" w:color="auto" w:fill="auto"/>
            <w:vAlign w:val="center"/>
            <w:hideMark/>
          </w:tcPr>
          <w:p w14:paraId="0D956A5E"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7E6750F3"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7E30E05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0.2.1</w:t>
            </w:r>
          </w:p>
        </w:tc>
        <w:tc>
          <w:tcPr>
            <w:tcW w:w="6560" w:type="dxa"/>
            <w:tcBorders>
              <w:top w:val="nil"/>
              <w:left w:val="nil"/>
              <w:bottom w:val="single" w:sz="8" w:space="0" w:color="auto"/>
              <w:right w:val="single" w:sz="8" w:space="0" w:color="auto"/>
            </w:tcBorders>
            <w:shd w:val="clear" w:color="auto" w:fill="auto"/>
            <w:noWrap/>
            <w:vAlign w:val="center"/>
            <w:hideMark/>
          </w:tcPr>
          <w:p w14:paraId="341A8EA5"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Participaciones</w:t>
            </w:r>
          </w:p>
        </w:tc>
        <w:tc>
          <w:tcPr>
            <w:tcW w:w="1749" w:type="dxa"/>
            <w:tcBorders>
              <w:top w:val="nil"/>
              <w:left w:val="nil"/>
              <w:bottom w:val="single" w:sz="8" w:space="0" w:color="auto"/>
              <w:right w:val="nil"/>
            </w:tcBorders>
            <w:shd w:val="clear" w:color="auto" w:fill="FFFFFF" w:themeFill="background1"/>
            <w:vAlign w:val="center"/>
            <w:hideMark/>
          </w:tcPr>
          <w:p w14:paraId="79DF164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2E9799C9"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5C99777B"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0.2.2</w:t>
            </w:r>
          </w:p>
        </w:tc>
        <w:tc>
          <w:tcPr>
            <w:tcW w:w="6560" w:type="dxa"/>
            <w:tcBorders>
              <w:top w:val="nil"/>
              <w:left w:val="nil"/>
              <w:bottom w:val="single" w:sz="8" w:space="0" w:color="auto"/>
              <w:right w:val="single" w:sz="8" w:space="0" w:color="auto"/>
            </w:tcBorders>
            <w:shd w:val="clear" w:color="auto" w:fill="auto"/>
            <w:noWrap/>
            <w:vAlign w:val="center"/>
            <w:hideMark/>
          </w:tcPr>
          <w:p w14:paraId="0689979B"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Aportaciones</w:t>
            </w:r>
          </w:p>
        </w:tc>
        <w:tc>
          <w:tcPr>
            <w:tcW w:w="1749" w:type="dxa"/>
            <w:tcBorders>
              <w:top w:val="nil"/>
              <w:left w:val="nil"/>
              <w:bottom w:val="single" w:sz="8" w:space="0" w:color="auto"/>
              <w:right w:val="nil"/>
            </w:tcBorders>
            <w:shd w:val="clear" w:color="auto" w:fill="FFFFFF" w:themeFill="background1"/>
            <w:vAlign w:val="center"/>
            <w:hideMark/>
          </w:tcPr>
          <w:p w14:paraId="6789DAB1"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0074E9E1"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08F37390"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0.3</w:t>
            </w:r>
          </w:p>
        </w:tc>
        <w:tc>
          <w:tcPr>
            <w:tcW w:w="6560" w:type="dxa"/>
            <w:tcBorders>
              <w:top w:val="nil"/>
              <w:left w:val="nil"/>
              <w:bottom w:val="single" w:sz="8" w:space="0" w:color="auto"/>
              <w:right w:val="single" w:sz="8" w:space="0" w:color="auto"/>
            </w:tcBorders>
            <w:shd w:val="clear" w:color="auto" w:fill="auto"/>
            <w:noWrap/>
            <w:vAlign w:val="center"/>
            <w:hideMark/>
          </w:tcPr>
          <w:p w14:paraId="7EA50FFC" w14:textId="77777777" w:rsidR="009654FE" w:rsidRPr="000842AA" w:rsidRDefault="009654FE" w:rsidP="00CF770A">
            <w:pPr>
              <w:spacing w:after="0" w:line="180" w:lineRule="exact"/>
              <w:rPr>
                <w:rFonts w:ascii="Arial" w:eastAsia="Times New Roman" w:hAnsi="Arial" w:cs="Arial"/>
                <w:b/>
                <w:color w:val="000000"/>
                <w:sz w:val="16"/>
                <w:szCs w:val="16"/>
              </w:rPr>
            </w:pPr>
            <w:r w:rsidRPr="000842AA">
              <w:rPr>
                <w:rFonts w:ascii="Arial" w:eastAsia="Times New Roman" w:hAnsi="Arial" w:cs="Arial"/>
                <w:b/>
                <w:color w:val="000000" w:themeColor="text1"/>
                <w:sz w:val="16"/>
                <w:szCs w:val="16"/>
              </w:rPr>
              <w:t>Financiamiento Interno</w:t>
            </w:r>
          </w:p>
        </w:tc>
        <w:tc>
          <w:tcPr>
            <w:tcW w:w="1749" w:type="dxa"/>
            <w:tcBorders>
              <w:top w:val="nil"/>
              <w:left w:val="nil"/>
              <w:bottom w:val="single" w:sz="8" w:space="0" w:color="auto"/>
              <w:right w:val="nil"/>
            </w:tcBorders>
            <w:shd w:val="clear" w:color="auto" w:fill="auto"/>
            <w:vAlign w:val="center"/>
            <w:hideMark/>
          </w:tcPr>
          <w:p w14:paraId="1D632AFD" w14:textId="77777777" w:rsidR="009654FE" w:rsidRPr="000842AA" w:rsidRDefault="009654FE" w:rsidP="00CF770A">
            <w:pPr>
              <w:spacing w:after="0" w:line="180" w:lineRule="exact"/>
              <w:jc w:val="right"/>
              <w:rPr>
                <w:rFonts w:ascii="Arial" w:eastAsia="Times New Roman" w:hAnsi="Arial" w:cs="Arial"/>
                <w:color w:val="000000"/>
                <w:sz w:val="16"/>
                <w:szCs w:val="16"/>
              </w:rPr>
            </w:pPr>
            <w:r w:rsidRPr="000842AA">
              <w:rPr>
                <w:rFonts w:ascii="Arial" w:eastAsia="Times New Roman" w:hAnsi="Arial" w:cs="Arial"/>
                <w:color w:val="000000" w:themeColor="text1"/>
                <w:sz w:val="16"/>
                <w:szCs w:val="16"/>
              </w:rPr>
              <w:t xml:space="preserve">0 </w:t>
            </w:r>
          </w:p>
        </w:tc>
      </w:tr>
      <w:tr w:rsidR="009654FE" w:rsidRPr="000842AA" w14:paraId="0D2E874C" w14:textId="77777777" w:rsidTr="00CF770A">
        <w:trPr>
          <w:gridAfter w:val="1"/>
          <w:wAfter w:w="944" w:type="dxa"/>
          <w:trHeight w:val="360"/>
        </w:trPr>
        <w:tc>
          <w:tcPr>
            <w:tcW w:w="1095" w:type="dxa"/>
            <w:tcBorders>
              <w:top w:val="nil"/>
              <w:left w:val="nil"/>
              <w:bottom w:val="single" w:sz="8" w:space="0" w:color="auto"/>
              <w:right w:val="single" w:sz="8" w:space="0" w:color="auto"/>
            </w:tcBorders>
            <w:shd w:val="clear" w:color="auto" w:fill="auto"/>
            <w:vAlign w:val="center"/>
            <w:hideMark/>
          </w:tcPr>
          <w:p w14:paraId="203D1889"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0.3.1</w:t>
            </w:r>
          </w:p>
        </w:tc>
        <w:tc>
          <w:tcPr>
            <w:tcW w:w="6560" w:type="dxa"/>
            <w:tcBorders>
              <w:top w:val="nil"/>
              <w:left w:val="nil"/>
              <w:bottom w:val="single" w:sz="8" w:space="0" w:color="auto"/>
              <w:right w:val="single" w:sz="8" w:space="0" w:color="auto"/>
            </w:tcBorders>
            <w:shd w:val="clear" w:color="auto" w:fill="auto"/>
            <w:noWrap/>
            <w:vAlign w:val="center"/>
            <w:hideMark/>
          </w:tcPr>
          <w:p w14:paraId="62E2F14C"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Participaciones</w:t>
            </w:r>
          </w:p>
        </w:tc>
        <w:tc>
          <w:tcPr>
            <w:tcW w:w="1749" w:type="dxa"/>
            <w:tcBorders>
              <w:top w:val="nil"/>
              <w:left w:val="nil"/>
              <w:bottom w:val="single" w:sz="8" w:space="0" w:color="auto"/>
              <w:right w:val="nil"/>
            </w:tcBorders>
            <w:shd w:val="clear" w:color="auto" w:fill="FFFFFF" w:themeFill="background1"/>
            <w:vAlign w:val="center"/>
            <w:hideMark/>
          </w:tcPr>
          <w:p w14:paraId="374FD86C"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334027EA" w14:textId="77777777" w:rsidTr="00CF770A">
        <w:trPr>
          <w:gridAfter w:val="1"/>
          <w:wAfter w:w="944" w:type="dxa"/>
          <w:trHeight w:val="360"/>
        </w:trPr>
        <w:tc>
          <w:tcPr>
            <w:tcW w:w="1095" w:type="dxa"/>
            <w:tcBorders>
              <w:top w:val="nil"/>
              <w:left w:val="nil"/>
              <w:bottom w:val="nil"/>
              <w:right w:val="single" w:sz="8" w:space="0" w:color="auto"/>
            </w:tcBorders>
            <w:shd w:val="clear" w:color="auto" w:fill="auto"/>
            <w:vAlign w:val="center"/>
            <w:hideMark/>
          </w:tcPr>
          <w:p w14:paraId="4D091CD7"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0.3.2</w:t>
            </w:r>
          </w:p>
        </w:tc>
        <w:tc>
          <w:tcPr>
            <w:tcW w:w="6560" w:type="dxa"/>
            <w:tcBorders>
              <w:top w:val="nil"/>
              <w:left w:val="nil"/>
              <w:bottom w:val="nil"/>
              <w:right w:val="single" w:sz="8" w:space="0" w:color="auto"/>
            </w:tcBorders>
            <w:shd w:val="clear" w:color="auto" w:fill="auto"/>
            <w:noWrap/>
            <w:vAlign w:val="center"/>
            <w:hideMark/>
          </w:tcPr>
          <w:p w14:paraId="71A440B7" w14:textId="77777777" w:rsidR="009654FE" w:rsidRPr="000842AA" w:rsidRDefault="009654FE" w:rsidP="00CF770A">
            <w:pPr>
              <w:spacing w:after="0" w:line="180" w:lineRule="exact"/>
              <w:rPr>
                <w:rFonts w:ascii="Arial" w:eastAsia="Times New Roman" w:hAnsi="Arial" w:cs="Arial"/>
                <w:b/>
                <w:i/>
                <w:color w:val="000000"/>
                <w:sz w:val="16"/>
                <w:szCs w:val="16"/>
              </w:rPr>
            </w:pPr>
            <w:r w:rsidRPr="000842AA">
              <w:rPr>
                <w:rFonts w:ascii="Arial" w:eastAsia="Times New Roman" w:hAnsi="Arial" w:cs="Arial"/>
                <w:b/>
                <w:i/>
                <w:color w:val="000000" w:themeColor="text1"/>
                <w:sz w:val="16"/>
                <w:szCs w:val="16"/>
              </w:rPr>
              <w:t>Empréstitos con Fuente de Pago de Aportaciones</w:t>
            </w:r>
          </w:p>
        </w:tc>
        <w:tc>
          <w:tcPr>
            <w:tcW w:w="1749" w:type="dxa"/>
            <w:tcBorders>
              <w:top w:val="nil"/>
              <w:left w:val="nil"/>
              <w:bottom w:val="single" w:sz="8" w:space="0" w:color="auto"/>
              <w:right w:val="nil"/>
            </w:tcBorders>
            <w:shd w:val="clear" w:color="auto" w:fill="FFFFFF" w:themeFill="background1"/>
            <w:vAlign w:val="center"/>
            <w:hideMark/>
          </w:tcPr>
          <w:p w14:paraId="455399CD" w14:textId="77777777" w:rsidR="009654FE" w:rsidRPr="000842AA" w:rsidRDefault="009654FE" w:rsidP="00CF770A">
            <w:pPr>
              <w:spacing w:after="0" w:line="180" w:lineRule="exact"/>
              <w:jc w:val="right"/>
              <w:rPr>
                <w:rFonts w:ascii="Arial" w:eastAsia="Times New Roman" w:hAnsi="Arial" w:cs="Arial"/>
                <w:i/>
                <w:color w:val="000000"/>
                <w:sz w:val="16"/>
                <w:szCs w:val="16"/>
              </w:rPr>
            </w:pPr>
            <w:r w:rsidRPr="000842AA">
              <w:rPr>
                <w:rFonts w:ascii="Arial" w:eastAsia="Times New Roman" w:hAnsi="Arial" w:cs="Arial"/>
                <w:i/>
                <w:color w:val="000000" w:themeColor="text1"/>
                <w:sz w:val="16"/>
                <w:szCs w:val="16"/>
              </w:rPr>
              <w:t xml:space="preserve">0 </w:t>
            </w:r>
          </w:p>
        </w:tc>
      </w:tr>
      <w:tr w:rsidR="009654FE" w:rsidRPr="000842AA" w14:paraId="471CC9D0" w14:textId="77777777" w:rsidTr="00CF770A">
        <w:tblPrEx>
          <w:tblBorders>
            <w:top w:val="single" w:sz="4" w:space="0" w:color="auto"/>
            <w:bottom w:val="single" w:sz="4" w:space="0" w:color="auto"/>
            <w:insideH w:val="single" w:sz="4" w:space="0" w:color="auto"/>
            <w:insideV w:val="single" w:sz="4" w:space="0" w:color="auto"/>
          </w:tblBorders>
        </w:tblPrEx>
        <w:trPr>
          <w:trHeight w:val="20"/>
        </w:trPr>
        <w:tc>
          <w:tcPr>
            <w:tcW w:w="10348" w:type="dxa"/>
            <w:gridSpan w:val="4"/>
            <w:tcBorders>
              <w:top w:val="nil"/>
              <w:bottom w:val="nil"/>
            </w:tcBorders>
            <w:shd w:val="clear" w:color="auto" w:fill="auto"/>
            <w:vAlign w:val="bottom"/>
          </w:tcPr>
          <w:p w14:paraId="3F47F8B3" w14:textId="77777777" w:rsidR="009654FE" w:rsidRPr="000842AA" w:rsidRDefault="009654FE" w:rsidP="00CF770A">
            <w:pPr>
              <w:spacing w:line="180" w:lineRule="exact"/>
              <w:rPr>
                <w:rFonts w:ascii="Arial" w:hAnsi="Arial" w:cs="Arial"/>
                <w:i/>
                <w:sz w:val="16"/>
                <w:szCs w:val="16"/>
              </w:rPr>
            </w:pPr>
          </w:p>
        </w:tc>
      </w:tr>
    </w:tbl>
    <w:p w14:paraId="367701C9"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En los casos en que una ley establezca alguno de los ingresos previstos en este artículo y contenga disposiciones que señalen otros ingresos, estos últimos se considerarán comprendidos en el rubro, tipo o clase que corresponda a los ingresos del primero.</w:t>
      </w:r>
    </w:p>
    <w:p w14:paraId="0E8C51F7"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 xml:space="preserve">Artículo 3. Calendario de ingresos </w:t>
      </w:r>
    </w:p>
    <w:p w14:paraId="38313152"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La Secretaría de Administración y Finanzas publicará, a más tardar el último día de enero en su sitio web, los calendarios de ingresos con base mensual que reciba, en los formatos que, para tal efecto, determine el Consejo Nacional de Armonización Contable, de conformidad con el párrafo segundo, del artículo 66 de la Ley General de Contabilidad Gubernamental, dicha calendarización tiene carácter de estimación y no representa un compromiso de plazo recaudatorio.</w:t>
      </w:r>
    </w:p>
    <w:p w14:paraId="523DE04B"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4. Ingresos por remanentes</w:t>
      </w:r>
    </w:p>
    <w:p w14:paraId="2AD27E5B"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Los ingresos por recursos remanentes de ejercicios anteriores a que refiere el artículo 93 de la Ley del Presupuesto y Contabilidad Gubernamental del Estado de Yucatán, se considerarán en la presente Ley de Ingresos para cumplir con el principio de sostenibilidad del Balance presupuestario y del Balance presupuestario de recursos disponibles establecido en la Ley de Disciplina Financiera de las Entidades Federativas y los Municipios, a partir del momento de su aplicación en el gasto y se presentarán en los informes trimestrales correspondientes.</w:t>
      </w:r>
    </w:p>
    <w:p w14:paraId="68462C1E"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 xml:space="preserve">Artículo 5. Ingresos acumulados excedentes </w:t>
      </w:r>
    </w:p>
    <w:p w14:paraId="67176A8A"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Los ingresos acumulados de las dependencias y entidades del Poder Ejecutivo del Estado, los poderes Legislativo y Judicial, y los órganos autónomos por disposición constitucional que, durante el ejercicio fiscal 2025, se obtengan en exceso de los aprobados en esta ley, deberán ser aplicados en los términos de la Ley del Presupuesto y Contabilidad Gubernamental del Estado de Yucatán, su reglamento, y la Ley de Disciplina Financiera de las Entidades Federativas y los Municipios</w:t>
      </w:r>
      <w:r w:rsidRPr="000842AA">
        <w:rPr>
          <w:rFonts w:ascii="Arial" w:hAnsi="Arial" w:cs="Arial"/>
          <w:b/>
          <w:szCs w:val="24"/>
        </w:rPr>
        <w:t>.</w:t>
      </w:r>
    </w:p>
    <w:p w14:paraId="085F22B4"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En el caso de los ingresos de libre disposición que se encuentren destinados a un fin específico, en términos de las leyes, no resultarán aplicables las disposiciones establecidas en el artículo 14 de la Ley de Disciplina Financiera de las Entidades Federativas y los Municipios.</w:t>
      </w:r>
    </w:p>
    <w:p w14:paraId="44C2FC74"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Asimismo, los ingresos excedentes que provengan de los fondos de aportaciones federales para el estado o los municipios y de recursos federales reasignados o federalizados, se destinarán a los fines legalmente establecidos o convenidos, conforme a la normativa federal aplicable.</w:t>
      </w:r>
    </w:p>
    <w:p w14:paraId="075BB64D"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6. Adeudos de ejercicios fiscales anteriores</w:t>
      </w:r>
    </w:p>
    <w:p w14:paraId="646D5860"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Durante el ejercicio fiscal 2025, se considerarán adeudos del ejercicio fiscal 2024 de al menos $150,000,000.00, cifra que podrá incrementarse hasta por el porcentaje correspondiente de los ingresos totales establecidos en esta ley, de conformidad con el artículo 12 de la Ley de Disciplina Financiera de las Entidades Federativas y los Municipios, siempre que se cumpla con los requisitos establecidos en los capítulos VII y VIII del título tercero del Reglamento de la Ley del Presupuesto y Contabilidad Gubernamental del Estado de Yucatán.</w:t>
      </w:r>
    </w:p>
    <w:p w14:paraId="51E441C0"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7. Aprovechamientos</w:t>
      </w:r>
    </w:p>
    <w:p w14:paraId="3CBB4BA6"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El Poder Ejecutivo del estado, por conducto de la Secretaría de Administración y Finanzas, queda autorizado para fijar o modificar los aprovechamientos que cobren las dependencias durante el ejercicio fiscal 2025, por el uso, goce, aprovechamiento o explotación de bienes sujetos al régimen de dominio público del estado, o por la prestación de servicios en el ejercicio de las funciones de derecho público por los que no se establecen derechos o que, por cualquier causa legal, no se paguen. </w:t>
      </w:r>
    </w:p>
    <w:p w14:paraId="78520488"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La Secretaría de Administración y Finanzas, mediante resoluciones de carácter particular, aprobará los montos de los aprovechamientos que cobren las dependencias de la Administración Pública estatal, salvo cuando su determinación y cobro se encuentren previstos en otras leyes. Los aprovechamientos que cobren las entidades se sujetarán a la aprobación del órgano de gobierno correspondiente, de conformidad con la normatividad aplicable, con excepción de aquellos que se determinen por acuerdo del Poder Ejecutivo del Estado.</w:t>
      </w:r>
    </w:p>
    <w:p w14:paraId="7D84BE74"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Los aprovechamientos por concepto de multas, sanciones, penas convencionales, cuotas compensatorias, o análogos establecidos en la normativa correspondiente de los organismos autónomos constitucionales, así como los accesorios de los aprovechamientos, no requieren de autorización por parte de la Secretaría de Administración y Finanzas para su cobro.</w:t>
      </w:r>
    </w:p>
    <w:p w14:paraId="688B5B74"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Las autorizaciones otorgadas para fijar o modificar las cuotas de los aprovechamientos durante el ejercicio fiscal 2025 solo surtirán sus efectos para ese año. En tanto no sean autorizados los aprovechamientos a que se refiere este artículo para el ejercicio fiscal 2025, se aplicarán los vigentes al 31 de diciembre de 2024.</w:t>
      </w:r>
    </w:p>
    <w:p w14:paraId="45405FF6"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Los aprovechamientos fijados en porcentaje que se encuentren vigentes al 31 de diciembre de 2024 se continuarán aplicando durante el ejercicio fiscal 2025, hasta en tanto, la Secretaría de Administración y Finanzas</w:t>
      </w:r>
      <w:r w:rsidRPr="000842AA" w:rsidDel="0059559F">
        <w:rPr>
          <w:rFonts w:ascii="Arial" w:hAnsi="Arial" w:cs="Arial"/>
          <w:szCs w:val="24"/>
        </w:rPr>
        <w:t xml:space="preserve"> </w:t>
      </w:r>
      <w:r w:rsidRPr="000842AA">
        <w:rPr>
          <w:rFonts w:ascii="Arial" w:hAnsi="Arial" w:cs="Arial"/>
          <w:szCs w:val="24"/>
        </w:rPr>
        <w:t>o el órgano de gobierno correspondiente emita autorización distinta para este último ejercicio fiscal.</w:t>
      </w:r>
    </w:p>
    <w:p w14:paraId="51AE2CA5"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En cuanto a los aprovechamientos que no hayan sido cobrados en el ejercicio inmediato anterior o que no se cobren de manera regular, las dependencias o entidades interesadas deberán someter, para su autorización, el monto de los aprovechamientos que pretendan cobrar, en un plazo no menor a diez días hábiles anteriores a la fecha de su entrada en vigor. </w:t>
      </w:r>
    </w:p>
    <w:p w14:paraId="21F38C56"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8. Productos</w:t>
      </w:r>
    </w:p>
    <w:p w14:paraId="175B8348"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El Poder Ejecutivo del estado, por conducto de la Secretaría de Administración y Finanzas, queda autorizado para fijar o modificar, mediante resoluciones de carácter particular, las cuotas de los productos que pretendan cobrar las dependencias durante el ejercicio fiscal 2025, aun cuando su cobro se encuentre previsto en otras leyes.</w:t>
      </w:r>
    </w:p>
    <w:p w14:paraId="2CC811F0"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Las autorizaciones para fijar o modificar las cuotas de los productos que otorgue la Secretaría de Administración y Finanzas, durante el ejercicio fiscal 2025, solo surtirán sus efectos para este año. En tanto no sean autorizados los productos a que se refiere este artículo para el ejercicio fiscal 2025, se aplicarán los vigentes al 31 de diciembre de 2024.</w:t>
      </w:r>
    </w:p>
    <w:p w14:paraId="1264E12F"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Los productos fijados en porcentaje que se encuentren vigentes al 31 de diciembre de 2024 se continuarán aplicando durante el ejercicio fiscal 2025, hasta en tanto la secretaría o el órgano de gobierno correspondiente emita autorización nueva para este último ejercicio fiscal.</w:t>
      </w:r>
    </w:p>
    <w:p w14:paraId="431F7601"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En cuanto a los productos que no hayan sido cobrados en el ejercicio inmediato anterior o que no se cobren de manera regular, las dependencias interesadas deberán someter para su aprobación a la Secretaría de Administración y Finanzas, el monto de los productos que pretendan cobrar, en un plazo no menor a diez días hábiles anteriores a la fecha de su entrada en vigor.</w:t>
      </w:r>
    </w:p>
    <w:p w14:paraId="28FEEB77" w14:textId="77777777" w:rsidR="009654FE" w:rsidRPr="000842AA" w:rsidRDefault="009654FE" w:rsidP="009654FE">
      <w:pPr>
        <w:spacing w:after="0" w:line="240" w:lineRule="auto"/>
        <w:jc w:val="center"/>
        <w:rPr>
          <w:rFonts w:ascii="Arial" w:hAnsi="Arial" w:cs="Arial"/>
          <w:b/>
          <w:szCs w:val="24"/>
        </w:rPr>
      </w:pPr>
      <w:r w:rsidRPr="000842AA">
        <w:rPr>
          <w:rFonts w:ascii="Arial" w:hAnsi="Arial" w:cs="Arial"/>
          <w:b/>
          <w:szCs w:val="24"/>
        </w:rPr>
        <w:t xml:space="preserve">Capítulo II </w:t>
      </w:r>
    </w:p>
    <w:p w14:paraId="569C0BAC" w14:textId="77777777" w:rsidR="009654FE" w:rsidRPr="000842AA" w:rsidRDefault="009654FE" w:rsidP="009654FE">
      <w:pPr>
        <w:spacing w:after="0" w:line="240" w:lineRule="auto"/>
        <w:jc w:val="center"/>
        <w:rPr>
          <w:rFonts w:ascii="Arial" w:hAnsi="Arial" w:cs="Arial"/>
          <w:b/>
          <w:szCs w:val="24"/>
        </w:rPr>
      </w:pPr>
      <w:r w:rsidRPr="000842AA">
        <w:rPr>
          <w:rFonts w:ascii="Arial" w:hAnsi="Arial" w:cs="Arial"/>
          <w:b/>
          <w:szCs w:val="24"/>
        </w:rPr>
        <w:t>Disciplina presupuestal en el ingreso</w:t>
      </w:r>
    </w:p>
    <w:p w14:paraId="3B789E5A" w14:textId="77777777" w:rsidR="009654FE" w:rsidRPr="000842AA" w:rsidRDefault="009654FE" w:rsidP="009654FE">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9. Formatos de disciplina financiera</w:t>
      </w:r>
    </w:p>
    <w:p w14:paraId="1D5FA682"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La proyección de ingresos de los próximos cinco años, es decir, de 2025 a 2030, se encuentra desglosada en el anexo I de esta ley. </w:t>
      </w:r>
    </w:p>
    <w:p w14:paraId="79838B76" w14:textId="77777777" w:rsidR="009654FE" w:rsidRPr="000842AA" w:rsidRDefault="009654FE" w:rsidP="009654FE">
      <w:pPr>
        <w:spacing w:before="100" w:beforeAutospacing="1" w:after="100" w:afterAutospacing="1" w:line="240" w:lineRule="auto"/>
        <w:jc w:val="both"/>
        <w:rPr>
          <w:rFonts w:ascii="Arial" w:hAnsi="Arial" w:cs="Arial"/>
          <w:szCs w:val="24"/>
        </w:rPr>
      </w:pPr>
      <w:r w:rsidRPr="000842AA">
        <w:rPr>
          <w:rFonts w:ascii="Arial" w:hAnsi="Arial" w:cs="Arial"/>
          <w:szCs w:val="24"/>
        </w:rPr>
        <w:t>El resultado de los ingresos durante el periodo de los últimos cinco años, es decir, de 2019 a 2024, se presenta en el anexo II de esta ley.</w:t>
      </w:r>
    </w:p>
    <w:p w14:paraId="468A1D96"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b/>
          <w:bCs/>
          <w:szCs w:val="24"/>
        </w:rPr>
        <w:t>Artículo 10. Programa de financiamiento anual</w:t>
      </w:r>
    </w:p>
    <w:p w14:paraId="3B9DD6BD" w14:textId="77777777" w:rsidR="009654FE" w:rsidRPr="000842AA" w:rsidRDefault="009654FE" w:rsidP="009654FE">
      <w:pPr>
        <w:spacing w:after="0" w:line="240" w:lineRule="auto"/>
        <w:jc w:val="both"/>
        <w:rPr>
          <w:rFonts w:ascii="Arial" w:eastAsia="Arial" w:hAnsi="Arial" w:cs="Arial"/>
          <w:szCs w:val="24"/>
        </w:rPr>
      </w:pPr>
      <w:r w:rsidRPr="000842AA">
        <w:rPr>
          <w:rFonts w:ascii="Arial" w:eastAsia="Arial" w:hAnsi="Arial" w:cs="Arial"/>
          <w:szCs w:val="24"/>
        </w:rPr>
        <w:t>De conformidad con lo establecido en el artículo 52, fracción V, de la Ley del Presupuesto y Contabilidad Gubernamental del Estado de Yucatán, para el programa anual de financiamiento 2025, la estimación de las amortizaciones y el costo del servicio de la deuda de largo plazo que se cubrirán durante este ejercicio fiscal es de $141,466,910.00 y de $988,886,693.00, respectivamente. Las cifras señaladas corresponden a los financiamientos de largo plazo vigentes identificados con las siguientes claves de inscripción en el Registro Público Único de Financiamientos y Obligaciones de Entidades Federativas y Municipios a cargo de la Secretaría de Hacienda y Crédito Público: P31-0413037, P31-1119054, P31-1020086, P31-1020087, P31-1020088, P31-0922035, P31-1123060, P31-1123061 y P31-1123062 y se estima que serán aplicados de la siguiente manera:</w:t>
      </w:r>
    </w:p>
    <w:p w14:paraId="3143E2EF" w14:textId="77777777" w:rsidR="009654FE" w:rsidRPr="000842AA" w:rsidRDefault="009654FE" w:rsidP="009654FE">
      <w:pPr>
        <w:spacing w:after="0" w:line="240" w:lineRule="auto"/>
        <w:jc w:val="both"/>
        <w:rPr>
          <w:rFonts w:ascii="Arial" w:eastAsia="Arial" w:hAnsi="Arial" w:cs="Arial"/>
          <w:szCs w:val="24"/>
        </w:rPr>
      </w:pPr>
    </w:p>
    <w:tbl>
      <w:tblPr>
        <w:tblW w:w="9389" w:type="dxa"/>
        <w:tblLayout w:type="fixed"/>
        <w:tblLook w:val="06A0" w:firstRow="1" w:lastRow="0" w:firstColumn="1" w:lastColumn="0" w:noHBand="1" w:noVBand="1"/>
      </w:tblPr>
      <w:tblGrid>
        <w:gridCol w:w="1763"/>
        <w:gridCol w:w="3675"/>
        <w:gridCol w:w="1276"/>
        <w:gridCol w:w="1262"/>
        <w:gridCol w:w="1413"/>
      </w:tblGrid>
      <w:tr w:rsidR="009654FE" w:rsidRPr="000842AA" w14:paraId="1C00646B" w14:textId="77777777" w:rsidTr="00CF770A">
        <w:trPr>
          <w:trHeight w:val="283"/>
        </w:trPr>
        <w:tc>
          <w:tcPr>
            <w:tcW w:w="9389" w:type="dxa"/>
            <w:gridSpan w:val="5"/>
            <w:tcBorders>
              <w:top w:val="nil"/>
              <w:left w:val="nil"/>
              <w:bottom w:val="nil"/>
              <w:right w:val="nil"/>
            </w:tcBorders>
            <w:tcMar>
              <w:top w:w="15" w:type="dxa"/>
              <w:left w:w="15" w:type="dxa"/>
              <w:right w:w="15" w:type="dxa"/>
            </w:tcMar>
            <w:vAlign w:val="bottom"/>
          </w:tcPr>
          <w:p w14:paraId="1465AF3D" w14:textId="77777777" w:rsidR="009654FE" w:rsidRPr="000842AA" w:rsidRDefault="009654FE" w:rsidP="00CF770A">
            <w:pPr>
              <w:spacing w:after="0" w:line="240" w:lineRule="auto"/>
              <w:jc w:val="center"/>
              <w:rPr>
                <w:rFonts w:ascii="Arial" w:hAnsi="Arial" w:cs="Arial"/>
                <w:b/>
                <w:bCs/>
                <w:color w:val="000000" w:themeColor="text1"/>
                <w:sz w:val="20"/>
                <w:szCs w:val="16"/>
              </w:rPr>
            </w:pPr>
            <w:r w:rsidRPr="000842AA">
              <w:rPr>
                <w:rFonts w:ascii="Arial" w:hAnsi="Arial" w:cs="Arial"/>
                <w:b/>
                <w:bCs/>
                <w:color w:val="000000" w:themeColor="text1"/>
                <w:sz w:val="20"/>
                <w:szCs w:val="16"/>
              </w:rPr>
              <w:t>Tabla 2. Amortización y servicio de la deuda pública de largo plazo</w:t>
            </w:r>
          </w:p>
        </w:tc>
      </w:tr>
      <w:tr w:rsidR="009654FE" w:rsidRPr="000842AA" w14:paraId="2176956C"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center"/>
          </w:tcPr>
          <w:p w14:paraId="56192B9F" w14:textId="77777777" w:rsidR="009654FE" w:rsidRPr="000842AA" w:rsidRDefault="009654FE" w:rsidP="00CF770A">
            <w:pPr>
              <w:spacing w:after="0" w:line="240" w:lineRule="auto"/>
              <w:jc w:val="center"/>
              <w:rPr>
                <w:rFonts w:ascii="Arial" w:hAnsi="Arial" w:cs="Arial"/>
                <w:b/>
                <w:bCs/>
                <w:color w:val="FFFFFF" w:themeColor="background1"/>
                <w:sz w:val="16"/>
                <w:szCs w:val="16"/>
              </w:rPr>
            </w:pPr>
            <w:r w:rsidRPr="000842AA">
              <w:rPr>
                <w:rFonts w:ascii="Arial" w:hAnsi="Arial" w:cs="Arial"/>
                <w:b/>
                <w:bCs/>
                <w:color w:val="FFFFFF" w:themeColor="background1"/>
                <w:sz w:val="16"/>
                <w:szCs w:val="16"/>
              </w:rPr>
              <w:t>Clasificación deuda</w:t>
            </w:r>
          </w:p>
        </w:tc>
        <w:tc>
          <w:tcPr>
            <w:tcW w:w="367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center"/>
          </w:tcPr>
          <w:p w14:paraId="1EAB48EE" w14:textId="77777777" w:rsidR="009654FE" w:rsidRPr="000842AA" w:rsidRDefault="009654FE" w:rsidP="00CF770A">
            <w:pPr>
              <w:spacing w:after="0" w:line="240" w:lineRule="auto"/>
              <w:jc w:val="center"/>
              <w:rPr>
                <w:rFonts w:ascii="Arial" w:hAnsi="Arial" w:cs="Arial"/>
                <w:b/>
                <w:bCs/>
                <w:color w:val="FFFFFF" w:themeColor="background1"/>
                <w:sz w:val="16"/>
                <w:szCs w:val="16"/>
              </w:rPr>
            </w:pPr>
            <w:r w:rsidRPr="000842AA">
              <w:rPr>
                <w:rFonts w:ascii="Arial" w:hAnsi="Arial" w:cs="Arial"/>
                <w:b/>
                <w:bCs/>
                <w:color w:val="FFFFFF" w:themeColor="background1"/>
                <w:sz w:val="16"/>
                <w:szCs w:val="16"/>
              </w:rPr>
              <w:t>Financiamiento</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center"/>
          </w:tcPr>
          <w:p w14:paraId="2C19A7F5" w14:textId="77777777" w:rsidR="009654FE" w:rsidRPr="000842AA" w:rsidRDefault="009654FE" w:rsidP="00CF770A">
            <w:pPr>
              <w:spacing w:after="0" w:line="240" w:lineRule="auto"/>
              <w:jc w:val="center"/>
              <w:rPr>
                <w:rFonts w:ascii="Arial" w:hAnsi="Arial" w:cs="Arial"/>
                <w:b/>
                <w:bCs/>
                <w:color w:val="FFFFFF" w:themeColor="background1"/>
                <w:sz w:val="16"/>
                <w:szCs w:val="16"/>
              </w:rPr>
            </w:pPr>
            <w:r w:rsidRPr="000842AA">
              <w:rPr>
                <w:rFonts w:ascii="Arial" w:hAnsi="Arial" w:cs="Arial"/>
                <w:b/>
                <w:bCs/>
                <w:color w:val="FFFFFF" w:themeColor="background1"/>
                <w:sz w:val="16"/>
                <w:szCs w:val="16"/>
              </w:rPr>
              <w:t>Saldo al 31/dic/2024</w:t>
            </w:r>
          </w:p>
        </w:tc>
        <w:tc>
          <w:tcPr>
            <w:tcW w:w="1262"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center"/>
          </w:tcPr>
          <w:p w14:paraId="6F4D1F25" w14:textId="77777777" w:rsidR="009654FE" w:rsidRPr="000842AA" w:rsidRDefault="009654FE" w:rsidP="00CF770A">
            <w:pPr>
              <w:spacing w:after="0" w:line="240" w:lineRule="auto"/>
              <w:jc w:val="center"/>
              <w:rPr>
                <w:rFonts w:ascii="Arial" w:hAnsi="Arial" w:cs="Arial"/>
                <w:b/>
                <w:bCs/>
                <w:color w:val="FFFFFF" w:themeColor="background1"/>
                <w:sz w:val="16"/>
                <w:szCs w:val="16"/>
              </w:rPr>
            </w:pPr>
            <w:r w:rsidRPr="000842AA">
              <w:rPr>
                <w:rFonts w:ascii="Arial" w:hAnsi="Arial" w:cs="Arial"/>
                <w:b/>
                <w:bCs/>
                <w:color w:val="FFFFFF" w:themeColor="background1"/>
                <w:sz w:val="16"/>
                <w:szCs w:val="16"/>
              </w:rPr>
              <w:t>Amortización</w:t>
            </w:r>
          </w:p>
        </w:tc>
        <w:tc>
          <w:tcPr>
            <w:tcW w:w="1413"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center"/>
          </w:tcPr>
          <w:p w14:paraId="7CB0B0AB" w14:textId="77777777" w:rsidR="009654FE" w:rsidRPr="000842AA" w:rsidRDefault="009654FE" w:rsidP="00CF770A">
            <w:pPr>
              <w:spacing w:after="0" w:line="240" w:lineRule="auto"/>
              <w:jc w:val="center"/>
              <w:rPr>
                <w:rFonts w:ascii="Arial" w:hAnsi="Arial" w:cs="Arial"/>
                <w:b/>
                <w:bCs/>
                <w:color w:val="FFFFFF" w:themeColor="background1"/>
                <w:sz w:val="16"/>
                <w:szCs w:val="16"/>
                <w:vertAlign w:val="superscript"/>
              </w:rPr>
            </w:pPr>
            <w:r w:rsidRPr="000842AA">
              <w:rPr>
                <w:rFonts w:ascii="Arial" w:hAnsi="Arial" w:cs="Arial"/>
                <w:b/>
                <w:bCs/>
                <w:color w:val="FFFFFF" w:themeColor="background1"/>
                <w:sz w:val="16"/>
                <w:szCs w:val="16"/>
              </w:rPr>
              <w:t>Servicio de la Deuda</w:t>
            </w:r>
            <w:r w:rsidRPr="000842AA">
              <w:rPr>
                <w:rFonts w:ascii="Arial" w:hAnsi="Arial" w:cs="Arial"/>
                <w:b/>
                <w:bCs/>
                <w:color w:val="FFFFFF" w:themeColor="background1"/>
                <w:sz w:val="16"/>
                <w:szCs w:val="16"/>
                <w:vertAlign w:val="superscript"/>
              </w:rPr>
              <w:t>1</w:t>
            </w:r>
          </w:p>
        </w:tc>
      </w:tr>
      <w:tr w:rsidR="009654FE" w:rsidRPr="000842AA" w14:paraId="5EB2DDC2"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F091A"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Deuda pública de largo plazo</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D257A"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Banco Nacional de México, S.A. por 2,620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339CE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2,482,598,637</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170CC0"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48,428,287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5122DA"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257,513,710</w:t>
            </w:r>
          </w:p>
        </w:tc>
      </w:tr>
      <w:tr w:rsidR="009654FE" w:rsidRPr="000842AA" w14:paraId="21890996"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F25025"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F947CE"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Banco Nacional de Obras y Servicios Públicos, S.N.C. por 800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444B53"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762,735,251</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0AB6C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12,947,881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12A677"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82,861,208</w:t>
            </w:r>
          </w:p>
        </w:tc>
      </w:tr>
      <w:tr w:rsidR="009654FE" w:rsidRPr="000842AA" w14:paraId="6D823E9C"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4177C4"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9C5D7D"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Banco Nacional de Obras y Servicios Públicos, S.N.C. por 1,200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BB6298"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1,144,459,934</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2476C"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19,414,111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3ACAC8"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108,265,512</w:t>
            </w:r>
          </w:p>
        </w:tc>
      </w:tr>
      <w:tr w:rsidR="009654FE" w:rsidRPr="000842AA" w14:paraId="10BE84DF"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A8CC5A"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B45EE7"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Banco Nacional de Obras y Servicios Públicos, S.N.C. por 1,420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A9A554"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1,316,362,965</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384017"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22,346,036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FF6B2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142,628,037</w:t>
            </w:r>
          </w:p>
        </w:tc>
      </w:tr>
      <w:tr w:rsidR="009654FE" w:rsidRPr="000842AA" w14:paraId="77953B10"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FC206C"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74BF08"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BBVA México, S.A. por 1,735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D149AE"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1,711,054,319</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0485C2"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21,283,291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8C2C89"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189,508,729</w:t>
            </w:r>
          </w:p>
        </w:tc>
      </w:tr>
      <w:tr w:rsidR="009654FE" w:rsidRPr="000842AA" w14:paraId="09C6BCCC"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07D6F7"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E88D6" w14:textId="77777777" w:rsidR="009654FE" w:rsidRPr="000842AA" w:rsidRDefault="009654FE" w:rsidP="00CF770A">
            <w:pPr>
              <w:spacing w:after="0" w:line="240" w:lineRule="auto"/>
              <w:rPr>
                <w:rFonts w:ascii="Arial" w:eastAsia="Arial" w:hAnsi="Arial" w:cs="Arial"/>
                <w:color w:val="000000" w:themeColor="text1"/>
                <w:sz w:val="16"/>
                <w:szCs w:val="16"/>
                <w:vertAlign w:val="superscript"/>
              </w:rPr>
            </w:pPr>
            <w:r w:rsidRPr="000842AA">
              <w:rPr>
                <w:rFonts w:ascii="Arial" w:eastAsia="Arial" w:hAnsi="Arial" w:cs="Arial"/>
                <w:color w:val="000000" w:themeColor="text1"/>
                <w:sz w:val="16"/>
                <w:szCs w:val="16"/>
              </w:rPr>
              <w:t>Financiamiento para el Proyecto "Ampliación del Puerto de Altura de Progreso"</w:t>
            </w:r>
            <w:r w:rsidRPr="000842AA">
              <w:rPr>
                <w:rFonts w:ascii="Arial" w:eastAsia="Arial" w:hAnsi="Arial" w:cs="Arial"/>
                <w:color w:val="000000" w:themeColor="text1"/>
                <w:sz w:val="16"/>
                <w:szCs w:val="16"/>
                <w:vertAlign w:val="superscript"/>
              </w:rPr>
              <w:t>2</w:t>
            </w:r>
          </w:p>
        </w:tc>
        <w:tc>
          <w:tcPr>
            <w:tcW w:w="1276"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464620A"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w:t>
            </w:r>
          </w:p>
        </w:tc>
        <w:tc>
          <w:tcPr>
            <w:tcW w:w="1262"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A1213D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17,047,304</w:t>
            </w:r>
          </w:p>
        </w:tc>
        <w:tc>
          <w:tcPr>
            <w:tcW w:w="1413"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29002C3"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179,886,720</w:t>
            </w:r>
          </w:p>
        </w:tc>
      </w:tr>
      <w:tr w:rsidR="009654FE" w:rsidRPr="000842AA" w14:paraId="37C4245D"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459C4D"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8A06AC"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Total deuda pública de largo plazo</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2EC002"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7,417,211,106</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89108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141,466,910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4BD200"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960,663,916</w:t>
            </w:r>
          </w:p>
        </w:tc>
      </w:tr>
      <w:tr w:rsidR="009654FE" w:rsidRPr="000842AA" w14:paraId="4B5D7953"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B3DFDE"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Deuda pública con garantía</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A050EA"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Banco Nacional de Obras y Servicios Públicos, S.N.C. (PROFISE) por 317 mdp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4D1838"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306,931,762</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A6F5CF"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30DB64"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28,222,778</w:t>
            </w:r>
          </w:p>
        </w:tc>
      </w:tr>
      <w:tr w:rsidR="009654FE" w:rsidRPr="000842AA" w14:paraId="1249C312"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043181"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EBFF3A"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Total deuda pública con garantía</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AB13FC"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306,931,762</w:t>
            </w:r>
          </w:p>
        </w:tc>
        <w:tc>
          <w:tcPr>
            <w:tcW w:w="12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2A820F"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C7FA4"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28,222,778</w:t>
            </w:r>
          </w:p>
        </w:tc>
      </w:tr>
      <w:tr w:rsidR="009654FE" w:rsidRPr="000842AA" w14:paraId="5121BE17" w14:textId="77777777" w:rsidTr="00CF770A">
        <w:trPr>
          <w:trHeight w:val="283"/>
        </w:trPr>
        <w:tc>
          <w:tcPr>
            <w:tcW w:w="1763"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32CD5332"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Total</w:t>
            </w:r>
          </w:p>
        </w:tc>
        <w:tc>
          <w:tcPr>
            <w:tcW w:w="3675"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09FD6DD9"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5A6BD8A6"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7,724,142,868</w:t>
            </w:r>
          </w:p>
        </w:tc>
        <w:tc>
          <w:tcPr>
            <w:tcW w:w="1262"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766348B2"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141,466,910</w:t>
            </w:r>
          </w:p>
        </w:tc>
        <w:tc>
          <w:tcPr>
            <w:tcW w:w="1413"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59E8C02F" w14:textId="77777777" w:rsidR="009654FE" w:rsidRPr="000842AA" w:rsidRDefault="009654FE" w:rsidP="00CF770A">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988,886,694</w:t>
            </w:r>
          </w:p>
        </w:tc>
      </w:tr>
      <w:tr w:rsidR="009654FE" w:rsidRPr="000842AA" w14:paraId="3900C5DD" w14:textId="77777777" w:rsidTr="00CF770A">
        <w:trPr>
          <w:trHeight w:val="283"/>
        </w:trPr>
        <w:tc>
          <w:tcPr>
            <w:tcW w:w="9389" w:type="dxa"/>
            <w:gridSpan w:val="5"/>
            <w:tcBorders>
              <w:top w:val="single" w:sz="4" w:space="0" w:color="auto"/>
              <w:left w:val="nil"/>
              <w:bottom w:val="nil"/>
              <w:right w:val="nil"/>
            </w:tcBorders>
            <w:tcMar>
              <w:top w:w="15" w:type="dxa"/>
              <w:left w:w="15" w:type="dxa"/>
              <w:right w:w="15" w:type="dxa"/>
            </w:tcMar>
            <w:vAlign w:val="bottom"/>
          </w:tcPr>
          <w:p w14:paraId="16864B3B" w14:textId="77777777" w:rsidR="009654FE" w:rsidRPr="000842AA" w:rsidRDefault="009654FE" w:rsidP="00CF770A">
            <w:pPr>
              <w:spacing w:after="0" w:line="240" w:lineRule="auto"/>
              <w:rPr>
                <w:rFonts w:ascii="Arial" w:eastAsia="Arial" w:hAnsi="Arial" w:cs="Arial"/>
                <w:color w:val="000000" w:themeColor="text1"/>
                <w:sz w:val="16"/>
                <w:szCs w:val="16"/>
              </w:rPr>
            </w:pPr>
            <w:r w:rsidRPr="000842AA">
              <w:rPr>
                <w:rFonts w:ascii="Arial" w:eastAsia="Arial" w:hAnsi="Arial" w:cs="Arial"/>
                <w:color w:val="000000" w:themeColor="text1"/>
                <w:sz w:val="16"/>
                <w:szCs w:val="16"/>
                <w:vertAlign w:val="superscript"/>
              </w:rPr>
              <w:t xml:space="preserve">1 </w:t>
            </w:r>
            <w:r w:rsidRPr="000842AA">
              <w:rPr>
                <w:rFonts w:ascii="Arial" w:eastAsia="Arial" w:hAnsi="Arial" w:cs="Arial"/>
                <w:color w:val="000000" w:themeColor="text1"/>
                <w:sz w:val="16"/>
                <w:szCs w:val="16"/>
              </w:rPr>
              <w:t>El servicio de la deuda considera intereses, gastos y costos de cobertura de la deuda pública de largo plazo.</w:t>
            </w:r>
          </w:p>
        </w:tc>
      </w:tr>
      <w:tr w:rsidR="009654FE" w:rsidRPr="000842AA" w14:paraId="35E14A47" w14:textId="77777777" w:rsidTr="00CF770A">
        <w:trPr>
          <w:trHeight w:val="283"/>
        </w:trPr>
        <w:tc>
          <w:tcPr>
            <w:tcW w:w="7976" w:type="dxa"/>
            <w:gridSpan w:val="4"/>
            <w:tcBorders>
              <w:top w:val="nil"/>
              <w:left w:val="nil"/>
              <w:bottom w:val="nil"/>
              <w:right w:val="nil"/>
            </w:tcBorders>
            <w:tcMar>
              <w:top w:w="15" w:type="dxa"/>
              <w:left w:w="15" w:type="dxa"/>
              <w:right w:w="15" w:type="dxa"/>
            </w:tcMar>
            <w:vAlign w:val="bottom"/>
          </w:tcPr>
          <w:p w14:paraId="6DB3884C" w14:textId="77777777" w:rsidR="009654FE" w:rsidRPr="000842AA" w:rsidRDefault="009654FE" w:rsidP="00CF770A">
            <w:pPr>
              <w:spacing w:line="240" w:lineRule="auto"/>
              <w:rPr>
                <w:rFonts w:ascii="Arial" w:hAnsi="Arial" w:cs="Arial"/>
                <w:sz w:val="16"/>
                <w:szCs w:val="16"/>
              </w:rPr>
            </w:pPr>
            <w:r w:rsidRPr="000842AA">
              <w:rPr>
                <w:rFonts w:ascii="Arial" w:eastAsia="Arial" w:hAnsi="Arial" w:cs="Arial"/>
                <w:color w:val="000000" w:themeColor="text1"/>
                <w:sz w:val="16"/>
                <w:szCs w:val="16"/>
                <w:vertAlign w:val="superscript"/>
              </w:rPr>
              <w:t>2</w:t>
            </w:r>
            <w:r w:rsidRPr="000842AA">
              <w:rPr>
                <w:rFonts w:ascii="Arial" w:eastAsia="Arial" w:hAnsi="Arial" w:cs="Arial"/>
                <w:color w:val="000000" w:themeColor="text1"/>
                <w:sz w:val="16"/>
                <w:szCs w:val="16"/>
              </w:rPr>
              <w:t xml:space="preserve"> Financiamiento para el Proyecto "Ampliación del Puerto de Altura de Progreso", en período de disposición.</w:t>
            </w:r>
          </w:p>
        </w:tc>
        <w:tc>
          <w:tcPr>
            <w:tcW w:w="1413" w:type="dxa"/>
            <w:tcBorders>
              <w:top w:val="nil"/>
              <w:left w:val="nil"/>
              <w:bottom w:val="nil"/>
              <w:right w:val="nil"/>
            </w:tcBorders>
            <w:tcMar>
              <w:top w:w="15" w:type="dxa"/>
              <w:left w:w="15" w:type="dxa"/>
              <w:right w:w="15" w:type="dxa"/>
            </w:tcMar>
            <w:vAlign w:val="bottom"/>
          </w:tcPr>
          <w:p w14:paraId="1B80C3B9" w14:textId="77777777" w:rsidR="009654FE" w:rsidRPr="000842AA" w:rsidRDefault="009654FE" w:rsidP="00CF770A">
            <w:pPr>
              <w:spacing w:line="240" w:lineRule="auto"/>
              <w:rPr>
                <w:rFonts w:ascii="Arial" w:hAnsi="Arial" w:cs="Arial"/>
                <w:sz w:val="16"/>
                <w:szCs w:val="16"/>
              </w:rPr>
            </w:pPr>
          </w:p>
        </w:tc>
      </w:tr>
    </w:tbl>
    <w:p w14:paraId="1EEB56DE"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szCs w:val="24"/>
        </w:rPr>
        <w:t>El calendario de amortizaciones estimadas en los siguientes ejercicios fiscales se presenta en el anexo III de esta ley.</w:t>
      </w:r>
    </w:p>
    <w:p w14:paraId="45704AA8"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szCs w:val="24"/>
        </w:rPr>
        <w:t>Con base en el resultado de la evaluación del Sistema de Alertas de la Secretaría de Hacienda y Crédito Público publicada el 28 de junio de 2024, el estado de Yucatán se encuentra clasificado con un nivel de endeudamiento sostenible y con acceso a un techo de financiamiento neto equivalente al quince por ciento de sus ingresos de libre disposición.</w:t>
      </w:r>
    </w:p>
    <w:p w14:paraId="4BE8E58B"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szCs w:val="24"/>
        </w:rPr>
        <w:t xml:space="preserve">Si durante el ejercicio fiscal de 2025, se actualiza alguno de los supuestos previstos por el artículo 7, de la Ley de Disciplina Financiera de las Entidades Federativas y los Municipios, con base en el cual se proyectase incurrir al cierre del ejercicio en un balance presupuestario de recursos disponibles negativo, se autoriza al Poder Ejecutivo del Estado, conforme al artículo 46, párrafo segundo, de la misma ley, para ampliar el techo de financiamiento neto hasta por el monto necesario para solventar las causas que generaron el balance presupuestario de recursos disponibles negativo. </w:t>
      </w:r>
    </w:p>
    <w:p w14:paraId="40BADDD6"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szCs w:val="24"/>
        </w:rPr>
        <w:t xml:space="preserve">Asimismo, también prevé realizar la disposición del financiamiento de largo plazo autorizado mediante Decreto 638/2023 publicado en el Diario Oficial del Gobierno del Estado de Yucatán el 15 de junio de 2023 hasta por la cantidad total de </w:t>
      </w:r>
      <w:r w:rsidRPr="000842AA">
        <w:rPr>
          <w:rFonts w:ascii="Arial" w:hAnsi="Arial" w:cs="Arial"/>
          <w:szCs w:val="24"/>
        </w:rPr>
        <w:t>$1,633,000,000.00 (Mil seiscientos treinta y tres millones de pesos 00/100 M.N.)</w:t>
      </w:r>
      <w:r w:rsidRPr="000842AA">
        <w:rPr>
          <w:rFonts w:ascii="Arial" w:eastAsia="Arial" w:hAnsi="Arial" w:cs="Arial"/>
          <w:szCs w:val="24"/>
        </w:rPr>
        <w:t>.</w:t>
      </w:r>
    </w:p>
    <w:p w14:paraId="5BDD3A80"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b/>
          <w:szCs w:val="24"/>
        </w:rPr>
        <w:t>Artículo 11. Reestructura o refinanciamiento de deuda</w:t>
      </w:r>
    </w:p>
    <w:p w14:paraId="511A1F95" w14:textId="77777777" w:rsidR="009654FE" w:rsidRPr="000842AA" w:rsidRDefault="009654FE" w:rsidP="009654FE">
      <w:pPr>
        <w:spacing w:before="240" w:line="240" w:lineRule="auto"/>
        <w:jc w:val="both"/>
        <w:rPr>
          <w:rFonts w:ascii="Arial" w:eastAsia="Arial" w:hAnsi="Arial" w:cs="Arial"/>
          <w:szCs w:val="24"/>
        </w:rPr>
      </w:pPr>
      <w:r w:rsidRPr="000842AA">
        <w:rPr>
          <w:rFonts w:ascii="Arial" w:eastAsia="Arial" w:hAnsi="Arial" w:cs="Arial"/>
          <w:color w:val="000000" w:themeColor="text1"/>
          <w:szCs w:val="24"/>
        </w:rPr>
        <w:t>C</w:t>
      </w:r>
      <w:r w:rsidRPr="000842AA">
        <w:rPr>
          <w:rFonts w:ascii="Arial" w:eastAsia="Arial" w:hAnsi="Arial" w:cs="Arial"/>
          <w:szCs w:val="24"/>
        </w:rPr>
        <w:t>on base en el análisis de la capacidad de pago del Estado de Yucatán, el destino de los financiamientos, la situación de la deuda pública y de los recursos a otorgarse como fuente de pago, se autoriza al Poder Ejecutivo del Estado de Yucatán para que, por conducto de la Secretaría de Administración y Finanzas, durante el ejercicio fiscal 2025:</w:t>
      </w:r>
    </w:p>
    <w:p w14:paraId="723A8439" w14:textId="77777777" w:rsidR="009654FE" w:rsidRPr="000842AA" w:rsidRDefault="009654FE" w:rsidP="009654FE">
      <w:pPr>
        <w:pBdr>
          <w:top w:val="nil"/>
          <w:left w:val="nil"/>
          <w:bottom w:val="nil"/>
          <w:right w:val="nil"/>
          <w:between w:val="nil"/>
        </w:pBdr>
        <w:spacing w:before="240" w:after="160" w:line="240" w:lineRule="auto"/>
        <w:ind w:firstLine="709"/>
        <w:jc w:val="both"/>
        <w:rPr>
          <w:rFonts w:ascii="Arial" w:eastAsia="Arial" w:hAnsi="Arial" w:cs="Arial"/>
          <w:szCs w:val="24"/>
        </w:rPr>
      </w:pPr>
      <w:r w:rsidRPr="000842AA">
        <w:rPr>
          <w:rFonts w:ascii="Arial" w:eastAsia="Arial" w:hAnsi="Arial" w:cs="Arial"/>
          <w:color w:val="000000" w:themeColor="text1"/>
          <w:szCs w:val="24"/>
        </w:rPr>
        <w:t xml:space="preserve">I. Celebre una o más operaciones de crédito con </w:t>
      </w:r>
      <w:r w:rsidRPr="000842AA">
        <w:rPr>
          <w:rFonts w:ascii="Arial" w:eastAsia="Arial" w:hAnsi="Arial" w:cs="Arial"/>
          <w:szCs w:val="24"/>
        </w:rPr>
        <w:t xml:space="preserve">un plazo de pago de hasta veinte años </w:t>
      </w:r>
      <w:r w:rsidRPr="000842AA">
        <w:rPr>
          <w:rFonts w:ascii="Arial" w:eastAsia="Arial" w:hAnsi="Arial" w:cs="Arial"/>
          <w:color w:val="000000" w:themeColor="text1"/>
          <w:szCs w:val="24"/>
        </w:rPr>
        <w:t xml:space="preserve">contados a partir de su celebración, cuyo destino será la reestructura o el refinanciamiento de los créditos celebrados previamente por el </w:t>
      </w:r>
      <w:r w:rsidRPr="000842AA">
        <w:rPr>
          <w:rFonts w:ascii="Arial" w:eastAsia="Arial" w:hAnsi="Arial" w:cs="Arial"/>
          <w:szCs w:val="24"/>
        </w:rPr>
        <w:t xml:space="preserve">Estado con el Banco Nacional de Obras y Servicios Públicos, S.N.C., el 8 de abril de 2013 y 30 de septiembre de 2020, con el Banco Nacional de México, S.A. el 6 de noviembre de 2019; y con el Banco BBVA México, S.A. el 6 de septiembre de 2022; financiamientos identificados con las siguientes claves de inscripción en el Registro Público Único de Financiamientos y Obligaciones de Entidades Federativas y Municipios a cargo de la Secretaría de Hacienda y Crédito Público: P31-0413037, P31-1020086, P31-1020087, P31-1020088, P31-1119054 y P31-0922035. </w:t>
      </w:r>
    </w:p>
    <w:p w14:paraId="40D348C4" w14:textId="0FE23A7E" w:rsidR="005F64BB" w:rsidRPr="000842AA" w:rsidRDefault="005F64BB" w:rsidP="003466C4">
      <w:pPr>
        <w:pBdr>
          <w:top w:val="nil"/>
          <w:left w:val="nil"/>
          <w:bottom w:val="nil"/>
          <w:right w:val="nil"/>
          <w:between w:val="nil"/>
        </w:pBdr>
        <w:spacing w:before="240" w:line="240" w:lineRule="auto"/>
        <w:ind w:firstLine="708"/>
        <w:jc w:val="both"/>
        <w:rPr>
          <w:rFonts w:ascii="Arial" w:eastAsia="Arial" w:hAnsi="Arial" w:cs="Arial"/>
          <w:color w:val="000000"/>
          <w:szCs w:val="24"/>
        </w:rPr>
      </w:pPr>
      <w:r w:rsidRPr="000842AA">
        <w:rPr>
          <w:rFonts w:ascii="Arial" w:eastAsia="Arial" w:hAnsi="Arial" w:cs="Arial"/>
          <w:color w:val="000000" w:themeColor="text1"/>
          <w:szCs w:val="24"/>
        </w:rPr>
        <w:t>La autorización a que se refiere este artículo se ejercerá hasta por el monto del saldo insoluto de las obligaciones al momento de su celebración, sin implicar nuevas disposiciones o incremento en el saldo de la deuda pública.</w:t>
      </w:r>
    </w:p>
    <w:p w14:paraId="049B5582" w14:textId="6006D37E" w:rsidR="005F64BB" w:rsidRPr="000842AA" w:rsidRDefault="5D3FC234" w:rsidP="003466C4">
      <w:pPr>
        <w:pBdr>
          <w:top w:val="nil"/>
          <w:left w:val="nil"/>
          <w:bottom w:val="nil"/>
          <w:right w:val="nil"/>
          <w:between w:val="nil"/>
        </w:pBdr>
        <w:spacing w:before="240" w:after="160" w:line="240" w:lineRule="auto"/>
        <w:ind w:firstLine="708"/>
        <w:jc w:val="both"/>
        <w:rPr>
          <w:rFonts w:ascii="Arial" w:eastAsia="Arial" w:hAnsi="Arial" w:cs="Arial"/>
          <w:color w:val="000000"/>
          <w:szCs w:val="24"/>
        </w:rPr>
      </w:pPr>
      <w:bookmarkStart w:id="3" w:name="_gjdgxs"/>
      <w:bookmarkEnd w:id="3"/>
      <w:r w:rsidRPr="000842AA">
        <w:rPr>
          <w:rFonts w:ascii="Arial" w:eastAsia="Arial" w:hAnsi="Arial" w:cs="Arial"/>
          <w:color w:val="000000" w:themeColor="text1"/>
          <w:szCs w:val="24"/>
        </w:rPr>
        <w:t xml:space="preserve">II. Afecte, como fuente de pago de las nuevas operaciones crediticias autorizadas el porcentaje necesario y suficiente de las participaciones que en ingresos federales correspondan al </w:t>
      </w:r>
      <w:r w:rsidR="00407835" w:rsidRPr="000842AA">
        <w:rPr>
          <w:rFonts w:ascii="Arial" w:eastAsia="Arial" w:hAnsi="Arial" w:cs="Arial"/>
          <w:color w:val="000000" w:themeColor="text1"/>
          <w:szCs w:val="24"/>
        </w:rPr>
        <w:t>E</w:t>
      </w:r>
      <w:r w:rsidRPr="000842AA">
        <w:rPr>
          <w:rFonts w:ascii="Arial" w:eastAsia="Arial" w:hAnsi="Arial" w:cs="Arial"/>
          <w:color w:val="000000" w:themeColor="text1"/>
          <w:szCs w:val="24"/>
        </w:rPr>
        <w:t xml:space="preserve">stado de Yucatán del Fondo General de Participaciones (parte del Ramo 28) o de ingresos propios o hasta el 25% de aportaciones federales correspondientes al Fondo de Aportaciones para el Fortalecimiento de las Entidades Federativas (FAFEF); en ambos casos, quedará comprendida la afectación de los recursos y el derecho a recibirlos, así como los ingresos que, en su caso, los reemplacen, sustituyan o complementen; y para tal efecto se podrán pactar como mecanismo de pago un nuevo fideicomiso irrevocable de administración y fuente de pago, o bien, emplear como mecanismo de fuente de pago de las operaciones de financiamiento que se celebren con base en la presente autorización el </w:t>
      </w:r>
      <w:r w:rsidRPr="000842AA">
        <w:rPr>
          <w:rFonts w:ascii="Arial" w:eastAsia="Arial" w:hAnsi="Arial" w:cs="Arial"/>
          <w:szCs w:val="24"/>
        </w:rPr>
        <w:t xml:space="preserve">Fideicomiso Irrevocable de Administración y Fuente de Pago No. 4109088, constituido el 6 de noviembre de 2019, </w:t>
      </w:r>
      <w:r w:rsidRPr="000842AA">
        <w:rPr>
          <w:rFonts w:ascii="Arial" w:eastAsia="Arial" w:hAnsi="Arial" w:cs="Arial"/>
          <w:color w:val="000000" w:themeColor="text1"/>
          <w:szCs w:val="24"/>
        </w:rPr>
        <w:t>como fideicomiso maestro de la deuda pública estatal.</w:t>
      </w:r>
    </w:p>
    <w:p w14:paraId="562C0895" w14:textId="551D429E" w:rsidR="005F64BB" w:rsidRPr="000842AA" w:rsidRDefault="005F64BB" w:rsidP="003466C4">
      <w:pPr>
        <w:pBdr>
          <w:top w:val="nil"/>
          <w:left w:val="nil"/>
          <w:bottom w:val="nil"/>
          <w:right w:val="nil"/>
          <w:between w:val="nil"/>
        </w:pBdr>
        <w:spacing w:before="240" w:after="160" w:line="240" w:lineRule="auto"/>
        <w:ind w:firstLine="708"/>
        <w:jc w:val="both"/>
        <w:rPr>
          <w:rFonts w:ascii="Arial" w:eastAsia="Arial" w:hAnsi="Arial" w:cs="Arial"/>
          <w:color w:val="000000"/>
          <w:szCs w:val="24"/>
        </w:rPr>
      </w:pPr>
      <w:r w:rsidRPr="000842AA">
        <w:rPr>
          <w:rFonts w:ascii="Arial" w:eastAsia="Arial" w:hAnsi="Arial" w:cs="Arial"/>
          <w:color w:val="000000" w:themeColor="text1"/>
          <w:szCs w:val="24"/>
        </w:rPr>
        <w:t>III. Contrate uno o más, instrumentos derivados (contratos de cobertura o intercambio de tasas) que, en su caso, tendrán como fuente de pago los mismos ingresos asignados al financiamiento objeto de cobertura y para ello podrán ser inscritos en el mecanismo de pago respectivo. Lo anterior en complemento de las operaciones que se señala</w:t>
      </w:r>
      <w:r w:rsidR="00407835" w:rsidRPr="000842AA">
        <w:rPr>
          <w:rFonts w:ascii="Arial" w:eastAsia="Arial" w:hAnsi="Arial" w:cs="Arial"/>
          <w:color w:val="000000" w:themeColor="text1"/>
          <w:szCs w:val="24"/>
        </w:rPr>
        <w:t>n</w:t>
      </w:r>
      <w:r w:rsidRPr="000842AA">
        <w:rPr>
          <w:rFonts w:ascii="Arial" w:eastAsia="Arial" w:hAnsi="Arial" w:cs="Arial"/>
          <w:color w:val="000000" w:themeColor="text1"/>
          <w:szCs w:val="24"/>
        </w:rPr>
        <w:t xml:space="preserve"> en las fracciones I y II. </w:t>
      </w:r>
    </w:p>
    <w:p w14:paraId="72522A58" w14:textId="77777777" w:rsidR="005F64BB" w:rsidRPr="000842AA" w:rsidRDefault="005F64BB" w:rsidP="003466C4">
      <w:pPr>
        <w:spacing w:before="240" w:line="240" w:lineRule="auto"/>
        <w:jc w:val="both"/>
        <w:rPr>
          <w:rFonts w:ascii="Arial" w:eastAsia="Arial" w:hAnsi="Arial" w:cs="Arial"/>
          <w:szCs w:val="24"/>
        </w:rPr>
      </w:pPr>
      <w:r w:rsidRPr="000842AA">
        <w:rPr>
          <w:rFonts w:ascii="Arial" w:eastAsia="Arial" w:hAnsi="Arial" w:cs="Arial"/>
          <w:szCs w:val="24"/>
        </w:rPr>
        <w:t>Las reestructuras o refinanciamientos autorizados en este artículo comprenden la revisión en el monto, tasa, plazo, perfil de amortización, garantías, instrumentos derivados, ingresos afectados como fuente de pago o garantía de pago y fideicomisos, fondos de reserva pactados y comisiones, así como las modificaciones necesarias a las demás condiciones, obligaciones y derechos previamente pactados.</w:t>
      </w:r>
    </w:p>
    <w:p w14:paraId="552F7997" w14:textId="6143962C" w:rsidR="005F64BB" w:rsidRPr="000842AA" w:rsidRDefault="005F64BB" w:rsidP="003466C4">
      <w:pPr>
        <w:pBdr>
          <w:top w:val="nil"/>
          <w:left w:val="nil"/>
          <w:bottom w:val="nil"/>
          <w:right w:val="nil"/>
          <w:between w:val="nil"/>
        </w:pBdr>
        <w:spacing w:before="240" w:line="240" w:lineRule="auto"/>
        <w:ind w:hanging="2"/>
        <w:jc w:val="both"/>
        <w:rPr>
          <w:rFonts w:ascii="Arial" w:eastAsia="Arial" w:hAnsi="Arial" w:cs="Arial"/>
          <w:b/>
          <w:szCs w:val="24"/>
        </w:rPr>
      </w:pPr>
      <w:r w:rsidRPr="000842AA">
        <w:rPr>
          <w:rFonts w:ascii="Arial" w:eastAsia="Arial" w:hAnsi="Arial" w:cs="Arial"/>
          <w:b/>
          <w:szCs w:val="24"/>
        </w:rPr>
        <w:t xml:space="preserve">Artículo </w:t>
      </w:r>
      <w:r w:rsidR="002B18B0" w:rsidRPr="000842AA">
        <w:rPr>
          <w:rFonts w:ascii="Arial" w:eastAsia="Arial" w:hAnsi="Arial" w:cs="Arial"/>
          <w:b/>
          <w:szCs w:val="24"/>
        </w:rPr>
        <w:t>12</w:t>
      </w:r>
      <w:r w:rsidRPr="000842AA">
        <w:rPr>
          <w:rFonts w:ascii="Arial" w:eastAsia="Arial" w:hAnsi="Arial" w:cs="Arial"/>
          <w:b/>
          <w:szCs w:val="24"/>
        </w:rPr>
        <w:t>. Instrumentos derivados</w:t>
      </w:r>
    </w:p>
    <w:p w14:paraId="19586701" w14:textId="00EC67B6" w:rsidR="005F64BB" w:rsidRPr="000842AA" w:rsidRDefault="5D3FC234" w:rsidP="003466C4">
      <w:pPr>
        <w:pBdr>
          <w:top w:val="nil"/>
          <w:left w:val="nil"/>
          <w:bottom w:val="nil"/>
          <w:right w:val="nil"/>
          <w:between w:val="nil"/>
        </w:pBdr>
        <w:spacing w:before="240" w:line="240" w:lineRule="auto"/>
        <w:ind w:hanging="2"/>
        <w:jc w:val="both"/>
        <w:rPr>
          <w:rFonts w:ascii="Arial" w:eastAsia="Arial" w:hAnsi="Arial" w:cs="Arial"/>
          <w:szCs w:val="24"/>
        </w:rPr>
      </w:pPr>
      <w:r w:rsidRPr="000842AA">
        <w:rPr>
          <w:rFonts w:ascii="Arial" w:eastAsia="Arial" w:hAnsi="Arial" w:cs="Arial"/>
          <w:szCs w:val="24"/>
        </w:rPr>
        <w:t xml:space="preserve">Con base en el análisis de la capacidad de pago del </w:t>
      </w:r>
      <w:r w:rsidR="00407835" w:rsidRPr="000842AA">
        <w:rPr>
          <w:rFonts w:ascii="Arial" w:eastAsia="Arial" w:hAnsi="Arial" w:cs="Arial"/>
          <w:szCs w:val="24"/>
        </w:rPr>
        <w:t>E</w:t>
      </w:r>
      <w:r w:rsidRPr="000842AA">
        <w:rPr>
          <w:rFonts w:ascii="Arial" w:eastAsia="Arial" w:hAnsi="Arial" w:cs="Arial"/>
          <w:szCs w:val="24"/>
        </w:rPr>
        <w:t xml:space="preserve">stado, y del destino de los recursos, tanto a obtenerse como a otorgarse como fuente de pago, se autoriza al Poder Ejecutivo del Estado de Yucatán para que, por conducto de la Secretaría de Administración y Finanzas, en cumplimiento de las obligaciones asumidas en los contratos constitutivos de deuda pública inscritos ante el </w:t>
      </w:r>
      <w:r w:rsidRPr="000842AA">
        <w:rPr>
          <w:rFonts w:ascii="Arial" w:eastAsia="Arial" w:hAnsi="Arial" w:cs="Arial"/>
          <w:color w:val="000000" w:themeColor="text1"/>
          <w:szCs w:val="24"/>
        </w:rPr>
        <w:t xml:space="preserve">Registro Público Único de Financiamiento y Obligaciones de Entidades Federativas y Municipios a cargo de la Secretaría de Hacienda y Crédito Público, </w:t>
      </w:r>
      <w:r w:rsidRPr="000842AA">
        <w:rPr>
          <w:rFonts w:ascii="Arial" w:eastAsia="Arial" w:hAnsi="Arial" w:cs="Arial"/>
          <w:szCs w:val="24"/>
        </w:rPr>
        <w:t>con clave de inscripción P31-1119054, P31-1020086, P31-1020087, P31-1020088,</w:t>
      </w:r>
      <w:r w:rsidRPr="000842AA">
        <w:rPr>
          <w:rFonts w:ascii="Arial" w:hAnsi="Arial" w:cs="Arial"/>
          <w:szCs w:val="24"/>
        </w:rPr>
        <w:t xml:space="preserve"> </w:t>
      </w:r>
      <w:r w:rsidRPr="000842AA">
        <w:rPr>
          <w:rFonts w:ascii="Arial" w:eastAsia="Arial" w:hAnsi="Arial" w:cs="Arial"/>
          <w:szCs w:val="24"/>
        </w:rPr>
        <w:t>P31-0922035, P31-1123060, P31-1123061 y P31-1123062 durante el ejercicio 2025</w:t>
      </w:r>
      <w:r w:rsidRPr="000842AA">
        <w:rPr>
          <w:rFonts w:ascii="Arial" w:eastAsia="Arial" w:hAnsi="Arial" w:cs="Arial"/>
          <w:color w:val="FF0000"/>
          <w:szCs w:val="24"/>
        </w:rPr>
        <w:t xml:space="preserve"> </w:t>
      </w:r>
      <w:r w:rsidRPr="000842AA">
        <w:rPr>
          <w:rFonts w:ascii="Arial" w:eastAsia="Arial" w:hAnsi="Arial" w:cs="Arial"/>
          <w:szCs w:val="24"/>
        </w:rPr>
        <w:t>celebre operaciones financieras de cobertura, es decir, instrumentos derivados (contratos de cobertura de tasa o intercambio de tasas, incluyendo de manera enunciativa más no limitativa, swaps bonificado, collars, CAP Spread o límites superiores o inferiores de riesgo), o pacte su renovación, reestructura o adecuación, bajo la modalidad que se estime conveniente, hasta por el total del saldo insoluto del financiamiento objeto de cobertura y por un plazo de vigencia de hasta sesenta meses, a efecto de mitigar los riesgos económico-financieros de variaciones a la tasa de referencia pactada en los créditos objeto de cobertura.</w:t>
      </w:r>
    </w:p>
    <w:p w14:paraId="6F746056" w14:textId="4200C0D3" w:rsidR="005F64BB" w:rsidRPr="000842AA" w:rsidRDefault="60EA4332" w:rsidP="003466C4">
      <w:pPr>
        <w:pBdr>
          <w:top w:val="nil"/>
          <w:left w:val="nil"/>
          <w:bottom w:val="nil"/>
          <w:right w:val="nil"/>
          <w:between w:val="nil"/>
        </w:pBdr>
        <w:spacing w:before="240" w:line="240" w:lineRule="auto"/>
        <w:ind w:hanging="2"/>
        <w:jc w:val="both"/>
        <w:rPr>
          <w:rFonts w:ascii="Arial" w:eastAsia="Arial" w:hAnsi="Arial" w:cs="Arial"/>
          <w:szCs w:val="24"/>
        </w:rPr>
      </w:pPr>
      <w:r w:rsidRPr="000842AA">
        <w:rPr>
          <w:rFonts w:ascii="Arial" w:eastAsia="Arial" w:hAnsi="Arial" w:cs="Arial"/>
          <w:szCs w:val="24"/>
        </w:rPr>
        <w:t>Tratándose de operaciones de intercambio de tasa de interés, es decir, swaps, collar o swap bonificado, se podrá afectar como fuente de pago el mismo porcentaje de ingresos afecto al servicio de la deuda del crédito objeto de cobertura y, para tal efecto, se autoriza inscribir las operaciones de cobertura celebradas o su reestructura en el mismo fideicomiso pactado como mecanismo de fuente de pago.</w:t>
      </w:r>
    </w:p>
    <w:p w14:paraId="31F2260F" w14:textId="5FAEB7A6" w:rsidR="002B18B0" w:rsidRPr="000842AA" w:rsidRDefault="002B18B0" w:rsidP="003466C4">
      <w:pPr>
        <w:pBdr>
          <w:top w:val="nil"/>
          <w:left w:val="nil"/>
          <w:bottom w:val="nil"/>
          <w:right w:val="nil"/>
          <w:between w:val="nil"/>
        </w:pBdr>
        <w:spacing w:after="0" w:line="240" w:lineRule="auto"/>
        <w:ind w:hanging="2"/>
        <w:jc w:val="center"/>
        <w:rPr>
          <w:rFonts w:ascii="Arial" w:eastAsia="Arial" w:hAnsi="Arial" w:cs="Arial"/>
          <w:b/>
          <w:szCs w:val="24"/>
        </w:rPr>
      </w:pPr>
      <w:r w:rsidRPr="000842AA">
        <w:rPr>
          <w:rFonts w:ascii="Arial" w:eastAsia="Arial" w:hAnsi="Arial" w:cs="Arial"/>
          <w:b/>
          <w:szCs w:val="24"/>
        </w:rPr>
        <w:t>Capítulo I</w:t>
      </w:r>
      <w:r w:rsidR="007B3A9D" w:rsidRPr="000842AA">
        <w:rPr>
          <w:rFonts w:ascii="Arial" w:eastAsia="Arial" w:hAnsi="Arial" w:cs="Arial"/>
          <w:b/>
          <w:szCs w:val="24"/>
        </w:rPr>
        <w:t>I</w:t>
      </w:r>
      <w:r w:rsidRPr="000842AA">
        <w:rPr>
          <w:rFonts w:ascii="Arial" w:eastAsia="Arial" w:hAnsi="Arial" w:cs="Arial"/>
          <w:b/>
          <w:szCs w:val="24"/>
        </w:rPr>
        <w:t>I</w:t>
      </w:r>
    </w:p>
    <w:p w14:paraId="00466EE1" w14:textId="1A84DEC0" w:rsidR="002B18B0" w:rsidRPr="000842AA" w:rsidRDefault="007B3A9D" w:rsidP="003466C4">
      <w:pPr>
        <w:pBdr>
          <w:top w:val="nil"/>
          <w:left w:val="nil"/>
          <w:bottom w:val="nil"/>
          <w:right w:val="nil"/>
          <w:between w:val="nil"/>
        </w:pBdr>
        <w:spacing w:line="240" w:lineRule="auto"/>
        <w:ind w:hanging="2"/>
        <w:jc w:val="center"/>
        <w:rPr>
          <w:rFonts w:ascii="Arial" w:eastAsia="Arial" w:hAnsi="Arial" w:cs="Arial"/>
          <w:b/>
          <w:szCs w:val="24"/>
        </w:rPr>
      </w:pPr>
      <w:r w:rsidRPr="000842AA">
        <w:rPr>
          <w:rFonts w:ascii="Arial" w:eastAsia="Arial" w:hAnsi="Arial" w:cs="Arial"/>
          <w:b/>
          <w:szCs w:val="24"/>
        </w:rPr>
        <w:t>Recursos provenientes de la Federación</w:t>
      </w:r>
    </w:p>
    <w:p w14:paraId="7CEF795D" w14:textId="14B99FDA" w:rsidR="003D6FFD" w:rsidRPr="000842AA" w:rsidRDefault="003D6FFD"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 xml:space="preserve">Artículo </w:t>
      </w:r>
      <w:r w:rsidR="002B18B0" w:rsidRPr="000842AA">
        <w:rPr>
          <w:rFonts w:ascii="Arial" w:hAnsi="Arial" w:cs="Arial"/>
          <w:b/>
          <w:szCs w:val="24"/>
        </w:rPr>
        <w:t>13</w:t>
      </w:r>
      <w:r w:rsidRPr="000842AA">
        <w:rPr>
          <w:rFonts w:ascii="Arial" w:hAnsi="Arial" w:cs="Arial"/>
          <w:b/>
          <w:szCs w:val="24"/>
        </w:rPr>
        <w:t>. Convenios celebrados con el Gobierno federal</w:t>
      </w:r>
    </w:p>
    <w:p w14:paraId="0A0FD808" w14:textId="085369EB" w:rsidR="003D6FFD"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dependencias y entidades que, en términos del artículo 26 de la Ley del Presupuesto y Contabilidad Gubernamental del Estado de Yucatán, celebren contratos o convenios con el gobierno federal, los cuales impliquen ingresos para la Hacienda pública estatal, deberán remitir copia de dichos instrumentos legales a la Secretaría de Administración y Finanzas, dentro del plazo de quince días hábiles siguientes a su suscripción, para efectos de conocer los montos de los ingresos que serán depositados a las cuentas de esa secretaría.</w:t>
      </w:r>
    </w:p>
    <w:p w14:paraId="1CDF5D09" w14:textId="77777777" w:rsidR="003D6FFD" w:rsidRPr="000842AA" w:rsidRDefault="00187F9C"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Para el registro de </w:t>
      </w:r>
      <w:r w:rsidR="003D6FFD" w:rsidRPr="000842AA">
        <w:rPr>
          <w:rFonts w:ascii="Arial" w:hAnsi="Arial" w:cs="Arial"/>
          <w:szCs w:val="24"/>
        </w:rPr>
        <w:t xml:space="preserve">los </w:t>
      </w:r>
      <w:r w:rsidR="008A6A35" w:rsidRPr="000842AA">
        <w:rPr>
          <w:rFonts w:ascii="Arial" w:hAnsi="Arial" w:cs="Arial"/>
          <w:szCs w:val="24"/>
        </w:rPr>
        <w:t xml:space="preserve">contratos o </w:t>
      </w:r>
      <w:r w:rsidR="003D6FFD" w:rsidRPr="000842AA">
        <w:rPr>
          <w:rFonts w:ascii="Arial" w:hAnsi="Arial" w:cs="Arial"/>
          <w:szCs w:val="24"/>
        </w:rPr>
        <w:t xml:space="preserve">convenios </w:t>
      </w:r>
      <w:r w:rsidRPr="000842AA">
        <w:rPr>
          <w:rFonts w:ascii="Arial" w:hAnsi="Arial" w:cs="Arial"/>
          <w:szCs w:val="24"/>
        </w:rPr>
        <w:t>a que se refiere este</w:t>
      </w:r>
      <w:r w:rsidR="003D6FFD" w:rsidRPr="000842AA">
        <w:rPr>
          <w:rFonts w:ascii="Arial" w:hAnsi="Arial" w:cs="Arial"/>
          <w:szCs w:val="24"/>
        </w:rPr>
        <w:t xml:space="preserve"> artículo, las dependencias y e</w:t>
      </w:r>
      <w:r w:rsidR="008A6A35" w:rsidRPr="000842AA">
        <w:rPr>
          <w:rFonts w:ascii="Arial" w:hAnsi="Arial" w:cs="Arial"/>
          <w:szCs w:val="24"/>
        </w:rPr>
        <w:t>ntidades deberán informar a la Secretaría de Administración y Finanzas sobre</w:t>
      </w:r>
      <w:r w:rsidR="003D6FFD" w:rsidRPr="000842AA">
        <w:rPr>
          <w:rFonts w:ascii="Arial" w:hAnsi="Arial" w:cs="Arial"/>
          <w:szCs w:val="24"/>
        </w:rPr>
        <w:t xml:space="preserve"> la recepción de </w:t>
      </w:r>
      <w:r w:rsidR="008A6A35" w:rsidRPr="000842AA">
        <w:rPr>
          <w:rFonts w:ascii="Arial" w:hAnsi="Arial" w:cs="Arial"/>
          <w:szCs w:val="24"/>
        </w:rPr>
        <w:t xml:space="preserve">los </w:t>
      </w:r>
      <w:r w:rsidR="003D6FFD" w:rsidRPr="000842AA">
        <w:rPr>
          <w:rFonts w:ascii="Arial" w:hAnsi="Arial" w:cs="Arial"/>
          <w:szCs w:val="24"/>
        </w:rPr>
        <w:t xml:space="preserve">recursos </w:t>
      </w:r>
      <w:r w:rsidR="008A6A35" w:rsidRPr="000842AA">
        <w:rPr>
          <w:rFonts w:ascii="Arial" w:hAnsi="Arial" w:cs="Arial"/>
          <w:szCs w:val="24"/>
        </w:rPr>
        <w:t xml:space="preserve">correspondientes, </w:t>
      </w:r>
      <w:r w:rsidR="00D41C7E" w:rsidRPr="000842AA">
        <w:rPr>
          <w:rFonts w:ascii="Arial" w:hAnsi="Arial" w:cs="Arial"/>
          <w:szCs w:val="24"/>
        </w:rPr>
        <w:t xml:space="preserve">a más tardar, </w:t>
      </w:r>
      <w:r w:rsidR="003D6FFD" w:rsidRPr="000842AA">
        <w:rPr>
          <w:rFonts w:ascii="Arial" w:hAnsi="Arial" w:cs="Arial"/>
          <w:szCs w:val="24"/>
        </w:rPr>
        <w:t xml:space="preserve">dentro de los </w:t>
      </w:r>
      <w:r w:rsidR="00191E7A" w:rsidRPr="000842AA">
        <w:rPr>
          <w:rFonts w:ascii="Arial" w:hAnsi="Arial" w:cs="Arial"/>
          <w:szCs w:val="24"/>
        </w:rPr>
        <w:t>diez</w:t>
      </w:r>
      <w:r w:rsidR="003D6FFD" w:rsidRPr="000842AA">
        <w:rPr>
          <w:rFonts w:ascii="Arial" w:hAnsi="Arial" w:cs="Arial"/>
          <w:szCs w:val="24"/>
        </w:rPr>
        <w:t xml:space="preserve"> días hábiles </w:t>
      </w:r>
      <w:r w:rsidR="008A6A35" w:rsidRPr="000842AA">
        <w:rPr>
          <w:rFonts w:ascii="Arial" w:hAnsi="Arial" w:cs="Arial"/>
          <w:szCs w:val="24"/>
        </w:rPr>
        <w:t>posteriores</w:t>
      </w:r>
      <w:r w:rsidR="005040CD" w:rsidRPr="000842AA">
        <w:rPr>
          <w:rFonts w:ascii="Arial" w:hAnsi="Arial" w:cs="Arial"/>
          <w:szCs w:val="24"/>
        </w:rPr>
        <w:t xml:space="preserve"> a que se reciba dicho recurso</w:t>
      </w:r>
      <w:r w:rsidR="003D6FFD" w:rsidRPr="000842AA">
        <w:rPr>
          <w:rFonts w:ascii="Arial" w:hAnsi="Arial" w:cs="Arial"/>
          <w:szCs w:val="24"/>
        </w:rPr>
        <w:t>.</w:t>
      </w:r>
    </w:p>
    <w:p w14:paraId="4000E99A" w14:textId="30362A4A" w:rsidR="003D6FFD" w:rsidRPr="000842AA" w:rsidRDefault="003D6FFD"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 xml:space="preserve">Artículo </w:t>
      </w:r>
      <w:r w:rsidR="001D2525" w:rsidRPr="000842AA">
        <w:rPr>
          <w:rFonts w:ascii="Arial" w:hAnsi="Arial" w:cs="Arial"/>
          <w:b/>
          <w:szCs w:val="24"/>
        </w:rPr>
        <w:t>1</w:t>
      </w:r>
      <w:r w:rsidR="002B18B0" w:rsidRPr="000842AA">
        <w:rPr>
          <w:rFonts w:ascii="Arial" w:hAnsi="Arial" w:cs="Arial"/>
          <w:b/>
          <w:szCs w:val="24"/>
        </w:rPr>
        <w:t>4</w:t>
      </w:r>
      <w:r w:rsidRPr="000842AA">
        <w:rPr>
          <w:rFonts w:ascii="Arial" w:hAnsi="Arial" w:cs="Arial"/>
          <w:b/>
          <w:szCs w:val="24"/>
        </w:rPr>
        <w:t>. Participaciones municipales</w:t>
      </w:r>
    </w:p>
    <w:p w14:paraId="7E0E8FC9" w14:textId="031303B7" w:rsidR="003D6FFD" w:rsidRPr="000842AA" w:rsidRDefault="003D6FFD"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El Poder Ejecutivo del </w:t>
      </w:r>
      <w:r w:rsidR="00407835" w:rsidRPr="000842AA">
        <w:rPr>
          <w:rFonts w:ascii="Arial" w:hAnsi="Arial" w:cs="Arial"/>
          <w:szCs w:val="24"/>
        </w:rPr>
        <w:t>E</w:t>
      </w:r>
      <w:r w:rsidRPr="000842AA">
        <w:rPr>
          <w:rFonts w:ascii="Arial" w:hAnsi="Arial" w:cs="Arial"/>
          <w:szCs w:val="24"/>
        </w:rPr>
        <w:t>stado, por conducto de la Secretaría de Administración y Finanzas, recibirá las participaciones que correspondan a los municipios, en aquellos casos en q</w:t>
      </w:r>
      <w:r w:rsidR="008A6A35" w:rsidRPr="000842AA">
        <w:rPr>
          <w:rFonts w:ascii="Arial" w:hAnsi="Arial" w:cs="Arial"/>
          <w:szCs w:val="24"/>
        </w:rPr>
        <w:t>ue las disposiciones relativas de</w:t>
      </w:r>
      <w:r w:rsidRPr="000842AA">
        <w:rPr>
          <w:rFonts w:ascii="Arial" w:hAnsi="Arial" w:cs="Arial"/>
          <w:szCs w:val="24"/>
        </w:rPr>
        <w:t xml:space="preserve"> la Ley de Coordinación Fiscal, la Ley General de Contabilidad Gubernamental y las demás disposiciones normativas aplicables así lo determinen.</w:t>
      </w:r>
    </w:p>
    <w:p w14:paraId="3B2F06C0" w14:textId="555FDB03" w:rsidR="006653C9" w:rsidRPr="000842AA" w:rsidRDefault="5FAEE8FE" w:rsidP="003466C4">
      <w:pPr>
        <w:spacing w:beforeAutospacing="1" w:afterAutospacing="1" w:line="240" w:lineRule="auto"/>
        <w:jc w:val="both"/>
        <w:rPr>
          <w:rFonts w:ascii="Arial" w:hAnsi="Arial" w:cs="Arial"/>
          <w:szCs w:val="24"/>
        </w:rPr>
      </w:pPr>
      <w:r w:rsidRPr="000842AA">
        <w:rPr>
          <w:rFonts w:ascii="Arial" w:hAnsi="Arial" w:cs="Arial"/>
          <w:szCs w:val="24"/>
        </w:rPr>
        <w:t xml:space="preserve">La estimación de participaciones a </w:t>
      </w:r>
      <w:r w:rsidR="00407835" w:rsidRPr="000842AA">
        <w:rPr>
          <w:rFonts w:ascii="Arial" w:hAnsi="Arial" w:cs="Arial"/>
          <w:szCs w:val="24"/>
        </w:rPr>
        <w:t>m</w:t>
      </w:r>
      <w:r w:rsidRPr="000842AA">
        <w:rPr>
          <w:rFonts w:ascii="Arial" w:hAnsi="Arial" w:cs="Arial"/>
          <w:szCs w:val="24"/>
        </w:rPr>
        <w:t xml:space="preserve">unicipios se realiza tomando como base los </w:t>
      </w:r>
      <w:r w:rsidR="00407835" w:rsidRPr="000842AA">
        <w:rPr>
          <w:rFonts w:ascii="Arial" w:hAnsi="Arial" w:cs="Arial"/>
          <w:szCs w:val="24"/>
        </w:rPr>
        <w:t>i</w:t>
      </w:r>
      <w:r w:rsidRPr="000842AA">
        <w:rPr>
          <w:rFonts w:ascii="Arial" w:hAnsi="Arial" w:cs="Arial"/>
          <w:szCs w:val="24"/>
        </w:rPr>
        <w:t xml:space="preserve">ngresos </w:t>
      </w:r>
      <w:r w:rsidR="00407835" w:rsidRPr="000842AA">
        <w:rPr>
          <w:rFonts w:ascii="Arial" w:hAnsi="Arial" w:cs="Arial"/>
          <w:szCs w:val="24"/>
        </w:rPr>
        <w:t>e</w:t>
      </w:r>
      <w:r w:rsidRPr="000842AA">
        <w:rPr>
          <w:rFonts w:ascii="Arial" w:hAnsi="Arial" w:cs="Arial"/>
          <w:szCs w:val="24"/>
        </w:rPr>
        <w:t xml:space="preserve">stimados por </w:t>
      </w:r>
      <w:r w:rsidR="00407835" w:rsidRPr="000842AA">
        <w:rPr>
          <w:rFonts w:ascii="Arial" w:hAnsi="Arial" w:cs="Arial"/>
          <w:szCs w:val="24"/>
        </w:rPr>
        <w:t>f</w:t>
      </w:r>
      <w:r w:rsidRPr="000842AA">
        <w:rPr>
          <w:rFonts w:ascii="Arial" w:hAnsi="Arial" w:cs="Arial"/>
          <w:szCs w:val="24"/>
        </w:rPr>
        <w:t xml:space="preserve">ondos </w:t>
      </w:r>
      <w:r w:rsidR="00407835" w:rsidRPr="000842AA">
        <w:rPr>
          <w:rFonts w:ascii="Arial" w:hAnsi="Arial" w:cs="Arial"/>
          <w:szCs w:val="24"/>
        </w:rPr>
        <w:t>p</w:t>
      </w:r>
      <w:r w:rsidRPr="000842AA">
        <w:rPr>
          <w:rFonts w:ascii="Arial" w:hAnsi="Arial" w:cs="Arial"/>
          <w:szCs w:val="24"/>
        </w:rPr>
        <w:t xml:space="preserve">articipables y se considera la distribución entre municipios con base en los coeficientes vigentes. Al ser estimaciones, el ejercicio de dichos recursos por parte de los </w:t>
      </w:r>
      <w:r w:rsidR="00407835" w:rsidRPr="000842AA">
        <w:rPr>
          <w:rFonts w:ascii="Arial" w:hAnsi="Arial" w:cs="Arial"/>
          <w:szCs w:val="24"/>
        </w:rPr>
        <w:t>m</w:t>
      </w:r>
      <w:r w:rsidRPr="000842AA">
        <w:rPr>
          <w:rFonts w:ascii="Arial" w:hAnsi="Arial" w:cs="Arial"/>
          <w:szCs w:val="24"/>
        </w:rPr>
        <w:t>unicipios deberá ser con cautela.</w:t>
      </w:r>
    </w:p>
    <w:p w14:paraId="479AA637" w14:textId="1D63E6ED" w:rsidR="006653C9" w:rsidRPr="000842AA" w:rsidRDefault="003D6FFD" w:rsidP="003466C4">
      <w:pPr>
        <w:spacing w:beforeAutospacing="1" w:afterAutospacing="1" w:line="240" w:lineRule="auto"/>
        <w:jc w:val="both"/>
        <w:rPr>
          <w:rFonts w:ascii="Arial" w:hAnsi="Arial" w:cs="Arial"/>
          <w:szCs w:val="24"/>
        </w:rPr>
      </w:pPr>
      <w:r w:rsidRPr="000842AA">
        <w:rPr>
          <w:rFonts w:ascii="Arial" w:hAnsi="Arial" w:cs="Arial"/>
          <w:szCs w:val="24"/>
        </w:rPr>
        <w:t xml:space="preserve">Para efectos de lo previsto en el artículo 115, fracción IV, inciso b), de la Constitución Política de los Estados Unidos Mexicanos, las bases, montos y plazos para la distribución de </w:t>
      </w:r>
      <w:r w:rsidR="00190C68" w:rsidRPr="000842AA">
        <w:rPr>
          <w:rFonts w:ascii="Arial" w:hAnsi="Arial" w:cs="Arial"/>
          <w:szCs w:val="24"/>
        </w:rPr>
        <w:t xml:space="preserve">las </w:t>
      </w:r>
      <w:r w:rsidRPr="000842AA">
        <w:rPr>
          <w:rFonts w:ascii="Arial" w:hAnsi="Arial" w:cs="Arial"/>
          <w:szCs w:val="24"/>
        </w:rPr>
        <w:t xml:space="preserve">participaciones federales </w:t>
      </w:r>
      <w:r w:rsidR="00190C68" w:rsidRPr="000842AA">
        <w:rPr>
          <w:rFonts w:ascii="Arial" w:hAnsi="Arial" w:cs="Arial"/>
          <w:szCs w:val="24"/>
        </w:rPr>
        <w:t xml:space="preserve">destinadas </w:t>
      </w:r>
      <w:r w:rsidRPr="000842AA">
        <w:rPr>
          <w:rFonts w:ascii="Arial" w:hAnsi="Arial" w:cs="Arial"/>
          <w:szCs w:val="24"/>
        </w:rPr>
        <w:t xml:space="preserve">a los municipios del </w:t>
      </w:r>
      <w:r w:rsidR="00407835" w:rsidRPr="000842AA">
        <w:rPr>
          <w:rFonts w:ascii="Arial" w:hAnsi="Arial" w:cs="Arial"/>
          <w:szCs w:val="24"/>
        </w:rPr>
        <w:t>E</w:t>
      </w:r>
      <w:r w:rsidRPr="000842AA">
        <w:rPr>
          <w:rFonts w:ascii="Arial" w:hAnsi="Arial" w:cs="Arial"/>
          <w:szCs w:val="24"/>
        </w:rPr>
        <w:t>stado</w:t>
      </w:r>
      <w:r w:rsidR="00190C68" w:rsidRPr="000842AA">
        <w:rPr>
          <w:rFonts w:ascii="Arial" w:hAnsi="Arial" w:cs="Arial"/>
          <w:szCs w:val="24"/>
        </w:rPr>
        <w:t xml:space="preserve"> </w:t>
      </w:r>
      <w:r w:rsidRPr="000842AA">
        <w:rPr>
          <w:rFonts w:ascii="Arial" w:hAnsi="Arial" w:cs="Arial"/>
          <w:szCs w:val="24"/>
        </w:rPr>
        <w:t>s</w:t>
      </w:r>
      <w:r w:rsidR="00190C68" w:rsidRPr="000842AA">
        <w:rPr>
          <w:rFonts w:ascii="Arial" w:hAnsi="Arial" w:cs="Arial"/>
          <w:szCs w:val="24"/>
        </w:rPr>
        <w:t>erá</w:t>
      </w:r>
      <w:r w:rsidRPr="000842AA">
        <w:rPr>
          <w:rFonts w:ascii="Arial" w:hAnsi="Arial" w:cs="Arial"/>
          <w:szCs w:val="24"/>
        </w:rPr>
        <w:t>n l</w:t>
      </w:r>
      <w:r w:rsidR="00686E99" w:rsidRPr="000842AA">
        <w:rPr>
          <w:rFonts w:ascii="Arial" w:hAnsi="Arial" w:cs="Arial"/>
          <w:szCs w:val="24"/>
        </w:rPr>
        <w:t>o</w:t>
      </w:r>
      <w:r w:rsidRPr="000842AA">
        <w:rPr>
          <w:rFonts w:ascii="Arial" w:hAnsi="Arial" w:cs="Arial"/>
          <w:szCs w:val="24"/>
        </w:rPr>
        <w:t>s que se establecen en la Ley de Coordinación Fiscal del Estado de Yucatán.</w:t>
      </w:r>
    </w:p>
    <w:p w14:paraId="17B50057" w14:textId="77777777" w:rsidR="00D9327F" w:rsidRPr="000842AA" w:rsidRDefault="00D9327F" w:rsidP="003466C4">
      <w:pPr>
        <w:spacing w:before="100" w:beforeAutospacing="1" w:after="100" w:afterAutospacing="1" w:line="240" w:lineRule="auto"/>
        <w:jc w:val="center"/>
        <w:rPr>
          <w:rFonts w:ascii="Arial" w:hAnsi="Arial" w:cs="Arial"/>
          <w:b/>
          <w:szCs w:val="24"/>
        </w:rPr>
      </w:pPr>
      <w:r w:rsidRPr="000842AA">
        <w:rPr>
          <w:rFonts w:ascii="Arial" w:hAnsi="Arial" w:cs="Arial"/>
          <w:b/>
          <w:szCs w:val="24"/>
        </w:rPr>
        <w:t>Capítulo IV</w:t>
      </w:r>
      <w:r w:rsidRPr="000842AA">
        <w:rPr>
          <w:rFonts w:ascii="Arial" w:hAnsi="Arial" w:cs="Arial"/>
          <w:szCs w:val="24"/>
        </w:rPr>
        <w:br/>
      </w:r>
      <w:r w:rsidRPr="000842AA">
        <w:rPr>
          <w:rFonts w:ascii="Arial" w:hAnsi="Arial" w:cs="Arial"/>
          <w:b/>
          <w:szCs w:val="24"/>
        </w:rPr>
        <w:t>Recaudación y concentración de ingresos</w:t>
      </w:r>
    </w:p>
    <w:p w14:paraId="15DAC1E1" w14:textId="77777777" w:rsidR="00D9327F" w:rsidRPr="000842AA" w:rsidRDefault="60EA4332"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15. Disposiciones en materia de recaudación</w:t>
      </w:r>
    </w:p>
    <w:p w14:paraId="044C9807"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recaudación de los ingresos a que se refiere esta ley se acreditará mediante el comprobante de pago o el acuse de pago impreso o electrónico que para tal efecto emita la Secretaría de Administración y Finanzas, la Agencia de Administración Fiscal de Yucatán o las instituciones, entidades y establecimientos autorizados para tal efecto.</w:t>
      </w:r>
    </w:p>
    <w:p w14:paraId="0970FC5E"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que tenga validez el comprobante de pago o el acuse de pago señalado en el párrafo anterior, deberá contener sello y firma del cajero, otorgados por alguna oficina recaudadora autorizada, o sello digital, en el caso de comprobantes de pago electrónicos.</w:t>
      </w:r>
    </w:p>
    <w:p w14:paraId="4E8E61FD"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Cuando el contribuyente realice el pago o entero de las contribuciones u otros ingresos a que se refiere esta ley, mediante línea de referencia, en las oficinas recaudadoras de la Agencia de Administración Fiscal de Yucatán, o en las instituciones, entidades y establecimientos autorizados para tal efecto, recibirá comprobante de pago electrónico con sello digital, comprobante de pago o acuse de pago, con sello y firma del cajero, según sea el caso.</w:t>
      </w:r>
    </w:p>
    <w:p w14:paraId="4751F775"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Si el pago de los ingresos señalados en esta ley se realiza en instituciones de crédito, entidades o establecimientos autorizados, se podrá acreditar el pago mediante el documento que contenga los elementos de validez que para tal efecto autorice la Agencia de Administración Fiscal de Yucatán.</w:t>
      </w:r>
    </w:p>
    <w:p w14:paraId="2E8F2776" w14:textId="24C2F10C"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Para los efectos de este artículo, se entenderá por </w:t>
      </w:r>
      <w:r w:rsidR="00266574" w:rsidRPr="000842AA">
        <w:rPr>
          <w:rFonts w:ascii="Arial" w:hAnsi="Arial" w:cs="Arial"/>
          <w:szCs w:val="24"/>
        </w:rPr>
        <w:t>la línea</w:t>
      </w:r>
      <w:r w:rsidRPr="000842AA">
        <w:rPr>
          <w:rFonts w:ascii="Arial" w:hAnsi="Arial" w:cs="Arial"/>
          <w:szCs w:val="24"/>
        </w:rPr>
        <w:t xml:space="preserve"> de referencia, el conjunto de caracteres que permiten identificar de manera única una transacción y validar la información presentada en las instituciones de crédito, entidades y establecimientos, así como en las oficinas recaudadoras de la Agencia de Administración Fiscal de Yucatán.</w:t>
      </w:r>
    </w:p>
    <w:p w14:paraId="44E9992E" w14:textId="74EAA72C" w:rsidR="00D9327F" w:rsidRPr="000842AA" w:rsidRDefault="60EA4332"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Agencia de Administración Fiscal de Yucatán podrá expedir las disposiciones que sean necesarias para la correcta y debida aplicación de este artículo.</w:t>
      </w:r>
    </w:p>
    <w:p w14:paraId="50A66635"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16. Recaudación de los ingresos</w:t>
      </w:r>
    </w:p>
    <w:p w14:paraId="1AABD9B2" w14:textId="742BC018"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autorizados por esta ley se percibirán, causarán, enterarán, liquidarán y recaudarán de acuerdo con la Ley General de Hacienda del Estado de Yucatán, el Código Fiscal del Estado de Yucatán, las leyes de Coordinación Fiscal federal y local, y las demás disposiciones fiscales federales o estatales aplicables.</w:t>
      </w:r>
    </w:p>
    <w:p w14:paraId="4DCB3E5B" w14:textId="1C9EC221"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La Secretaría de Administración y Finanzas y la Agencia de Administración Fiscal de Yucatán son los entes competentes para recaudar los ingresos que corresponden al </w:t>
      </w:r>
      <w:r w:rsidR="00FB2F07" w:rsidRPr="000842AA">
        <w:rPr>
          <w:rFonts w:ascii="Arial" w:hAnsi="Arial" w:cs="Arial"/>
          <w:szCs w:val="24"/>
        </w:rPr>
        <w:t>E</w:t>
      </w:r>
      <w:r w:rsidRPr="000842AA">
        <w:rPr>
          <w:rFonts w:ascii="Arial" w:hAnsi="Arial" w:cs="Arial"/>
          <w:szCs w:val="24"/>
        </w:rPr>
        <w:t>stado, los cuales podrán ser recaudados por sí o a través de terceros debidamente autorizados por la secretaría o la agencia.</w:t>
      </w:r>
    </w:p>
    <w:p w14:paraId="092407D9"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17. Excepción de recaudación de ingresos</w:t>
      </w:r>
    </w:p>
    <w:p w14:paraId="464DBAB1" w14:textId="30EC87B3"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provenientes de las aportaciones de seguridad social destinados al Instituto de Seguridad Social de los Trabajadores del Estado de Yucatán, no se concentrarán en la Tesorería General del Estado y, podrán ser recaudados por las oficinas del propio instituto o por las instituciones de crédito que autorice la Secretaría de Administración y Finanzas. Para ello, deberán cumplir con los requisitos contables e</w:t>
      </w:r>
      <w:r w:rsidR="007131A5" w:rsidRPr="000842AA">
        <w:rPr>
          <w:rFonts w:ascii="Arial" w:hAnsi="Arial" w:cs="Arial"/>
          <w:szCs w:val="24"/>
        </w:rPr>
        <w:t>stablecidos y reflejarse en la c</w:t>
      </w:r>
      <w:r w:rsidRPr="000842AA">
        <w:rPr>
          <w:rFonts w:ascii="Arial" w:hAnsi="Arial" w:cs="Arial"/>
          <w:szCs w:val="24"/>
        </w:rPr>
        <w:t>uenta pública.</w:t>
      </w:r>
    </w:p>
    <w:p w14:paraId="2EFFEE3F" w14:textId="118A300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ingresos que el </w:t>
      </w:r>
      <w:r w:rsidR="004228D8" w:rsidRPr="000842AA">
        <w:rPr>
          <w:rFonts w:ascii="Arial" w:hAnsi="Arial" w:cs="Arial"/>
          <w:szCs w:val="24"/>
        </w:rPr>
        <w:t>E</w:t>
      </w:r>
      <w:r w:rsidRPr="000842AA">
        <w:rPr>
          <w:rFonts w:ascii="Arial" w:hAnsi="Arial" w:cs="Arial"/>
          <w:szCs w:val="24"/>
        </w:rPr>
        <w:t>stado obtenga en términos del artículo 71 de la Ley General de Víctimas serán integrados al patrimonio del Fondo Estatal de Ayuda, Asistencia y Reparación Integral.</w:t>
      </w:r>
    </w:p>
    <w:p w14:paraId="2B63A77A"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18. Registro de ingresos</w:t>
      </w:r>
    </w:p>
    <w:p w14:paraId="291CBCD4"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entidades que reciban ingresos por el pago de contraprestaciones de cualquier tipo, derechos y servicios, así como donativos en dinero, deberán emitir el comprobante fiscal digital por internet respectivo de dicho ingreso, conforme a lo establecido en el Código Fiscal de la Federación, registrarlo y presupuestar los egresos correspondientes. Además, se sujetarán a lo establecido por su órgano de gobierno. En caso contrario, no deberán ejercerlos, bajo pena de incurrir en responsabilidad.</w:t>
      </w:r>
    </w:p>
    <w:p w14:paraId="4E84CBC2"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19. Convenios de colaboración administrativa</w:t>
      </w:r>
    </w:p>
    <w:p w14:paraId="5789BAE6"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Secretaría de Administración y Finanzas estará facultada para que, por conducto de la Agencia de Administración Fiscal de Yucatán, realice los siguientes actos:</w:t>
      </w:r>
    </w:p>
    <w:p w14:paraId="59D3F932" w14:textId="77777777" w:rsidR="00D9327F" w:rsidRPr="000842AA" w:rsidRDefault="00D9327F" w:rsidP="003466C4">
      <w:pPr>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I. Celebre convenios de colaboración administrativa con los poderes legislativo, judicial, organismos constitucionales autónomos o con las entidades de la Administración Pública paraestatal, municipal o federal, respecto a la recaudación de los ingresos que tenga derecho a percibir.</w:t>
      </w:r>
    </w:p>
    <w:p w14:paraId="340BE5BB" w14:textId="7D612D51" w:rsidR="00D9327F" w:rsidRPr="000842AA" w:rsidRDefault="5D3FC234" w:rsidP="003466C4">
      <w:pPr>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 xml:space="preserve">II. Celebre convenios o acuerdos de colaboración en materia fiscal con el </w:t>
      </w:r>
      <w:r w:rsidR="004228D8" w:rsidRPr="000842AA">
        <w:rPr>
          <w:rFonts w:ascii="Arial" w:hAnsi="Arial" w:cs="Arial"/>
          <w:szCs w:val="24"/>
        </w:rPr>
        <w:t>G</w:t>
      </w:r>
      <w:r w:rsidRPr="000842AA">
        <w:rPr>
          <w:rFonts w:ascii="Arial" w:hAnsi="Arial" w:cs="Arial"/>
          <w:szCs w:val="24"/>
        </w:rPr>
        <w:t>obierno federal, incluidos sus organismos públicos descentralizados y desconcentrados, para que se suministren recíprocamente la información que requieran, con el propósito de que cada una de las partes tenga acceso a dicha información y, con base en ella, se instrumenten programas de verificación y se ejerzan facultades de comprobación del cumplimiento de obligaciones fiscales de los contribuyentes.</w:t>
      </w:r>
    </w:p>
    <w:p w14:paraId="4779065C" w14:textId="77777777" w:rsidR="00D9327F" w:rsidRPr="000842AA" w:rsidRDefault="00D9327F" w:rsidP="003466C4">
      <w:pPr>
        <w:spacing w:before="100" w:beforeAutospacing="1" w:after="100" w:afterAutospacing="1" w:line="240" w:lineRule="auto"/>
        <w:ind w:firstLine="709"/>
        <w:jc w:val="both"/>
        <w:rPr>
          <w:rFonts w:ascii="Arial" w:hAnsi="Arial" w:cs="Arial"/>
          <w:szCs w:val="24"/>
        </w:rPr>
      </w:pPr>
      <w:r w:rsidRPr="000842AA">
        <w:rPr>
          <w:rFonts w:ascii="Arial" w:hAnsi="Arial" w:cs="Arial"/>
          <w:szCs w:val="24"/>
        </w:rPr>
        <w:t xml:space="preserve">III. Celebre con los municipios, a través de sus ayuntamientos, convenios o acuerdos de coordinación, colaboración administrativa o prestación de servicios para que efectúe la administración o el cobro de ingresos municipales, o se suministren recíprocamente la información que requieran, con el propósito de que cada una de las partes tenga acceso a dicha información y, con base en ella, se instrumenten programas de verificación y se ejerzan facultades de comprobación del cumplimiento de obligaciones fiscales. </w:t>
      </w:r>
    </w:p>
    <w:p w14:paraId="08F5BF95"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Agencia de Administración Fiscal de Yucatán podrá establecer, en coordinación con organismos descentralizados o desconcentrados de la Administración Pública federal, estatal o municipal, los mecanismos de control, seguimiento y trazabilidad del entero de ingresos vinculados con los actos jurídicos de inmuebles registrados en el estado relativos a la publicidad registral. Lo establecido en este párrafo será aplicable para ingresos que provengan de contribuciones estatales, así como federales o municipales que se hayan convenido.</w:t>
      </w:r>
    </w:p>
    <w:p w14:paraId="56C36788"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20. Contribuciones no determinadas</w:t>
      </w:r>
    </w:p>
    <w:p w14:paraId="2167B349"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No podrá cobrarse ninguna contribución que no esté determinada expresamente en las disposiciones legales aplicables.</w:t>
      </w:r>
    </w:p>
    <w:p w14:paraId="2255BA0F"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21. Concentración de ingresos</w:t>
      </w:r>
    </w:p>
    <w:p w14:paraId="4DCF9050" w14:textId="14148626"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que recauden durante el ejercicio fiscal 2025 las dependencias de la Administración Pública centralizada o sus órganos administrativos desconcentrados por los diversos conceptos que establece esta ley, deben concentrarse en la Tesorería General del Estado, a más tardar el quinto día hábil siguiente al de su recepción y deberán reflejarse, cualquiera que sea su naturaleza, tanto en los registros de la propia Tesorería</w:t>
      </w:r>
      <w:r w:rsidR="007131A5" w:rsidRPr="000842AA">
        <w:rPr>
          <w:rFonts w:ascii="Arial" w:hAnsi="Arial" w:cs="Arial"/>
          <w:szCs w:val="24"/>
        </w:rPr>
        <w:t xml:space="preserve"> General del Estado como en la cuenta p</w:t>
      </w:r>
      <w:r w:rsidRPr="000842AA">
        <w:rPr>
          <w:rFonts w:ascii="Arial" w:hAnsi="Arial" w:cs="Arial"/>
          <w:szCs w:val="24"/>
        </w:rPr>
        <w:t xml:space="preserve">ública. </w:t>
      </w:r>
    </w:p>
    <w:p w14:paraId="2EE0361D" w14:textId="14B1C8F3"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propios de las entidades de la Administración Pública paraestatal no se concentrarán en la Tesorería General del Estado, excepto cuando se trate de contribuciones o ingresos propios por los que se hubiese convenido el cobro a través de convenios de colaboración administrativa.</w:t>
      </w:r>
    </w:p>
    <w:p w14:paraId="6A88C356" w14:textId="330D54F4"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entidades paraestatales informarán, dentro de los primeros quince días naturales del mes siguiente al que concluya el trimestre respectivo, a la Secretaría de Administración y Finanzas, sobre los ingresos que obtengan por cualquier concepto, de acuerdo con el rubro, tipo o clase correspondiente, previsto en este ordenamiento, a efecto de que se puedan elaborar los informes trimestrales que establece la Ley del Presupuesto y Contabilidad Gubernamental del Estado de Yucatán y su reglamento y, posteriormente, se reflejen dentro de la cuenta pública.</w:t>
      </w:r>
    </w:p>
    <w:p w14:paraId="1BBA9B0D"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Las entidades paraestatales deberán conservar la documentación comprobatoria de dichos ingresos y ponerla a disposición de los órganos revisores de la cuenta pública. </w:t>
      </w:r>
    </w:p>
    <w:p w14:paraId="60DB0F46" w14:textId="726B0DE2"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poderes Legislativo y Judicial y los órganos autónomos, registrarán los ingresos que obtengan por cualquier concepto en el rubro correspondiente de esta </w:t>
      </w:r>
      <w:r w:rsidR="00362DFF" w:rsidRPr="000842AA">
        <w:rPr>
          <w:rFonts w:ascii="Arial" w:hAnsi="Arial" w:cs="Arial"/>
          <w:szCs w:val="24"/>
        </w:rPr>
        <w:t>l</w:t>
      </w:r>
      <w:r w:rsidRPr="000842AA">
        <w:rPr>
          <w:rFonts w:ascii="Arial" w:hAnsi="Arial" w:cs="Arial"/>
          <w:szCs w:val="24"/>
        </w:rPr>
        <w:t xml:space="preserve">ey, salvo los ingresos fiscales, y deberán conservar a disposición </w:t>
      </w:r>
      <w:r w:rsidR="007131A5" w:rsidRPr="000842AA">
        <w:rPr>
          <w:rFonts w:ascii="Arial" w:hAnsi="Arial" w:cs="Arial"/>
          <w:szCs w:val="24"/>
        </w:rPr>
        <w:t>de los órganos revisores de la c</w:t>
      </w:r>
      <w:r w:rsidRPr="000842AA">
        <w:rPr>
          <w:rFonts w:ascii="Arial" w:hAnsi="Arial" w:cs="Arial"/>
          <w:szCs w:val="24"/>
        </w:rPr>
        <w:t>ue</w:t>
      </w:r>
      <w:r w:rsidR="007131A5" w:rsidRPr="000842AA">
        <w:rPr>
          <w:rFonts w:ascii="Arial" w:hAnsi="Arial" w:cs="Arial"/>
          <w:szCs w:val="24"/>
        </w:rPr>
        <w:t>nta p</w:t>
      </w:r>
      <w:r w:rsidRPr="000842AA">
        <w:rPr>
          <w:rFonts w:ascii="Arial" w:hAnsi="Arial" w:cs="Arial"/>
          <w:szCs w:val="24"/>
        </w:rPr>
        <w:t xml:space="preserve">ública, la documentación comprobatoria de dichos ingresos. </w:t>
      </w:r>
    </w:p>
    <w:p w14:paraId="4EE5CA31"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contribuciones, productos o aprovechamientos a los que las leyes de carácter no fiscal otorguen una naturaleza distinta a la establecida en las leyes fiscales, tendrán la naturaleza establecida en estas últimas.</w:t>
      </w:r>
    </w:p>
    <w:p w14:paraId="608AAADE"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 señalado en los párrafos anteriores se establece sin perjuicio de la obligación de concentrar los recursos públicos al final del ejercicio en la Tesorería General del Estado, en los términos del artículo 92 de la Ley del Presupuesto y Contabilidad Gubernamental del Estado de Yucatán.</w:t>
      </w:r>
    </w:p>
    <w:p w14:paraId="42C9E429"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22. Concentración de ingresos por desincorporación de entidades paraestatales</w:t>
      </w:r>
    </w:p>
    <w:p w14:paraId="5642C6BE"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netos que se obtengan por la desincorporación de entidades paraestatales serán los recursos remanentes que queden una vez descontadas las erogaciones realizadas por concepto de comisiones que se paguen a agentes financieros, contribuciones, gastos de administración, de mantenimiento y venta, honorarios de comisionados especiales que no sean servidores públicos encargados de dichos procesos, así como pagos por las reclamaciones procedentes que presenten los adquirentes o terceros, por pasivos ocultos, fiscales o de otra índole, activos inexistentes, asuntos en litigio y demás erogaciones análogas a todas las mencionadas.</w:t>
      </w:r>
    </w:p>
    <w:p w14:paraId="5ACF5CA9" w14:textId="10008C25"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ingresos netos se enterarán o concentrarán, según corresponda, en la Tesorería General del Estado y deberán manifestarse tanto en los registros de la propia tesorería como en la cuenta pública del </w:t>
      </w:r>
      <w:r w:rsidR="00362DFF" w:rsidRPr="000842AA">
        <w:rPr>
          <w:rFonts w:ascii="Arial" w:hAnsi="Arial" w:cs="Arial"/>
          <w:szCs w:val="24"/>
        </w:rPr>
        <w:t>E</w:t>
      </w:r>
      <w:r w:rsidRPr="000842AA">
        <w:rPr>
          <w:rFonts w:ascii="Arial" w:hAnsi="Arial" w:cs="Arial"/>
          <w:szCs w:val="24"/>
        </w:rPr>
        <w:t>stado.</w:t>
      </w:r>
    </w:p>
    <w:p w14:paraId="60229FFA"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pasivos a cargo de organismos públicos descentralizados en proceso de extinción y liquidación que tengan como acreedor al Gobierno estatal, con excepción de aquellos que tengan el carácter de crédito fiscal, podrán determinarse como extintos por la Secretaría de Administración y Finanzas, de pleno derecho, sin necesidad de autorización alguna, y los créditos quedarán cancelados de las cuentas públicas.</w:t>
      </w:r>
    </w:p>
    <w:p w14:paraId="2B6018D5"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23. Remanentes de fideicomisos</w:t>
      </w:r>
    </w:p>
    <w:p w14:paraId="20A56325"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Los recursos públicos estatales remanentes de la extinción o terminación de un fideicomiso, mandato o contrato análogo deberán ser concentrados en la Tesorería General del Estado. En su caso, la Secretaría de Administración y Finanzas determinará el destino de estos recursos, salvo aquellos que, en el instrumento respectivo, o en la norma de regulación, se establezca un destino diferente. </w:t>
      </w:r>
    </w:p>
    <w:p w14:paraId="03D94C06"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24. Ingresos obtenidos de multas por infracciones fiscales</w:t>
      </w:r>
    </w:p>
    <w:p w14:paraId="424643E4" w14:textId="23194E69"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Los ingresos que el estado obtenga efectivamente de multas por infracciones a las disposiciones fiscales, se destinarán a la formación de fondos para el otorgamiento de estímulos por productividad y cumplimiento del personal de dicho órgano fiscal atendiendo a lo señalado en la fracción III, del artículo 20, de la Ley de la Agencia de Administración Fiscal de Yucatán.</w:t>
      </w:r>
    </w:p>
    <w:p w14:paraId="1CA76722" w14:textId="77777777" w:rsidR="00D9327F" w:rsidRPr="000842AA" w:rsidRDefault="00D9327F" w:rsidP="003466C4">
      <w:pPr>
        <w:spacing w:before="100" w:beforeAutospacing="1" w:after="100" w:afterAutospacing="1" w:line="240" w:lineRule="auto"/>
        <w:jc w:val="center"/>
        <w:rPr>
          <w:rFonts w:ascii="Arial" w:hAnsi="Arial" w:cs="Arial"/>
          <w:b/>
          <w:szCs w:val="24"/>
        </w:rPr>
      </w:pPr>
      <w:r w:rsidRPr="000842AA">
        <w:rPr>
          <w:rFonts w:ascii="Arial" w:hAnsi="Arial" w:cs="Arial"/>
          <w:b/>
          <w:szCs w:val="24"/>
        </w:rPr>
        <w:t>Capítulo V</w:t>
      </w:r>
      <w:r w:rsidRPr="000842AA">
        <w:rPr>
          <w:rFonts w:ascii="Arial" w:hAnsi="Arial" w:cs="Arial"/>
          <w:szCs w:val="24"/>
        </w:rPr>
        <w:br/>
      </w:r>
      <w:r w:rsidRPr="000842AA">
        <w:rPr>
          <w:rFonts w:ascii="Arial" w:hAnsi="Arial" w:cs="Arial"/>
          <w:b/>
          <w:szCs w:val="24"/>
        </w:rPr>
        <w:t>Sujetos públicos obligados</w:t>
      </w:r>
    </w:p>
    <w:p w14:paraId="5D2C4D01"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25. Sujetos públicos obligados a pagar contribuciones</w:t>
      </w:r>
    </w:p>
    <w:p w14:paraId="07930E69" w14:textId="103C0D2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El </w:t>
      </w:r>
      <w:r w:rsidR="00140027" w:rsidRPr="000842AA">
        <w:rPr>
          <w:rFonts w:ascii="Arial" w:hAnsi="Arial" w:cs="Arial"/>
          <w:szCs w:val="24"/>
        </w:rPr>
        <w:t>E</w:t>
      </w:r>
      <w:r w:rsidRPr="000842AA">
        <w:rPr>
          <w:rFonts w:ascii="Arial" w:hAnsi="Arial" w:cs="Arial"/>
          <w:szCs w:val="24"/>
        </w:rPr>
        <w:t xml:space="preserve">stado, los municipios, los organismos descentralizados estatales y municipales, las empresas de participación estatal mayoritaria, las empresas de participación municipal mayoritaria, los fideicomisos públicos o privados de los que el Gobierno del </w:t>
      </w:r>
      <w:r w:rsidR="00140027" w:rsidRPr="000842AA">
        <w:rPr>
          <w:rFonts w:ascii="Arial" w:hAnsi="Arial" w:cs="Arial"/>
          <w:szCs w:val="24"/>
        </w:rPr>
        <w:t>E</w:t>
      </w:r>
      <w:r w:rsidRPr="000842AA">
        <w:rPr>
          <w:rFonts w:ascii="Arial" w:hAnsi="Arial" w:cs="Arial"/>
          <w:szCs w:val="24"/>
        </w:rPr>
        <w:t>stado o los municipios sean parte, así como las personas de derecho público con autonomía derivada de su norma de creación, de la Constitución Política de los Estados Unidos Mexicanos o de la Constitución Política del Estado de Yucatán, quedan obligados a pagar contribuciones, salvo que las leyes fiscales federales o estatales los eximan expresamente.</w:t>
      </w:r>
    </w:p>
    <w:p w14:paraId="2F9C8CF7" w14:textId="77777777" w:rsidR="00D9327F" w:rsidRPr="000842AA" w:rsidRDefault="00D9327F" w:rsidP="003466C4">
      <w:pPr>
        <w:spacing w:before="100" w:beforeAutospacing="1" w:after="100" w:afterAutospacing="1" w:line="240" w:lineRule="auto"/>
        <w:jc w:val="center"/>
        <w:rPr>
          <w:rFonts w:ascii="Arial" w:hAnsi="Arial" w:cs="Arial"/>
          <w:b/>
          <w:szCs w:val="24"/>
        </w:rPr>
      </w:pPr>
      <w:r w:rsidRPr="000842AA">
        <w:rPr>
          <w:rFonts w:ascii="Arial" w:hAnsi="Arial" w:cs="Arial"/>
          <w:b/>
          <w:szCs w:val="24"/>
        </w:rPr>
        <w:t>Capítulo VI</w:t>
      </w:r>
      <w:r w:rsidRPr="000842AA">
        <w:rPr>
          <w:rFonts w:ascii="Arial" w:hAnsi="Arial" w:cs="Arial"/>
          <w:szCs w:val="24"/>
        </w:rPr>
        <w:br/>
      </w:r>
      <w:r w:rsidRPr="000842AA">
        <w:rPr>
          <w:rFonts w:ascii="Arial" w:hAnsi="Arial" w:cs="Arial"/>
          <w:b/>
          <w:szCs w:val="24"/>
        </w:rPr>
        <w:t>Facilidades a los contribuyentes</w:t>
      </w:r>
    </w:p>
    <w:p w14:paraId="23D8A9C3"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26. Inscripción al Registro Federal de Contribuyentes</w:t>
      </w:r>
    </w:p>
    <w:p w14:paraId="49F56300" w14:textId="7B137C3C"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ejercer las funciones administrativas de inscripción al Registro Federal de Contribuyentes que establece el Convenio de Colaboración Administrativa en Materia Fiscal Federal, las autoridades fiscales podrán utilizar los datos proporcionados por los contribuyentes a dicho registro.</w:t>
      </w:r>
    </w:p>
    <w:p w14:paraId="65E3C393"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27. Medios de pago</w:t>
      </w:r>
    </w:p>
    <w:p w14:paraId="6DD2D0AA"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los efectos del artículo 29, párrafos primero y segundo, del Código Fiscal del Estado de Yucatán, las tarjetas de crédito o débito emitidas por las instituciones de crédito autorizadas se aceptarán como medio de pago de contribuciones, aprovechamientos y sus accesorios, así como de aquellos ingresos convenidos con otros entes de gobierno.</w:t>
      </w:r>
    </w:p>
    <w:p w14:paraId="4B9C0A09"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28. Tasa de recargos</w:t>
      </w:r>
    </w:p>
    <w:p w14:paraId="3C39D3E9"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efectos de lo señalado en el artículo 30 del Código Fiscal del Estado de Yucatán, se entenderá como tasa de recargos la que fije anualmente el Congreso de la Unión en la Ley de Ingresos de la Federación, y deberá considerarse también la mecánica que de la misma forma el Congreso de la Unión establezca para la variación de dicha tasa de recargos para cada uno de los meses.</w:t>
      </w:r>
    </w:p>
    <w:p w14:paraId="118366EB" w14:textId="77777777" w:rsidR="00D9327F" w:rsidRPr="000842AA" w:rsidRDefault="60EA4332"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29. Tasa de recargos por prórroga</w:t>
      </w:r>
    </w:p>
    <w:p w14:paraId="790FED9B"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En los casos de prórroga para el pago de créditos fiscales se causarán los siguientes recargos:</w:t>
      </w:r>
    </w:p>
    <w:p w14:paraId="731B41E6" w14:textId="77777777" w:rsidR="00D9327F" w:rsidRPr="000842AA" w:rsidRDefault="00D9327F" w:rsidP="003466C4">
      <w:pPr>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I. Al 0.98% mensual sobre los saldos insolutos.</w:t>
      </w:r>
    </w:p>
    <w:p w14:paraId="77BC18A6" w14:textId="77777777" w:rsidR="00D9327F" w:rsidRPr="000842AA" w:rsidRDefault="00D9327F" w:rsidP="003466C4">
      <w:pPr>
        <w:spacing w:before="100" w:beforeAutospacing="1" w:after="100" w:afterAutospacing="1" w:line="240" w:lineRule="auto"/>
        <w:ind w:firstLine="708"/>
        <w:jc w:val="both"/>
        <w:rPr>
          <w:rFonts w:ascii="Arial" w:hAnsi="Arial" w:cs="Arial"/>
          <w:szCs w:val="24"/>
        </w:rPr>
      </w:pPr>
      <w:r w:rsidRPr="000842AA">
        <w:rPr>
          <w:rFonts w:ascii="Arial" w:hAnsi="Arial" w:cs="Arial"/>
          <w:szCs w:val="24"/>
        </w:rPr>
        <w:t>II. Cuando de conformidad con el Código Fiscal del Estado de Yucatán se autorice el pago a plazos, se aplicará la tasa de recargos que a continuación se establece, sobre los saldos y durante el periodo de que se trate:</w:t>
      </w:r>
    </w:p>
    <w:p w14:paraId="060AA181" w14:textId="77777777" w:rsidR="00D9327F" w:rsidRPr="000842AA" w:rsidRDefault="00D9327F" w:rsidP="003B4D0B">
      <w:pPr>
        <w:spacing w:before="100" w:beforeAutospacing="1" w:after="100" w:afterAutospacing="1" w:line="240" w:lineRule="auto"/>
        <w:ind w:left="709" w:firstLine="709"/>
        <w:jc w:val="both"/>
        <w:rPr>
          <w:rFonts w:ascii="Arial" w:hAnsi="Arial" w:cs="Arial"/>
          <w:szCs w:val="24"/>
        </w:rPr>
      </w:pPr>
      <w:r w:rsidRPr="000842AA">
        <w:rPr>
          <w:rFonts w:ascii="Arial" w:hAnsi="Arial" w:cs="Arial"/>
          <w:szCs w:val="24"/>
        </w:rPr>
        <w:t>a) Tratándose de pagos a plazos en parcialidades hasta doce meses, la tasa de recargos será del 1.26% mensual.</w:t>
      </w:r>
    </w:p>
    <w:p w14:paraId="60E27574" w14:textId="77777777" w:rsidR="00D9327F" w:rsidRPr="000842AA" w:rsidRDefault="00D9327F" w:rsidP="003B4D0B">
      <w:pPr>
        <w:spacing w:before="100" w:beforeAutospacing="1" w:after="100" w:afterAutospacing="1" w:line="240" w:lineRule="auto"/>
        <w:ind w:left="709" w:firstLine="707"/>
        <w:jc w:val="both"/>
        <w:rPr>
          <w:rFonts w:ascii="Arial" w:hAnsi="Arial" w:cs="Arial"/>
          <w:szCs w:val="24"/>
        </w:rPr>
      </w:pPr>
      <w:r w:rsidRPr="000842AA">
        <w:rPr>
          <w:rFonts w:ascii="Arial" w:hAnsi="Arial" w:cs="Arial"/>
          <w:szCs w:val="24"/>
        </w:rPr>
        <w:t>b) Tratándose de pagos a plazos en parcialidades de más de doce meses y hasta de veinticuatro meses, la tasa de recargos será de 1.53% mensual.</w:t>
      </w:r>
    </w:p>
    <w:p w14:paraId="6AC0C7B1" w14:textId="77777777" w:rsidR="00D9327F" w:rsidRPr="000842AA" w:rsidRDefault="00D9327F" w:rsidP="003B4D0B">
      <w:pPr>
        <w:spacing w:before="100" w:beforeAutospacing="1" w:after="100" w:afterAutospacing="1" w:line="240" w:lineRule="auto"/>
        <w:ind w:left="709" w:firstLine="707"/>
        <w:jc w:val="both"/>
        <w:rPr>
          <w:rFonts w:ascii="Arial" w:hAnsi="Arial" w:cs="Arial"/>
          <w:szCs w:val="24"/>
        </w:rPr>
      </w:pPr>
      <w:r w:rsidRPr="000842AA">
        <w:rPr>
          <w:rFonts w:ascii="Arial" w:hAnsi="Arial" w:cs="Arial"/>
          <w:szCs w:val="24"/>
        </w:rPr>
        <w:t>c) Tratándose de pagos a plazos en parcialidades superiores a veinticuatro meses o de pagos a plazo diferido, la tasa de recargos será de 1.82% mensual.</w:t>
      </w:r>
    </w:p>
    <w:p w14:paraId="00B9C85E" w14:textId="03BF8A87"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tasas de recargos establecidas en la fracción II, de este artículo, incluyen la actualización realizada conforme a lo establecido por el propio Código Fiscal del Estado de Yucatán.</w:t>
      </w:r>
    </w:p>
    <w:p w14:paraId="7248634F"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30. Programas de apoyo</w:t>
      </w:r>
    </w:p>
    <w:p w14:paraId="5E16D17F"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La persona titular del Poder Ejecutivo podrá establecer programas de apoyo o incentivos, según sea el caso, para los contribuyentes o los sujetos obligados de esta ley, los cuales deberán publicarse en el Diario Oficial del Gobierno del Estado de Yucatán. </w:t>
      </w:r>
    </w:p>
    <w:p w14:paraId="2C6FEDFF"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En dichos programas de apoyo o incentivos podrá establecerse, entre otras acciones, la reducción o condonación total o parcial de contribuciones, derechos, aprovechamientos o productos, así como de sus accesorios.</w:t>
      </w:r>
    </w:p>
    <w:p w14:paraId="5D0A28F3"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31. Pago en parcialidades</w:t>
      </w:r>
    </w:p>
    <w:p w14:paraId="69D1DFE5" w14:textId="512E7676"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Para los efectos de los artículos 89 y 90 del Código Fiscal del Estado de Yucatán, durante el ejercicio fiscal </w:t>
      </w:r>
      <w:r w:rsidR="004E7D4A" w:rsidRPr="000842AA">
        <w:rPr>
          <w:rFonts w:ascii="Arial" w:hAnsi="Arial" w:cs="Arial"/>
          <w:szCs w:val="24"/>
        </w:rPr>
        <w:t>2025</w:t>
      </w:r>
      <w:r w:rsidRPr="000842AA">
        <w:rPr>
          <w:rFonts w:ascii="Arial" w:hAnsi="Arial" w:cs="Arial"/>
          <w:szCs w:val="24"/>
        </w:rPr>
        <w:t>, se podrá autorizar el pago a plazos, ya sea diferido o en parcialidades, de las contribuciones y de sus accesorios que debieron pagarse en el año en curso o los que se debieron pagar en los seis meses anteriores al mes en el que se solicite la autorización de pago a plazos.</w:t>
      </w:r>
    </w:p>
    <w:p w14:paraId="33874A6E"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32. Imposibilidad práctica de cobro</w:t>
      </w:r>
    </w:p>
    <w:p w14:paraId="683F2990"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Se faculta a las autoridades fiscales para que lleven a cabo la cancelación de los créditos fiscales cuyo cobro les corresponda efectuar en los casos en que exista imposibilidad práctica de cobro. </w:t>
      </w:r>
    </w:p>
    <w:p w14:paraId="5A2A5DB7"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Se considera que existe imposibilidad práctica de cobro, entre otras circunstancias, cuando los deudores no tengan bienes embargables, el deudor hubiese fallecido sin dejar bienes a su nombre o cuando por sentencia firme hubiese sido declarado en quiebra por falta de activos.</w:t>
      </w:r>
    </w:p>
    <w:p w14:paraId="265A1E9B"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Las autoridades, de forma previa a la cancelación de un crédito fiscal, deberán integrar un expediente que contenga los documentos y constancias que acrediten la imposibilidad práctica de cobro.</w:t>
      </w:r>
    </w:p>
    <w:p w14:paraId="6A54F413"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Artículo 33. Créditos fiscales incosteables</w:t>
      </w:r>
    </w:p>
    <w:p w14:paraId="58247FF3"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Se faculta a las autoridades fiscales para que lleven a cabo la cancelación de los créditos fiscales cuyo cobro les corresponda efectuar en los casos en que aquellos sean incosteables.</w:t>
      </w:r>
    </w:p>
    <w:p w14:paraId="0B4D8192"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que un crédito se considere incosteable, la autoridad fiscal evaluará los siguientes conceptos: monto del crédito, costo de las acciones de recuperación, antigüedad del crédito y probabilidad de cobro.</w:t>
      </w:r>
    </w:p>
    <w:p w14:paraId="37706DEB" w14:textId="7777777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La cancelación de los créditos a que se refiere este artículo no libera de su pago.</w:t>
      </w:r>
    </w:p>
    <w:p w14:paraId="6F35ACD4" w14:textId="77777777" w:rsidR="00D9327F" w:rsidRPr="000842AA" w:rsidRDefault="00D9327F" w:rsidP="003466C4">
      <w:pPr>
        <w:spacing w:before="100" w:beforeAutospacing="1" w:after="100" w:afterAutospacing="1" w:line="240" w:lineRule="auto"/>
        <w:jc w:val="center"/>
        <w:rPr>
          <w:rFonts w:ascii="Arial" w:hAnsi="Arial" w:cs="Arial"/>
          <w:b/>
          <w:szCs w:val="24"/>
        </w:rPr>
      </w:pPr>
      <w:r w:rsidRPr="000842AA">
        <w:rPr>
          <w:rFonts w:ascii="Arial" w:hAnsi="Arial" w:cs="Arial"/>
          <w:b/>
          <w:szCs w:val="24"/>
        </w:rPr>
        <w:t>Artículos transitorios</w:t>
      </w:r>
    </w:p>
    <w:p w14:paraId="793446C2" w14:textId="77777777"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Primero. Entrada en vigor</w:t>
      </w:r>
    </w:p>
    <w:p w14:paraId="658B8985" w14:textId="219C7911"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Este decreto entrará en vigor el 1 de enero de </w:t>
      </w:r>
      <w:r w:rsidR="004E7D4A" w:rsidRPr="000842AA">
        <w:rPr>
          <w:rFonts w:ascii="Arial" w:hAnsi="Arial" w:cs="Arial"/>
          <w:szCs w:val="24"/>
        </w:rPr>
        <w:t>2025</w:t>
      </w:r>
      <w:r w:rsidRPr="000842AA">
        <w:rPr>
          <w:rFonts w:ascii="Arial" w:hAnsi="Arial" w:cs="Arial"/>
          <w:szCs w:val="24"/>
        </w:rPr>
        <w:t>, previa publicación en el Diario Oficial del Gobierno del Estado de Yucatán y tendrá vigencia hasta el 31 de diciembre del mismo año.</w:t>
      </w:r>
    </w:p>
    <w:p w14:paraId="352795B3" w14:textId="35BF8506"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 xml:space="preserve">Segundo. Derogación </w:t>
      </w:r>
    </w:p>
    <w:p w14:paraId="4AA6BA76" w14:textId="43898987"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 xml:space="preserve">Se derogan las disposiciones que contengan exenciones, totales o parciales, consideren a personas como no sujetos de contribuciones estatales, u otorguen tratamientos preferenciales o diferenciales en materia de ingresos y contribuciones estatales, distintos de los establecidos en la Ley de Ingresos del Estado de Yucatán para el Ejercicio Fiscal </w:t>
      </w:r>
      <w:r w:rsidR="004E7D4A" w:rsidRPr="000842AA">
        <w:rPr>
          <w:rFonts w:ascii="Arial" w:hAnsi="Arial" w:cs="Arial"/>
          <w:szCs w:val="24"/>
        </w:rPr>
        <w:t>2025</w:t>
      </w:r>
      <w:r w:rsidRPr="000842AA">
        <w:rPr>
          <w:rFonts w:ascii="Arial" w:hAnsi="Arial" w:cs="Arial"/>
          <w:szCs w:val="24"/>
        </w:rPr>
        <w:t>, en el Código Fiscal del Estado de Yucatán, en los decretos expedidos por el Poder Ejecutivo del estado y en las leyes que establecen dichas contribuciones, así como</w:t>
      </w:r>
      <w:r w:rsidR="00106E04" w:rsidRPr="000842AA">
        <w:rPr>
          <w:rFonts w:ascii="Arial" w:hAnsi="Arial" w:cs="Arial"/>
          <w:szCs w:val="24"/>
        </w:rPr>
        <w:t xml:space="preserve"> en</w:t>
      </w:r>
      <w:r w:rsidRPr="000842AA">
        <w:rPr>
          <w:rFonts w:ascii="Arial" w:hAnsi="Arial" w:cs="Arial"/>
          <w:szCs w:val="24"/>
        </w:rPr>
        <w:t xml:space="preserve"> sus reglamentos.</w:t>
      </w:r>
    </w:p>
    <w:p w14:paraId="794C10D0" w14:textId="269E2F5F"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Tercero. Obligación de los entes públicos</w:t>
      </w:r>
    </w:p>
    <w:p w14:paraId="762DF47E" w14:textId="2FE69EFD" w:rsidR="00D9327F" w:rsidRPr="000842AA" w:rsidRDefault="5D3FC234" w:rsidP="00FB6690">
      <w:pPr>
        <w:spacing w:before="100" w:beforeAutospacing="1" w:after="100" w:afterAutospacing="1" w:line="240" w:lineRule="auto"/>
        <w:jc w:val="both"/>
        <w:rPr>
          <w:rFonts w:ascii="Arial" w:hAnsi="Arial" w:cs="Arial"/>
          <w:szCs w:val="24"/>
        </w:rPr>
      </w:pPr>
      <w:r w:rsidRPr="000842AA">
        <w:rPr>
          <w:rFonts w:ascii="Arial" w:hAnsi="Arial" w:cs="Arial"/>
          <w:szCs w:val="24"/>
        </w:rPr>
        <w:t>Los sujetos obligados, en términos de la Ley del Presupuesto y Contabilidad Gubernamental del Estado de Yucatán, que reciban ingresos de los previstos en la Ley de Ingresos del Estado de Yucatán para el Ejercicio Fiscal 2025 deberán elaborar y difundir en sus respectivos sitios web documentos dirigidos a la ciudadanía en los que expliquen, de manera sencilla y en los formatos aprobados por el Consejo Nacional de Armonización Contable, el contenido de la Ley de Ingresos del Estado de Yucatán para el Ejercicio Fiscal 2025.</w:t>
      </w:r>
    </w:p>
    <w:p w14:paraId="5C098C91" w14:textId="59D0F74D"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Asimismo, los entes públicos deberán difundir la información y</w:t>
      </w:r>
      <w:r w:rsidR="00FB6690" w:rsidRPr="000842AA">
        <w:rPr>
          <w:rFonts w:ascii="Arial" w:hAnsi="Arial" w:cs="Arial"/>
          <w:szCs w:val="24"/>
        </w:rPr>
        <w:t xml:space="preserve"> los</w:t>
      </w:r>
      <w:r w:rsidRPr="000842AA">
        <w:rPr>
          <w:rFonts w:ascii="Arial" w:hAnsi="Arial" w:cs="Arial"/>
          <w:szCs w:val="24"/>
        </w:rPr>
        <w:t xml:space="preserve"> formatos correspondientes, en los términos establecidos en la Ley de Disciplina Financiera de las Entidades Federativas y los Municipios.</w:t>
      </w:r>
    </w:p>
    <w:p w14:paraId="75628E2F" w14:textId="2E90A0A1"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Cuarto. Modificaciones a la estructura administrativa</w:t>
      </w:r>
    </w:p>
    <w:p w14:paraId="60F59669" w14:textId="15B2D336" w:rsidR="00D9327F" w:rsidRPr="000842AA" w:rsidRDefault="00D9327F"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Para los efectos de la Ley de Ingresos del Estado de Yucatán para el Ejercicio Fiscal 202</w:t>
      </w:r>
      <w:r w:rsidR="004E7D4A" w:rsidRPr="000842AA">
        <w:rPr>
          <w:rFonts w:ascii="Arial" w:hAnsi="Arial" w:cs="Arial"/>
          <w:szCs w:val="24"/>
        </w:rPr>
        <w:t>5</w:t>
      </w:r>
      <w:r w:rsidRPr="000842AA">
        <w:rPr>
          <w:rFonts w:ascii="Arial" w:hAnsi="Arial" w:cs="Arial"/>
          <w:szCs w:val="24"/>
        </w:rPr>
        <w:t>, cuando de conformidad con el Código de la Administración Pública de Yucatán, su reglamento o cualquier otra normativa, se modifique la denominación de alguna dependencia, entidad o ente público, o los existentes desaparezcan, los ingresos estimados para cualquiera de estos en esta ley, corresponderán al ente público cuyas denominaciones hayan cambiado o al que absorba las facultades de aquellas que desaparezcan, según corresponda.</w:t>
      </w:r>
    </w:p>
    <w:p w14:paraId="4898255E" w14:textId="755D61DD"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Quinto. Techo de gasto en servicios personales</w:t>
      </w:r>
    </w:p>
    <w:p w14:paraId="0FDE5E38" w14:textId="235AB263" w:rsidR="00D9327F" w:rsidRPr="000842AA" w:rsidRDefault="5D3FC234" w:rsidP="003466C4">
      <w:pPr>
        <w:spacing w:before="100" w:beforeAutospacing="1" w:after="100" w:afterAutospacing="1" w:line="240" w:lineRule="auto"/>
        <w:jc w:val="both"/>
        <w:rPr>
          <w:rFonts w:ascii="Arial" w:hAnsi="Arial" w:cs="Arial"/>
          <w:szCs w:val="24"/>
        </w:rPr>
      </w:pPr>
      <w:r w:rsidRPr="000842AA">
        <w:rPr>
          <w:rFonts w:ascii="Arial" w:hAnsi="Arial" w:cs="Arial"/>
          <w:szCs w:val="24"/>
        </w:rPr>
        <w:t>Respecto al techo de gasto en servicios personales, será aplicable para el ejercicio fiscal 2025 el transitorio que resulte aplicable de la Ley de Ingresos de la Federación para el Ejercicio Fiscal de 2025.</w:t>
      </w:r>
    </w:p>
    <w:p w14:paraId="569F2E90" w14:textId="3B341F65" w:rsidR="00D9327F" w:rsidRPr="000842AA" w:rsidRDefault="00D9327F" w:rsidP="003466C4">
      <w:pPr>
        <w:spacing w:before="100" w:beforeAutospacing="1" w:after="100" w:afterAutospacing="1" w:line="240" w:lineRule="auto"/>
        <w:jc w:val="both"/>
        <w:rPr>
          <w:rFonts w:ascii="Arial" w:hAnsi="Arial" w:cs="Arial"/>
          <w:b/>
          <w:szCs w:val="24"/>
        </w:rPr>
      </w:pPr>
      <w:r w:rsidRPr="000842AA">
        <w:rPr>
          <w:rFonts w:ascii="Arial" w:hAnsi="Arial" w:cs="Arial"/>
          <w:b/>
          <w:szCs w:val="24"/>
        </w:rPr>
        <w:t>Sexto. Fideicomisos</w:t>
      </w:r>
    </w:p>
    <w:p w14:paraId="33CA310A" w14:textId="7DEEBA91" w:rsidR="00D9327F" w:rsidRPr="000842AA" w:rsidRDefault="0051662C" w:rsidP="003466C4">
      <w:pPr>
        <w:spacing w:before="100" w:beforeAutospacing="1" w:after="100" w:afterAutospacing="1" w:line="240" w:lineRule="auto"/>
        <w:jc w:val="both"/>
        <w:rPr>
          <w:rFonts w:ascii="Arial" w:hAnsi="Arial" w:cs="Arial"/>
          <w:szCs w:val="24"/>
        </w:rPr>
      </w:pPr>
      <w:r w:rsidRPr="000842AA">
        <w:rPr>
          <w:rFonts w:ascii="Arial" w:hAnsi="Arial" w:cs="Arial"/>
          <w:noProof/>
          <w:szCs w:val="24"/>
        </w:rPr>
        <mc:AlternateContent>
          <mc:Choice Requires="wps">
            <w:drawing>
              <wp:anchor distT="0" distB="0" distL="114300" distR="114300" simplePos="0" relativeHeight="251660288" behindDoc="0" locked="0" layoutInCell="1" allowOverlap="1" wp14:anchorId="3E9C53E0" wp14:editId="64D06004">
                <wp:simplePos x="0" y="0"/>
                <wp:positionH relativeFrom="margin">
                  <wp:align>right</wp:align>
                </wp:positionH>
                <wp:positionV relativeFrom="topMargin">
                  <wp:posOffset>590550</wp:posOffset>
                </wp:positionV>
                <wp:extent cx="2880000" cy="590400"/>
                <wp:effectExtent l="0" t="0" r="0" b="6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000" cy="590400"/>
                        </a:xfrm>
                        <a:prstGeom prst="rect">
                          <a:avLst/>
                        </a:prstGeom>
                        <a:solidFill>
                          <a:schemeClr val="lt1"/>
                        </a:solidFill>
                        <a:ln w="6350">
                          <a:noFill/>
                        </a:ln>
                      </wps:spPr>
                      <wps:txbx>
                        <w:txbxContent>
                          <w:p w14:paraId="27557294" w14:textId="77777777" w:rsidR="0051662C" w:rsidRPr="00931C5D" w:rsidRDefault="0051662C" w:rsidP="0051662C">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para expedir la Ley de Ingresos del Estado de Yucatán para el Ejercicio Fiscal </w:t>
                            </w:r>
                            <w:r>
                              <w:rPr>
                                <w:rFonts w:ascii="Arial" w:hAnsi="Arial" w:cs="Arial"/>
                                <w:sz w:val="20"/>
                                <w:szCs w:val="20"/>
                              </w:rPr>
                              <w:t>2025.</w:t>
                            </w:r>
                          </w:p>
                          <w:p w14:paraId="14195D87" w14:textId="77777777" w:rsidR="0051662C" w:rsidRPr="00931C5D" w:rsidRDefault="0051662C" w:rsidP="00516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C53E0" id="_x0000_t202" coordsize="21600,21600" o:spt="202" path="m,l,21600r21600,l21600,xe">
                <v:stroke joinstyle="miter"/>
                <v:path gradientshapeok="t" o:connecttype="rect"/>
              </v:shapetype>
              <v:shape id="Cuadro de texto 1" o:spid="_x0000_s1026" type="#_x0000_t202" style="position:absolute;left:0;text-align:left;margin-left:175.55pt;margin-top:46.5pt;width:226.75pt;height: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" fillcolor="white [3201]" stroked="f" strokeweight=".5pt">
                <v:path arrowok="t"/>
                <v:textbox>
                  <w:txbxContent>
                    <w:p w14:paraId="27557294" w14:textId="77777777" w:rsidR="0051662C" w:rsidRPr="00931C5D" w:rsidRDefault="0051662C" w:rsidP="0051662C">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para expedir la Ley de Ingresos del Estado de Yucatán para el Ejercicio Fiscal </w:t>
                      </w:r>
                      <w:r>
                        <w:rPr>
                          <w:rFonts w:ascii="Arial" w:hAnsi="Arial" w:cs="Arial"/>
                          <w:sz w:val="20"/>
                          <w:szCs w:val="20"/>
                        </w:rPr>
                        <w:t>2025.</w:t>
                      </w:r>
                    </w:p>
                    <w:p w14:paraId="14195D87" w14:textId="77777777" w:rsidR="0051662C" w:rsidRPr="00931C5D" w:rsidRDefault="0051662C" w:rsidP="0051662C"/>
                  </w:txbxContent>
                </v:textbox>
                <w10:wrap anchorx="margin" anchory="margin"/>
              </v:shape>
            </w:pict>
          </mc:Fallback>
        </mc:AlternateContent>
      </w:r>
      <w:r w:rsidR="5D3FC234" w:rsidRPr="000842AA">
        <w:rPr>
          <w:rFonts w:ascii="Arial" w:hAnsi="Arial" w:cs="Arial"/>
          <w:szCs w:val="24"/>
        </w:rPr>
        <w:t>Las dependencias y entidades de la Administración Pública estatal, los Poderes y los organismos constitucionales autónomos deberán remitir a la Secretaría de Administración y Finanzas, durante el primer trimestre del ejercicio fiscal 2025, un informe de los fideicomisos, mandatos o análogos públicos susceptibles de extinguirse en términos de las disposiciones aplicables. Lo anterior, a efecto de que se lleven a cabo los actos necesarios para la extinción de dichas figuras, conforme a lo establecido en la Ley del Presupuesto y Contabilidad Gubernamental del Estado de Yucatán y su reglamento.</w:t>
      </w:r>
    </w:p>
    <w:p w14:paraId="3D77AEF6" w14:textId="2D245056" w:rsidR="5D3FC234" w:rsidRPr="000842AA" w:rsidRDefault="5D3FC234" w:rsidP="003466C4">
      <w:pPr>
        <w:spacing w:beforeAutospacing="1" w:afterAutospacing="1" w:line="240" w:lineRule="auto"/>
        <w:jc w:val="center"/>
        <w:rPr>
          <w:rFonts w:ascii="Arial" w:hAnsi="Arial" w:cs="Arial"/>
          <w:b/>
          <w:bCs/>
          <w:szCs w:val="24"/>
        </w:rPr>
      </w:pPr>
      <w:r w:rsidRPr="000842AA">
        <w:rPr>
          <w:rFonts w:ascii="Arial" w:hAnsi="Arial" w:cs="Arial"/>
          <w:b/>
          <w:bCs/>
          <w:szCs w:val="24"/>
        </w:rPr>
        <w:t>Atentamente</w:t>
      </w:r>
    </w:p>
    <w:p w14:paraId="2AA82FBF" w14:textId="67230117" w:rsidR="5D3FC234" w:rsidRPr="000842AA" w:rsidRDefault="5D3FC234" w:rsidP="003466C4">
      <w:pPr>
        <w:spacing w:beforeAutospacing="1" w:afterAutospacing="1" w:line="240" w:lineRule="auto"/>
        <w:jc w:val="both"/>
        <w:rPr>
          <w:rFonts w:ascii="Arial" w:hAnsi="Arial" w:cs="Arial"/>
          <w:szCs w:val="24"/>
        </w:rPr>
      </w:pPr>
    </w:p>
    <w:p w14:paraId="51B02AE5" w14:textId="77777777" w:rsidR="003F2B8F" w:rsidRPr="000842AA" w:rsidRDefault="5D3FC234" w:rsidP="003F2B8F">
      <w:pPr>
        <w:spacing w:beforeAutospacing="1" w:afterAutospacing="1" w:line="240" w:lineRule="auto"/>
        <w:jc w:val="center"/>
        <w:rPr>
          <w:rFonts w:ascii="Arial" w:hAnsi="Arial" w:cs="Arial"/>
          <w:b/>
          <w:bCs/>
          <w:szCs w:val="24"/>
        </w:rPr>
      </w:pPr>
      <w:r w:rsidRPr="000842AA">
        <w:rPr>
          <w:rFonts w:ascii="Arial" w:hAnsi="Arial" w:cs="Arial"/>
          <w:b/>
          <w:bCs/>
          <w:szCs w:val="24"/>
        </w:rPr>
        <w:t>Mtro. Joaquín Jesús Díaz Mena</w:t>
      </w:r>
      <w:r w:rsidRPr="000842AA">
        <w:rPr>
          <w:rFonts w:ascii="Arial" w:hAnsi="Arial" w:cs="Arial"/>
          <w:szCs w:val="24"/>
        </w:rPr>
        <w:br/>
      </w:r>
      <w:r w:rsidRPr="000842AA">
        <w:rPr>
          <w:rFonts w:ascii="Arial" w:hAnsi="Arial" w:cs="Arial"/>
          <w:b/>
          <w:bCs/>
          <w:szCs w:val="24"/>
        </w:rPr>
        <w:t>Gobernador del Estado de Yucatán</w:t>
      </w:r>
    </w:p>
    <w:p w14:paraId="7C4527C9" w14:textId="77777777" w:rsidR="00FB6690" w:rsidRPr="000842AA" w:rsidRDefault="00FB6690" w:rsidP="003F2B8F">
      <w:pPr>
        <w:spacing w:beforeAutospacing="1" w:afterAutospacing="1" w:line="240" w:lineRule="auto"/>
        <w:jc w:val="center"/>
        <w:rPr>
          <w:rFonts w:ascii="Arial" w:hAnsi="Arial" w:cs="Arial"/>
          <w:b/>
          <w:bCs/>
          <w:szCs w:val="24"/>
        </w:rPr>
      </w:pPr>
    </w:p>
    <w:p w14:paraId="730A8F92" w14:textId="20D620AC" w:rsidR="5D3FC234" w:rsidRPr="000842AA" w:rsidRDefault="5D3FC234" w:rsidP="003F2B8F">
      <w:pPr>
        <w:spacing w:beforeAutospacing="1" w:afterAutospacing="1" w:line="240" w:lineRule="auto"/>
        <w:rPr>
          <w:rFonts w:ascii="Arial" w:hAnsi="Arial" w:cs="Arial"/>
          <w:b/>
          <w:bCs/>
          <w:szCs w:val="24"/>
        </w:rPr>
      </w:pPr>
      <w:r w:rsidRPr="000842AA">
        <w:rPr>
          <w:rFonts w:ascii="Arial" w:hAnsi="Arial" w:cs="Arial"/>
          <w:b/>
          <w:bCs/>
          <w:szCs w:val="24"/>
        </w:rPr>
        <w:t>Mtro. Omar David Pérez Avilés</w:t>
      </w:r>
      <w:r w:rsidRPr="000842AA">
        <w:rPr>
          <w:rFonts w:ascii="Arial" w:hAnsi="Arial" w:cs="Arial"/>
          <w:b/>
          <w:bCs/>
          <w:szCs w:val="24"/>
        </w:rPr>
        <w:br/>
        <w:t>Secretario General de Gobierno</w:t>
      </w:r>
    </w:p>
    <w:p w14:paraId="1033DDD8" w14:textId="0293FD49" w:rsidR="00D9327F" w:rsidRPr="000842AA" w:rsidRDefault="004E7D4A" w:rsidP="003466C4">
      <w:pPr>
        <w:spacing w:before="100" w:beforeAutospacing="1" w:after="100" w:afterAutospacing="1" w:line="240" w:lineRule="auto"/>
        <w:jc w:val="both"/>
        <w:rPr>
          <w:rFonts w:ascii="Arial" w:hAnsi="Arial" w:cs="Arial"/>
          <w:szCs w:val="24"/>
        </w:rPr>
        <w:sectPr w:rsidR="00D9327F" w:rsidRPr="000842AA" w:rsidSect="00E559FB">
          <w:footerReference w:type="default" r:id="rId10"/>
          <w:pgSz w:w="12240" w:h="15840"/>
          <w:pgMar w:top="2835" w:right="1701" w:bottom="1418" w:left="1701" w:header="709" w:footer="709" w:gutter="0"/>
          <w:cols w:space="708"/>
          <w:docGrid w:linePitch="360"/>
        </w:sectPr>
      </w:pPr>
      <w:r w:rsidRPr="000842AA">
        <w:rPr>
          <w:rFonts w:ascii="Arial" w:hAnsi="Arial" w:cs="Arial"/>
          <w:b/>
          <w:bCs/>
          <w:szCs w:val="24"/>
        </w:rPr>
        <w:br w:type="page"/>
      </w:r>
    </w:p>
    <w:p w14:paraId="37ABA335" w14:textId="77777777" w:rsidR="00D9327F" w:rsidRPr="000842AA" w:rsidRDefault="00D9327F" w:rsidP="003466C4">
      <w:pPr>
        <w:spacing w:after="0" w:line="240" w:lineRule="auto"/>
        <w:jc w:val="center"/>
        <w:rPr>
          <w:rFonts w:ascii="Arial" w:hAnsi="Arial" w:cs="Arial"/>
          <w:b/>
          <w:sz w:val="16"/>
          <w:szCs w:val="16"/>
        </w:rPr>
      </w:pPr>
      <w:r w:rsidRPr="000842AA">
        <w:rPr>
          <w:rFonts w:ascii="Arial" w:hAnsi="Arial" w:cs="Arial"/>
          <w:b/>
          <w:sz w:val="16"/>
          <w:szCs w:val="16"/>
        </w:rPr>
        <w:t>Anexo I</w:t>
      </w:r>
      <w:r w:rsidRPr="000842AA">
        <w:rPr>
          <w:rFonts w:ascii="Arial" w:hAnsi="Arial" w:cs="Arial"/>
          <w:b/>
          <w:sz w:val="16"/>
          <w:szCs w:val="16"/>
        </w:rPr>
        <w:br/>
        <w:t>Proyecciones de ingresos a cinco años</w:t>
      </w:r>
    </w:p>
    <w:p w14:paraId="658A1025" w14:textId="77777777" w:rsidR="009762CC" w:rsidRPr="000842AA" w:rsidRDefault="009762CC" w:rsidP="003466C4">
      <w:pPr>
        <w:spacing w:after="0" w:line="240" w:lineRule="auto"/>
        <w:jc w:val="center"/>
        <w:rPr>
          <w:rFonts w:ascii="Arial" w:hAnsi="Arial" w:cs="Arial"/>
          <w:b/>
          <w:sz w:val="16"/>
          <w:szCs w:val="16"/>
        </w:rPr>
      </w:pPr>
    </w:p>
    <w:p w14:paraId="4EA0F4E8" w14:textId="77777777" w:rsidR="00D9327F" w:rsidRPr="000842AA" w:rsidRDefault="00D9327F" w:rsidP="003466C4">
      <w:pPr>
        <w:spacing w:after="0" w:line="240" w:lineRule="auto"/>
        <w:jc w:val="center"/>
        <w:rPr>
          <w:rFonts w:ascii="Arial" w:hAnsi="Arial" w:cs="Arial"/>
          <w:b/>
          <w:sz w:val="16"/>
          <w:szCs w:val="16"/>
        </w:rPr>
      </w:pPr>
    </w:p>
    <w:tbl>
      <w:tblPr>
        <w:tblW w:w="5000" w:type="pct"/>
        <w:tblLook w:val="04A0" w:firstRow="1" w:lastRow="0" w:firstColumn="1" w:lastColumn="0" w:noHBand="0" w:noVBand="1"/>
      </w:tblPr>
      <w:tblGrid>
        <w:gridCol w:w="3657"/>
        <w:gridCol w:w="1475"/>
        <w:gridCol w:w="1475"/>
        <w:gridCol w:w="1475"/>
        <w:gridCol w:w="1475"/>
        <w:gridCol w:w="1475"/>
        <w:gridCol w:w="1386"/>
      </w:tblGrid>
      <w:tr w:rsidR="5D3FC234" w:rsidRPr="000842AA" w14:paraId="4F35A8F6" w14:textId="77777777" w:rsidTr="003466C4">
        <w:trPr>
          <w:trHeight w:val="345"/>
        </w:trPr>
        <w:tc>
          <w:tcPr>
            <w:tcW w:w="5000" w:type="pct"/>
            <w:gridSpan w:val="7"/>
            <w:tcBorders>
              <w:top w:val="single" w:sz="8" w:space="0" w:color="auto"/>
              <w:left w:val="single" w:sz="8" w:space="0" w:color="auto"/>
              <w:bottom w:val="nil"/>
              <w:right w:val="single" w:sz="8" w:space="0" w:color="000000" w:themeColor="text1"/>
            </w:tcBorders>
            <w:shd w:val="clear" w:color="auto" w:fill="C0C0C0"/>
            <w:tcMar>
              <w:left w:w="70" w:type="dxa"/>
              <w:right w:w="70" w:type="dxa"/>
            </w:tcMar>
            <w:vAlign w:val="center"/>
          </w:tcPr>
          <w:p w14:paraId="075EDB78" w14:textId="2069530D"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Poder Ejecutivo del Gobierno del Estado de Yucatán (a)</w:t>
            </w:r>
          </w:p>
        </w:tc>
      </w:tr>
      <w:tr w:rsidR="5D3FC234" w:rsidRPr="000842AA" w14:paraId="69537F62" w14:textId="77777777" w:rsidTr="003466C4">
        <w:trPr>
          <w:trHeight w:val="90"/>
        </w:trPr>
        <w:tc>
          <w:tcPr>
            <w:tcW w:w="5000" w:type="pct"/>
            <w:gridSpan w:val="7"/>
            <w:tcBorders>
              <w:top w:val="nil"/>
              <w:left w:val="single" w:sz="8" w:space="0" w:color="auto"/>
              <w:bottom w:val="nil"/>
              <w:right w:val="single" w:sz="8" w:space="0" w:color="000000" w:themeColor="text1"/>
            </w:tcBorders>
            <w:shd w:val="clear" w:color="auto" w:fill="C0C0C0"/>
            <w:tcMar>
              <w:left w:w="70" w:type="dxa"/>
              <w:right w:w="70" w:type="dxa"/>
            </w:tcMar>
            <w:vAlign w:val="center"/>
          </w:tcPr>
          <w:p w14:paraId="5FB36682" w14:textId="58073367"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Proyecciones de Ingresos - LDF</w:t>
            </w:r>
          </w:p>
        </w:tc>
      </w:tr>
      <w:tr w:rsidR="5D3FC234" w:rsidRPr="000842AA" w14:paraId="66898B82" w14:textId="77777777" w:rsidTr="003466C4">
        <w:trPr>
          <w:trHeight w:val="90"/>
        </w:trPr>
        <w:tc>
          <w:tcPr>
            <w:tcW w:w="5000" w:type="pct"/>
            <w:gridSpan w:val="7"/>
            <w:tcBorders>
              <w:top w:val="nil"/>
              <w:left w:val="single" w:sz="8" w:space="0" w:color="auto"/>
              <w:bottom w:val="nil"/>
              <w:right w:val="single" w:sz="8" w:space="0" w:color="000000" w:themeColor="text1"/>
            </w:tcBorders>
            <w:shd w:val="clear" w:color="auto" w:fill="C0C0C0"/>
            <w:tcMar>
              <w:left w:w="70" w:type="dxa"/>
              <w:right w:w="70" w:type="dxa"/>
            </w:tcMar>
            <w:vAlign w:val="center"/>
          </w:tcPr>
          <w:p w14:paraId="4E390A88" w14:textId="05786BF6"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(PESOS)</w:t>
            </w:r>
          </w:p>
        </w:tc>
      </w:tr>
      <w:tr w:rsidR="5D3FC234" w:rsidRPr="000842AA" w14:paraId="20C614F6" w14:textId="77777777" w:rsidTr="003466C4">
        <w:trPr>
          <w:trHeight w:val="90"/>
        </w:trPr>
        <w:tc>
          <w:tcPr>
            <w:tcW w:w="5000" w:type="pct"/>
            <w:gridSpan w:val="7"/>
            <w:tcBorders>
              <w:top w:val="nil"/>
              <w:left w:val="single" w:sz="8" w:space="0" w:color="auto"/>
              <w:bottom w:val="single" w:sz="8" w:space="0" w:color="auto"/>
              <w:right w:val="single" w:sz="8" w:space="0" w:color="000000" w:themeColor="text1"/>
            </w:tcBorders>
            <w:shd w:val="clear" w:color="auto" w:fill="C0C0C0"/>
            <w:tcMar>
              <w:left w:w="70" w:type="dxa"/>
              <w:right w:w="70" w:type="dxa"/>
            </w:tcMar>
            <w:vAlign w:val="center"/>
          </w:tcPr>
          <w:p w14:paraId="4168C9D5" w14:textId="7E1B12A9"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(CIFRAS NOMINALES)</w:t>
            </w:r>
          </w:p>
        </w:tc>
      </w:tr>
      <w:tr w:rsidR="5D3FC234" w:rsidRPr="000842AA" w14:paraId="377D8A13" w14:textId="77777777" w:rsidTr="003466C4">
        <w:trPr>
          <w:trHeight w:val="360"/>
        </w:trPr>
        <w:tc>
          <w:tcPr>
            <w:tcW w:w="2063" w:type="pct"/>
            <w:tcBorders>
              <w:top w:val="single" w:sz="8" w:space="0" w:color="auto"/>
              <w:left w:val="single" w:sz="8" w:space="0" w:color="auto"/>
              <w:bottom w:val="single" w:sz="8" w:space="0" w:color="000000" w:themeColor="text1"/>
              <w:right w:val="single" w:sz="8" w:space="0" w:color="000000" w:themeColor="text1"/>
            </w:tcBorders>
            <w:shd w:val="clear" w:color="auto" w:fill="C0C0C0"/>
            <w:tcMar>
              <w:left w:w="70" w:type="dxa"/>
              <w:right w:w="70" w:type="dxa"/>
            </w:tcMar>
            <w:vAlign w:val="center"/>
          </w:tcPr>
          <w:p w14:paraId="445292F4" w14:textId="66F0DE5D"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Concepto (b)</w:t>
            </w:r>
          </w:p>
        </w:tc>
        <w:tc>
          <w:tcPr>
            <w:tcW w:w="531" w:type="pct"/>
            <w:tcBorders>
              <w:top w:val="nil"/>
              <w:left w:val="single" w:sz="8" w:space="0" w:color="auto"/>
              <w:bottom w:val="single" w:sz="8" w:space="0" w:color="000000" w:themeColor="text1"/>
              <w:right w:val="single" w:sz="8" w:space="0" w:color="auto"/>
            </w:tcBorders>
            <w:shd w:val="clear" w:color="auto" w:fill="C0C0C0"/>
            <w:tcMar>
              <w:left w:w="70" w:type="dxa"/>
              <w:right w:w="70" w:type="dxa"/>
            </w:tcMar>
            <w:vAlign w:val="center"/>
          </w:tcPr>
          <w:p w14:paraId="45DFEB60" w14:textId="6E6FB272"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2025 (c)</w:t>
            </w:r>
          </w:p>
        </w:tc>
        <w:tc>
          <w:tcPr>
            <w:tcW w:w="531" w:type="pct"/>
            <w:tcBorders>
              <w:top w:val="nil"/>
              <w:left w:val="single" w:sz="8" w:space="0" w:color="auto"/>
              <w:bottom w:val="single" w:sz="8" w:space="0" w:color="000000" w:themeColor="text1"/>
              <w:right w:val="single" w:sz="8" w:space="0" w:color="auto"/>
            </w:tcBorders>
            <w:shd w:val="clear" w:color="auto" w:fill="C0C0C0"/>
            <w:tcMar>
              <w:left w:w="70" w:type="dxa"/>
              <w:right w:w="70" w:type="dxa"/>
            </w:tcMar>
            <w:vAlign w:val="center"/>
          </w:tcPr>
          <w:p w14:paraId="52B06CD4" w14:textId="7FE77727"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2026 (d)</w:t>
            </w:r>
          </w:p>
        </w:tc>
        <w:tc>
          <w:tcPr>
            <w:tcW w:w="474" w:type="pct"/>
            <w:tcBorders>
              <w:top w:val="nil"/>
              <w:left w:val="single" w:sz="8" w:space="0" w:color="auto"/>
              <w:bottom w:val="single" w:sz="8" w:space="0" w:color="000000" w:themeColor="text1"/>
              <w:right w:val="single" w:sz="8" w:space="0" w:color="auto"/>
            </w:tcBorders>
            <w:shd w:val="clear" w:color="auto" w:fill="C0C0C0"/>
            <w:tcMar>
              <w:left w:w="70" w:type="dxa"/>
              <w:right w:w="70" w:type="dxa"/>
            </w:tcMar>
            <w:vAlign w:val="center"/>
          </w:tcPr>
          <w:p w14:paraId="6BEAC8ED" w14:textId="030F5D67"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2027 (d)</w:t>
            </w:r>
          </w:p>
        </w:tc>
        <w:tc>
          <w:tcPr>
            <w:tcW w:w="469" w:type="pct"/>
            <w:tcBorders>
              <w:top w:val="nil"/>
              <w:left w:val="single" w:sz="8" w:space="0" w:color="auto"/>
              <w:bottom w:val="single" w:sz="8" w:space="0" w:color="000000" w:themeColor="text1"/>
              <w:right w:val="single" w:sz="8" w:space="0" w:color="auto"/>
            </w:tcBorders>
            <w:shd w:val="clear" w:color="auto" w:fill="C0C0C0"/>
            <w:tcMar>
              <w:left w:w="70" w:type="dxa"/>
              <w:right w:w="70" w:type="dxa"/>
            </w:tcMar>
            <w:vAlign w:val="center"/>
          </w:tcPr>
          <w:p w14:paraId="6806B3D5" w14:textId="32AD1313"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2028 (d)</w:t>
            </w:r>
          </w:p>
        </w:tc>
        <w:tc>
          <w:tcPr>
            <w:tcW w:w="478" w:type="pct"/>
            <w:tcBorders>
              <w:top w:val="nil"/>
              <w:left w:val="single" w:sz="8" w:space="0" w:color="auto"/>
              <w:bottom w:val="single" w:sz="8" w:space="0" w:color="000000" w:themeColor="text1"/>
              <w:right w:val="single" w:sz="8" w:space="0" w:color="auto"/>
            </w:tcBorders>
            <w:shd w:val="clear" w:color="auto" w:fill="C0C0C0"/>
            <w:tcMar>
              <w:left w:w="70" w:type="dxa"/>
              <w:right w:w="70" w:type="dxa"/>
            </w:tcMar>
            <w:vAlign w:val="center"/>
          </w:tcPr>
          <w:p w14:paraId="60F97EF3" w14:textId="1661D881"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2029 (d)</w:t>
            </w:r>
          </w:p>
        </w:tc>
        <w:tc>
          <w:tcPr>
            <w:tcW w:w="454" w:type="pct"/>
            <w:tcBorders>
              <w:top w:val="nil"/>
              <w:left w:val="single" w:sz="8" w:space="0" w:color="auto"/>
              <w:bottom w:val="single" w:sz="8" w:space="0" w:color="000000" w:themeColor="text1"/>
              <w:right w:val="single" w:sz="8" w:space="0" w:color="000000" w:themeColor="text1"/>
            </w:tcBorders>
            <w:shd w:val="clear" w:color="auto" w:fill="C0C0C0"/>
            <w:tcMar>
              <w:left w:w="70" w:type="dxa"/>
              <w:right w:w="70" w:type="dxa"/>
            </w:tcMar>
            <w:vAlign w:val="center"/>
          </w:tcPr>
          <w:p w14:paraId="03C6A381" w14:textId="15F9CF50"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2030 (d)</w:t>
            </w:r>
          </w:p>
        </w:tc>
      </w:tr>
      <w:tr w:rsidR="5D3FC234" w:rsidRPr="000842AA" w14:paraId="09EBD53D" w14:textId="77777777" w:rsidTr="003466C4">
        <w:trPr>
          <w:trHeight w:val="345"/>
        </w:trPr>
        <w:tc>
          <w:tcPr>
            <w:tcW w:w="2063"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7B050C03" w14:textId="4570E715"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1. Ingresos de Libre Disposición (1=A+B+C+D+E+F+G+H+I+J+K+L)</w:t>
            </w:r>
          </w:p>
        </w:tc>
        <w:tc>
          <w:tcPr>
            <w:tcW w:w="531"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51874D1B" w14:textId="7E057E12"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31,460,820,115.00</w:t>
            </w:r>
          </w:p>
        </w:tc>
        <w:tc>
          <w:tcPr>
            <w:tcW w:w="531"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70B6D6F3" w14:textId="31F5A481"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32,404,644,718.45</w:t>
            </w:r>
          </w:p>
        </w:tc>
        <w:tc>
          <w:tcPr>
            <w:tcW w:w="474"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765A18F4" w14:textId="3934F109"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33,376,784,060.00</w:t>
            </w:r>
          </w:p>
        </w:tc>
        <w:tc>
          <w:tcPr>
            <w:tcW w:w="469"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7914CAE6" w14:textId="23E8DB1C"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34,378,087,581.80</w:t>
            </w:r>
          </w:p>
        </w:tc>
        <w:tc>
          <w:tcPr>
            <w:tcW w:w="478"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211E6B91" w14:textId="4792E115"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35,409,430,209.26</w:t>
            </w:r>
          </w:p>
        </w:tc>
        <w:tc>
          <w:tcPr>
            <w:tcW w:w="454" w:type="pct"/>
            <w:tcBorders>
              <w:top w:val="single" w:sz="8" w:space="0" w:color="000000" w:themeColor="text1"/>
              <w:left w:val="single" w:sz="8" w:space="0" w:color="auto"/>
              <w:bottom w:val="nil"/>
              <w:right w:val="single" w:sz="8" w:space="0" w:color="auto"/>
            </w:tcBorders>
            <w:tcMar>
              <w:left w:w="70" w:type="dxa"/>
              <w:right w:w="70" w:type="dxa"/>
            </w:tcMar>
            <w:vAlign w:val="center"/>
          </w:tcPr>
          <w:p w14:paraId="5A647153" w14:textId="20A1C0FB"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36,471,713,115.5</w:t>
            </w:r>
          </w:p>
        </w:tc>
      </w:tr>
      <w:tr w:rsidR="5D3FC234" w:rsidRPr="000842AA" w14:paraId="0E554062"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47EF8548" w14:textId="1896F855"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A. Impuestos</w:t>
            </w:r>
          </w:p>
        </w:tc>
        <w:tc>
          <w:tcPr>
            <w:tcW w:w="531" w:type="pct"/>
            <w:tcBorders>
              <w:top w:val="nil"/>
              <w:left w:val="single" w:sz="8" w:space="0" w:color="auto"/>
              <w:bottom w:val="nil"/>
              <w:right w:val="single" w:sz="8" w:space="0" w:color="auto"/>
            </w:tcBorders>
            <w:tcMar>
              <w:left w:w="70" w:type="dxa"/>
              <w:right w:w="70" w:type="dxa"/>
            </w:tcMar>
            <w:vAlign w:val="center"/>
          </w:tcPr>
          <w:p w14:paraId="295A917A" w14:textId="0F49AE4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4,458,958,359.00</w:t>
            </w:r>
          </w:p>
        </w:tc>
        <w:tc>
          <w:tcPr>
            <w:tcW w:w="531" w:type="pct"/>
            <w:tcBorders>
              <w:top w:val="nil"/>
              <w:left w:val="single" w:sz="8" w:space="0" w:color="auto"/>
              <w:bottom w:val="nil"/>
              <w:right w:val="single" w:sz="8" w:space="0" w:color="auto"/>
            </w:tcBorders>
            <w:tcMar>
              <w:left w:w="70" w:type="dxa"/>
              <w:right w:w="70" w:type="dxa"/>
            </w:tcMar>
            <w:vAlign w:val="center"/>
          </w:tcPr>
          <w:p w14:paraId="25280881" w14:textId="11F4542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4,592,727,109.77</w:t>
            </w:r>
          </w:p>
        </w:tc>
        <w:tc>
          <w:tcPr>
            <w:tcW w:w="474" w:type="pct"/>
            <w:tcBorders>
              <w:top w:val="nil"/>
              <w:left w:val="single" w:sz="8" w:space="0" w:color="auto"/>
              <w:bottom w:val="nil"/>
              <w:right w:val="single" w:sz="8" w:space="0" w:color="auto"/>
            </w:tcBorders>
            <w:tcMar>
              <w:left w:w="70" w:type="dxa"/>
              <w:right w:w="70" w:type="dxa"/>
            </w:tcMar>
            <w:vAlign w:val="center"/>
          </w:tcPr>
          <w:p w14:paraId="13A22195" w14:textId="61E047B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4,730,508,923.06</w:t>
            </w:r>
          </w:p>
        </w:tc>
        <w:tc>
          <w:tcPr>
            <w:tcW w:w="469" w:type="pct"/>
            <w:tcBorders>
              <w:top w:val="nil"/>
              <w:left w:val="single" w:sz="8" w:space="0" w:color="auto"/>
              <w:bottom w:val="nil"/>
              <w:right w:val="single" w:sz="8" w:space="0" w:color="auto"/>
            </w:tcBorders>
            <w:tcMar>
              <w:left w:w="70" w:type="dxa"/>
              <w:right w:w="70" w:type="dxa"/>
            </w:tcMar>
            <w:vAlign w:val="center"/>
          </w:tcPr>
          <w:p w14:paraId="5EBAE839" w14:textId="61AF9F7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4,872,424,190.75</w:t>
            </w:r>
          </w:p>
        </w:tc>
        <w:tc>
          <w:tcPr>
            <w:tcW w:w="478" w:type="pct"/>
            <w:tcBorders>
              <w:top w:val="nil"/>
              <w:left w:val="single" w:sz="8" w:space="0" w:color="auto"/>
              <w:bottom w:val="nil"/>
              <w:right w:val="single" w:sz="8" w:space="0" w:color="auto"/>
            </w:tcBorders>
            <w:tcMar>
              <w:left w:w="70" w:type="dxa"/>
              <w:right w:w="70" w:type="dxa"/>
            </w:tcMar>
            <w:vAlign w:val="center"/>
          </w:tcPr>
          <w:p w14:paraId="32CECC5C" w14:textId="45A87DC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5,018,596,916.48</w:t>
            </w:r>
          </w:p>
        </w:tc>
        <w:tc>
          <w:tcPr>
            <w:tcW w:w="454" w:type="pct"/>
            <w:tcBorders>
              <w:top w:val="nil"/>
              <w:left w:val="single" w:sz="8" w:space="0" w:color="auto"/>
              <w:bottom w:val="nil"/>
              <w:right w:val="single" w:sz="8" w:space="0" w:color="auto"/>
            </w:tcBorders>
            <w:tcMar>
              <w:left w:w="70" w:type="dxa"/>
              <w:right w:w="70" w:type="dxa"/>
            </w:tcMar>
            <w:vAlign w:val="center"/>
          </w:tcPr>
          <w:p w14:paraId="2CD08DF6" w14:textId="1B4C187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5,169,154,823.97</w:t>
            </w:r>
          </w:p>
        </w:tc>
      </w:tr>
      <w:tr w:rsidR="5D3FC234" w:rsidRPr="000842AA" w14:paraId="78DE1EFE"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542BCC75" w14:textId="6F3DFBB6"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B. Cuotas y Aportaciones de Seguridad Social</w:t>
            </w:r>
          </w:p>
        </w:tc>
        <w:tc>
          <w:tcPr>
            <w:tcW w:w="531" w:type="pct"/>
            <w:tcBorders>
              <w:top w:val="nil"/>
              <w:left w:val="single" w:sz="8" w:space="0" w:color="auto"/>
              <w:bottom w:val="nil"/>
              <w:right w:val="single" w:sz="8" w:space="0" w:color="auto"/>
            </w:tcBorders>
            <w:tcMar>
              <w:left w:w="70" w:type="dxa"/>
              <w:right w:w="70" w:type="dxa"/>
            </w:tcMar>
            <w:vAlign w:val="center"/>
          </w:tcPr>
          <w:p w14:paraId="42A8D49F" w14:textId="4750639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32897D21" w14:textId="2DBACB7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277E6E6D" w14:textId="16F666E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13451236" w14:textId="530C3CE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2729C0B5" w14:textId="5CB5B99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48D0CEDA" w14:textId="1D2C95F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5F5F7F53"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78A1936F" w14:textId="5BD172F2"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C. Contribuciones de Mejoras</w:t>
            </w:r>
          </w:p>
        </w:tc>
        <w:tc>
          <w:tcPr>
            <w:tcW w:w="531" w:type="pct"/>
            <w:tcBorders>
              <w:top w:val="nil"/>
              <w:left w:val="single" w:sz="8" w:space="0" w:color="auto"/>
              <w:bottom w:val="nil"/>
              <w:right w:val="single" w:sz="8" w:space="0" w:color="auto"/>
            </w:tcBorders>
            <w:tcMar>
              <w:left w:w="70" w:type="dxa"/>
              <w:right w:w="70" w:type="dxa"/>
            </w:tcMar>
            <w:vAlign w:val="center"/>
          </w:tcPr>
          <w:p w14:paraId="72ACF3EC" w14:textId="7881C3C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1D5F98F7" w14:textId="2848ADE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0E8917B1" w14:textId="2373F92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75AB11D7" w14:textId="1BEF9B5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2F66BEB4" w14:textId="7E3C729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3EFD5AD3" w14:textId="2FF048B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5B6911FA"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272AB733" w14:textId="12F1A3BD"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D. Derechos</w:t>
            </w:r>
          </w:p>
        </w:tc>
        <w:tc>
          <w:tcPr>
            <w:tcW w:w="531" w:type="pct"/>
            <w:tcBorders>
              <w:top w:val="nil"/>
              <w:left w:val="single" w:sz="8" w:space="0" w:color="auto"/>
              <w:bottom w:val="nil"/>
              <w:right w:val="single" w:sz="8" w:space="0" w:color="auto"/>
            </w:tcBorders>
            <w:tcMar>
              <w:left w:w="70" w:type="dxa"/>
              <w:right w:w="70" w:type="dxa"/>
            </w:tcMar>
            <w:vAlign w:val="center"/>
          </w:tcPr>
          <w:p w14:paraId="2D44B3C7" w14:textId="571E216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2,981,614,397.00</w:t>
            </w:r>
          </w:p>
        </w:tc>
        <w:tc>
          <w:tcPr>
            <w:tcW w:w="531" w:type="pct"/>
            <w:tcBorders>
              <w:top w:val="nil"/>
              <w:left w:val="single" w:sz="8" w:space="0" w:color="auto"/>
              <w:bottom w:val="nil"/>
              <w:right w:val="single" w:sz="8" w:space="0" w:color="auto"/>
            </w:tcBorders>
            <w:tcMar>
              <w:left w:w="70" w:type="dxa"/>
              <w:right w:w="70" w:type="dxa"/>
            </w:tcMar>
            <w:vAlign w:val="center"/>
          </w:tcPr>
          <w:p w14:paraId="4B7EC21B" w14:textId="699A7F2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3,071,062,828.91</w:t>
            </w:r>
          </w:p>
        </w:tc>
        <w:tc>
          <w:tcPr>
            <w:tcW w:w="474" w:type="pct"/>
            <w:tcBorders>
              <w:top w:val="nil"/>
              <w:left w:val="single" w:sz="8" w:space="0" w:color="auto"/>
              <w:bottom w:val="nil"/>
              <w:right w:val="single" w:sz="8" w:space="0" w:color="auto"/>
            </w:tcBorders>
            <w:tcMar>
              <w:left w:w="70" w:type="dxa"/>
              <w:right w:w="70" w:type="dxa"/>
            </w:tcMar>
            <w:vAlign w:val="center"/>
          </w:tcPr>
          <w:p w14:paraId="05D72A01" w14:textId="6035AD5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3,163,194,713.78</w:t>
            </w:r>
          </w:p>
        </w:tc>
        <w:tc>
          <w:tcPr>
            <w:tcW w:w="469" w:type="pct"/>
            <w:tcBorders>
              <w:top w:val="nil"/>
              <w:left w:val="single" w:sz="8" w:space="0" w:color="auto"/>
              <w:bottom w:val="nil"/>
              <w:right w:val="single" w:sz="8" w:space="0" w:color="auto"/>
            </w:tcBorders>
            <w:tcMar>
              <w:left w:w="70" w:type="dxa"/>
              <w:right w:w="70" w:type="dxa"/>
            </w:tcMar>
            <w:vAlign w:val="center"/>
          </w:tcPr>
          <w:p w14:paraId="2A695542" w14:textId="5C91767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3,258,090,555.19</w:t>
            </w:r>
          </w:p>
        </w:tc>
        <w:tc>
          <w:tcPr>
            <w:tcW w:w="478" w:type="pct"/>
            <w:tcBorders>
              <w:top w:val="nil"/>
              <w:left w:val="single" w:sz="8" w:space="0" w:color="auto"/>
              <w:bottom w:val="nil"/>
              <w:right w:val="single" w:sz="8" w:space="0" w:color="auto"/>
            </w:tcBorders>
            <w:tcMar>
              <w:left w:w="70" w:type="dxa"/>
              <w:right w:w="70" w:type="dxa"/>
            </w:tcMar>
            <w:vAlign w:val="center"/>
          </w:tcPr>
          <w:p w14:paraId="7CCCC845" w14:textId="284AE6C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3,355,833,271.85</w:t>
            </w:r>
          </w:p>
        </w:tc>
        <w:tc>
          <w:tcPr>
            <w:tcW w:w="454" w:type="pct"/>
            <w:tcBorders>
              <w:top w:val="nil"/>
              <w:left w:val="single" w:sz="8" w:space="0" w:color="auto"/>
              <w:bottom w:val="nil"/>
              <w:right w:val="single" w:sz="8" w:space="0" w:color="auto"/>
            </w:tcBorders>
            <w:tcMar>
              <w:left w:w="70" w:type="dxa"/>
              <w:right w:w="70" w:type="dxa"/>
            </w:tcMar>
            <w:vAlign w:val="center"/>
          </w:tcPr>
          <w:p w14:paraId="569F1C70" w14:textId="4702822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3,456,508,270.00</w:t>
            </w:r>
          </w:p>
        </w:tc>
      </w:tr>
      <w:tr w:rsidR="5D3FC234" w:rsidRPr="000842AA" w14:paraId="30A31E69"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5EDDB9AB" w14:textId="019B5BDA"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E. Productos</w:t>
            </w:r>
          </w:p>
        </w:tc>
        <w:tc>
          <w:tcPr>
            <w:tcW w:w="531" w:type="pct"/>
            <w:tcBorders>
              <w:top w:val="nil"/>
              <w:left w:val="single" w:sz="8" w:space="0" w:color="auto"/>
              <w:bottom w:val="nil"/>
              <w:right w:val="single" w:sz="8" w:space="0" w:color="auto"/>
            </w:tcBorders>
            <w:tcMar>
              <w:left w:w="70" w:type="dxa"/>
              <w:right w:w="70" w:type="dxa"/>
            </w:tcMar>
            <w:vAlign w:val="center"/>
          </w:tcPr>
          <w:p w14:paraId="62A336EF" w14:textId="48ADA5C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214,553,648.00</w:t>
            </w:r>
          </w:p>
        </w:tc>
        <w:tc>
          <w:tcPr>
            <w:tcW w:w="531" w:type="pct"/>
            <w:tcBorders>
              <w:top w:val="nil"/>
              <w:left w:val="single" w:sz="8" w:space="0" w:color="auto"/>
              <w:bottom w:val="nil"/>
              <w:right w:val="single" w:sz="8" w:space="0" w:color="auto"/>
            </w:tcBorders>
            <w:tcMar>
              <w:left w:w="70" w:type="dxa"/>
              <w:right w:w="70" w:type="dxa"/>
            </w:tcMar>
            <w:vAlign w:val="center"/>
          </w:tcPr>
          <w:p w14:paraId="04AB4EF8" w14:textId="0C37591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220,990,257.44</w:t>
            </w:r>
          </w:p>
        </w:tc>
        <w:tc>
          <w:tcPr>
            <w:tcW w:w="474" w:type="pct"/>
            <w:tcBorders>
              <w:top w:val="nil"/>
              <w:left w:val="single" w:sz="8" w:space="0" w:color="auto"/>
              <w:bottom w:val="nil"/>
              <w:right w:val="single" w:sz="8" w:space="0" w:color="auto"/>
            </w:tcBorders>
            <w:tcMar>
              <w:left w:w="70" w:type="dxa"/>
              <w:right w:w="70" w:type="dxa"/>
            </w:tcMar>
            <w:vAlign w:val="center"/>
          </w:tcPr>
          <w:p w14:paraId="54D05786" w14:textId="73C082C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227,619,965.16</w:t>
            </w:r>
          </w:p>
        </w:tc>
        <w:tc>
          <w:tcPr>
            <w:tcW w:w="469" w:type="pct"/>
            <w:tcBorders>
              <w:top w:val="nil"/>
              <w:left w:val="single" w:sz="8" w:space="0" w:color="auto"/>
              <w:bottom w:val="nil"/>
              <w:right w:val="single" w:sz="8" w:space="0" w:color="auto"/>
            </w:tcBorders>
            <w:tcMar>
              <w:left w:w="70" w:type="dxa"/>
              <w:right w:w="70" w:type="dxa"/>
            </w:tcMar>
            <w:vAlign w:val="center"/>
          </w:tcPr>
          <w:p w14:paraId="38A53837" w14:textId="7F1A5FE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234,448,564.12</w:t>
            </w:r>
          </w:p>
        </w:tc>
        <w:tc>
          <w:tcPr>
            <w:tcW w:w="478" w:type="pct"/>
            <w:tcBorders>
              <w:top w:val="nil"/>
              <w:left w:val="single" w:sz="8" w:space="0" w:color="auto"/>
              <w:bottom w:val="nil"/>
              <w:right w:val="single" w:sz="8" w:space="0" w:color="auto"/>
            </w:tcBorders>
            <w:tcMar>
              <w:left w:w="70" w:type="dxa"/>
              <w:right w:w="70" w:type="dxa"/>
            </w:tcMar>
            <w:vAlign w:val="center"/>
          </w:tcPr>
          <w:p w14:paraId="67171379" w14:textId="2E91F00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241,482,021.04</w:t>
            </w:r>
          </w:p>
        </w:tc>
        <w:tc>
          <w:tcPr>
            <w:tcW w:w="454" w:type="pct"/>
            <w:tcBorders>
              <w:top w:val="nil"/>
              <w:left w:val="single" w:sz="8" w:space="0" w:color="auto"/>
              <w:bottom w:val="nil"/>
              <w:right w:val="single" w:sz="8" w:space="0" w:color="auto"/>
            </w:tcBorders>
            <w:tcMar>
              <w:left w:w="70" w:type="dxa"/>
              <w:right w:w="70" w:type="dxa"/>
            </w:tcMar>
            <w:vAlign w:val="center"/>
          </w:tcPr>
          <w:p w14:paraId="12F2148D" w14:textId="6F83F56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248,726,481.67</w:t>
            </w:r>
          </w:p>
        </w:tc>
      </w:tr>
      <w:tr w:rsidR="5D3FC234" w:rsidRPr="000842AA" w14:paraId="2EF0D68B"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7ED59FAD" w14:textId="126E5099"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F. Aprovechamientos</w:t>
            </w:r>
          </w:p>
        </w:tc>
        <w:tc>
          <w:tcPr>
            <w:tcW w:w="531" w:type="pct"/>
            <w:tcBorders>
              <w:top w:val="nil"/>
              <w:left w:val="single" w:sz="8" w:space="0" w:color="auto"/>
              <w:bottom w:val="nil"/>
              <w:right w:val="single" w:sz="8" w:space="0" w:color="auto"/>
            </w:tcBorders>
            <w:tcMar>
              <w:left w:w="70" w:type="dxa"/>
              <w:right w:w="70" w:type="dxa"/>
            </w:tcMar>
            <w:vAlign w:val="center"/>
          </w:tcPr>
          <w:p w14:paraId="43651BD6" w14:textId="7E046D7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466,441,347.00</w:t>
            </w:r>
          </w:p>
        </w:tc>
        <w:tc>
          <w:tcPr>
            <w:tcW w:w="531" w:type="pct"/>
            <w:tcBorders>
              <w:top w:val="nil"/>
              <w:left w:val="single" w:sz="8" w:space="0" w:color="auto"/>
              <w:bottom w:val="nil"/>
              <w:right w:val="single" w:sz="8" w:space="0" w:color="auto"/>
            </w:tcBorders>
            <w:tcMar>
              <w:left w:w="70" w:type="dxa"/>
              <w:right w:w="70" w:type="dxa"/>
            </w:tcMar>
            <w:vAlign w:val="center"/>
          </w:tcPr>
          <w:p w14:paraId="19EFE7AF" w14:textId="7F9A72D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480,434,587.41</w:t>
            </w:r>
          </w:p>
        </w:tc>
        <w:tc>
          <w:tcPr>
            <w:tcW w:w="474" w:type="pct"/>
            <w:tcBorders>
              <w:top w:val="nil"/>
              <w:left w:val="single" w:sz="8" w:space="0" w:color="auto"/>
              <w:bottom w:val="nil"/>
              <w:right w:val="single" w:sz="8" w:space="0" w:color="auto"/>
            </w:tcBorders>
            <w:tcMar>
              <w:left w:w="70" w:type="dxa"/>
              <w:right w:w="70" w:type="dxa"/>
            </w:tcMar>
            <w:vAlign w:val="center"/>
          </w:tcPr>
          <w:p w14:paraId="701296C1" w14:textId="0D3631D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494,847,625.03</w:t>
            </w:r>
          </w:p>
        </w:tc>
        <w:tc>
          <w:tcPr>
            <w:tcW w:w="469" w:type="pct"/>
            <w:tcBorders>
              <w:top w:val="nil"/>
              <w:left w:val="single" w:sz="8" w:space="0" w:color="auto"/>
              <w:bottom w:val="nil"/>
              <w:right w:val="single" w:sz="8" w:space="0" w:color="auto"/>
            </w:tcBorders>
            <w:tcMar>
              <w:left w:w="70" w:type="dxa"/>
              <w:right w:w="70" w:type="dxa"/>
            </w:tcMar>
            <w:vAlign w:val="center"/>
          </w:tcPr>
          <w:p w14:paraId="09F72EE2" w14:textId="04EA607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509,693,053.78</w:t>
            </w:r>
          </w:p>
        </w:tc>
        <w:tc>
          <w:tcPr>
            <w:tcW w:w="478" w:type="pct"/>
            <w:tcBorders>
              <w:top w:val="nil"/>
              <w:left w:val="single" w:sz="8" w:space="0" w:color="auto"/>
              <w:bottom w:val="nil"/>
              <w:right w:val="single" w:sz="8" w:space="0" w:color="auto"/>
            </w:tcBorders>
            <w:tcMar>
              <w:left w:w="70" w:type="dxa"/>
              <w:right w:w="70" w:type="dxa"/>
            </w:tcMar>
            <w:vAlign w:val="center"/>
          </w:tcPr>
          <w:p w14:paraId="013CBEEE" w14:textId="5DBEB27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524,983,845.40</w:t>
            </w:r>
          </w:p>
        </w:tc>
        <w:tc>
          <w:tcPr>
            <w:tcW w:w="454" w:type="pct"/>
            <w:tcBorders>
              <w:top w:val="nil"/>
              <w:left w:val="single" w:sz="8" w:space="0" w:color="auto"/>
              <w:bottom w:val="nil"/>
              <w:right w:val="single" w:sz="8" w:space="0" w:color="auto"/>
            </w:tcBorders>
            <w:tcMar>
              <w:left w:w="70" w:type="dxa"/>
              <w:right w:w="70" w:type="dxa"/>
            </w:tcMar>
            <w:vAlign w:val="center"/>
          </w:tcPr>
          <w:p w14:paraId="21D004D9" w14:textId="10D29C3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540,733,360.76</w:t>
            </w:r>
          </w:p>
        </w:tc>
      </w:tr>
      <w:tr w:rsidR="5D3FC234" w:rsidRPr="000842AA" w14:paraId="28EBD36E"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04034118" w14:textId="201E80A7"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G. Ingresos por Ventas de Bienes y Servicios</w:t>
            </w:r>
          </w:p>
        </w:tc>
        <w:tc>
          <w:tcPr>
            <w:tcW w:w="531" w:type="pct"/>
            <w:tcBorders>
              <w:top w:val="nil"/>
              <w:left w:val="single" w:sz="8" w:space="0" w:color="auto"/>
              <w:bottom w:val="nil"/>
              <w:right w:val="single" w:sz="8" w:space="0" w:color="auto"/>
            </w:tcBorders>
            <w:tcMar>
              <w:left w:w="70" w:type="dxa"/>
              <w:right w:w="70" w:type="dxa"/>
            </w:tcMar>
            <w:vAlign w:val="center"/>
          </w:tcPr>
          <w:p w14:paraId="61F55EF1" w14:textId="2BC3E28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6E2F6E65" w14:textId="5B9EDCB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675CAB79" w14:textId="3D4D5B1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6F46BDD1" w14:textId="1C9C488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62AE557B" w14:textId="5AF5432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56C89B33" w14:textId="544EF0B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78F9DCFD"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2A59A42C" w14:textId="1525301A"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H. Participaciones</w:t>
            </w:r>
          </w:p>
        </w:tc>
        <w:tc>
          <w:tcPr>
            <w:tcW w:w="531" w:type="pct"/>
            <w:tcBorders>
              <w:top w:val="nil"/>
              <w:left w:val="single" w:sz="8" w:space="0" w:color="auto"/>
              <w:bottom w:val="nil"/>
              <w:right w:val="single" w:sz="8" w:space="0" w:color="auto"/>
            </w:tcBorders>
            <w:tcMar>
              <w:left w:w="70" w:type="dxa"/>
              <w:right w:w="70" w:type="dxa"/>
            </w:tcMar>
            <w:vAlign w:val="center"/>
          </w:tcPr>
          <w:p w14:paraId="3356712D" w14:textId="4E3408E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21,984,013,724.00</w:t>
            </w:r>
          </w:p>
        </w:tc>
        <w:tc>
          <w:tcPr>
            <w:tcW w:w="531" w:type="pct"/>
            <w:tcBorders>
              <w:top w:val="nil"/>
              <w:left w:val="single" w:sz="8" w:space="0" w:color="auto"/>
              <w:bottom w:val="nil"/>
              <w:right w:val="single" w:sz="8" w:space="0" w:color="auto"/>
            </w:tcBorders>
            <w:tcMar>
              <w:left w:w="70" w:type="dxa"/>
              <w:right w:w="70" w:type="dxa"/>
            </w:tcMar>
            <w:vAlign w:val="center"/>
          </w:tcPr>
          <w:p w14:paraId="2F9A2D33" w14:textId="3F2C71C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22,643,534,135.72</w:t>
            </w:r>
          </w:p>
        </w:tc>
        <w:tc>
          <w:tcPr>
            <w:tcW w:w="474" w:type="pct"/>
            <w:tcBorders>
              <w:top w:val="nil"/>
              <w:left w:val="single" w:sz="8" w:space="0" w:color="auto"/>
              <w:bottom w:val="nil"/>
              <w:right w:val="single" w:sz="8" w:space="0" w:color="auto"/>
            </w:tcBorders>
            <w:tcMar>
              <w:left w:w="70" w:type="dxa"/>
              <w:right w:w="70" w:type="dxa"/>
            </w:tcMar>
            <w:vAlign w:val="center"/>
          </w:tcPr>
          <w:p w14:paraId="732B3B55" w14:textId="30A3271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23,322,840,159.79</w:t>
            </w:r>
          </w:p>
        </w:tc>
        <w:tc>
          <w:tcPr>
            <w:tcW w:w="469" w:type="pct"/>
            <w:tcBorders>
              <w:top w:val="nil"/>
              <w:left w:val="single" w:sz="8" w:space="0" w:color="auto"/>
              <w:bottom w:val="nil"/>
              <w:right w:val="single" w:sz="8" w:space="0" w:color="auto"/>
            </w:tcBorders>
            <w:tcMar>
              <w:left w:w="70" w:type="dxa"/>
              <w:right w:w="70" w:type="dxa"/>
            </w:tcMar>
            <w:vAlign w:val="center"/>
          </w:tcPr>
          <w:p w14:paraId="3F7B9432" w14:textId="748AAFF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24,022,525,364.59</w:t>
            </w:r>
          </w:p>
        </w:tc>
        <w:tc>
          <w:tcPr>
            <w:tcW w:w="478" w:type="pct"/>
            <w:tcBorders>
              <w:top w:val="nil"/>
              <w:left w:val="single" w:sz="8" w:space="0" w:color="auto"/>
              <w:bottom w:val="nil"/>
              <w:right w:val="single" w:sz="8" w:space="0" w:color="auto"/>
            </w:tcBorders>
            <w:tcMar>
              <w:left w:w="70" w:type="dxa"/>
              <w:right w:w="70" w:type="dxa"/>
            </w:tcMar>
            <w:vAlign w:val="center"/>
          </w:tcPr>
          <w:p w14:paraId="609700A0" w14:textId="226E713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24,743,201,125.52</w:t>
            </w:r>
          </w:p>
        </w:tc>
        <w:tc>
          <w:tcPr>
            <w:tcW w:w="454" w:type="pct"/>
            <w:tcBorders>
              <w:top w:val="nil"/>
              <w:left w:val="single" w:sz="8" w:space="0" w:color="auto"/>
              <w:bottom w:val="nil"/>
              <w:right w:val="single" w:sz="8" w:space="0" w:color="auto"/>
            </w:tcBorders>
            <w:tcMar>
              <w:left w:w="70" w:type="dxa"/>
              <w:right w:w="70" w:type="dxa"/>
            </w:tcMar>
            <w:vAlign w:val="center"/>
          </w:tcPr>
          <w:p w14:paraId="6D76243B" w14:textId="057D01D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25,485,497,159.2</w:t>
            </w:r>
          </w:p>
        </w:tc>
      </w:tr>
      <w:tr w:rsidR="5D3FC234" w:rsidRPr="000842AA" w14:paraId="7783D34F"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25F17FE8" w14:textId="03633DA9" w:rsidR="5D3FC234" w:rsidRPr="000842AA" w:rsidRDefault="5D3FC234" w:rsidP="003B4D0B">
            <w:pPr>
              <w:spacing w:after="0" w:line="240" w:lineRule="auto"/>
              <w:ind w:left="203" w:firstLine="14"/>
              <w:jc w:val="both"/>
              <w:rPr>
                <w:rFonts w:ascii="Arial" w:hAnsi="Arial" w:cs="Arial"/>
                <w:sz w:val="16"/>
                <w:szCs w:val="16"/>
              </w:rPr>
            </w:pPr>
            <w:r w:rsidRPr="000842AA">
              <w:rPr>
                <w:rFonts w:ascii="Arial" w:eastAsia="Arial" w:hAnsi="Arial" w:cs="Arial"/>
                <w:color w:val="000000" w:themeColor="text1"/>
                <w:sz w:val="16"/>
                <w:szCs w:val="16"/>
              </w:rPr>
              <w:t>I. Incentivos Derivados de la Colaboración Fiscal</w:t>
            </w:r>
          </w:p>
        </w:tc>
        <w:tc>
          <w:tcPr>
            <w:tcW w:w="531" w:type="pct"/>
            <w:tcBorders>
              <w:top w:val="nil"/>
              <w:left w:val="single" w:sz="8" w:space="0" w:color="auto"/>
              <w:bottom w:val="nil"/>
              <w:right w:val="single" w:sz="8" w:space="0" w:color="auto"/>
            </w:tcBorders>
            <w:tcMar>
              <w:left w:w="70" w:type="dxa"/>
              <w:right w:w="70" w:type="dxa"/>
            </w:tcMar>
            <w:vAlign w:val="center"/>
          </w:tcPr>
          <w:p w14:paraId="4E5E3C1E" w14:textId="699153F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1,355,238,640.00</w:t>
            </w:r>
          </w:p>
        </w:tc>
        <w:tc>
          <w:tcPr>
            <w:tcW w:w="531" w:type="pct"/>
            <w:tcBorders>
              <w:top w:val="nil"/>
              <w:left w:val="single" w:sz="8" w:space="0" w:color="auto"/>
              <w:bottom w:val="nil"/>
              <w:right w:val="single" w:sz="8" w:space="0" w:color="auto"/>
            </w:tcBorders>
            <w:tcMar>
              <w:left w:w="70" w:type="dxa"/>
              <w:right w:w="70" w:type="dxa"/>
            </w:tcMar>
            <w:vAlign w:val="center"/>
          </w:tcPr>
          <w:p w14:paraId="0A0E36D7" w14:textId="7244E5B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1,395,895,799.20</w:t>
            </w:r>
          </w:p>
        </w:tc>
        <w:tc>
          <w:tcPr>
            <w:tcW w:w="474" w:type="pct"/>
            <w:tcBorders>
              <w:top w:val="nil"/>
              <w:left w:val="single" w:sz="8" w:space="0" w:color="auto"/>
              <w:bottom w:val="nil"/>
              <w:right w:val="single" w:sz="8" w:space="0" w:color="auto"/>
            </w:tcBorders>
            <w:tcMar>
              <w:left w:w="70" w:type="dxa"/>
              <w:right w:w="70" w:type="dxa"/>
            </w:tcMar>
            <w:vAlign w:val="center"/>
          </w:tcPr>
          <w:p w14:paraId="655D2768" w14:textId="42A8BFD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1,437,772,673.18</w:t>
            </w:r>
          </w:p>
        </w:tc>
        <w:tc>
          <w:tcPr>
            <w:tcW w:w="469" w:type="pct"/>
            <w:tcBorders>
              <w:top w:val="nil"/>
              <w:left w:val="single" w:sz="8" w:space="0" w:color="auto"/>
              <w:bottom w:val="nil"/>
              <w:right w:val="single" w:sz="8" w:space="0" w:color="auto"/>
            </w:tcBorders>
            <w:tcMar>
              <w:left w:w="70" w:type="dxa"/>
              <w:right w:w="70" w:type="dxa"/>
            </w:tcMar>
            <w:vAlign w:val="center"/>
          </w:tcPr>
          <w:p w14:paraId="2328CE59" w14:textId="2B5B00F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1,480,905,853.37</w:t>
            </w:r>
          </w:p>
        </w:tc>
        <w:tc>
          <w:tcPr>
            <w:tcW w:w="478" w:type="pct"/>
            <w:tcBorders>
              <w:top w:val="nil"/>
              <w:left w:val="single" w:sz="8" w:space="0" w:color="auto"/>
              <w:bottom w:val="nil"/>
              <w:right w:val="single" w:sz="8" w:space="0" w:color="auto"/>
            </w:tcBorders>
            <w:tcMar>
              <w:left w:w="70" w:type="dxa"/>
              <w:right w:w="70" w:type="dxa"/>
            </w:tcMar>
            <w:vAlign w:val="center"/>
          </w:tcPr>
          <w:p w14:paraId="4522256C" w14:textId="6B57CD5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1,525,333,028.97</w:t>
            </w:r>
          </w:p>
        </w:tc>
        <w:tc>
          <w:tcPr>
            <w:tcW w:w="454" w:type="pct"/>
            <w:tcBorders>
              <w:top w:val="nil"/>
              <w:left w:val="single" w:sz="8" w:space="0" w:color="auto"/>
              <w:bottom w:val="nil"/>
              <w:right w:val="single" w:sz="8" w:space="0" w:color="auto"/>
            </w:tcBorders>
            <w:tcMar>
              <w:left w:w="70" w:type="dxa"/>
              <w:right w:w="70" w:type="dxa"/>
            </w:tcMar>
            <w:vAlign w:val="center"/>
          </w:tcPr>
          <w:p w14:paraId="437828FA" w14:textId="05E5D5A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1,571,093,019.84</w:t>
            </w:r>
          </w:p>
        </w:tc>
      </w:tr>
      <w:tr w:rsidR="5D3FC234" w:rsidRPr="000842AA" w14:paraId="183C782F"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7B6261BF" w14:textId="4FA2679F"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 xml:space="preserve">J. Transferencias </w:t>
            </w:r>
            <w:r w:rsidR="00870349" w:rsidRPr="000842AA">
              <w:rPr>
                <w:rFonts w:ascii="Arial" w:eastAsia="Arial" w:hAnsi="Arial" w:cs="Arial"/>
                <w:color w:val="000000" w:themeColor="text1"/>
                <w:sz w:val="16"/>
                <w:szCs w:val="16"/>
              </w:rPr>
              <w:t>y</w:t>
            </w:r>
            <w:r w:rsidRPr="000842AA">
              <w:rPr>
                <w:rFonts w:ascii="Arial" w:eastAsia="Arial" w:hAnsi="Arial" w:cs="Arial"/>
                <w:color w:val="000000" w:themeColor="text1"/>
                <w:sz w:val="16"/>
                <w:szCs w:val="16"/>
              </w:rPr>
              <w:t xml:space="preserve"> Asignaciones</w:t>
            </w:r>
          </w:p>
        </w:tc>
        <w:tc>
          <w:tcPr>
            <w:tcW w:w="531" w:type="pct"/>
            <w:tcBorders>
              <w:top w:val="nil"/>
              <w:left w:val="single" w:sz="8" w:space="0" w:color="auto"/>
              <w:bottom w:val="nil"/>
              <w:right w:val="single" w:sz="8" w:space="0" w:color="auto"/>
            </w:tcBorders>
            <w:tcMar>
              <w:left w:w="70" w:type="dxa"/>
              <w:right w:w="70" w:type="dxa"/>
            </w:tcMar>
            <w:vAlign w:val="center"/>
          </w:tcPr>
          <w:p w14:paraId="7D12CAD9" w14:textId="497263F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27A55D36" w14:textId="6FBD5D9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1E65FCE2" w14:textId="700AA9C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457391D6" w14:textId="5ED2402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589C7A14" w14:textId="6125C9C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139BBA30" w14:textId="1DD1D13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46B3D952"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010A0D6D" w14:textId="2E16E738"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K. Convenios</w:t>
            </w:r>
          </w:p>
        </w:tc>
        <w:tc>
          <w:tcPr>
            <w:tcW w:w="531" w:type="pct"/>
            <w:tcBorders>
              <w:top w:val="nil"/>
              <w:left w:val="single" w:sz="8" w:space="0" w:color="auto"/>
              <w:bottom w:val="nil"/>
              <w:right w:val="single" w:sz="8" w:space="0" w:color="auto"/>
            </w:tcBorders>
            <w:tcMar>
              <w:left w:w="70" w:type="dxa"/>
              <w:right w:w="70" w:type="dxa"/>
            </w:tcMar>
            <w:vAlign w:val="center"/>
          </w:tcPr>
          <w:p w14:paraId="6C263198" w14:textId="6A8DCE1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226D9C52" w14:textId="55E745F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42632FD4" w14:textId="39A3685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5AD4A442" w14:textId="1F70DCB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3B7E050F" w14:textId="0779E0F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4D8F2A52" w14:textId="2DDF8BC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6A5C8A69"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6AC04541" w14:textId="04D98BD1"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L. Otros Ingresos de Libre Disposición</w:t>
            </w:r>
          </w:p>
        </w:tc>
        <w:tc>
          <w:tcPr>
            <w:tcW w:w="531" w:type="pct"/>
            <w:tcBorders>
              <w:top w:val="nil"/>
              <w:left w:val="single" w:sz="8" w:space="0" w:color="auto"/>
              <w:bottom w:val="nil"/>
              <w:right w:val="single" w:sz="8" w:space="0" w:color="auto"/>
            </w:tcBorders>
            <w:tcMar>
              <w:left w:w="70" w:type="dxa"/>
              <w:right w:w="70" w:type="dxa"/>
            </w:tcMar>
            <w:vAlign w:val="center"/>
          </w:tcPr>
          <w:p w14:paraId="1A59C49B" w14:textId="695B004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2C5BB8DC" w14:textId="09FFF95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03A02C88" w14:textId="04B3578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7D68062D" w14:textId="72B118D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7BA63669" w14:textId="6BEFA42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73AD0F2D" w14:textId="76B86B2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24C64011" w14:textId="77777777" w:rsidTr="003466C4">
        <w:trPr>
          <w:trHeight w:val="345"/>
        </w:trPr>
        <w:tc>
          <w:tcPr>
            <w:tcW w:w="2063" w:type="pct"/>
            <w:tcBorders>
              <w:top w:val="nil"/>
              <w:left w:val="single" w:sz="8" w:space="0" w:color="auto"/>
              <w:bottom w:val="nil"/>
              <w:right w:val="single" w:sz="8" w:space="0" w:color="auto"/>
            </w:tcBorders>
            <w:tcMar>
              <w:left w:w="70" w:type="dxa"/>
              <w:right w:w="70" w:type="dxa"/>
            </w:tcMar>
            <w:vAlign w:val="center"/>
          </w:tcPr>
          <w:p w14:paraId="64B59C85" w14:textId="4B493E5C"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2. Transferencias Federales Etiquetadas (2=A+B+C+D+E)</w:t>
            </w:r>
          </w:p>
        </w:tc>
        <w:tc>
          <w:tcPr>
            <w:tcW w:w="531" w:type="pct"/>
            <w:tcBorders>
              <w:top w:val="nil"/>
              <w:left w:val="single" w:sz="8" w:space="0" w:color="auto"/>
              <w:bottom w:val="nil"/>
              <w:right w:val="single" w:sz="8" w:space="0" w:color="auto"/>
            </w:tcBorders>
            <w:tcMar>
              <w:left w:w="70" w:type="dxa"/>
              <w:right w:w="70" w:type="dxa"/>
            </w:tcMar>
            <w:vAlign w:val="center"/>
          </w:tcPr>
          <w:p w14:paraId="33807312" w14:textId="04AECB9C"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24,285,167,078.00</w:t>
            </w:r>
          </w:p>
        </w:tc>
        <w:tc>
          <w:tcPr>
            <w:tcW w:w="531" w:type="pct"/>
            <w:tcBorders>
              <w:top w:val="nil"/>
              <w:left w:val="single" w:sz="8" w:space="0" w:color="auto"/>
              <w:bottom w:val="nil"/>
              <w:right w:val="single" w:sz="8" w:space="0" w:color="auto"/>
            </w:tcBorders>
            <w:tcMar>
              <w:left w:w="70" w:type="dxa"/>
              <w:right w:w="70" w:type="dxa"/>
            </w:tcMar>
            <w:vAlign w:val="center"/>
          </w:tcPr>
          <w:p w14:paraId="60FA768F" w14:textId="6C2939F4"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25,013,722,090.34</w:t>
            </w:r>
          </w:p>
        </w:tc>
        <w:tc>
          <w:tcPr>
            <w:tcW w:w="474" w:type="pct"/>
            <w:tcBorders>
              <w:top w:val="nil"/>
              <w:left w:val="single" w:sz="8" w:space="0" w:color="auto"/>
              <w:bottom w:val="nil"/>
              <w:right w:val="single" w:sz="8" w:space="0" w:color="auto"/>
            </w:tcBorders>
            <w:tcMar>
              <w:left w:w="70" w:type="dxa"/>
              <w:right w:w="70" w:type="dxa"/>
            </w:tcMar>
            <w:vAlign w:val="center"/>
          </w:tcPr>
          <w:p w14:paraId="671A3B14" w14:textId="65C47595"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25,764,133,753.05</w:t>
            </w:r>
          </w:p>
        </w:tc>
        <w:tc>
          <w:tcPr>
            <w:tcW w:w="469" w:type="pct"/>
            <w:tcBorders>
              <w:top w:val="nil"/>
              <w:left w:val="single" w:sz="8" w:space="0" w:color="auto"/>
              <w:bottom w:val="nil"/>
              <w:right w:val="single" w:sz="8" w:space="0" w:color="auto"/>
            </w:tcBorders>
            <w:tcMar>
              <w:left w:w="70" w:type="dxa"/>
              <w:right w:w="70" w:type="dxa"/>
            </w:tcMar>
            <w:vAlign w:val="center"/>
          </w:tcPr>
          <w:p w14:paraId="67E45628" w14:textId="5357AC84"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26,537,057,765.64</w:t>
            </w:r>
          </w:p>
        </w:tc>
        <w:tc>
          <w:tcPr>
            <w:tcW w:w="478" w:type="pct"/>
            <w:tcBorders>
              <w:top w:val="nil"/>
              <w:left w:val="single" w:sz="8" w:space="0" w:color="auto"/>
              <w:bottom w:val="nil"/>
              <w:right w:val="single" w:sz="8" w:space="0" w:color="auto"/>
            </w:tcBorders>
            <w:tcMar>
              <w:left w:w="70" w:type="dxa"/>
              <w:right w:w="70" w:type="dxa"/>
            </w:tcMar>
            <w:vAlign w:val="center"/>
          </w:tcPr>
          <w:p w14:paraId="5EF69E76" w14:textId="0E440B88"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27,333,169,498.61</w:t>
            </w:r>
          </w:p>
        </w:tc>
        <w:tc>
          <w:tcPr>
            <w:tcW w:w="454" w:type="pct"/>
            <w:tcBorders>
              <w:top w:val="nil"/>
              <w:left w:val="single" w:sz="8" w:space="0" w:color="auto"/>
              <w:bottom w:val="nil"/>
              <w:right w:val="single" w:sz="8" w:space="0" w:color="auto"/>
            </w:tcBorders>
            <w:tcMar>
              <w:left w:w="70" w:type="dxa"/>
              <w:right w:w="70" w:type="dxa"/>
            </w:tcMar>
            <w:vAlign w:val="center"/>
          </w:tcPr>
          <w:p w14:paraId="1FD7C266" w14:textId="28600478"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28,153,164,583.5</w:t>
            </w:r>
          </w:p>
        </w:tc>
      </w:tr>
      <w:tr w:rsidR="5D3FC234" w:rsidRPr="000842AA" w14:paraId="65E78B57"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1A4285D6" w14:textId="50FAEA8F"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A. Aportaciones</w:t>
            </w:r>
          </w:p>
        </w:tc>
        <w:tc>
          <w:tcPr>
            <w:tcW w:w="531" w:type="pct"/>
            <w:tcBorders>
              <w:top w:val="nil"/>
              <w:left w:val="single" w:sz="8" w:space="0" w:color="auto"/>
              <w:bottom w:val="nil"/>
              <w:right w:val="single" w:sz="8" w:space="0" w:color="auto"/>
            </w:tcBorders>
            <w:tcMar>
              <w:left w:w="70" w:type="dxa"/>
              <w:right w:w="70" w:type="dxa"/>
            </w:tcMar>
            <w:vAlign w:val="center"/>
          </w:tcPr>
          <w:p w14:paraId="1DE76D85" w14:textId="2DECC32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18,997,335,227.00</w:t>
            </w:r>
          </w:p>
        </w:tc>
        <w:tc>
          <w:tcPr>
            <w:tcW w:w="531" w:type="pct"/>
            <w:tcBorders>
              <w:top w:val="nil"/>
              <w:left w:val="single" w:sz="8" w:space="0" w:color="auto"/>
              <w:bottom w:val="nil"/>
              <w:right w:val="single" w:sz="8" w:space="0" w:color="auto"/>
            </w:tcBorders>
            <w:tcMar>
              <w:left w:w="70" w:type="dxa"/>
              <w:right w:w="70" w:type="dxa"/>
            </w:tcMar>
            <w:vAlign w:val="center"/>
          </w:tcPr>
          <w:p w14:paraId="2BF6190D" w14:textId="75FE8C8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19,567,255,283.81</w:t>
            </w:r>
          </w:p>
        </w:tc>
        <w:tc>
          <w:tcPr>
            <w:tcW w:w="474" w:type="pct"/>
            <w:tcBorders>
              <w:top w:val="nil"/>
              <w:left w:val="single" w:sz="8" w:space="0" w:color="auto"/>
              <w:bottom w:val="nil"/>
              <w:right w:val="single" w:sz="8" w:space="0" w:color="auto"/>
            </w:tcBorders>
            <w:tcMar>
              <w:left w:w="70" w:type="dxa"/>
              <w:right w:w="70" w:type="dxa"/>
            </w:tcMar>
            <w:vAlign w:val="center"/>
          </w:tcPr>
          <w:p w14:paraId="2A888CDD" w14:textId="63C7F4D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20,154,272,942.32</w:t>
            </w:r>
          </w:p>
        </w:tc>
        <w:tc>
          <w:tcPr>
            <w:tcW w:w="469" w:type="pct"/>
            <w:tcBorders>
              <w:top w:val="nil"/>
              <w:left w:val="single" w:sz="8" w:space="0" w:color="auto"/>
              <w:bottom w:val="nil"/>
              <w:right w:val="single" w:sz="8" w:space="0" w:color="auto"/>
            </w:tcBorders>
            <w:tcMar>
              <w:left w:w="70" w:type="dxa"/>
              <w:right w:w="70" w:type="dxa"/>
            </w:tcMar>
            <w:vAlign w:val="center"/>
          </w:tcPr>
          <w:p w14:paraId="6A55750C" w14:textId="4B092CC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20,758,901,130.59</w:t>
            </w:r>
          </w:p>
        </w:tc>
        <w:tc>
          <w:tcPr>
            <w:tcW w:w="478" w:type="pct"/>
            <w:tcBorders>
              <w:top w:val="nil"/>
              <w:left w:val="single" w:sz="8" w:space="0" w:color="auto"/>
              <w:bottom w:val="nil"/>
              <w:right w:val="single" w:sz="8" w:space="0" w:color="auto"/>
            </w:tcBorders>
            <w:tcMar>
              <w:left w:w="70" w:type="dxa"/>
              <w:right w:w="70" w:type="dxa"/>
            </w:tcMar>
            <w:vAlign w:val="center"/>
          </w:tcPr>
          <w:p w14:paraId="7D9A3C17" w14:textId="3AFABC7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21,381,668,164.51</w:t>
            </w:r>
          </w:p>
        </w:tc>
        <w:tc>
          <w:tcPr>
            <w:tcW w:w="454" w:type="pct"/>
            <w:tcBorders>
              <w:top w:val="nil"/>
              <w:left w:val="single" w:sz="8" w:space="0" w:color="auto"/>
              <w:bottom w:val="nil"/>
              <w:right w:val="single" w:sz="8" w:space="0" w:color="auto"/>
            </w:tcBorders>
            <w:tcMar>
              <w:left w:w="70" w:type="dxa"/>
              <w:right w:w="70" w:type="dxa"/>
            </w:tcMar>
            <w:vAlign w:val="center"/>
          </w:tcPr>
          <w:p w14:paraId="1FEC9BE2" w14:textId="12F96F9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22,023,118,209.4</w:t>
            </w:r>
          </w:p>
        </w:tc>
      </w:tr>
      <w:tr w:rsidR="5D3FC234" w:rsidRPr="000842AA" w14:paraId="618C2A41"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777F6517" w14:textId="1EB4D219"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B. Convenios</w:t>
            </w:r>
          </w:p>
        </w:tc>
        <w:tc>
          <w:tcPr>
            <w:tcW w:w="531" w:type="pct"/>
            <w:tcBorders>
              <w:top w:val="nil"/>
              <w:left w:val="single" w:sz="8" w:space="0" w:color="auto"/>
              <w:bottom w:val="nil"/>
              <w:right w:val="single" w:sz="8" w:space="0" w:color="auto"/>
            </w:tcBorders>
            <w:tcMar>
              <w:left w:w="70" w:type="dxa"/>
              <w:right w:w="70" w:type="dxa"/>
            </w:tcMar>
            <w:vAlign w:val="center"/>
          </w:tcPr>
          <w:p w14:paraId="4193095B" w14:textId="716552A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2,882,147,164.00</w:t>
            </w:r>
          </w:p>
        </w:tc>
        <w:tc>
          <w:tcPr>
            <w:tcW w:w="531" w:type="pct"/>
            <w:tcBorders>
              <w:top w:val="nil"/>
              <w:left w:val="single" w:sz="8" w:space="0" w:color="auto"/>
              <w:bottom w:val="nil"/>
              <w:right w:val="single" w:sz="8" w:space="0" w:color="auto"/>
            </w:tcBorders>
            <w:tcMar>
              <w:left w:w="70" w:type="dxa"/>
              <w:right w:w="70" w:type="dxa"/>
            </w:tcMar>
            <w:vAlign w:val="center"/>
          </w:tcPr>
          <w:p w14:paraId="4965EFA4" w14:textId="13315B7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2,968,611,578.92</w:t>
            </w:r>
          </w:p>
        </w:tc>
        <w:tc>
          <w:tcPr>
            <w:tcW w:w="474" w:type="pct"/>
            <w:tcBorders>
              <w:top w:val="nil"/>
              <w:left w:val="single" w:sz="8" w:space="0" w:color="auto"/>
              <w:bottom w:val="nil"/>
              <w:right w:val="single" w:sz="8" w:space="0" w:color="auto"/>
            </w:tcBorders>
            <w:tcMar>
              <w:left w:w="70" w:type="dxa"/>
              <w:right w:w="70" w:type="dxa"/>
            </w:tcMar>
            <w:vAlign w:val="center"/>
          </w:tcPr>
          <w:p w14:paraId="78C34F1D" w14:textId="3D06BDA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3,057,669,926.29</w:t>
            </w:r>
          </w:p>
        </w:tc>
        <w:tc>
          <w:tcPr>
            <w:tcW w:w="469" w:type="pct"/>
            <w:tcBorders>
              <w:top w:val="nil"/>
              <w:left w:val="single" w:sz="8" w:space="0" w:color="auto"/>
              <w:bottom w:val="nil"/>
              <w:right w:val="single" w:sz="8" w:space="0" w:color="auto"/>
            </w:tcBorders>
            <w:tcMar>
              <w:left w:w="70" w:type="dxa"/>
              <w:right w:w="70" w:type="dxa"/>
            </w:tcMar>
            <w:vAlign w:val="center"/>
          </w:tcPr>
          <w:p w14:paraId="7E54063B" w14:textId="7912D2A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3,149,400,024.08</w:t>
            </w:r>
          </w:p>
        </w:tc>
        <w:tc>
          <w:tcPr>
            <w:tcW w:w="478" w:type="pct"/>
            <w:tcBorders>
              <w:top w:val="nil"/>
              <w:left w:val="single" w:sz="8" w:space="0" w:color="auto"/>
              <w:bottom w:val="nil"/>
              <w:right w:val="single" w:sz="8" w:space="0" w:color="auto"/>
            </w:tcBorders>
            <w:tcMar>
              <w:left w:w="70" w:type="dxa"/>
              <w:right w:w="70" w:type="dxa"/>
            </w:tcMar>
            <w:vAlign w:val="center"/>
          </w:tcPr>
          <w:p w14:paraId="3370412C" w14:textId="05A47AF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3,243,882,024.80</w:t>
            </w:r>
          </w:p>
        </w:tc>
        <w:tc>
          <w:tcPr>
            <w:tcW w:w="454" w:type="pct"/>
            <w:tcBorders>
              <w:top w:val="nil"/>
              <w:left w:val="single" w:sz="8" w:space="0" w:color="auto"/>
              <w:bottom w:val="nil"/>
              <w:right w:val="single" w:sz="8" w:space="0" w:color="auto"/>
            </w:tcBorders>
            <w:tcMar>
              <w:left w:w="70" w:type="dxa"/>
              <w:right w:w="70" w:type="dxa"/>
            </w:tcMar>
            <w:vAlign w:val="center"/>
          </w:tcPr>
          <w:p w14:paraId="7C19A01D" w14:textId="2F28A4D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3,341,198,485.54</w:t>
            </w:r>
          </w:p>
        </w:tc>
      </w:tr>
      <w:tr w:rsidR="5D3FC234" w:rsidRPr="000842AA" w14:paraId="0D97AF14"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46CC1FA0" w14:textId="176EE4FA"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C. Fondos Distintos de Aportaciones</w:t>
            </w:r>
          </w:p>
        </w:tc>
        <w:tc>
          <w:tcPr>
            <w:tcW w:w="531" w:type="pct"/>
            <w:tcBorders>
              <w:top w:val="nil"/>
              <w:left w:val="single" w:sz="8" w:space="0" w:color="auto"/>
              <w:bottom w:val="nil"/>
              <w:right w:val="single" w:sz="8" w:space="0" w:color="auto"/>
            </w:tcBorders>
            <w:tcMar>
              <w:left w:w="70" w:type="dxa"/>
              <w:right w:w="70" w:type="dxa"/>
            </w:tcMar>
            <w:vAlign w:val="center"/>
          </w:tcPr>
          <w:p w14:paraId="12D50ACD" w14:textId="2FB94C5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5C7213D6" w14:textId="0AC77BA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4857D075" w14:textId="3FF9857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45A2FAEA" w14:textId="3282C65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36AE2C5B" w14:textId="5E12BD7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30DC5E71" w14:textId="6DDFFED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631A5C1E" w14:textId="77777777" w:rsidTr="003466C4">
        <w:trPr>
          <w:trHeight w:val="345"/>
        </w:trPr>
        <w:tc>
          <w:tcPr>
            <w:tcW w:w="2063" w:type="pct"/>
            <w:tcBorders>
              <w:top w:val="nil"/>
              <w:left w:val="single" w:sz="8" w:space="0" w:color="auto"/>
              <w:bottom w:val="nil"/>
              <w:right w:val="single" w:sz="8" w:space="0" w:color="auto"/>
            </w:tcBorders>
            <w:tcMar>
              <w:left w:w="70" w:type="dxa"/>
              <w:right w:w="70" w:type="dxa"/>
            </w:tcMar>
            <w:vAlign w:val="center"/>
          </w:tcPr>
          <w:p w14:paraId="5EF3DF76" w14:textId="187228E7" w:rsidR="5D3FC234" w:rsidRPr="000842AA" w:rsidRDefault="5D3FC234" w:rsidP="003B4D0B">
            <w:pPr>
              <w:spacing w:after="0" w:line="240" w:lineRule="auto"/>
              <w:ind w:left="217"/>
              <w:jc w:val="both"/>
              <w:rPr>
                <w:rFonts w:ascii="Arial" w:hAnsi="Arial" w:cs="Arial"/>
                <w:sz w:val="16"/>
                <w:szCs w:val="16"/>
              </w:rPr>
            </w:pPr>
            <w:r w:rsidRPr="000842AA">
              <w:rPr>
                <w:rFonts w:ascii="Arial" w:eastAsia="Arial" w:hAnsi="Arial" w:cs="Arial"/>
                <w:color w:val="000000" w:themeColor="text1"/>
                <w:sz w:val="16"/>
                <w:szCs w:val="16"/>
              </w:rPr>
              <w:t>D. Transferencias, Asignaciones, Subsidios y Subvenciones, y Pensiones y Jubilaciones</w:t>
            </w:r>
          </w:p>
        </w:tc>
        <w:tc>
          <w:tcPr>
            <w:tcW w:w="531" w:type="pct"/>
            <w:tcBorders>
              <w:top w:val="nil"/>
              <w:left w:val="single" w:sz="8" w:space="0" w:color="auto"/>
              <w:bottom w:val="nil"/>
              <w:right w:val="single" w:sz="8" w:space="0" w:color="auto"/>
            </w:tcBorders>
            <w:tcMar>
              <w:left w:w="70" w:type="dxa"/>
              <w:right w:w="70" w:type="dxa"/>
            </w:tcMar>
            <w:vAlign w:val="center"/>
          </w:tcPr>
          <w:p w14:paraId="0FD1E704" w14:textId="77E9323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2,405,684,687.00</w:t>
            </w:r>
          </w:p>
        </w:tc>
        <w:tc>
          <w:tcPr>
            <w:tcW w:w="531" w:type="pct"/>
            <w:tcBorders>
              <w:top w:val="nil"/>
              <w:left w:val="single" w:sz="8" w:space="0" w:color="auto"/>
              <w:bottom w:val="nil"/>
              <w:right w:val="single" w:sz="8" w:space="0" w:color="auto"/>
            </w:tcBorders>
            <w:tcMar>
              <w:left w:w="70" w:type="dxa"/>
              <w:right w:w="70" w:type="dxa"/>
            </w:tcMar>
            <w:vAlign w:val="center"/>
          </w:tcPr>
          <w:p w14:paraId="08296112" w14:textId="3A7D449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2,477,855,227.61</w:t>
            </w:r>
          </w:p>
        </w:tc>
        <w:tc>
          <w:tcPr>
            <w:tcW w:w="474" w:type="pct"/>
            <w:tcBorders>
              <w:top w:val="nil"/>
              <w:left w:val="single" w:sz="8" w:space="0" w:color="auto"/>
              <w:bottom w:val="nil"/>
              <w:right w:val="single" w:sz="8" w:space="0" w:color="auto"/>
            </w:tcBorders>
            <w:tcMar>
              <w:left w:w="70" w:type="dxa"/>
              <w:right w:w="70" w:type="dxa"/>
            </w:tcMar>
            <w:vAlign w:val="center"/>
          </w:tcPr>
          <w:p w14:paraId="3A42EC85" w14:textId="3710B36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2,552,190,884.44</w:t>
            </w:r>
          </w:p>
        </w:tc>
        <w:tc>
          <w:tcPr>
            <w:tcW w:w="469" w:type="pct"/>
            <w:tcBorders>
              <w:top w:val="nil"/>
              <w:left w:val="single" w:sz="8" w:space="0" w:color="auto"/>
              <w:bottom w:val="nil"/>
              <w:right w:val="single" w:sz="8" w:space="0" w:color="auto"/>
            </w:tcBorders>
            <w:tcMar>
              <w:left w:w="70" w:type="dxa"/>
              <w:right w:w="70" w:type="dxa"/>
            </w:tcMar>
            <w:vAlign w:val="center"/>
          </w:tcPr>
          <w:p w14:paraId="700D8652" w14:textId="1189F9A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2,628,756,610.97</w:t>
            </w:r>
          </w:p>
        </w:tc>
        <w:tc>
          <w:tcPr>
            <w:tcW w:w="478" w:type="pct"/>
            <w:tcBorders>
              <w:top w:val="nil"/>
              <w:left w:val="single" w:sz="8" w:space="0" w:color="auto"/>
              <w:bottom w:val="nil"/>
              <w:right w:val="single" w:sz="8" w:space="0" w:color="auto"/>
            </w:tcBorders>
            <w:tcMar>
              <w:left w:w="70" w:type="dxa"/>
              <w:right w:w="70" w:type="dxa"/>
            </w:tcMar>
            <w:vAlign w:val="center"/>
          </w:tcPr>
          <w:p w14:paraId="707D171A" w14:textId="74A752F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2,707,619,309.30</w:t>
            </w:r>
          </w:p>
        </w:tc>
        <w:tc>
          <w:tcPr>
            <w:tcW w:w="454" w:type="pct"/>
            <w:tcBorders>
              <w:top w:val="nil"/>
              <w:left w:val="single" w:sz="8" w:space="0" w:color="auto"/>
              <w:bottom w:val="nil"/>
              <w:right w:val="single" w:sz="8" w:space="0" w:color="auto"/>
            </w:tcBorders>
            <w:tcMar>
              <w:left w:w="70" w:type="dxa"/>
              <w:right w:w="70" w:type="dxa"/>
            </w:tcMar>
            <w:vAlign w:val="center"/>
          </w:tcPr>
          <w:p w14:paraId="5494959E" w14:textId="409978A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2,788,847,888.58</w:t>
            </w:r>
          </w:p>
        </w:tc>
      </w:tr>
      <w:tr w:rsidR="5D3FC234" w:rsidRPr="000842AA" w14:paraId="4896B84C"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0C2DF69A" w14:textId="5C75A416" w:rsidR="5D3FC234" w:rsidRPr="000842AA" w:rsidRDefault="5D3FC234" w:rsidP="003B4D0B">
            <w:pPr>
              <w:spacing w:after="0" w:line="240" w:lineRule="auto"/>
              <w:ind w:left="203" w:firstLine="14"/>
              <w:jc w:val="both"/>
              <w:rPr>
                <w:rFonts w:ascii="Arial" w:hAnsi="Arial" w:cs="Arial"/>
                <w:sz w:val="16"/>
                <w:szCs w:val="16"/>
              </w:rPr>
            </w:pPr>
            <w:r w:rsidRPr="000842AA">
              <w:rPr>
                <w:rFonts w:ascii="Arial" w:eastAsia="Arial" w:hAnsi="Arial" w:cs="Arial"/>
                <w:color w:val="000000" w:themeColor="text1"/>
                <w:sz w:val="16"/>
                <w:szCs w:val="16"/>
              </w:rPr>
              <w:t>E. Otras Transferencias Federales Etiquetadas</w:t>
            </w:r>
          </w:p>
        </w:tc>
        <w:tc>
          <w:tcPr>
            <w:tcW w:w="531" w:type="pct"/>
            <w:tcBorders>
              <w:top w:val="nil"/>
              <w:left w:val="single" w:sz="8" w:space="0" w:color="auto"/>
              <w:bottom w:val="nil"/>
              <w:right w:val="single" w:sz="8" w:space="0" w:color="auto"/>
            </w:tcBorders>
            <w:tcMar>
              <w:left w:w="70" w:type="dxa"/>
              <w:right w:w="70" w:type="dxa"/>
            </w:tcMar>
            <w:vAlign w:val="center"/>
          </w:tcPr>
          <w:p w14:paraId="26FE2C94" w14:textId="2139AB8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14B6828C" w14:textId="161BAAE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0CEADF21" w14:textId="404C1E9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595DEF5B" w14:textId="3F9F82F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4A395CCF" w14:textId="45322BD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1764578B" w14:textId="5F2B428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0F881448"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0513E334" w14:textId="05EBF4BC"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3. Ingresos Derivados de Financiamientos (3=A)</w:t>
            </w:r>
          </w:p>
        </w:tc>
        <w:tc>
          <w:tcPr>
            <w:tcW w:w="531" w:type="pct"/>
            <w:tcBorders>
              <w:top w:val="nil"/>
              <w:left w:val="single" w:sz="8" w:space="0" w:color="auto"/>
              <w:bottom w:val="nil"/>
              <w:right w:val="single" w:sz="8" w:space="0" w:color="auto"/>
            </w:tcBorders>
            <w:tcMar>
              <w:left w:w="70" w:type="dxa"/>
              <w:right w:w="70" w:type="dxa"/>
            </w:tcMar>
            <w:vAlign w:val="center"/>
          </w:tcPr>
          <w:p w14:paraId="19619CEA" w14:textId="006A4F9B"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1,633,000,000.00</w:t>
            </w:r>
          </w:p>
        </w:tc>
        <w:tc>
          <w:tcPr>
            <w:tcW w:w="531" w:type="pct"/>
            <w:tcBorders>
              <w:top w:val="nil"/>
              <w:left w:val="single" w:sz="8" w:space="0" w:color="auto"/>
              <w:bottom w:val="nil"/>
              <w:right w:val="single" w:sz="8" w:space="0" w:color="auto"/>
            </w:tcBorders>
            <w:tcMar>
              <w:left w:w="70" w:type="dxa"/>
              <w:right w:w="70" w:type="dxa"/>
            </w:tcMar>
            <w:vAlign w:val="center"/>
          </w:tcPr>
          <w:p w14:paraId="0BF4A3F0" w14:textId="14AE612F"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44F1EE73" w14:textId="314E6A86"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7206C457" w14:textId="50FBC1C1"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64B0202D" w14:textId="6B78BA4E"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55C1DBDB" w14:textId="60CAA575"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r>
      <w:tr w:rsidR="5D3FC234" w:rsidRPr="000842AA" w14:paraId="3C4936F7"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1281C027" w14:textId="62CD2DE8" w:rsidR="5D3FC234" w:rsidRPr="000842AA" w:rsidRDefault="5D3FC234" w:rsidP="003466C4">
            <w:pPr>
              <w:spacing w:after="0" w:line="240" w:lineRule="auto"/>
              <w:ind w:firstLine="217"/>
              <w:rPr>
                <w:rFonts w:ascii="Arial" w:hAnsi="Arial" w:cs="Arial"/>
                <w:sz w:val="16"/>
                <w:szCs w:val="16"/>
              </w:rPr>
            </w:pPr>
            <w:r w:rsidRPr="000842AA">
              <w:rPr>
                <w:rFonts w:ascii="Arial" w:eastAsia="Arial" w:hAnsi="Arial" w:cs="Arial"/>
                <w:color w:val="000000" w:themeColor="text1"/>
                <w:sz w:val="16"/>
                <w:szCs w:val="16"/>
              </w:rPr>
              <w:t>A. Ingresos Derivados de Financiamientos</w:t>
            </w:r>
          </w:p>
        </w:tc>
        <w:tc>
          <w:tcPr>
            <w:tcW w:w="531" w:type="pct"/>
            <w:tcBorders>
              <w:top w:val="nil"/>
              <w:left w:val="single" w:sz="8" w:space="0" w:color="auto"/>
              <w:bottom w:val="nil"/>
              <w:right w:val="single" w:sz="8" w:space="0" w:color="auto"/>
            </w:tcBorders>
            <w:tcMar>
              <w:left w:w="70" w:type="dxa"/>
              <w:right w:w="70" w:type="dxa"/>
            </w:tcMar>
            <w:vAlign w:val="center"/>
          </w:tcPr>
          <w:p w14:paraId="48290BA1" w14:textId="123436A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1,633,000,000.00</w:t>
            </w:r>
          </w:p>
        </w:tc>
        <w:tc>
          <w:tcPr>
            <w:tcW w:w="531" w:type="pct"/>
            <w:tcBorders>
              <w:top w:val="nil"/>
              <w:left w:val="single" w:sz="8" w:space="0" w:color="auto"/>
              <w:bottom w:val="nil"/>
              <w:right w:val="single" w:sz="8" w:space="0" w:color="auto"/>
            </w:tcBorders>
            <w:tcMar>
              <w:left w:w="70" w:type="dxa"/>
              <w:right w:w="70" w:type="dxa"/>
            </w:tcMar>
            <w:vAlign w:val="center"/>
          </w:tcPr>
          <w:p w14:paraId="4340A1C4" w14:textId="0DF48DB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6D1D9152" w14:textId="3749D4D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5EE33259" w14:textId="4C0C3AF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751B1018" w14:textId="1D659F3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1AE71DEB" w14:textId="3BDAB39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093EF576"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13D01144" w14:textId="3E6CABAF"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4. Total de Ingresos Proyectados (4=1+2+3)</w:t>
            </w:r>
          </w:p>
        </w:tc>
        <w:tc>
          <w:tcPr>
            <w:tcW w:w="531" w:type="pct"/>
            <w:tcBorders>
              <w:top w:val="nil"/>
              <w:left w:val="single" w:sz="8" w:space="0" w:color="auto"/>
              <w:bottom w:val="nil"/>
              <w:right w:val="single" w:sz="8" w:space="0" w:color="auto"/>
            </w:tcBorders>
            <w:tcMar>
              <w:left w:w="70" w:type="dxa"/>
              <w:right w:w="70" w:type="dxa"/>
            </w:tcMar>
            <w:vAlign w:val="center"/>
          </w:tcPr>
          <w:p w14:paraId="3FFF2BA0" w14:textId="37C49810"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57,378,987,193.00</w:t>
            </w:r>
          </w:p>
        </w:tc>
        <w:tc>
          <w:tcPr>
            <w:tcW w:w="531" w:type="pct"/>
            <w:tcBorders>
              <w:top w:val="nil"/>
              <w:left w:val="single" w:sz="8" w:space="0" w:color="auto"/>
              <w:bottom w:val="nil"/>
              <w:right w:val="single" w:sz="8" w:space="0" w:color="auto"/>
            </w:tcBorders>
            <w:tcMar>
              <w:left w:w="70" w:type="dxa"/>
              <w:right w:w="70" w:type="dxa"/>
            </w:tcMar>
            <w:vAlign w:val="center"/>
          </w:tcPr>
          <w:p w14:paraId="561637DF" w14:textId="2BBE5A14"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57,418,366,808.79</w:t>
            </w:r>
          </w:p>
        </w:tc>
        <w:tc>
          <w:tcPr>
            <w:tcW w:w="474" w:type="pct"/>
            <w:tcBorders>
              <w:top w:val="nil"/>
              <w:left w:val="single" w:sz="8" w:space="0" w:color="auto"/>
              <w:bottom w:val="nil"/>
              <w:right w:val="single" w:sz="8" w:space="0" w:color="auto"/>
            </w:tcBorders>
            <w:tcMar>
              <w:left w:w="70" w:type="dxa"/>
              <w:right w:w="70" w:type="dxa"/>
            </w:tcMar>
            <w:vAlign w:val="center"/>
          </w:tcPr>
          <w:p w14:paraId="680F4044" w14:textId="59F90E8B"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59,140,917,813.05</w:t>
            </w:r>
          </w:p>
        </w:tc>
        <w:tc>
          <w:tcPr>
            <w:tcW w:w="469" w:type="pct"/>
            <w:tcBorders>
              <w:top w:val="nil"/>
              <w:left w:val="single" w:sz="8" w:space="0" w:color="auto"/>
              <w:bottom w:val="nil"/>
              <w:right w:val="single" w:sz="8" w:space="0" w:color="auto"/>
            </w:tcBorders>
            <w:tcMar>
              <w:left w:w="70" w:type="dxa"/>
              <w:right w:w="70" w:type="dxa"/>
            </w:tcMar>
            <w:vAlign w:val="center"/>
          </w:tcPr>
          <w:p w14:paraId="40159CC1" w14:textId="2639518B"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60,915,145,347.45</w:t>
            </w:r>
          </w:p>
        </w:tc>
        <w:tc>
          <w:tcPr>
            <w:tcW w:w="478" w:type="pct"/>
            <w:tcBorders>
              <w:top w:val="nil"/>
              <w:left w:val="single" w:sz="8" w:space="0" w:color="auto"/>
              <w:bottom w:val="nil"/>
              <w:right w:val="single" w:sz="8" w:space="0" w:color="auto"/>
            </w:tcBorders>
            <w:tcMar>
              <w:left w:w="70" w:type="dxa"/>
              <w:right w:w="70" w:type="dxa"/>
            </w:tcMar>
            <w:vAlign w:val="center"/>
          </w:tcPr>
          <w:p w14:paraId="4C3728F6" w14:textId="7533A6FB"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62,742,599,707.87</w:t>
            </w:r>
          </w:p>
        </w:tc>
        <w:tc>
          <w:tcPr>
            <w:tcW w:w="454" w:type="pct"/>
            <w:tcBorders>
              <w:top w:val="nil"/>
              <w:left w:val="single" w:sz="8" w:space="0" w:color="auto"/>
              <w:bottom w:val="nil"/>
              <w:right w:val="single" w:sz="8" w:space="0" w:color="auto"/>
            </w:tcBorders>
            <w:tcMar>
              <w:left w:w="70" w:type="dxa"/>
              <w:right w:w="70" w:type="dxa"/>
            </w:tcMar>
            <w:vAlign w:val="center"/>
          </w:tcPr>
          <w:p w14:paraId="4A4290F0" w14:textId="16353115"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64,624,877,699.1</w:t>
            </w:r>
          </w:p>
        </w:tc>
      </w:tr>
      <w:tr w:rsidR="5D3FC234" w:rsidRPr="000842AA" w14:paraId="0C59BE73" w14:textId="77777777" w:rsidTr="003466C4">
        <w:trPr>
          <w:trHeight w:val="90"/>
        </w:trPr>
        <w:tc>
          <w:tcPr>
            <w:tcW w:w="2063" w:type="pct"/>
            <w:tcBorders>
              <w:top w:val="nil"/>
              <w:left w:val="single" w:sz="8" w:space="0" w:color="auto"/>
              <w:bottom w:val="nil"/>
              <w:right w:val="single" w:sz="8" w:space="0" w:color="auto"/>
            </w:tcBorders>
            <w:tcMar>
              <w:left w:w="70" w:type="dxa"/>
              <w:right w:w="70" w:type="dxa"/>
            </w:tcMar>
            <w:vAlign w:val="center"/>
          </w:tcPr>
          <w:p w14:paraId="3B2E70A9" w14:textId="7322B4D3"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Datos Informativos</w:t>
            </w:r>
          </w:p>
        </w:tc>
        <w:tc>
          <w:tcPr>
            <w:tcW w:w="531" w:type="pct"/>
            <w:tcBorders>
              <w:top w:val="nil"/>
              <w:left w:val="single" w:sz="8" w:space="0" w:color="auto"/>
              <w:bottom w:val="nil"/>
              <w:right w:val="single" w:sz="8" w:space="0" w:color="auto"/>
            </w:tcBorders>
            <w:tcMar>
              <w:left w:w="70" w:type="dxa"/>
              <w:right w:w="70" w:type="dxa"/>
            </w:tcMar>
            <w:vAlign w:val="center"/>
          </w:tcPr>
          <w:p w14:paraId="6015E814" w14:textId="502A8C20"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1,633,000,000.00</w:t>
            </w:r>
          </w:p>
        </w:tc>
        <w:tc>
          <w:tcPr>
            <w:tcW w:w="531" w:type="pct"/>
            <w:tcBorders>
              <w:top w:val="nil"/>
              <w:left w:val="single" w:sz="8" w:space="0" w:color="auto"/>
              <w:bottom w:val="nil"/>
              <w:right w:val="single" w:sz="8" w:space="0" w:color="auto"/>
            </w:tcBorders>
            <w:tcMar>
              <w:left w:w="70" w:type="dxa"/>
              <w:right w:w="70" w:type="dxa"/>
            </w:tcMar>
            <w:vAlign w:val="center"/>
          </w:tcPr>
          <w:p w14:paraId="0DE40726" w14:textId="61A56A6F"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759543CD" w14:textId="38BCC783"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39C6E47A" w14:textId="20EA9D5C"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543A9F8B" w14:textId="7151DF3A"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507E02F6" w14:textId="1F459A00"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r>
      <w:tr w:rsidR="5D3FC234" w:rsidRPr="000842AA" w14:paraId="6DCA5AD1" w14:textId="77777777" w:rsidTr="003466C4">
        <w:trPr>
          <w:trHeight w:val="345"/>
        </w:trPr>
        <w:tc>
          <w:tcPr>
            <w:tcW w:w="2063" w:type="pct"/>
            <w:tcBorders>
              <w:top w:val="nil"/>
              <w:left w:val="single" w:sz="8" w:space="0" w:color="auto"/>
              <w:bottom w:val="nil"/>
              <w:right w:val="single" w:sz="8" w:space="0" w:color="auto"/>
            </w:tcBorders>
            <w:tcMar>
              <w:left w:w="70" w:type="dxa"/>
              <w:right w:w="70" w:type="dxa"/>
            </w:tcMar>
            <w:vAlign w:val="center"/>
          </w:tcPr>
          <w:p w14:paraId="3224FCD9" w14:textId="4FF81CA9" w:rsidR="5D3FC234" w:rsidRPr="000842AA" w:rsidRDefault="5D3FC234" w:rsidP="003B4D0B">
            <w:pPr>
              <w:spacing w:after="0" w:line="240" w:lineRule="auto"/>
              <w:ind w:left="217"/>
              <w:jc w:val="both"/>
              <w:rPr>
                <w:rFonts w:ascii="Arial" w:hAnsi="Arial" w:cs="Arial"/>
                <w:sz w:val="16"/>
                <w:szCs w:val="16"/>
              </w:rPr>
            </w:pPr>
            <w:r w:rsidRPr="000842AA">
              <w:rPr>
                <w:rFonts w:ascii="Arial" w:eastAsia="Arial" w:hAnsi="Arial" w:cs="Arial"/>
                <w:color w:val="000000" w:themeColor="text1"/>
                <w:sz w:val="16"/>
                <w:szCs w:val="16"/>
              </w:rPr>
              <w:t>1. Ingresos Derivados de Financiamientos con Fuente de Pago de Recursos de Libre Disposición</w:t>
            </w:r>
          </w:p>
        </w:tc>
        <w:tc>
          <w:tcPr>
            <w:tcW w:w="531" w:type="pct"/>
            <w:tcBorders>
              <w:top w:val="nil"/>
              <w:left w:val="single" w:sz="8" w:space="0" w:color="auto"/>
              <w:bottom w:val="nil"/>
              <w:right w:val="single" w:sz="8" w:space="0" w:color="auto"/>
            </w:tcBorders>
            <w:tcMar>
              <w:left w:w="70" w:type="dxa"/>
              <w:right w:w="70" w:type="dxa"/>
            </w:tcMar>
            <w:vAlign w:val="center"/>
          </w:tcPr>
          <w:p w14:paraId="0D6B959B" w14:textId="31DB6B0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1,633,000,000.00</w:t>
            </w:r>
          </w:p>
        </w:tc>
        <w:tc>
          <w:tcPr>
            <w:tcW w:w="531" w:type="pct"/>
            <w:tcBorders>
              <w:top w:val="nil"/>
              <w:left w:val="single" w:sz="8" w:space="0" w:color="auto"/>
              <w:bottom w:val="nil"/>
              <w:right w:val="single" w:sz="8" w:space="0" w:color="auto"/>
            </w:tcBorders>
            <w:tcMar>
              <w:left w:w="70" w:type="dxa"/>
              <w:right w:w="70" w:type="dxa"/>
            </w:tcMar>
            <w:vAlign w:val="center"/>
          </w:tcPr>
          <w:p w14:paraId="6FC3EB7C" w14:textId="2CAB1DB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0C487DB4" w14:textId="1B7031A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76240F14" w14:textId="4E94F26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1DD7E219" w14:textId="671950A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79FC5B7C" w14:textId="40E18F7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50F3F763" w14:textId="77777777" w:rsidTr="003466C4">
        <w:trPr>
          <w:trHeight w:val="345"/>
        </w:trPr>
        <w:tc>
          <w:tcPr>
            <w:tcW w:w="2063" w:type="pct"/>
            <w:tcBorders>
              <w:top w:val="nil"/>
              <w:left w:val="single" w:sz="8" w:space="0" w:color="auto"/>
              <w:bottom w:val="nil"/>
              <w:right w:val="single" w:sz="8" w:space="0" w:color="auto"/>
            </w:tcBorders>
            <w:tcMar>
              <w:left w:w="70" w:type="dxa"/>
              <w:right w:w="70" w:type="dxa"/>
            </w:tcMar>
            <w:vAlign w:val="center"/>
          </w:tcPr>
          <w:p w14:paraId="6D0F2EEC" w14:textId="6F8B5AD7" w:rsidR="5D3FC234" w:rsidRPr="000842AA" w:rsidRDefault="5D3FC234" w:rsidP="003B4D0B">
            <w:pPr>
              <w:spacing w:after="0" w:line="240" w:lineRule="auto"/>
              <w:ind w:left="217"/>
              <w:jc w:val="both"/>
              <w:rPr>
                <w:rFonts w:ascii="Arial" w:hAnsi="Arial" w:cs="Arial"/>
                <w:sz w:val="16"/>
                <w:szCs w:val="16"/>
              </w:rPr>
            </w:pPr>
            <w:r w:rsidRPr="000842AA">
              <w:rPr>
                <w:rFonts w:ascii="Arial" w:eastAsia="Arial" w:hAnsi="Arial" w:cs="Arial"/>
                <w:color w:val="000000" w:themeColor="text1"/>
                <w:sz w:val="16"/>
                <w:szCs w:val="16"/>
              </w:rPr>
              <w:t>2. Ingresos Derivados de Financiamientos con Fuente de Pago de Transferencias Federales Etiquetadas</w:t>
            </w:r>
          </w:p>
        </w:tc>
        <w:tc>
          <w:tcPr>
            <w:tcW w:w="531" w:type="pct"/>
            <w:tcBorders>
              <w:top w:val="nil"/>
              <w:left w:val="single" w:sz="8" w:space="0" w:color="auto"/>
              <w:bottom w:val="nil"/>
              <w:right w:val="single" w:sz="8" w:space="0" w:color="auto"/>
            </w:tcBorders>
            <w:tcMar>
              <w:left w:w="70" w:type="dxa"/>
              <w:right w:w="70" w:type="dxa"/>
            </w:tcMar>
            <w:vAlign w:val="center"/>
          </w:tcPr>
          <w:p w14:paraId="1FC3957F" w14:textId="52977CF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531" w:type="pct"/>
            <w:tcBorders>
              <w:top w:val="nil"/>
              <w:left w:val="single" w:sz="8" w:space="0" w:color="auto"/>
              <w:bottom w:val="nil"/>
              <w:right w:val="single" w:sz="8" w:space="0" w:color="auto"/>
            </w:tcBorders>
            <w:tcMar>
              <w:left w:w="70" w:type="dxa"/>
              <w:right w:w="70" w:type="dxa"/>
            </w:tcMar>
            <w:vAlign w:val="center"/>
          </w:tcPr>
          <w:p w14:paraId="4774E9C5" w14:textId="239AD7F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4" w:type="pct"/>
            <w:tcBorders>
              <w:top w:val="nil"/>
              <w:left w:val="single" w:sz="8" w:space="0" w:color="auto"/>
              <w:bottom w:val="nil"/>
              <w:right w:val="single" w:sz="8" w:space="0" w:color="auto"/>
            </w:tcBorders>
            <w:tcMar>
              <w:left w:w="70" w:type="dxa"/>
              <w:right w:w="70" w:type="dxa"/>
            </w:tcMar>
            <w:vAlign w:val="center"/>
          </w:tcPr>
          <w:p w14:paraId="4C4533CC" w14:textId="438F8B3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69" w:type="pct"/>
            <w:tcBorders>
              <w:top w:val="nil"/>
              <w:left w:val="single" w:sz="8" w:space="0" w:color="auto"/>
              <w:bottom w:val="nil"/>
              <w:right w:val="single" w:sz="8" w:space="0" w:color="auto"/>
            </w:tcBorders>
            <w:tcMar>
              <w:left w:w="70" w:type="dxa"/>
              <w:right w:w="70" w:type="dxa"/>
            </w:tcMar>
            <w:vAlign w:val="center"/>
          </w:tcPr>
          <w:p w14:paraId="2455AF87" w14:textId="7580CA6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78" w:type="pct"/>
            <w:tcBorders>
              <w:top w:val="nil"/>
              <w:left w:val="single" w:sz="8" w:space="0" w:color="auto"/>
              <w:bottom w:val="nil"/>
              <w:right w:val="single" w:sz="8" w:space="0" w:color="auto"/>
            </w:tcBorders>
            <w:tcMar>
              <w:left w:w="70" w:type="dxa"/>
              <w:right w:w="70" w:type="dxa"/>
            </w:tcMar>
            <w:vAlign w:val="center"/>
          </w:tcPr>
          <w:p w14:paraId="73F68BB0" w14:textId="3CCEC56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c>
          <w:tcPr>
            <w:tcW w:w="454" w:type="pct"/>
            <w:tcBorders>
              <w:top w:val="nil"/>
              <w:left w:val="single" w:sz="8" w:space="0" w:color="auto"/>
              <w:bottom w:val="nil"/>
              <w:right w:val="single" w:sz="8" w:space="0" w:color="auto"/>
            </w:tcBorders>
            <w:tcMar>
              <w:left w:w="70" w:type="dxa"/>
              <w:right w:w="70" w:type="dxa"/>
            </w:tcMar>
            <w:vAlign w:val="center"/>
          </w:tcPr>
          <w:p w14:paraId="631CA4A1" w14:textId="052E4D3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0.00</w:t>
            </w:r>
          </w:p>
        </w:tc>
      </w:tr>
      <w:tr w:rsidR="5D3FC234" w:rsidRPr="000842AA" w14:paraId="03C0D37E" w14:textId="77777777" w:rsidTr="003466C4">
        <w:trPr>
          <w:trHeight w:val="90"/>
        </w:trPr>
        <w:tc>
          <w:tcPr>
            <w:tcW w:w="2063" w:type="pct"/>
            <w:tcBorders>
              <w:top w:val="nil"/>
              <w:left w:val="single" w:sz="8" w:space="0" w:color="auto"/>
              <w:bottom w:val="single" w:sz="8" w:space="0" w:color="auto"/>
              <w:right w:val="single" w:sz="8" w:space="0" w:color="auto"/>
            </w:tcBorders>
            <w:tcMar>
              <w:left w:w="70" w:type="dxa"/>
              <w:right w:w="70" w:type="dxa"/>
            </w:tcMar>
            <w:vAlign w:val="center"/>
          </w:tcPr>
          <w:p w14:paraId="7276A7FB" w14:textId="41B158A3"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 xml:space="preserve">     3. Ingresos Derivados de Financiamiento (3 = 1 + 2)</w:t>
            </w:r>
          </w:p>
        </w:tc>
        <w:tc>
          <w:tcPr>
            <w:tcW w:w="531" w:type="pct"/>
            <w:tcBorders>
              <w:top w:val="nil"/>
              <w:left w:val="single" w:sz="8" w:space="0" w:color="auto"/>
              <w:bottom w:val="single" w:sz="8" w:space="0" w:color="auto"/>
              <w:right w:val="single" w:sz="8" w:space="0" w:color="auto"/>
            </w:tcBorders>
            <w:tcMar>
              <w:left w:w="70" w:type="dxa"/>
              <w:right w:w="70" w:type="dxa"/>
            </w:tcMar>
            <w:vAlign w:val="center"/>
          </w:tcPr>
          <w:p w14:paraId="163D1750" w14:textId="314E71FA"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1,633,000,000.00</w:t>
            </w:r>
          </w:p>
        </w:tc>
        <w:tc>
          <w:tcPr>
            <w:tcW w:w="531" w:type="pct"/>
            <w:tcBorders>
              <w:top w:val="nil"/>
              <w:left w:val="single" w:sz="8" w:space="0" w:color="auto"/>
              <w:bottom w:val="single" w:sz="8" w:space="0" w:color="auto"/>
              <w:right w:val="single" w:sz="8" w:space="0" w:color="auto"/>
            </w:tcBorders>
            <w:tcMar>
              <w:left w:w="70" w:type="dxa"/>
              <w:right w:w="70" w:type="dxa"/>
            </w:tcMar>
            <w:vAlign w:val="center"/>
          </w:tcPr>
          <w:p w14:paraId="50E2EE0F" w14:textId="4CAF8289"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4" w:type="pct"/>
            <w:tcBorders>
              <w:top w:val="nil"/>
              <w:left w:val="single" w:sz="8" w:space="0" w:color="auto"/>
              <w:bottom w:val="single" w:sz="8" w:space="0" w:color="auto"/>
              <w:right w:val="single" w:sz="8" w:space="0" w:color="auto"/>
            </w:tcBorders>
            <w:tcMar>
              <w:left w:w="70" w:type="dxa"/>
              <w:right w:w="70" w:type="dxa"/>
            </w:tcMar>
            <w:vAlign w:val="center"/>
          </w:tcPr>
          <w:p w14:paraId="7208C0D1" w14:textId="21A079D5"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69" w:type="pct"/>
            <w:tcBorders>
              <w:top w:val="nil"/>
              <w:left w:val="single" w:sz="8" w:space="0" w:color="auto"/>
              <w:bottom w:val="single" w:sz="8" w:space="0" w:color="auto"/>
              <w:right w:val="single" w:sz="8" w:space="0" w:color="auto"/>
            </w:tcBorders>
            <w:tcMar>
              <w:left w:w="70" w:type="dxa"/>
              <w:right w:w="70" w:type="dxa"/>
            </w:tcMar>
            <w:vAlign w:val="center"/>
          </w:tcPr>
          <w:p w14:paraId="69B9A247" w14:textId="4E3AFDA3"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78" w:type="pct"/>
            <w:tcBorders>
              <w:top w:val="nil"/>
              <w:left w:val="single" w:sz="8" w:space="0" w:color="auto"/>
              <w:bottom w:val="single" w:sz="8" w:space="0" w:color="auto"/>
              <w:right w:val="single" w:sz="8" w:space="0" w:color="auto"/>
            </w:tcBorders>
            <w:tcMar>
              <w:left w:w="70" w:type="dxa"/>
              <w:right w:w="70" w:type="dxa"/>
            </w:tcMar>
            <w:vAlign w:val="center"/>
          </w:tcPr>
          <w:p w14:paraId="6292D8FC" w14:textId="509ED6A6"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c>
          <w:tcPr>
            <w:tcW w:w="454" w:type="pct"/>
            <w:tcBorders>
              <w:top w:val="nil"/>
              <w:left w:val="single" w:sz="8" w:space="0" w:color="auto"/>
              <w:bottom w:val="single" w:sz="8" w:space="0" w:color="auto"/>
              <w:right w:val="single" w:sz="8" w:space="0" w:color="auto"/>
            </w:tcBorders>
            <w:tcMar>
              <w:left w:w="70" w:type="dxa"/>
              <w:right w:w="70" w:type="dxa"/>
            </w:tcMar>
            <w:vAlign w:val="center"/>
          </w:tcPr>
          <w:p w14:paraId="438108FA" w14:textId="63680F70" w:rsidR="5D3FC234" w:rsidRPr="000842AA" w:rsidRDefault="5D3FC234" w:rsidP="003466C4">
            <w:pPr>
              <w:spacing w:after="0" w:line="240" w:lineRule="auto"/>
              <w:jc w:val="right"/>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0.00</w:t>
            </w:r>
          </w:p>
        </w:tc>
      </w:tr>
      <w:tr w:rsidR="5D3FC234" w:rsidRPr="000842AA" w14:paraId="45A9D52D" w14:textId="77777777" w:rsidTr="003466C4">
        <w:trPr>
          <w:trHeight w:val="345"/>
        </w:trPr>
        <w:tc>
          <w:tcPr>
            <w:tcW w:w="5000" w:type="pct"/>
            <w:gridSpan w:val="7"/>
            <w:tcMar>
              <w:left w:w="70" w:type="dxa"/>
              <w:right w:w="70" w:type="dxa"/>
            </w:tcMar>
            <w:vAlign w:val="bottom"/>
          </w:tcPr>
          <w:p w14:paraId="28FB8CEC" w14:textId="4B2B94CF"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Bajo protesta de decir verdad declaramos que los Estados Financieros y sus Notas son razonablemente correctos y responsabilidad del emisor.</w:t>
            </w:r>
          </w:p>
        </w:tc>
      </w:tr>
    </w:tbl>
    <w:p w14:paraId="705592B8" w14:textId="23BBF165" w:rsidR="00D9327F" w:rsidRPr="000842AA" w:rsidRDefault="00D9327F" w:rsidP="003466C4">
      <w:pPr>
        <w:spacing w:line="240" w:lineRule="auto"/>
        <w:rPr>
          <w:rFonts w:ascii="Arial" w:hAnsi="Arial" w:cs="Arial"/>
          <w:b/>
          <w:sz w:val="16"/>
          <w:szCs w:val="16"/>
        </w:rPr>
      </w:pPr>
      <w:r w:rsidRPr="000842AA">
        <w:rPr>
          <w:rFonts w:ascii="Arial" w:hAnsi="Arial" w:cs="Arial"/>
          <w:b/>
          <w:sz w:val="16"/>
          <w:szCs w:val="16"/>
        </w:rPr>
        <w:br w:type="page"/>
      </w:r>
    </w:p>
    <w:p w14:paraId="1DEA7E2E" w14:textId="77777777" w:rsidR="00D9327F" w:rsidRPr="000842AA" w:rsidRDefault="00D9327F" w:rsidP="003466C4">
      <w:pPr>
        <w:spacing w:after="0" w:line="240" w:lineRule="auto"/>
        <w:jc w:val="center"/>
        <w:rPr>
          <w:rFonts w:ascii="Arial" w:hAnsi="Arial" w:cs="Arial"/>
          <w:b/>
          <w:sz w:val="16"/>
          <w:szCs w:val="16"/>
        </w:rPr>
      </w:pPr>
      <w:r w:rsidRPr="000842AA">
        <w:rPr>
          <w:rFonts w:ascii="Arial" w:hAnsi="Arial" w:cs="Arial"/>
          <w:b/>
          <w:sz w:val="16"/>
          <w:szCs w:val="16"/>
        </w:rPr>
        <w:t>Anexo II</w:t>
      </w:r>
    </w:p>
    <w:p w14:paraId="135A9987" w14:textId="37F5B5A6" w:rsidR="00D40ED3" w:rsidRPr="000842AA" w:rsidRDefault="5D3FC234" w:rsidP="003466C4">
      <w:pPr>
        <w:spacing w:after="0" w:line="240" w:lineRule="auto"/>
        <w:jc w:val="center"/>
        <w:rPr>
          <w:rFonts w:ascii="Arial" w:hAnsi="Arial" w:cs="Arial"/>
          <w:b/>
          <w:bCs/>
          <w:sz w:val="16"/>
          <w:szCs w:val="16"/>
        </w:rPr>
      </w:pPr>
      <w:r w:rsidRPr="000842AA">
        <w:rPr>
          <w:rFonts w:ascii="Arial" w:hAnsi="Arial" w:cs="Arial"/>
          <w:b/>
          <w:bCs/>
          <w:sz w:val="16"/>
          <w:szCs w:val="16"/>
        </w:rPr>
        <w:t>Resultados de ingresos de cinco años anteriores</w:t>
      </w:r>
    </w:p>
    <w:tbl>
      <w:tblPr>
        <w:tblW w:w="5000" w:type="pct"/>
        <w:tblLook w:val="04A0" w:firstRow="1" w:lastRow="0" w:firstColumn="1" w:lastColumn="0" w:noHBand="0" w:noVBand="1"/>
      </w:tblPr>
      <w:tblGrid>
        <w:gridCol w:w="3351"/>
        <w:gridCol w:w="1537"/>
        <w:gridCol w:w="1500"/>
        <w:gridCol w:w="1500"/>
        <w:gridCol w:w="1500"/>
        <w:gridCol w:w="1515"/>
        <w:gridCol w:w="1515"/>
      </w:tblGrid>
      <w:tr w:rsidR="5D3FC234" w:rsidRPr="000842AA" w14:paraId="5209699C" w14:textId="77777777" w:rsidTr="003466C4">
        <w:trPr>
          <w:trHeight w:val="105"/>
        </w:trPr>
        <w:tc>
          <w:tcPr>
            <w:tcW w:w="5000" w:type="pct"/>
            <w:gridSpan w:val="7"/>
            <w:tcBorders>
              <w:top w:val="single" w:sz="8" w:space="0" w:color="auto"/>
              <w:left w:val="single" w:sz="8" w:space="0" w:color="auto"/>
              <w:bottom w:val="single" w:sz="8" w:space="0" w:color="auto"/>
              <w:right w:val="single" w:sz="8" w:space="0" w:color="000000" w:themeColor="text1"/>
            </w:tcBorders>
            <w:shd w:val="clear" w:color="auto" w:fill="C0C0C0"/>
            <w:tcMar>
              <w:left w:w="70" w:type="dxa"/>
              <w:right w:w="70" w:type="dxa"/>
            </w:tcMar>
            <w:vAlign w:val="center"/>
          </w:tcPr>
          <w:p w14:paraId="6E75689D" w14:textId="146EED15"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Poder Ejecutivo del Gobierno del Estado de Yucatán (a)</w:t>
            </w:r>
            <w:r w:rsidRPr="000842AA">
              <w:rPr>
                <w:rFonts w:ascii="Arial" w:hAnsi="Arial" w:cs="Arial"/>
                <w:sz w:val="16"/>
                <w:szCs w:val="16"/>
              </w:rPr>
              <w:br/>
            </w:r>
            <w:r w:rsidRPr="000842AA">
              <w:rPr>
                <w:rFonts w:ascii="Arial" w:eastAsia="Arial" w:hAnsi="Arial" w:cs="Arial"/>
                <w:b/>
                <w:bCs/>
                <w:color w:val="000000" w:themeColor="text1"/>
                <w:sz w:val="16"/>
                <w:szCs w:val="16"/>
              </w:rPr>
              <w:t xml:space="preserve"> Resultados de Ingresos - LDF</w:t>
            </w:r>
            <w:r w:rsidRPr="000842AA">
              <w:rPr>
                <w:rFonts w:ascii="Arial" w:hAnsi="Arial" w:cs="Arial"/>
                <w:sz w:val="16"/>
                <w:szCs w:val="16"/>
              </w:rPr>
              <w:br/>
            </w:r>
            <w:r w:rsidRPr="000842AA">
              <w:rPr>
                <w:rFonts w:ascii="Arial" w:eastAsia="Arial" w:hAnsi="Arial" w:cs="Arial"/>
                <w:b/>
                <w:bCs/>
                <w:color w:val="000000" w:themeColor="text1"/>
                <w:sz w:val="16"/>
                <w:szCs w:val="16"/>
              </w:rPr>
              <w:t xml:space="preserve"> (PESOS)</w:t>
            </w:r>
          </w:p>
        </w:tc>
      </w:tr>
      <w:tr w:rsidR="5D3FC234" w:rsidRPr="000842AA" w14:paraId="5C793CE0" w14:textId="77777777" w:rsidTr="003466C4">
        <w:trPr>
          <w:trHeight w:val="60"/>
        </w:trPr>
        <w:tc>
          <w:tcPr>
            <w:tcW w:w="1349" w:type="pct"/>
            <w:tcBorders>
              <w:top w:val="single" w:sz="8" w:space="0" w:color="auto"/>
              <w:left w:val="single" w:sz="8" w:space="0" w:color="auto"/>
              <w:bottom w:val="single" w:sz="8" w:space="0" w:color="auto"/>
              <w:right w:val="single" w:sz="8" w:space="0" w:color="000000" w:themeColor="text1"/>
            </w:tcBorders>
            <w:shd w:val="clear" w:color="auto" w:fill="C0C0C0"/>
            <w:tcMar>
              <w:left w:w="70" w:type="dxa"/>
              <w:right w:w="70" w:type="dxa"/>
            </w:tcMar>
            <w:vAlign w:val="center"/>
          </w:tcPr>
          <w:p w14:paraId="0FE774ED" w14:textId="08AAD712"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Concepto (b)</w:t>
            </w:r>
          </w:p>
        </w:tc>
        <w:tc>
          <w:tcPr>
            <w:tcW w:w="619" w:type="pct"/>
            <w:tcBorders>
              <w:top w:val="nil"/>
              <w:left w:val="single" w:sz="8" w:space="0" w:color="auto"/>
              <w:bottom w:val="single" w:sz="8" w:space="0" w:color="auto"/>
              <w:right w:val="single" w:sz="8" w:space="0" w:color="auto"/>
            </w:tcBorders>
            <w:shd w:val="clear" w:color="auto" w:fill="C0C0C0"/>
            <w:tcMar>
              <w:left w:w="70" w:type="dxa"/>
              <w:right w:w="70" w:type="dxa"/>
            </w:tcMar>
            <w:vAlign w:val="center"/>
          </w:tcPr>
          <w:p w14:paraId="2E2276A5" w14:textId="5C143969"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2019 ¹ (c)</w:t>
            </w:r>
          </w:p>
        </w:tc>
        <w:tc>
          <w:tcPr>
            <w:tcW w:w="604" w:type="pct"/>
            <w:tcBorders>
              <w:top w:val="nil"/>
              <w:left w:val="single" w:sz="8" w:space="0" w:color="auto"/>
              <w:bottom w:val="single" w:sz="8" w:space="0" w:color="auto"/>
              <w:right w:val="single" w:sz="8" w:space="0" w:color="auto"/>
            </w:tcBorders>
            <w:shd w:val="clear" w:color="auto" w:fill="C0C0C0"/>
            <w:tcMar>
              <w:left w:w="70" w:type="dxa"/>
              <w:right w:w="70" w:type="dxa"/>
            </w:tcMar>
            <w:vAlign w:val="center"/>
          </w:tcPr>
          <w:p w14:paraId="65918615" w14:textId="3BAFA002"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2020 ¹ (c)</w:t>
            </w:r>
          </w:p>
        </w:tc>
        <w:tc>
          <w:tcPr>
            <w:tcW w:w="604" w:type="pct"/>
            <w:tcBorders>
              <w:top w:val="nil"/>
              <w:left w:val="single" w:sz="8" w:space="0" w:color="auto"/>
              <w:bottom w:val="single" w:sz="8" w:space="0" w:color="auto"/>
              <w:right w:val="single" w:sz="8" w:space="0" w:color="auto"/>
            </w:tcBorders>
            <w:shd w:val="clear" w:color="auto" w:fill="C0C0C0"/>
            <w:tcMar>
              <w:left w:w="70" w:type="dxa"/>
              <w:right w:w="70" w:type="dxa"/>
            </w:tcMar>
            <w:vAlign w:val="center"/>
          </w:tcPr>
          <w:p w14:paraId="4C2C8055" w14:textId="5B7516B7"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2021 ¹ (c)</w:t>
            </w:r>
          </w:p>
        </w:tc>
        <w:tc>
          <w:tcPr>
            <w:tcW w:w="604" w:type="pct"/>
            <w:tcBorders>
              <w:top w:val="nil"/>
              <w:left w:val="single" w:sz="8" w:space="0" w:color="auto"/>
              <w:bottom w:val="single" w:sz="8" w:space="0" w:color="auto"/>
              <w:right w:val="single" w:sz="8" w:space="0" w:color="auto"/>
            </w:tcBorders>
            <w:shd w:val="clear" w:color="auto" w:fill="C0C0C0"/>
            <w:tcMar>
              <w:left w:w="70" w:type="dxa"/>
              <w:right w:w="70" w:type="dxa"/>
            </w:tcMar>
            <w:vAlign w:val="center"/>
          </w:tcPr>
          <w:p w14:paraId="0EA3BD5B" w14:textId="6147AED2"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2022 ¹ (c)</w:t>
            </w:r>
          </w:p>
        </w:tc>
        <w:tc>
          <w:tcPr>
            <w:tcW w:w="610" w:type="pct"/>
            <w:tcBorders>
              <w:top w:val="nil"/>
              <w:left w:val="single" w:sz="8" w:space="0" w:color="auto"/>
              <w:bottom w:val="single" w:sz="8" w:space="0" w:color="auto"/>
              <w:right w:val="single" w:sz="8" w:space="0" w:color="auto"/>
            </w:tcBorders>
            <w:shd w:val="clear" w:color="auto" w:fill="C0C0C0"/>
            <w:tcMar>
              <w:left w:w="70" w:type="dxa"/>
              <w:right w:w="70" w:type="dxa"/>
            </w:tcMar>
            <w:vAlign w:val="center"/>
          </w:tcPr>
          <w:p w14:paraId="290E1A1A" w14:textId="599C9629"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2023 ¹ (c)</w:t>
            </w:r>
          </w:p>
        </w:tc>
        <w:tc>
          <w:tcPr>
            <w:tcW w:w="611" w:type="pct"/>
            <w:tcBorders>
              <w:top w:val="nil"/>
              <w:left w:val="single" w:sz="8" w:space="0" w:color="auto"/>
              <w:bottom w:val="single" w:sz="8" w:space="0" w:color="auto"/>
              <w:right w:val="single" w:sz="8" w:space="0" w:color="000000" w:themeColor="text1"/>
            </w:tcBorders>
            <w:shd w:val="clear" w:color="auto" w:fill="C0C0C0"/>
            <w:tcMar>
              <w:left w:w="70" w:type="dxa"/>
              <w:right w:w="70" w:type="dxa"/>
            </w:tcMar>
            <w:vAlign w:val="center"/>
          </w:tcPr>
          <w:p w14:paraId="70FA9D05" w14:textId="71A74A38" w:rsidR="5D3FC234" w:rsidRPr="000842AA" w:rsidRDefault="5D3FC234" w:rsidP="003466C4">
            <w:pPr>
              <w:spacing w:after="0" w:line="240" w:lineRule="auto"/>
              <w:jc w:val="center"/>
              <w:rPr>
                <w:rFonts w:ascii="Arial" w:hAnsi="Arial" w:cs="Arial"/>
                <w:sz w:val="16"/>
                <w:szCs w:val="16"/>
              </w:rPr>
            </w:pPr>
            <w:r w:rsidRPr="000842AA">
              <w:rPr>
                <w:rFonts w:ascii="Arial" w:eastAsia="Arial" w:hAnsi="Arial" w:cs="Arial"/>
                <w:b/>
                <w:bCs/>
                <w:color w:val="000000" w:themeColor="text1"/>
                <w:sz w:val="16"/>
                <w:szCs w:val="16"/>
              </w:rPr>
              <w:t>2024 ² (d)</w:t>
            </w:r>
          </w:p>
        </w:tc>
      </w:tr>
      <w:tr w:rsidR="5D3FC234" w:rsidRPr="000842AA" w14:paraId="20F0205D" w14:textId="77777777" w:rsidTr="003466C4">
        <w:trPr>
          <w:trHeight w:val="360"/>
        </w:trPr>
        <w:tc>
          <w:tcPr>
            <w:tcW w:w="1349" w:type="pct"/>
            <w:tcBorders>
              <w:top w:val="single" w:sz="8" w:space="0" w:color="auto"/>
              <w:left w:val="single" w:sz="8" w:space="0" w:color="auto"/>
              <w:bottom w:val="nil"/>
              <w:right w:val="single" w:sz="8" w:space="0" w:color="auto"/>
            </w:tcBorders>
            <w:tcMar>
              <w:left w:w="70" w:type="dxa"/>
              <w:right w:w="70" w:type="dxa"/>
            </w:tcMar>
            <w:vAlign w:val="center"/>
          </w:tcPr>
          <w:p w14:paraId="1F1F1BAC" w14:textId="265E808E"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1. Ingresos de Libre Disposición (1=A+B+C+D+E+F+G+H+I+J+K+L)</w:t>
            </w:r>
          </w:p>
        </w:tc>
        <w:tc>
          <w:tcPr>
            <w:tcW w:w="619" w:type="pct"/>
            <w:tcBorders>
              <w:top w:val="single" w:sz="8" w:space="0" w:color="auto"/>
              <w:left w:val="single" w:sz="8" w:space="0" w:color="auto"/>
              <w:bottom w:val="nil"/>
              <w:right w:val="single" w:sz="8" w:space="0" w:color="auto"/>
            </w:tcBorders>
            <w:tcMar>
              <w:left w:w="70" w:type="dxa"/>
              <w:right w:w="70" w:type="dxa"/>
            </w:tcMar>
            <w:vAlign w:val="center"/>
          </w:tcPr>
          <w:p w14:paraId="6F2E16D7" w14:textId="6C0E6E0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19,334,420,197.00</w:t>
            </w:r>
          </w:p>
        </w:tc>
        <w:tc>
          <w:tcPr>
            <w:tcW w:w="604" w:type="pct"/>
            <w:tcBorders>
              <w:top w:val="single" w:sz="8" w:space="0" w:color="auto"/>
              <w:left w:val="single" w:sz="8" w:space="0" w:color="auto"/>
              <w:bottom w:val="nil"/>
              <w:right w:val="single" w:sz="8" w:space="0" w:color="auto"/>
            </w:tcBorders>
            <w:tcMar>
              <w:left w:w="70" w:type="dxa"/>
              <w:right w:w="70" w:type="dxa"/>
            </w:tcMar>
            <w:vAlign w:val="center"/>
          </w:tcPr>
          <w:p w14:paraId="56ADD8CB" w14:textId="456616B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18,725,980,412.00</w:t>
            </w:r>
          </w:p>
        </w:tc>
        <w:tc>
          <w:tcPr>
            <w:tcW w:w="604" w:type="pct"/>
            <w:tcBorders>
              <w:top w:val="single" w:sz="8" w:space="0" w:color="auto"/>
              <w:left w:val="single" w:sz="8" w:space="0" w:color="auto"/>
              <w:bottom w:val="nil"/>
              <w:right w:val="single" w:sz="8" w:space="0" w:color="auto"/>
            </w:tcBorders>
            <w:tcMar>
              <w:left w:w="70" w:type="dxa"/>
              <w:right w:w="70" w:type="dxa"/>
            </w:tcMar>
            <w:vAlign w:val="center"/>
          </w:tcPr>
          <w:p w14:paraId="149D4E0F" w14:textId="2964CFD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20,052,810,441.00</w:t>
            </w:r>
          </w:p>
        </w:tc>
        <w:tc>
          <w:tcPr>
            <w:tcW w:w="604" w:type="pct"/>
            <w:tcBorders>
              <w:top w:val="single" w:sz="8" w:space="0" w:color="auto"/>
              <w:left w:val="single" w:sz="8" w:space="0" w:color="auto"/>
              <w:bottom w:val="nil"/>
              <w:right w:val="single" w:sz="8" w:space="0" w:color="auto"/>
            </w:tcBorders>
            <w:tcMar>
              <w:left w:w="70" w:type="dxa"/>
              <w:right w:w="70" w:type="dxa"/>
            </w:tcMar>
            <w:vAlign w:val="center"/>
          </w:tcPr>
          <w:p w14:paraId="62A15D08" w14:textId="66F441A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25,604,797,817.00</w:t>
            </w:r>
          </w:p>
        </w:tc>
        <w:tc>
          <w:tcPr>
            <w:tcW w:w="610" w:type="pct"/>
            <w:tcBorders>
              <w:top w:val="single" w:sz="8" w:space="0" w:color="auto"/>
              <w:left w:val="single" w:sz="8" w:space="0" w:color="auto"/>
              <w:bottom w:val="nil"/>
              <w:right w:val="single" w:sz="8" w:space="0" w:color="auto"/>
            </w:tcBorders>
            <w:tcMar>
              <w:left w:w="70" w:type="dxa"/>
              <w:right w:w="70" w:type="dxa"/>
            </w:tcMar>
            <w:vAlign w:val="center"/>
          </w:tcPr>
          <w:p w14:paraId="7CC32192" w14:textId="2FDEF10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28,661,934,602.85</w:t>
            </w:r>
          </w:p>
        </w:tc>
        <w:tc>
          <w:tcPr>
            <w:tcW w:w="611" w:type="pct"/>
            <w:tcBorders>
              <w:top w:val="single" w:sz="8" w:space="0" w:color="auto"/>
              <w:left w:val="single" w:sz="8" w:space="0" w:color="auto"/>
              <w:bottom w:val="nil"/>
              <w:right w:val="single" w:sz="8" w:space="0" w:color="auto"/>
            </w:tcBorders>
            <w:tcMar>
              <w:left w:w="70" w:type="dxa"/>
              <w:right w:w="70" w:type="dxa"/>
            </w:tcMar>
            <w:vAlign w:val="center"/>
          </w:tcPr>
          <w:p w14:paraId="19B875F5" w14:textId="05FEE02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28,734,859,757.99</w:t>
            </w:r>
          </w:p>
        </w:tc>
      </w:tr>
      <w:tr w:rsidR="5D3FC234" w:rsidRPr="000842AA" w14:paraId="15BFAED3"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28EC780B" w14:textId="3309DA8A"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A. Impuestos</w:t>
            </w:r>
          </w:p>
        </w:tc>
        <w:tc>
          <w:tcPr>
            <w:tcW w:w="619" w:type="pct"/>
            <w:tcBorders>
              <w:top w:val="nil"/>
              <w:left w:val="single" w:sz="8" w:space="0" w:color="auto"/>
              <w:bottom w:val="nil"/>
              <w:right w:val="single" w:sz="8" w:space="0" w:color="auto"/>
            </w:tcBorders>
            <w:tcMar>
              <w:left w:w="70" w:type="dxa"/>
              <w:right w:w="70" w:type="dxa"/>
            </w:tcMar>
            <w:vAlign w:val="center"/>
          </w:tcPr>
          <w:p w14:paraId="332B8F60" w14:textId="6159D3F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2,141,174,680.00</w:t>
            </w:r>
          </w:p>
        </w:tc>
        <w:tc>
          <w:tcPr>
            <w:tcW w:w="604" w:type="pct"/>
            <w:tcBorders>
              <w:top w:val="nil"/>
              <w:left w:val="single" w:sz="8" w:space="0" w:color="auto"/>
              <w:bottom w:val="nil"/>
              <w:right w:val="single" w:sz="8" w:space="0" w:color="auto"/>
            </w:tcBorders>
            <w:tcMar>
              <w:left w:w="70" w:type="dxa"/>
              <w:right w:w="70" w:type="dxa"/>
            </w:tcMar>
            <w:vAlign w:val="center"/>
          </w:tcPr>
          <w:p w14:paraId="625FC2CC" w14:textId="038ACC7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1,852,494,186.00</w:t>
            </w:r>
          </w:p>
        </w:tc>
        <w:tc>
          <w:tcPr>
            <w:tcW w:w="604" w:type="pct"/>
            <w:tcBorders>
              <w:top w:val="nil"/>
              <w:left w:val="single" w:sz="8" w:space="0" w:color="auto"/>
              <w:bottom w:val="nil"/>
              <w:right w:val="single" w:sz="8" w:space="0" w:color="auto"/>
            </w:tcBorders>
            <w:tcMar>
              <w:left w:w="70" w:type="dxa"/>
              <w:right w:w="70" w:type="dxa"/>
            </w:tcMar>
            <w:vAlign w:val="center"/>
          </w:tcPr>
          <w:p w14:paraId="0B31F0CA" w14:textId="094090A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2,498,927,583.00</w:t>
            </w:r>
          </w:p>
        </w:tc>
        <w:tc>
          <w:tcPr>
            <w:tcW w:w="604" w:type="pct"/>
            <w:tcBorders>
              <w:top w:val="nil"/>
              <w:left w:val="single" w:sz="8" w:space="0" w:color="auto"/>
              <w:bottom w:val="nil"/>
              <w:right w:val="single" w:sz="8" w:space="0" w:color="auto"/>
            </w:tcBorders>
            <w:tcMar>
              <w:left w:w="70" w:type="dxa"/>
              <w:right w:w="70" w:type="dxa"/>
            </w:tcMar>
            <w:vAlign w:val="center"/>
          </w:tcPr>
          <w:p w14:paraId="50EF4922" w14:textId="0612A08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3,200,298,347.00</w:t>
            </w:r>
          </w:p>
        </w:tc>
        <w:tc>
          <w:tcPr>
            <w:tcW w:w="610" w:type="pct"/>
            <w:tcBorders>
              <w:top w:val="nil"/>
              <w:left w:val="single" w:sz="8" w:space="0" w:color="auto"/>
              <w:bottom w:val="nil"/>
              <w:right w:val="single" w:sz="8" w:space="0" w:color="auto"/>
            </w:tcBorders>
            <w:tcMar>
              <w:left w:w="70" w:type="dxa"/>
              <w:right w:w="70" w:type="dxa"/>
            </w:tcMar>
            <w:vAlign w:val="center"/>
          </w:tcPr>
          <w:p w14:paraId="288FACDF" w14:textId="0755931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3,693,503,803.29</w:t>
            </w:r>
          </w:p>
        </w:tc>
        <w:tc>
          <w:tcPr>
            <w:tcW w:w="611" w:type="pct"/>
            <w:tcBorders>
              <w:top w:val="nil"/>
              <w:left w:val="single" w:sz="8" w:space="0" w:color="auto"/>
              <w:bottom w:val="nil"/>
              <w:right w:val="single" w:sz="8" w:space="0" w:color="auto"/>
            </w:tcBorders>
            <w:tcMar>
              <w:left w:w="70" w:type="dxa"/>
              <w:right w:w="70" w:type="dxa"/>
            </w:tcMar>
            <w:vAlign w:val="center"/>
          </w:tcPr>
          <w:p w14:paraId="42A2BE59" w14:textId="7D806DA6"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4,022,369,724.00</w:t>
            </w:r>
          </w:p>
        </w:tc>
      </w:tr>
      <w:tr w:rsidR="5D3FC234" w:rsidRPr="000842AA" w14:paraId="6288F4AF" w14:textId="77777777" w:rsidTr="003466C4">
        <w:trPr>
          <w:trHeight w:val="195"/>
        </w:trPr>
        <w:tc>
          <w:tcPr>
            <w:tcW w:w="1349" w:type="pct"/>
            <w:tcBorders>
              <w:top w:val="nil"/>
              <w:left w:val="single" w:sz="8" w:space="0" w:color="auto"/>
              <w:bottom w:val="nil"/>
              <w:right w:val="single" w:sz="8" w:space="0" w:color="auto"/>
            </w:tcBorders>
            <w:tcMar>
              <w:left w:w="70" w:type="dxa"/>
              <w:right w:w="70" w:type="dxa"/>
            </w:tcMar>
            <w:vAlign w:val="center"/>
          </w:tcPr>
          <w:p w14:paraId="1D2A529D" w14:textId="7410DCB4" w:rsidR="5D3FC234" w:rsidRPr="000842AA" w:rsidRDefault="5D3FC234" w:rsidP="003B4D0B">
            <w:pPr>
              <w:spacing w:after="0" w:line="240" w:lineRule="auto"/>
              <w:ind w:left="61" w:firstLine="99"/>
              <w:rPr>
                <w:rFonts w:ascii="Arial" w:hAnsi="Arial" w:cs="Arial"/>
                <w:sz w:val="16"/>
                <w:szCs w:val="16"/>
              </w:rPr>
            </w:pPr>
            <w:r w:rsidRPr="000842AA">
              <w:rPr>
                <w:rFonts w:ascii="Arial" w:eastAsia="Arial" w:hAnsi="Arial" w:cs="Arial"/>
                <w:color w:val="000000" w:themeColor="text1"/>
                <w:sz w:val="16"/>
                <w:szCs w:val="16"/>
              </w:rPr>
              <w:t>B. Cuotas y Aportaciones de Seguridad Social</w:t>
            </w:r>
          </w:p>
        </w:tc>
        <w:tc>
          <w:tcPr>
            <w:tcW w:w="619" w:type="pct"/>
            <w:tcBorders>
              <w:top w:val="nil"/>
              <w:left w:val="single" w:sz="8" w:space="0" w:color="auto"/>
              <w:bottom w:val="nil"/>
              <w:right w:val="single" w:sz="8" w:space="0" w:color="auto"/>
            </w:tcBorders>
            <w:tcMar>
              <w:left w:w="70" w:type="dxa"/>
              <w:right w:w="70" w:type="dxa"/>
            </w:tcMar>
            <w:vAlign w:val="center"/>
          </w:tcPr>
          <w:p w14:paraId="27175DBC" w14:textId="08C2AD0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4E69A4F8" w14:textId="0E9A8E1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E301BB0" w14:textId="6879D6C6"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5934F02" w14:textId="06361DC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7DD5F125" w14:textId="5FC044F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46F7542D" w14:textId="073E7BB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4C6D8C77"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1B16FBF0" w14:textId="7174898E"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C. Contribuciones de Mejoras</w:t>
            </w:r>
          </w:p>
        </w:tc>
        <w:tc>
          <w:tcPr>
            <w:tcW w:w="619" w:type="pct"/>
            <w:tcBorders>
              <w:top w:val="nil"/>
              <w:left w:val="single" w:sz="8" w:space="0" w:color="auto"/>
              <w:bottom w:val="nil"/>
              <w:right w:val="single" w:sz="8" w:space="0" w:color="auto"/>
            </w:tcBorders>
            <w:tcMar>
              <w:left w:w="70" w:type="dxa"/>
              <w:right w:w="70" w:type="dxa"/>
            </w:tcMar>
            <w:vAlign w:val="center"/>
          </w:tcPr>
          <w:p w14:paraId="1E5193A3" w14:textId="7252511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2BEF9918" w14:textId="2F564C9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51FB333F" w14:textId="0035F126"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43CF28A7" w14:textId="04BE1E0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0E272FDB" w14:textId="6290787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3CE1AE79" w14:textId="05165AE6"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22305D1A"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3BDEDC0A" w14:textId="34939F7F"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D. Derechos</w:t>
            </w:r>
          </w:p>
        </w:tc>
        <w:tc>
          <w:tcPr>
            <w:tcW w:w="619" w:type="pct"/>
            <w:tcBorders>
              <w:top w:val="nil"/>
              <w:left w:val="single" w:sz="8" w:space="0" w:color="auto"/>
              <w:bottom w:val="nil"/>
              <w:right w:val="single" w:sz="8" w:space="0" w:color="auto"/>
            </w:tcBorders>
            <w:tcMar>
              <w:left w:w="70" w:type="dxa"/>
              <w:right w:w="70" w:type="dxa"/>
            </w:tcMar>
            <w:vAlign w:val="center"/>
          </w:tcPr>
          <w:p w14:paraId="4AA0DE79" w14:textId="492AD73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1,347,895,991.00</w:t>
            </w:r>
          </w:p>
        </w:tc>
        <w:tc>
          <w:tcPr>
            <w:tcW w:w="604" w:type="pct"/>
            <w:tcBorders>
              <w:top w:val="nil"/>
              <w:left w:val="single" w:sz="8" w:space="0" w:color="auto"/>
              <w:bottom w:val="nil"/>
              <w:right w:val="single" w:sz="8" w:space="0" w:color="auto"/>
            </w:tcBorders>
            <w:tcMar>
              <w:left w:w="70" w:type="dxa"/>
              <w:right w:w="70" w:type="dxa"/>
            </w:tcMar>
            <w:vAlign w:val="center"/>
          </w:tcPr>
          <w:p w14:paraId="72294AB0" w14:textId="69254AD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846,373,461.00</w:t>
            </w:r>
          </w:p>
        </w:tc>
        <w:tc>
          <w:tcPr>
            <w:tcW w:w="604" w:type="pct"/>
            <w:tcBorders>
              <w:top w:val="nil"/>
              <w:left w:val="single" w:sz="8" w:space="0" w:color="auto"/>
              <w:bottom w:val="nil"/>
              <w:right w:val="single" w:sz="8" w:space="0" w:color="auto"/>
            </w:tcBorders>
            <w:tcMar>
              <w:left w:w="70" w:type="dxa"/>
              <w:right w:w="70" w:type="dxa"/>
            </w:tcMar>
            <w:vAlign w:val="center"/>
          </w:tcPr>
          <w:p w14:paraId="2A3A2486" w14:textId="7B0089F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1,507,041,623.00</w:t>
            </w:r>
          </w:p>
        </w:tc>
        <w:tc>
          <w:tcPr>
            <w:tcW w:w="604" w:type="pct"/>
            <w:tcBorders>
              <w:top w:val="nil"/>
              <w:left w:val="single" w:sz="8" w:space="0" w:color="auto"/>
              <w:bottom w:val="nil"/>
              <w:right w:val="single" w:sz="8" w:space="0" w:color="auto"/>
            </w:tcBorders>
            <w:tcMar>
              <w:left w:w="70" w:type="dxa"/>
              <w:right w:w="70" w:type="dxa"/>
            </w:tcMar>
            <w:vAlign w:val="center"/>
          </w:tcPr>
          <w:p w14:paraId="1E2640E4" w14:textId="1A9244D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2,303,919,986.00</w:t>
            </w:r>
          </w:p>
        </w:tc>
        <w:tc>
          <w:tcPr>
            <w:tcW w:w="610" w:type="pct"/>
            <w:tcBorders>
              <w:top w:val="nil"/>
              <w:left w:val="single" w:sz="8" w:space="0" w:color="auto"/>
              <w:bottom w:val="nil"/>
              <w:right w:val="single" w:sz="8" w:space="0" w:color="auto"/>
            </w:tcBorders>
            <w:tcMar>
              <w:left w:w="70" w:type="dxa"/>
              <w:right w:w="70" w:type="dxa"/>
            </w:tcMar>
            <w:vAlign w:val="center"/>
          </w:tcPr>
          <w:p w14:paraId="7EC91285" w14:textId="655DE83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2,195,539,656.68</w:t>
            </w:r>
          </w:p>
        </w:tc>
        <w:tc>
          <w:tcPr>
            <w:tcW w:w="611" w:type="pct"/>
            <w:tcBorders>
              <w:top w:val="nil"/>
              <w:left w:val="single" w:sz="8" w:space="0" w:color="auto"/>
              <w:bottom w:val="nil"/>
              <w:right w:val="single" w:sz="8" w:space="0" w:color="auto"/>
            </w:tcBorders>
            <w:tcMar>
              <w:left w:w="70" w:type="dxa"/>
              <w:right w:w="70" w:type="dxa"/>
            </w:tcMar>
            <w:vAlign w:val="center"/>
          </w:tcPr>
          <w:p w14:paraId="5BB9CE31" w14:textId="5F682A5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2,136,521,915.00</w:t>
            </w:r>
          </w:p>
        </w:tc>
      </w:tr>
      <w:tr w:rsidR="5D3FC234" w:rsidRPr="000842AA" w14:paraId="23DA209B" w14:textId="77777777" w:rsidTr="003466C4">
        <w:trPr>
          <w:trHeight w:val="135"/>
        </w:trPr>
        <w:tc>
          <w:tcPr>
            <w:tcW w:w="1349" w:type="pct"/>
            <w:tcBorders>
              <w:top w:val="nil"/>
              <w:left w:val="single" w:sz="8" w:space="0" w:color="auto"/>
              <w:bottom w:val="nil"/>
              <w:right w:val="single" w:sz="8" w:space="0" w:color="auto"/>
            </w:tcBorders>
            <w:tcMar>
              <w:left w:w="70" w:type="dxa"/>
              <w:right w:w="70" w:type="dxa"/>
            </w:tcMar>
            <w:vAlign w:val="center"/>
          </w:tcPr>
          <w:p w14:paraId="12318EB5" w14:textId="70B8CC3D"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E. Productos</w:t>
            </w:r>
          </w:p>
        </w:tc>
        <w:tc>
          <w:tcPr>
            <w:tcW w:w="619" w:type="pct"/>
            <w:tcBorders>
              <w:top w:val="nil"/>
              <w:left w:val="single" w:sz="8" w:space="0" w:color="auto"/>
              <w:bottom w:val="nil"/>
              <w:right w:val="single" w:sz="8" w:space="0" w:color="auto"/>
            </w:tcBorders>
            <w:tcMar>
              <w:left w:w="70" w:type="dxa"/>
              <w:right w:w="70" w:type="dxa"/>
            </w:tcMar>
            <w:vAlign w:val="center"/>
          </w:tcPr>
          <w:p w14:paraId="09D12E8B" w14:textId="056CFD2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122,870,389.00</w:t>
            </w:r>
          </w:p>
        </w:tc>
        <w:tc>
          <w:tcPr>
            <w:tcW w:w="604" w:type="pct"/>
            <w:tcBorders>
              <w:top w:val="nil"/>
              <w:left w:val="single" w:sz="8" w:space="0" w:color="auto"/>
              <w:bottom w:val="nil"/>
              <w:right w:val="single" w:sz="8" w:space="0" w:color="auto"/>
            </w:tcBorders>
            <w:tcMar>
              <w:left w:w="70" w:type="dxa"/>
              <w:right w:w="70" w:type="dxa"/>
            </w:tcMar>
            <w:vAlign w:val="center"/>
          </w:tcPr>
          <w:p w14:paraId="6817D559" w14:textId="7A1762E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94,364,035.00</w:t>
            </w:r>
          </w:p>
        </w:tc>
        <w:tc>
          <w:tcPr>
            <w:tcW w:w="604" w:type="pct"/>
            <w:tcBorders>
              <w:top w:val="nil"/>
              <w:left w:val="single" w:sz="8" w:space="0" w:color="auto"/>
              <w:bottom w:val="nil"/>
              <w:right w:val="single" w:sz="8" w:space="0" w:color="auto"/>
            </w:tcBorders>
            <w:tcMar>
              <w:left w:w="70" w:type="dxa"/>
              <w:right w:w="70" w:type="dxa"/>
            </w:tcMar>
            <w:vAlign w:val="center"/>
          </w:tcPr>
          <w:p w14:paraId="19CA943D" w14:textId="4525D0B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141,149,777.00</w:t>
            </w:r>
          </w:p>
        </w:tc>
        <w:tc>
          <w:tcPr>
            <w:tcW w:w="604" w:type="pct"/>
            <w:tcBorders>
              <w:top w:val="nil"/>
              <w:left w:val="single" w:sz="8" w:space="0" w:color="auto"/>
              <w:bottom w:val="nil"/>
              <w:right w:val="single" w:sz="8" w:space="0" w:color="auto"/>
            </w:tcBorders>
            <w:tcMar>
              <w:left w:w="70" w:type="dxa"/>
              <w:right w:w="70" w:type="dxa"/>
            </w:tcMar>
            <w:vAlign w:val="center"/>
          </w:tcPr>
          <w:p w14:paraId="5376AEA8" w14:textId="216CCA6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711,182,382.00</w:t>
            </w:r>
          </w:p>
        </w:tc>
        <w:tc>
          <w:tcPr>
            <w:tcW w:w="610" w:type="pct"/>
            <w:tcBorders>
              <w:top w:val="nil"/>
              <w:left w:val="single" w:sz="8" w:space="0" w:color="auto"/>
              <w:bottom w:val="nil"/>
              <w:right w:val="single" w:sz="8" w:space="0" w:color="auto"/>
            </w:tcBorders>
            <w:tcMar>
              <w:left w:w="70" w:type="dxa"/>
              <w:right w:w="70" w:type="dxa"/>
            </w:tcMar>
            <w:vAlign w:val="center"/>
          </w:tcPr>
          <w:p w14:paraId="50F0BABE" w14:textId="5B0B571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466,219,944.13</w:t>
            </w:r>
          </w:p>
        </w:tc>
        <w:tc>
          <w:tcPr>
            <w:tcW w:w="611" w:type="pct"/>
            <w:tcBorders>
              <w:top w:val="nil"/>
              <w:left w:val="single" w:sz="8" w:space="0" w:color="auto"/>
              <w:bottom w:val="nil"/>
              <w:right w:val="single" w:sz="8" w:space="0" w:color="auto"/>
            </w:tcBorders>
            <w:tcMar>
              <w:left w:w="70" w:type="dxa"/>
              <w:right w:w="70" w:type="dxa"/>
            </w:tcMar>
            <w:vAlign w:val="center"/>
          </w:tcPr>
          <w:p w14:paraId="56C6F9A5" w14:textId="731FD11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310,491,442.67</w:t>
            </w:r>
          </w:p>
        </w:tc>
      </w:tr>
      <w:tr w:rsidR="5D3FC234" w:rsidRPr="000842AA" w14:paraId="63FEF2C4"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27300A58" w14:textId="1085F7E7"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F. Aprovechamientos</w:t>
            </w:r>
          </w:p>
        </w:tc>
        <w:tc>
          <w:tcPr>
            <w:tcW w:w="619" w:type="pct"/>
            <w:tcBorders>
              <w:top w:val="nil"/>
              <w:left w:val="single" w:sz="8" w:space="0" w:color="auto"/>
              <w:bottom w:val="nil"/>
              <w:right w:val="single" w:sz="8" w:space="0" w:color="auto"/>
            </w:tcBorders>
            <w:tcMar>
              <w:left w:w="70" w:type="dxa"/>
              <w:right w:w="70" w:type="dxa"/>
            </w:tcMar>
            <w:vAlign w:val="center"/>
          </w:tcPr>
          <w:p w14:paraId="05BE998B" w14:textId="58B1990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172,003,240.00</w:t>
            </w:r>
          </w:p>
        </w:tc>
        <w:tc>
          <w:tcPr>
            <w:tcW w:w="604" w:type="pct"/>
            <w:tcBorders>
              <w:top w:val="nil"/>
              <w:left w:val="single" w:sz="8" w:space="0" w:color="auto"/>
              <w:bottom w:val="nil"/>
              <w:right w:val="single" w:sz="8" w:space="0" w:color="auto"/>
            </w:tcBorders>
            <w:tcMar>
              <w:left w:w="70" w:type="dxa"/>
              <w:right w:w="70" w:type="dxa"/>
            </w:tcMar>
            <w:vAlign w:val="center"/>
          </w:tcPr>
          <w:p w14:paraId="552CA6B3" w14:textId="7A1F913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112,270,059.00</w:t>
            </w:r>
          </w:p>
        </w:tc>
        <w:tc>
          <w:tcPr>
            <w:tcW w:w="604" w:type="pct"/>
            <w:tcBorders>
              <w:top w:val="nil"/>
              <w:left w:val="single" w:sz="8" w:space="0" w:color="auto"/>
              <w:bottom w:val="nil"/>
              <w:right w:val="single" w:sz="8" w:space="0" w:color="auto"/>
            </w:tcBorders>
            <w:tcMar>
              <w:left w:w="70" w:type="dxa"/>
              <w:right w:w="70" w:type="dxa"/>
            </w:tcMar>
            <w:vAlign w:val="center"/>
          </w:tcPr>
          <w:p w14:paraId="60163EEE" w14:textId="2816D11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142,506,410.00</w:t>
            </w:r>
          </w:p>
        </w:tc>
        <w:tc>
          <w:tcPr>
            <w:tcW w:w="604" w:type="pct"/>
            <w:tcBorders>
              <w:top w:val="nil"/>
              <w:left w:val="single" w:sz="8" w:space="0" w:color="auto"/>
              <w:bottom w:val="nil"/>
              <w:right w:val="single" w:sz="8" w:space="0" w:color="auto"/>
            </w:tcBorders>
            <w:tcMar>
              <w:left w:w="70" w:type="dxa"/>
              <w:right w:w="70" w:type="dxa"/>
            </w:tcMar>
            <w:vAlign w:val="center"/>
          </w:tcPr>
          <w:p w14:paraId="5F54C451" w14:textId="7EF5D69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235,313,233.00</w:t>
            </w:r>
          </w:p>
        </w:tc>
        <w:tc>
          <w:tcPr>
            <w:tcW w:w="610" w:type="pct"/>
            <w:tcBorders>
              <w:top w:val="nil"/>
              <w:left w:val="single" w:sz="8" w:space="0" w:color="auto"/>
              <w:bottom w:val="nil"/>
              <w:right w:val="single" w:sz="8" w:space="0" w:color="auto"/>
            </w:tcBorders>
            <w:tcMar>
              <w:left w:w="70" w:type="dxa"/>
              <w:right w:w="70" w:type="dxa"/>
            </w:tcMar>
            <w:vAlign w:val="center"/>
          </w:tcPr>
          <w:p w14:paraId="0BEF6113" w14:textId="73CA527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274,354,921.84</w:t>
            </w:r>
          </w:p>
        </w:tc>
        <w:tc>
          <w:tcPr>
            <w:tcW w:w="611" w:type="pct"/>
            <w:tcBorders>
              <w:top w:val="nil"/>
              <w:left w:val="single" w:sz="8" w:space="0" w:color="auto"/>
              <w:bottom w:val="nil"/>
              <w:right w:val="single" w:sz="8" w:space="0" w:color="auto"/>
            </w:tcBorders>
            <w:tcMar>
              <w:left w:w="70" w:type="dxa"/>
              <w:right w:w="70" w:type="dxa"/>
            </w:tcMar>
            <w:vAlign w:val="center"/>
          </w:tcPr>
          <w:p w14:paraId="342B953D" w14:textId="6D68415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294,229,157.00</w:t>
            </w:r>
          </w:p>
        </w:tc>
      </w:tr>
      <w:tr w:rsidR="5D3FC234" w:rsidRPr="000842AA" w14:paraId="4623100C"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7D0D9342" w14:textId="534BDCE5"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G. Ingresos por Venta de Bienes y Prestación de Servicios</w:t>
            </w:r>
          </w:p>
        </w:tc>
        <w:tc>
          <w:tcPr>
            <w:tcW w:w="619" w:type="pct"/>
            <w:tcBorders>
              <w:top w:val="nil"/>
              <w:left w:val="single" w:sz="8" w:space="0" w:color="auto"/>
              <w:bottom w:val="nil"/>
              <w:right w:val="single" w:sz="8" w:space="0" w:color="auto"/>
            </w:tcBorders>
            <w:tcMar>
              <w:left w:w="70" w:type="dxa"/>
              <w:right w:w="70" w:type="dxa"/>
            </w:tcMar>
            <w:vAlign w:val="center"/>
          </w:tcPr>
          <w:p w14:paraId="6AE1CF2C" w14:textId="31EC7F4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4247656E" w14:textId="2CC279D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5AC9ECFF" w14:textId="7618E4F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B7644FB" w14:textId="72CBC71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58D242BF" w14:textId="67B5191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2B459113" w14:textId="57D663F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25031202" w14:textId="77777777" w:rsidTr="003466C4">
        <w:trPr>
          <w:trHeight w:val="120"/>
        </w:trPr>
        <w:tc>
          <w:tcPr>
            <w:tcW w:w="1349" w:type="pct"/>
            <w:tcBorders>
              <w:top w:val="nil"/>
              <w:left w:val="single" w:sz="8" w:space="0" w:color="auto"/>
              <w:bottom w:val="nil"/>
              <w:right w:val="single" w:sz="8" w:space="0" w:color="auto"/>
            </w:tcBorders>
            <w:tcMar>
              <w:left w:w="70" w:type="dxa"/>
              <w:right w:w="70" w:type="dxa"/>
            </w:tcMar>
            <w:vAlign w:val="center"/>
          </w:tcPr>
          <w:p w14:paraId="78682901" w14:textId="5614411F"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H. Participaciones</w:t>
            </w:r>
          </w:p>
        </w:tc>
        <w:tc>
          <w:tcPr>
            <w:tcW w:w="619" w:type="pct"/>
            <w:tcBorders>
              <w:top w:val="nil"/>
              <w:left w:val="single" w:sz="8" w:space="0" w:color="auto"/>
              <w:bottom w:val="nil"/>
              <w:right w:val="single" w:sz="8" w:space="0" w:color="auto"/>
            </w:tcBorders>
            <w:tcMar>
              <w:left w:w="70" w:type="dxa"/>
              <w:right w:w="70" w:type="dxa"/>
            </w:tcMar>
            <w:vAlign w:val="center"/>
          </w:tcPr>
          <w:p w14:paraId="79BBEBB6" w14:textId="29597E1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14,988,596,542.00</w:t>
            </w:r>
          </w:p>
        </w:tc>
        <w:tc>
          <w:tcPr>
            <w:tcW w:w="604" w:type="pct"/>
            <w:tcBorders>
              <w:top w:val="nil"/>
              <w:left w:val="single" w:sz="8" w:space="0" w:color="auto"/>
              <w:bottom w:val="nil"/>
              <w:right w:val="single" w:sz="8" w:space="0" w:color="auto"/>
            </w:tcBorders>
            <w:tcMar>
              <w:left w:w="70" w:type="dxa"/>
              <w:right w:w="70" w:type="dxa"/>
            </w:tcMar>
            <w:vAlign w:val="center"/>
          </w:tcPr>
          <w:p w14:paraId="2B95FB03" w14:textId="3F709B16"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15,431,424,773.00</w:t>
            </w:r>
          </w:p>
        </w:tc>
        <w:tc>
          <w:tcPr>
            <w:tcW w:w="604" w:type="pct"/>
            <w:tcBorders>
              <w:top w:val="nil"/>
              <w:left w:val="single" w:sz="8" w:space="0" w:color="auto"/>
              <w:bottom w:val="nil"/>
              <w:right w:val="single" w:sz="8" w:space="0" w:color="auto"/>
            </w:tcBorders>
            <w:tcMar>
              <w:left w:w="70" w:type="dxa"/>
              <w:right w:w="70" w:type="dxa"/>
            </w:tcMar>
            <w:vAlign w:val="center"/>
          </w:tcPr>
          <w:p w14:paraId="73069BB5" w14:textId="4B84721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15,089,827,267.00</w:t>
            </w:r>
          </w:p>
        </w:tc>
        <w:tc>
          <w:tcPr>
            <w:tcW w:w="604" w:type="pct"/>
            <w:tcBorders>
              <w:top w:val="nil"/>
              <w:left w:val="single" w:sz="8" w:space="0" w:color="auto"/>
              <w:bottom w:val="nil"/>
              <w:right w:val="single" w:sz="8" w:space="0" w:color="auto"/>
            </w:tcBorders>
            <w:tcMar>
              <w:left w:w="70" w:type="dxa"/>
              <w:right w:w="70" w:type="dxa"/>
            </w:tcMar>
            <w:vAlign w:val="center"/>
          </w:tcPr>
          <w:p w14:paraId="28FCB319" w14:textId="2FCB195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17,985,923,647.00</w:t>
            </w:r>
          </w:p>
        </w:tc>
        <w:tc>
          <w:tcPr>
            <w:tcW w:w="610" w:type="pct"/>
            <w:tcBorders>
              <w:top w:val="nil"/>
              <w:left w:val="single" w:sz="8" w:space="0" w:color="auto"/>
              <w:bottom w:val="nil"/>
              <w:right w:val="single" w:sz="8" w:space="0" w:color="auto"/>
            </w:tcBorders>
            <w:tcMar>
              <w:left w:w="70" w:type="dxa"/>
              <w:right w:w="70" w:type="dxa"/>
            </w:tcMar>
            <w:vAlign w:val="center"/>
          </w:tcPr>
          <w:p w14:paraId="6CB07B64" w14:textId="37D4B57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20,520,053,975.00</w:t>
            </w:r>
          </w:p>
        </w:tc>
        <w:tc>
          <w:tcPr>
            <w:tcW w:w="611" w:type="pct"/>
            <w:tcBorders>
              <w:top w:val="nil"/>
              <w:left w:val="single" w:sz="8" w:space="0" w:color="auto"/>
              <w:bottom w:val="nil"/>
              <w:right w:val="single" w:sz="8" w:space="0" w:color="auto"/>
            </w:tcBorders>
            <w:tcMar>
              <w:left w:w="70" w:type="dxa"/>
              <w:right w:w="70" w:type="dxa"/>
            </w:tcMar>
            <w:vAlign w:val="center"/>
          </w:tcPr>
          <w:p w14:paraId="69B5B691" w14:textId="047EE61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20,518,454,738.32</w:t>
            </w:r>
          </w:p>
        </w:tc>
      </w:tr>
      <w:tr w:rsidR="5D3FC234" w:rsidRPr="000842AA" w14:paraId="238DB482"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1F28AEBC" w14:textId="5A77EA96"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I. Incentivos Derivados de la Colaboración Fiscal</w:t>
            </w:r>
          </w:p>
        </w:tc>
        <w:tc>
          <w:tcPr>
            <w:tcW w:w="619" w:type="pct"/>
            <w:tcBorders>
              <w:top w:val="nil"/>
              <w:left w:val="single" w:sz="8" w:space="0" w:color="auto"/>
              <w:bottom w:val="nil"/>
              <w:right w:val="single" w:sz="8" w:space="0" w:color="auto"/>
            </w:tcBorders>
            <w:tcMar>
              <w:left w:w="70" w:type="dxa"/>
              <w:right w:w="70" w:type="dxa"/>
            </w:tcMar>
            <w:vAlign w:val="center"/>
          </w:tcPr>
          <w:p w14:paraId="1EC9713E" w14:textId="156EF52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561,879,355.00</w:t>
            </w:r>
          </w:p>
        </w:tc>
        <w:tc>
          <w:tcPr>
            <w:tcW w:w="604" w:type="pct"/>
            <w:tcBorders>
              <w:top w:val="nil"/>
              <w:left w:val="single" w:sz="8" w:space="0" w:color="auto"/>
              <w:bottom w:val="nil"/>
              <w:right w:val="single" w:sz="8" w:space="0" w:color="auto"/>
            </w:tcBorders>
            <w:tcMar>
              <w:left w:w="70" w:type="dxa"/>
              <w:right w:w="70" w:type="dxa"/>
            </w:tcMar>
            <w:vAlign w:val="center"/>
          </w:tcPr>
          <w:p w14:paraId="31835EE7" w14:textId="56E6410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389,053,898.00</w:t>
            </w:r>
          </w:p>
        </w:tc>
        <w:tc>
          <w:tcPr>
            <w:tcW w:w="604" w:type="pct"/>
            <w:tcBorders>
              <w:top w:val="nil"/>
              <w:left w:val="single" w:sz="8" w:space="0" w:color="auto"/>
              <w:bottom w:val="nil"/>
              <w:right w:val="single" w:sz="8" w:space="0" w:color="auto"/>
            </w:tcBorders>
            <w:tcMar>
              <w:left w:w="70" w:type="dxa"/>
              <w:right w:w="70" w:type="dxa"/>
            </w:tcMar>
            <w:vAlign w:val="center"/>
          </w:tcPr>
          <w:p w14:paraId="0C25FA3B" w14:textId="4B85EA3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673,357,781.00</w:t>
            </w:r>
          </w:p>
        </w:tc>
        <w:tc>
          <w:tcPr>
            <w:tcW w:w="604" w:type="pct"/>
            <w:tcBorders>
              <w:top w:val="nil"/>
              <w:left w:val="single" w:sz="8" w:space="0" w:color="auto"/>
              <w:bottom w:val="nil"/>
              <w:right w:val="single" w:sz="8" w:space="0" w:color="auto"/>
            </w:tcBorders>
            <w:tcMar>
              <w:left w:w="70" w:type="dxa"/>
              <w:right w:w="70" w:type="dxa"/>
            </w:tcMar>
            <w:vAlign w:val="center"/>
          </w:tcPr>
          <w:p w14:paraId="2CF4584C" w14:textId="5F6AC29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1,168,160,222.00</w:t>
            </w:r>
          </w:p>
        </w:tc>
        <w:tc>
          <w:tcPr>
            <w:tcW w:w="610" w:type="pct"/>
            <w:tcBorders>
              <w:top w:val="nil"/>
              <w:left w:val="single" w:sz="8" w:space="0" w:color="auto"/>
              <w:bottom w:val="nil"/>
              <w:right w:val="single" w:sz="8" w:space="0" w:color="auto"/>
            </w:tcBorders>
            <w:tcMar>
              <w:left w:w="70" w:type="dxa"/>
              <w:right w:w="70" w:type="dxa"/>
            </w:tcMar>
            <w:vAlign w:val="center"/>
          </w:tcPr>
          <w:p w14:paraId="40A02086" w14:textId="2539CE3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1,512,262,301.91</w:t>
            </w:r>
          </w:p>
        </w:tc>
        <w:tc>
          <w:tcPr>
            <w:tcW w:w="611" w:type="pct"/>
            <w:tcBorders>
              <w:top w:val="nil"/>
              <w:left w:val="single" w:sz="8" w:space="0" w:color="auto"/>
              <w:bottom w:val="nil"/>
              <w:right w:val="single" w:sz="8" w:space="0" w:color="auto"/>
            </w:tcBorders>
            <w:tcMar>
              <w:left w:w="70" w:type="dxa"/>
              <w:right w:w="70" w:type="dxa"/>
            </w:tcMar>
            <w:vAlign w:val="center"/>
          </w:tcPr>
          <w:p w14:paraId="3D210AEF" w14:textId="0044796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1,452,792,781.00</w:t>
            </w:r>
          </w:p>
        </w:tc>
      </w:tr>
      <w:tr w:rsidR="5D3FC234" w:rsidRPr="000842AA" w14:paraId="527545AA"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065BE643" w14:textId="0FDB1473"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J. Transferencias y Asignaciones</w:t>
            </w:r>
          </w:p>
        </w:tc>
        <w:tc>
          <w:tcPr>
            <w:tcW w:w="619" w:type="pct"/>
            <w:tcBorders>
              <w:top w:val="nil"/>
              <w:left w:val="single" w:sz="8" w:space="0" w:color="auto"/>
              <w:bottom w:val="nil"/>
              <w:right w:val="single" w:sz="8" w:space="0" w:color="auto"/>
            </w:tcBorders>
            <w:tcMar>
              <w:left w:w="70" w:type="dxa"/>
              <w:right w:w="70" w:type="dxa"/>
            </w:tcMar>
            <w:vAlign w:val="center"/>
          </w:tcPr>
          <w:p w14:paraId="4F1675C8" w14:textId="5B75D85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42004DFF" w14:textId="6B1E18A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46A12EE8" w14:textId="1ED3BBF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BED73A1" w14:textId="3607E3F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6E1373E3" w14:textId="0C977C3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7FB35877" w14:textId="53AD50C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786AB613"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096E1E7F" w14:textId="48DC5517"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K. Convenios</w:t>
            </w:r>
          </w:p>
        </w:tc>
        <w:tc>
          <w:tcPr>
            <w:tcW w:w="619" w:type="pct"/>
            <w:tcBorders>
              <w:top w:val="nil"/>
              <w:left w:val="single" w:sz="8" w:space="0" w:color="auto"/>
              <w:bottom w:val="nil"/>
              <w:right w:val="single" w:sz="8" w:space="0" w:color="auto"/>
            </w:tcBorders>
            <w:tcMar>
              <w:left w:w="70" w:type="dxa"/>
              <w:right w:w="70" w:type="dxa"/>
            </w:tcMar>
            <w:vAlign w:val="center"/>
          </w:tcPr>
          <w:p w14:paraId="4A1BFB87" w14:textId="7EA638E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1594767" w14:textId="7B650CD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5D0E41E3" w14:textId="3C3E326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02C7B3B" w14:textId="15BE938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26F56AEA" w14:textId="08DA371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31F0B3B1" w14:textId="1A18A0C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2300A512"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57721389" w14:textId="4C2ED7D8"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L. Otros Ingresos de Libre Disposición</w:t>
            </w:r>
          </w:p>
        </w:tc>
        <w:tc>
          <w:tcPr>
            <w:tcW w:w="619" w:type="pct"/>
            <w:tcBorders>
              <w:top w:val="nil"/>
              <w:left w:val="single" w:sz="8" w:space="0" w:color="auto"/>
              <w:bottom w:val="nil"/>
              <w:right w:val="single" w:sz="8" w:space="0" w:color="auto"/>
            </w:tcBorders>
            <w:tcMar>
              <w:left w:w="70" w:type="dxa"/>
              <w:right w:w="70" w:type="dxa"/>
            </w:tcMar>
            <w:vAlign w:val="center"/>
          </w:tcPr>
          <w:p w14:paraId="548A12F6" w14:textId="285160D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23A50B4" w14:textId="0DD5364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17910D8" w14:textId="4DDD644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CFE1B59" w14:textId="6B4F22A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024AADBE" w14:textId="3DC0517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54F7AF06" w14:textId="749B2DA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79B05945" w14:textId="77777777" w:rsidTr="003466C4">
        <w:trPr>
          <w:trHeight w:val="75"/>
        </w:trPr>
        <w:tc>
          <w:tcPr>
            <w:tcW w:w="1349" w:type="pct"/>
            <w:tcBorders>
              <w:top w:val="nil"/>
              <w:left w:val="single" w:sz="8" w:space="0" w:color="auto"/>
              <w:bottom w:val="nil"/>
              <w:right w:val="single" w:sz="8" w:space="0" w:color="auto"/>
            </w:tcBorders>
            <w:tcMar>
              <w:left w:w="70" w:type="dxa"/>
              <w:right w:w="70" w:type="dxa"/>
            </w:tcMar>
            <w:vAlign w:val="center"/>
          </w:tcPr>
          <w:p w14:paraId="2A2C8F0D" w14:textId="59D56B9E"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2. Transferencias Federales Etiquetadas (2=A+B+C+D+E)</w:t>
            </w:r>
          </w:p>
        </w:tc>
        <w:tc>
          <w:tcPr>
            <w:tcW w:w="619" w:type="pct"/>
            <w:tcBorders>
              <w:top w:val="nil"/>
              <w:left w:val="single" w:sz="8" w:space="0" w:color="auto"/>
              <w:bottom w:val="nil"/>
              <w:right w:val="single" w:sz="8" w:space="0" w:color="auto"/>
            </w:tcBorders>
            <w:tcMar>
              <w:left w:w="70" w:type="dxa"/>
              <w:right w:w="70" w:type="dxa"/>
            </w:tcMar>
            <w:vAlign w:val="center"/>
          </w:tcPr>
          <w:p w14:paraId="7B5A01EC" w14:textId="3BC689B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18,729,216,031.00</w:t>
            </w:r>
          </w:p>
        </w:tc>
        <w:tc>
          <w:tcPr>
            <w:tcW w:w="604" w:type="pct"/>
            <w:tcBorders>
              <w:top w:val="nil"/>
              <w:left w:val="single" w:sz="8" w:space="0" w:color="auto"/>
              <w:bottom w:val="nil"/>
              <w:right w:val="single" w:sz="8" w:space="0" w:color="auto"/>
            </w:tcBorders>
            <w:tcMar>
              <w:left w:w="70" w:type="dxa"/>
              <w:right w:w="70" w:type="dxa"/>
            </w:tcMar>
            <w:vAlign w:val="center"/>
          </w:tcPr>
          <w:p w14:paraId="60FDF8EB" w14:textId="51EC3E8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19,739,532,677.00</w:t>
            </w:r>
          </w:p>
        </w:tc>
        <w:tc>
          <w:tcPr>
            <w:tcW w:w="604" w:type="pct"/>
            <w:tcBorders>
              <w:top w:val="nil"/>
              <w:left w:val="single" w:sz="8" w:space="0" w:color="auto"/>
              <w:bottom w:val="nil"/>
              <w:right w:val="single" w:sz="8" w:space="0" w:color="auto"/>
            </w:tcBorders>
            <w:tcMar>
              <w:left w:w="70" w:type="dxa"/>
              <w:right w:w="70" w:type="dxa"/>
            </w:tcMar>
            <w:vAlign w:val="center"/>
          </w:tcPr>
          <w:p w14:paraId="3FEADF4C" w14:textId="743B679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19,392,020,523.00</w:t>
            </w:r>
          </w:p>
        </w:tc>
        <w:tc>
          <w:tcPr>
            <w:tcW w:w="604" w:type="pct"/>
            <w:tcBorders>
              <w:top w:val="nil"/>
              <w:left w:val="single" w:sz="8" w:space="0" w:color="auto"/>
              <w:bottom w:val="nil"/>
              <w:right w:val="single" w:sz="8" w:space="0" w:color="auto"/>
            </w:tcBorders>
            <w:tcMar>
              <w:left w:w="70" w:type="dxa"/>
              <w:right w:w="70" w:type="dxa"/>
            </w:tcMar>
            <w:vAlign w:val="center"/>
          </w:tcPr>
          <w:p w14:paraId="461BE5EA" w14:textId="037B58A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21,218,879,905.00</w:t>
            </w:r>
          </w:p>
        </w:tc>
        <w:tc>
          <w:tcPr>
            <w:tcW w:w="610" w:type="pct"/>
            <w:tcBorders>
              <w:top w:val="nil"/>
              <w:left w:val="single" w:sz="8" w:space="0" w:color="auto"/>
              <w:bottom w:val="nil"/>
              <w:right w:val="single" w:sz="8" w:space="0" w:color="auto"/>
            </w:tcBorders>
            <w:tcMar>
              <w:left w:w="70" w:type="dxa"/>
              <w:right w:w="70" w:type="dxa"/>
            </w:tcMar>
            <w:vAlign w:val="center"/>
          </w:tcPr>
          <w:p w14:paraId="6988EBB3" w14:textId="2E9F7E1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22,513,571,222.96</w:t>
            </w:r>
          </w:p>
        </w:tc>
        <w:tc>
          <w:tcPr>
            <w:tcW w:w="611" w:type="pct"/>
            <w:tcBorders>
              <w:top w:val="nil"/>
              <w:left w:val="single" w:sz="8" w:space="0" w:color="auto"/>
              <w:bottom w:val="nil"/>
              <w:right w:val="single" w:sz="8" w:space="0" w:color="auto"/>
            </w:tcBorders>
            <w:tcMar>
              <w:left w:w="70" w:type="dxa"/>
              <w:right w:w="70" w:type="dxa"/>
            </w:tcMar>
            <w:vAlign w:val="center"/>
          </w:tcPr>
          <w:p w14:paraId="71F476AB" w14:textId="008C820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23,737,915,059.34</w:t>
            </w:r>
          </w:p>
        </w:tc>
      </w:tr>
      <w:tr w:rsidR="5D3FC234" w:rsidRPr="000842AA" w14:paraId="57CCFA1B"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32E8FEF1" w14:textId="7CAAA813"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A. Aportaciones</w:t>
            </w:r>
          </w:p>
        </w:tc>
        <w:tc>
          <w:tcPr>
            <w:tcW w:w="619" w:type="pct"/>
            <w:tcBorders>
              <w:top w:val="nil"/>
              <w:left w:val="single" w:sz="8" w:space="0" w:color="auto"/>
              <w:bottom w:val="nil"/>
              <w:right w:val="single" w:sz="8" w:space="0" w:color="auto"/>
            </w:tcBorders>
            <w:tcMar>
              <w:left w:w="70" w:type="dxa"/>
              <w:right w:w="70" w:type="dxa"/>
            </w:tcMar>
            <w:vAlign w:val="center"/>
          </w:tcPr>
          <w:p w14:paraId="1A0EB40A" w14:textId="2CE6BF8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13,550,628,926.00</w:t>
            </w:r>
          </w:p>
        </w:tc>
        <w:tc>
          <w:tcPr>
            <w:tcW w:w="604" w:type="pct"/>
            <w:tcBorders>
              <w:top w:val="nil"/>
              <w:left w:val="single" w:sz="8" w:space="0" w:color="auto"/>
              <w:bottom w:val="nil"/>
              <w:right w:val="single" w:sz="8" w:space="0" w:color="auto"/>
            </w:tcBorders>
            <w:tcMar>
              <w:left w:w="70" w:type="dxa"/>
              <w:right w:w="70" w:type="dxa"/>
            </w:tcMar>
            <w:vAlign w:val="center"/>
          </w:tcPr>
          <w:p w14:paraId="60806D7E" w14:textId="60962D4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13,975,622,844.00</w:t>
            </w:r>
          </w:p>
        </w:tc>
        <w:tc>
          <w:tcPr>
            <w:tcW w:w="604" w:type="pct"/>
            <w:tcBorders>
              <w:top w:val="nil"/>
              <w:left w:val="single" w:sz="8" w:space="0" w:color="auto"/>
              <w:bottom w:val="nil"/>
              <w:right w:val="single" w:sz="8" w:space="0" w:color="auto"/>
            </w:tcBorders>
            <w:tcMar>
              <w:left w:w="70" w:type="dxa"/>
              <w:right w:w="70" w:type="dxa"/>
            </w:tcMar>
            <w:vAlign w:val="center"/>
          </w:tcPr>
          <w:p w14:paraId="7CA3D126" w14:textId="0E3856F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14,197,099,226.00</w:t>
            </w:r>
          </w:p>
        </w:tc>
        <w:tc>
          <w:tcPr>
            <w:tcW w:w="604" w:type="pct"/>
            <w:tcBorders>
              <w:top w:val="nil"/>
              <w:left w:val="single" w:sz="8" w:space="0" w:color="auto"/>
              <w:bottom w:val="nil"/>
              <w:right w:val="single" w:sz="8" w:space="0" w:color="auto"/>
            </w:tcBorders>
            <w:tcMar>
              <w:left w:w="70" w:type="dxa"/>
              <w:right w:w="70" w:type="dxa"/>
            </w:tcMar>
            <w:vAlign w:val="center"/>
          </w:tcPr>
          <w:p w14:paraId="5DB52966" w14:textId="19F0CC4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15,805,978,887.00</w:t>
            </w:r>
          </w:p>
        </w:tc>
        <w:tc>
          <w:tcPr>
            <w:tcW w:w="610" w:type="pct"/>
            <w:tcBorders>
              <w:top w:val="nil"/>
              <w:left w:val="single" w:sz="8" w:space="0" w:color="auto"/>
              <w:bottom w:val="nil"/>
              <w:right w:val="single" w:sz="8" w:space="0" w:color="auto"/>
            </w:tcBorders>
            <w:tcMar>
              <w:left w:w="70" w:type="dxa"/>
              <w:right w:w="70" w:type="dxa"/>
            </w:tcMar>
            <w:vAlign w:val="center"/>
          </w:tcPr>
          <w:p w14:paraId="00B69B52" w14:textId="00AF289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17,850,125,168.05</w:t>
            </w:r>
          </w:p>
        </w:tc>
        <w:tc>
          <w:tcPr>
            <w:tcW w:w="611" w:type="pct"/>
            <w:tcBorders>
              <w:top w:val="nil"/>
              <w:left w:val="single" w:sz="8" w:space="0" w:color="auto"/>
              <w:bottom w:val="nil"/>
              <w:right w:val="single" w:sz="8" w:space="0" w:color="auto"/>
            </w:tcBorders>
            <w:tcMar>
              <w:left w:w="70" w:type="dxa"/>
              <w:right w:w="70" w:type="dxa"/>
            </w:tcMar>
            <w:vAlign w:val="center"/>
          </w:tcPr>
          <w:p w14:paraId="724E1D1C" w14:textId="63C94BE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18,075,710,535.77</w:t>
            </w:r>
          </w:p>
        </w:tc>
      </w:tr>
      <w:tr w:rsidR="5D3FC234" w:rsidRPr="000842AA" w14:paraId="5011FAFD"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3D73351E" w14:textId="4A0B0362"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B. Convenios</w:t>
            </w:r>
          </w:p>
        </w:tc>
        <w:tc>
          <w:tcPr>
            <w:tcW w:w="619" w:type="pct"/>
            <w:tcBorders>
              <w:top w:val="nil"/>
              <w:left w:val="single" w:sz="8" w:space="0" w:color="auto"/>
              <w:bottom w:val="nil"/>
              <w:right w:val="single" w:sz="8" w:space="0" w:color="auto"/>
            </w:tcBorders>
            <w:tcMar>
              <w:left w:w="70" w:type="dxa"/>
              <w:right w:w="70" w:type="dxa"/>
            </w:tcMar>
            <w:vAlign w:val="center"/>
          </w:tcPr>
          <w:p w14:paraId="567412CF" w14:textId="36C464E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3,151,398,729.00</w:t>
            </w:r>
          </w:p>
        </w:tc>
        <w:tc>
          <w:tcPr>
            <w:tcW w:w="604" w:type="pct"/>
            <w:tcBorders>
              <w:top w:val="nil"/>
              <w:left w:val="single" w:sz="8" w:space="0" w:color="auto"/>
              <w:bottom w:val="nil"/>
              <w:right w:val="single" w:sz="8" w:space="0" w:color="auto"/>
            </w:tcBorders>
            <w:tcMar>
              <w:left w:w="70" w:type="dxa"/>
              <w:right w:w="70" w:type="dxa"/>
            </w:tcMar>
            <w:vAlign w:val="center"/>
          </w:tcPr>
          <w:p w14:paraId="7837763C" w14:textId="011E170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3,670,494,897.00</w:t>
            </w:r>
          </w:p>
        </w:tc>
        <w:tc>
          <w:tcPr>
            <w:tcW w:w="604" w:type="pct"/>
            <w:tcBorders>
              <w:top w:val="nil"/>
              <w:left w:val="single" w:sz="8" w:space="0" w:color="auto"/>
              <w:bottom w:val="nil"/>
              <w:right w:val="single" w:sz="8" w:space="0" w:color="auto"/>
            </w:tcBorders>
            <w:tcMar>
              <w:left w:w="70" w:type="dxa"/>
              <w:right w:w="70" w:type="dxa"/>
            </w:tcMar>
            <w:vAlign w:val="center"/>
          </w:tcPr>
          <w:p w14:paraId="6F997595" w14:textId="705ACFE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3,058,160,374.00</w:t>
            </w:r>
          </w:p>
        </w:tc>
        <w:tc>
          <w:tcPr>
            <w:tcW w:w="604" w:type="pct"/>
            <w:tcBorders>
              <w:top w:val="nil"/>
              <w:left w:val="single" w:sz="8" w:space="0" w:color="auto"/>
              <w:bottom w:val="nil"/>
              <w:right w:val="single" w:sz="8" w:space="0" w:color="auto"/>
            </w:tcBorders>
            <w:tcMar>
              <w:left w:w="70" w:type="dxa"/>
              <w:right w:w="70" w:type="dxa"/>
            </w:tcMar>
            <w:vAlign w:val="center"/>
          </w:tcPr>
          <w:p w14:paraId="4C739ACD" w14:textId="77E731E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3,179,745,851.00</w:t>
            </w:r>
          </w:p>
        </w:tc>
        <w:tc>
          <w:tcPr>
            <w:tcW w:w="610" w:type="pct"/>
            <w:tcBorders>
              <w:top w:val="nil"/>
              <w:left w:val="single" w:sz="8" w:space="0" w:color="auto"/>
              <w:bottom w:val="nil"/>
              <w:right w:val="single" w:sz="8" w:space="0" w:color="auto"/>
            </w:tcBorders>
            <w:tcMar>
              <w:left w:w="70" w:type="dxa"/>
              <w:right w:w="70" w:type="dxa"/>
            </w:tcMar>
            <w:vAlign w:val="center"/>
          </w:tcPr>
          <w:p w14:paraId="7177AA5E" w14:textId="68FB3C9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2,377,764,074.00</w:t>
            </w:r>
          </w:p>
        </w:tc>
        <w:tc>
          <w:tcPr>
            <w:tcW w:w="611" w:type="pct"/>
            <w:tcBorders>
              <w:top w:val="nil"/>
              <w:left w:val="single" w:sz="8" w:space="0" w:color="auto"/>
              <w:bottom w:val="nil"/>
              <w:right w:val="single" w:sz="8" w:space="0" w:color="auto"/>
            </w:tcBorders>
            <w:tcMar>
              <w:left w:w="70" w:type="dxa"/>
              <w:right w:w="70" w:type="dxa"/>
            </w:tcMar>
            <w:vAlign w:val="center"/>
          </w:tcPr>
          <w:p w14:paraId="03062010" w14:textId="1F71CDC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3,188,539,804.47</w:t>
            </w:r>
          </w:p>
        </w:tc>
      </w:tr>
      <w:tr w:rsidR="5D3FC234" w:rsidRPr="000842AA" w14:paraId="73009EE9"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287C4232" w14:textId="0299AB41"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C. Fondos Distintos de Aportaciones</w:t>
            </w:r>
          </w:p>
        </w:tc>
        <w:tc>
          <w:tcPr>
            <w:tcW w:w="619" w:type="pct"/>
            <w:tcBorders>
              <w:top w:val="nil"/>
              <w:left w:val="single" w:sz="8" w:space="0" w:color="auto"/>
              <w:bottom w:val="nil"/>
              <w:right w:val="single" w:sz="8" w:space="0" w:color="auto"/>
            </w:tcBorders>
            <w:tcMar>
              <w:left w:w="70" w:type="dxa"/>
              <w:right w:w="70" w:type="dxa"/>
            </w:tcMar>
            <w:vAlign w:val="center"/>
          </w:tcPr>
          <w:p w14:paraId="75D9ED06" w14:textId="0FBECCD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BA8427A" w14:textId="2B7BE88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A396411" w14:textId="6FA2A71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18EFFC37" w14:textId="0382AAE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539CED67" w14:textId="16B4FDF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152AA01F" w14:textId="08CC32A4"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10FED568" w14:textId="77777777" w:rsidTr="003466C4">
        <w:trPr>
          <w:trHeight w:val="90"/>
        </w:trPr>
        <w:tc>
          <w:tcPr>
            <w:tcW w:w="1349" w:type="pct"/>
            <w:tcBorders>
              <w:top w:val="nil"/>
              <w:left w:val="single" w:sz="8" w:space="0" w:color="auto"/>
              <w:bottom w:val="nil"/>
              <w:right w:val="single" w:sz="8" w:space="0" w:color="auto"/>
            </w:tcBorders>
            <w:tcMar>
              <w:left w:w="70" w:type="dxa"/>
              <w:right w:w="70" w:type="dxa"/>
            </w:tcMar>
            <w:vAlign w:val="center"/>
          </w:tcPr>
          <w:p w14:paraId="73B31B4F" w14:textId="6149BA17"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D. Transferencias, Asignaciones, Subsidios y Subvenciones, y Pensiones y Jubilaciones</w:t>
            </w:r>
          </w:p>
        </w:tc>
        <w:tc>
          <w:tcPr>
            <w:tcW w:w="619" w:type="pct"/>
            <w:tcBorders>
              <w:top w:val="nil"/>
              <w:left w:val="single" w:sz="8" w:space="0" w:color="auto"/>
              <w:bottom w:val="nil"/>
              <w:right w:val="single" w:sz="8" w:space="0" w:color="auto"/>
            </w:tcBorders>
            <w:tcMar>
              <w:left w:w="70" w:type="dxa"/>
              <w:right w:w="70" w:type="dxa"/>
            </w:tcMar>
            <w:vAlign w:val="center"/>
          </w:tcPr>
          <w:p w14:paraId="30260F98" w14:textId="1345E24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2,005,174,504.00</w:t>
            </w:r>
          </w:p>
        </w:tc>
        <w:tc>
          <w:tcPr>
            <w:tcW w:w="604" w:type="pct"/>
            <w:tcBorders>
              <w:top w:val="nil"/>
              <w:left w:val="single" w:sz="8" w:space="0" w:color="auto"/>
              <w:bottom w:val="nil"/>
              <w:right w:val="single" w:sz="8" w:space="0" w:color="auto"/>
            </w:tcBorders>
            <w:tcMar>
              <w:left w:w="70" w:type="dxa"/>
              <w:right w:w="70" w:type="dxa"/>
            </w:tcMar>
            <w:vAlign w:val="center"/>
          </w:tcPr>
          <w:p w14:paraId="302FEA92" w14:textId="7863C76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2,084,097,524.00</w:t>
            </w:r>
          </w:p>
        </w:tc>
        <w:tc>
          <w:tcPr>
            <w:tcW w:w="604" w:type="pct"/>
            <w:tcBorders>
              <w:top w:val="nil"/>
              <w:left w:val="single" w:sz="8" w:space="0" w:color="auto"/>
              <w:bottom w:val="nil"/>
              <w:right w:val="single" w:sz="8" w:space="0" w:color="auto"/>
            </w:tcBorders>
            <w:tcMar>
              <w:left w:w="70" w:type="dxa"/>
              <w:right w:w="70" w:type="dxa"/>
            </w:tcMar>
            <w:vAlign w:val="center"/>
          </w:tcPr>
          <w:p w14:paraId="258FF837" w14:textId="5B35BF8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2,136,760,923.00</w:t>
            </w:r>
          </w:p>
        </w:tc>
        <w:tc>
          <w:tcPr>
            <w:tcW w:w="604" w:type="pct"/>
            <w:tcBorders>
              <w:top w:val="nil"/>
              <w:left w:val="single" w:sz="8" w:space="0" w:color="auto"/>
              <w:bottom w:val="nil"/>
              <w:right w:val="single" w:sz="8" w:space="0" w:color="auto"/>
            </w:tcBorders>
            <w:tcMar>
              <w:left w:w="70" w:type="dxa"/>
              <w:right w:w="70" w:type="dxa"/>
            </w:tcMar>
            <w:vAlign w:val="center"/>
          </w:tcPr>
          <w:p w14:paraId="3B40AEA6" w14:textId="4585202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2,233,155,167.00</w:t>
            </w:r>
          </w:p>
        </w:tc>
        <w:tc>
          <w:tcPr>
            <w:tcW w:w="610" w:type="pct"/>
            <w:tcBorders>
              <w:top w:val="nil"/>
              <w:left w:val="single" w:sz="8" w:space="0" w:color="auto"/>
              <w:bottom w:val="nil"/>
              <w:right w:val="single" w:sz="8" w:space="0" w:color="auto"/>
            </w:tcBorders>
            <w:tcMar>
              <w:left w:w="70" w:type="dxa"/>
              <w:right w:w="70" w:type="dxa"/>
            </w:tcMar>
            <w:vAlign w:val="center"/>
          </w:tcPr>
          <w:p w14:paraId="74D84CBE" w14:textId="4AD3661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2,285,681,980.91</w:t>
            </w:r>
          </w:p>
        </w:tc>
        <w:tc>
          <w:tcPr>
            <w:tcW w:w="611" w:type="pct"/>
            <w:tcBorders>
              <w:top w:val="nil"/>
              <w:left w:val="single" w:sz="8" w:space="0" w:color="auto"/>
              <w:bottom w:val="nil"/>
              <w:right w:val="single" w:sz="8" w:space="0" w:color="auto"/>
            </w:tcBorders>
            <w:tcMar>
              <w:left w:w="70" w:type="dxa"/>
              <w:right w:w="70" w:type="dxa"/>
            </w:tcMar>
            <w:vAlign w:val="center"/>
          </w:tcPr>
          <w:p w14:paraId="3F8057F1" w14:textId="385D81B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2,473,664,719.10</w:t>
            </w:r>
          </w:p>
        </w:tc>
      </w:tr>
      <w:tr w:rsidR="5D3FC234" w:rsidRPr="000842AA" w14:paraId="2A024094"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3474CDAB" w14:textId="7EE5E814"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E. Otras Transferencias Federales Etiquetadas</w:t>
            </w:r>
          </w:p>
        </w:tc>
        <w:tc>
          <w:tcPr>
            <w:tcW w:w="619" w:type="pct"/>
            <w:tcBorders>
              <w:top w:val="nil"/>
              <w:left w:val="single" w:sz="8" w:space="0" w:color="auto"/>
              <w:bottom w:val="nil"/>
              <w:right w:val="single" w:sz="8" w:space="0" w:color="auto"/>
            </w:tcBorders>
            <w:tcMar>
              <w:left w:w="70" w:type="dxa"/>
              <w:right w:w="70" w:type="dxa"/>
            </w:tcMar>
            <w:vAlign w:val="center"/>
          </w:tcPr>
          <w:p w14:paraId="6E3CCA33" w14:textId="55AF66D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22,013,872.00</w:t>
            </w:r>
          </w:p>
        </w:tc>
        <w:tc>
          <w:tcPr>
            <w:tcW w:w="604" w:type="pct"/>
            <w:tcBorders>
              <w:top w:val="nil"/>
              <w:left w:val="single" w:sz="8" w:space="0" w:color="auto"/>
              <w:bottom w:val="nil"/>
              <w:right w:val="single" w:sz="8" w:space="0" w:color="auto"/>
            </w:tcBorders>
            <w:tcMar>
              <w:left w:w="70" w:type="dxa"/>
              <w:right w:w="70" w:type="dxa"/>
            </w:tcMar>
            <w:vAlign w:val="center"/>
          </w:tcPr>
          <w:p w14:paraId="1D439593" w14:textId="7DB2939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9,317,412.00</w:t>
            </w:r>
          </w:p>
        </w:tc>
        <w:tc>
          <w:tcPr>
            <w:tcW w:w="604" w:type="pct"/>
            <w:tcBorders>
              <w:top w:val="nil"/>
              <w:left w:val="single" w:sz="8" w:space="0" w:color="auto"/>
              <w:bottom w:val="nil"/>
              <w:right w:val="single" w:sz="8" w:space="0" w:color="auto"/>
            </w:tcBorders>
            <w:tcMar>
              <w:left w:w="70" w:type="dxa"/>
              <w:right w:w="70" w:type="dxa"/>
            </w:tcMar>
            <w:vAlign w:val="center"/>
          </w:tcPr>
          <w:p w14:paraId="7713BB8D" w14:textId="437F638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70C94EBB" w14:textId="65A1708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5F07851E" w14:textId="4D2D8BE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 xml:space="preserve"> </w:t>
            </w:r>
          </w:p>
        </w:tc>
        <w:tc>
          <w:tcPr>
            <w:tcW w:w="611" w:type="pct"/>
            <w:tcBorders>
              <w:top w:val="nil"/>
              <w:left w:val="single" w:sz="8" w:space="0" w:color="auto"/>
              <w:bottom w:val="nil"/>
              <w:right w:val="single" w:sz="8" w:space="0" w:color="auto"/>
            </w:tcBorders>
            <w:tcMar>
              <w:left w:w="70" w:type="dxa"/>
              <w:right w:w="70" w:type="dxa"/>
            </w:tcMar>
            <w:vAlign w:val="center"/>
          </w:tcPr>
          <w:p w14:paraId="1E7524EC" w14:textId="0A33370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6FE33AAA"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6D38A3A2" w14:textId="3006064D"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3. Ingresos Derivados de Financiamientos (3=A)</w:t>
            </w:r>
          </w:p>
        </w:tc>
        <w:tc>
          <w:tcPr>
            <w:tcW w:w="619" w:type="pct"/>
            <w:tcBorders>
              <w:top w:val="nil"/>
              <w:left w:val="single" w:sz="8" w:space="0" w:color="auto"/>
              <w:bottom w:val="nil"/>
              <w:right w:val="single" w:sz="8" w:space="0" w:color="auto"/>
            </w:tcBorders>
            <w:tcMar>
              <w:left w:w="70" w:type="dxa"/>
              <w:right w:w="70" w:type="dxa"/>
            </w:tcMar>
            <w:vAlign w:val="center"/>
          </w:tcPr>
          <w:p w14:paraId="09F0B589" w14:textId="00C8838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784,088,270.00</w:t>
            </w:r>
          </w:p>
        </w:tc>
        <w:tc>
          <w:tcPr>
            <w:tcW w:w="604" w:type="pct"/>
            <w:tcBorders>
              <w:top w:val="nil"/>
              <w:left w:val="single" w:sz="8" w:space="0" w:color="auto"/>
              <w:bottom w:val="nil"/>
              <w:right w:val="single" w:sz="8" w:space="0" w:color="auto"/>
            </w:tcBorders>
            <w:tcMar>
              <w:left w:w="70" w:type="dxa"/>
              <w:right w:w="70" w:type="dxa"/>
            </w:tcMar>
            <w:vAlign w:val="center"/>
          </w:tcPr>
          <w:p w14:paraId="6FBC3A9D" w14:textId="003193B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4,504,620,000.00</w:t>
            </w:r>
          </w:p>
        </w:tc>
        <w:tc>
          <w:tcPr>
            <w:tcW w:w="604" w:type="pct"/>
            <w:tcBorders>
              <w:top w:val="nil"/>
              <w:left w:val="single" w:sz="8" w:space="0" w:color="auto"/>
              <w:bottom w:val="nil"/>
              <w:right w:val="single" w:sz="8" w:space="0" w:color="auto"/>
            </w:tcBorders>
            <w:tcMar>
              <w:left w:w="70" w:type="dxa"/>
              <w:right w:w="70" w:type="dxa"/>
            </w:tcMar>
            <w:vAlign w:val="center"/>
          </w:tcPr>
          <w:p w14:paraId="14CC725B" w14:textId="49D57FA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56B7E43F" w14:textId="0D15D322"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1,735,000,000.00</w:t>
            </w:r>
          </w:p>
        </w:tc>
        <w:tc>
          <w:tcPr>
            <w:tcW w:w="610" w:type="pct"/>
            <w:tcBorders>
              <w:top w:val="nil"/>
              <w:left w:val="single" w:sz="8" w:space="0" w:color="auto"/>
              <w:bottom w:val="nil"/>
              <w:right w:val="single" w:sz="8" w:space="0" w:color="auto"/>
            </w:tcBorders>
            <w:tcMar>
              <w:left w:w="70" w:type="dxa"/>
              <w:right w:w="70" w:type="dxa"/>
            </w:tcMar>
            <w:vAlign w:val="center"/>
          </w:tcPr>
          <w:p w14:paraId="7765C0F3" w14:textId="2ED715D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3F6C5B0A" w14:textId="0D31817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r>
      <w:tr w:rsidR="5D3FC234" w:rsidRPr="000842AA" w14:paraId="325CA3F0"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468590AD" w14:textId="65BA7937" w:rsidR="5D3FC234" w:rsidRPr="000842AA" w:rsidRDefault="5D3FC234" w:rsidP="003466C4">
            <w:pPr>
              <w:spacing w:after="0" w:line="240" w:lineRule="auto"/>
              <w:ind w:firstLine="160"/>
              <w:rPr>
                <w:rFonts w:ascii="Arial" w:hAnsi="Arial" w:cs="Arial"/>
                <w:sz w:val="16"/>
                <w:szCs w:val="16"/>
              </w:rPr>
            </w:pPr>
            <w:r w:rsidRPr="000842AA">
              <w:rPr>
                <w:rFonts w:ascii="Arial" w:eastAsia="Arial" w:hAnsi="Arial" w:cs="Arial"/>
                <w:color w:val="000000" w:themeColor="text1"/>
                <w:sz w:val="16"/>
                <w:szCs w:val="16"/>
              </w:rPr>
              <w:t>A. Ingresos Derivados de Financiamientos</w:t>
            </w:r>
          </w:p>
        </w:tc>
        <w:tc>
          <w:tcPr>
            <w:tcW w:w="619" w:type="pct"/>
            <w:tcBorders>
              <w:top w:val="nil"/>
              <w:left w:val="single" w:sz="8" w:space="0" w:color="auto"/>
              <w:bottom w:val="nil"/>
              <w:right w:val="single" w:sz="8" w:space="0" w:color="auto"/>
            </w:tcBorders>
            <w:tcMar>
              <w:left w:w="70" w:type="dxa"/>
              <w:right w:w="70" w:type="dxa"/>
            </w:tcMar>
            <w:vAlign w:val="center"/>
          </w:tcPr>
          <w:p w14:paraId="58718CFC" w14:textId="6B8E51A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784,088,270.00</w:t>
            </w:r>
          </w:p>
        </w:tc>
        <w:tc>
          <w:tcPr>
            <w:tcW w:w="604" w:type="pct"/>
            <w:tcBorders>
              <w:top w:val="nil"/>
              <w:left w:val="single" w:sz="8" w:space="0" w:color="auto"/>
              <w:bottom w:val="nil"/>
              <w:right w:val="single" w:sz="8" w:space="0" w:color="auto"/>
            </w:tcBorders>
            <w:tcMar>
              <w:left w:w="70" w:type="dxa"/>
              <w:right w:w="70" w:type="dxa"/>
            </w:tcMar>
            <w:vAlign w:val="center"/>
          </w:tcPr>
          <w:p w14:paraId="1928D94F" w14:textId="3D4FA0F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4,504,620,000.00</w:t>
            </w:r>
          </w:p>
        </w:tc>
        <w:tc>
          <w:tcPr>
            <w:tcW w:w="604" w:type="pct"/>
            <w:tcBorders>
              <w:top w:val="nil"/>
              <w:left w:val="single" w:sz="8" w:space="0" w:color="auto"/>
              <w:bottom w:val="nil"/>
              <w:right w:val="single" w:sz="8" w:space="0" w:color="auto"/>
            </w:tcBorders>
            <w:tcMar>
              <w:left w:w="70" w:type="dxa"/>
              <w:right w:w="70" w:type="dxa"/>
            </w:tcMar>
            <w:vAlign w:val="center"/>
          </w:tcPr>
          <w:p w14:paraId="1FAE2D35" w14:textId="04E8622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798F1D78" w14:textId="20F6EA0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1,735,000,000.00</w:t>
            </w:r>
          </w:p>
        </w:tc>
        <w:tc>
          <w:tcPr>
            <w:tcW w:w="610" w:type="pct"/>
            <w:tcBorders>
              <w:top w:val="nil"/>
              <w:left w:val="single" w:sz="8" w:space="0" w:color="auto"/>
              <w:bottom w:val="nil"/>
              <w:right w:val="single" w:sz="8" w:space="0" w:color="auto"/>
            </w:tcBorders>
            <w:tcMar>
              <w:left w:w="70" w:type="dxa"/>
              <w:right w:w="70" w:type="dxa"/>
            </w:tcMar>
            <w:vAlign w:val="center"/>
          </w:tcPr>
          <w:p w14:paraId="4CCE6775" w14:textId="5FA6699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1AE98F56" w14:textId="0987061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62D86F7F"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77845F7A" w14:textId="3EC05A16"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4. Total de Resultados de Ingresos (4=1+2+3)</w:t>
            </w:r>
          </w:p>
        </w:tc>
        <w:tc>
          <w:tcPr>
            <w:tcW w:w="619" w:type="pct"/>
            <w:tcBorders>
              <w:top w:val="nil"/>
              <w:left w:val="single" w:sz="8" w:space="0" w:color="auto"/>
              <w:bottom w:val="nil"/>
              <w:right w:val="single" w:sz="8" w:space="0" w:color="auto"/>
            </w:tcBorders>
            <w:tcMar>
              <w:left w:w="70" w:type="dxa"/>
              <w:right w:w="70" w:type="dxa"/>
            </w:tcMar>
            <w:vAlign w:val="center"/>
          </w:tcPr>
          <w:p w14:paraId="78775DF2" w14:textId="67C28D6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38,847,724,498.00</w:t>
            </w:r>
          </w:p>
        </w:tc>
        <w:tc>
          <w:tcPr>
            <w:tcW w:w="604" w:type="pct"/>
            <w:tcBorders>
              <w:top w:val="nil"/>
              <w:left w:val="single" w:sz="8" w:space="0" w:color="auto"/>
              <w:bottom w:val="nil"/>
              <w:right w:val="single" w:sz="8" w:space="0" w:color="auto"/>
            </w:tcBorders>
            <w:tcMar>
              <w:left w:w="70" w:type="dxa"/>
              <w:right w:w="70" w:type="dxa"/>
            </w:tcMar>
            <w:vAlign w:val="center"/>
          </w:tcPr>
          <w:p w14:paraId="60D73C19" w14:textId="41CD8E9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42,970,133,089.00</w:t>
            </w:r>
          </w:p>
        </w:tc>
        <w:tc>
          <w:tcPr>
            <w:tcW w:w="604" w:type="pct"/>
            <w:tcBorders>
              <w:top w:val="nil"/>
              <w:left w:val="single" w:sz="8" w:space="0" w:color="auto"/>
              <w:bottom w:val="nil"/>
              <w:right w:val="single" w:sz="8" w:space="0" w:color="auto"/>
            </w:tcBorders>
            <w:tcMar>
              <w:left w:w="70" w:type="dxa"/>
              <w:right w:w="70" w:type="dxa"/>
            </w:tcMar>
            <w:vAlign w:val="center"/>
          </w:tcPr>
          <w:p w14:paraId="5AA5444C" w14:textId="1B5BDF4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39,444,830,964.00</w:t>
            </w:r>
          </w:p>
        </w:tc>
        <w:tc>
          <w:tcPr>
            <w:tcW w:w="604" w:type="pct"/>
            <w:tcBorders>
              <w:top w:val="nil"/>
              <w:left w:val="single" w:sz="8" w:space="0" w:color="auto"/>
              <w:bottom w:val="nil"/>
              <w:right w:val="single" w:sz="8" w:space="0" w:color="auto"/>
            </w:tcBorders>
            <w:tcMar>
              <w:left w:w="70" w:type="dxa"/>
              <w:right w:w="70" w:type="dxa"/>
            </w:tcMar>
            <w:vAlign w:val="center"/>
          </w:tcPr>
          <w:p w14:paraId="0593A4BB" w14:textId="0049B4D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48,558,677,722.00</w:t>
            </w:r>
          </w:p>
        </w:tc>
        <w:tc>
          <w:tcPr>
            <w:tcW w:w="610" w:type="pct"/>
            <w:tcBorders>
              <w:top w:val="nil"/>
              <w:left w:val="single" w:sz="8" w:space="0" w:color="auto"/>
              <w:bottom w:val="nil"/>
              <w:right w:val="single" w:sz="8" w:space="0" w:color="auto"/>
            </w:tcBorders>
            <w:tcMar>
              <w:left w:w="70" w:type="dxa"/>
              <w:right w:w="70" w:type="dxa"/>
            </w:tcMar>
            <w:vAlign w:val="center"/>
          </w:tcPr>
          <w:p w14:paraId="7655DE54" w14:textId="35D7E9E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51,175,505,825.81</w:t>
            </w:r>
          </w:p>
        </w:tc>
        <w:tc>
          <w:tcPr>
            <w:tcW w:w="611" w:type="pct"/>
            <w:tcBorders>
              <w:top w:val="nil"/>
              <w:left w:val="single" w:sz="8" w:space="0" w:color="auto"/>
              <w:bottom w:val="nil"/>
              <w:right w:val="single" w:sz="8" w:space="0" w:color="auto"/>
            </w:tcBorders>
            <w:tcMar>
              <w:left w:w="70" w:type="dxa"/>
              <w:right w:w="70" w:type="dxa"/>
            </w:tcMar>
            <w:vAlign w:val="center"/>
          </w:tcPr>
          <w:p w14:paraId="384B35E0" w14:textId="26F8ED1E"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52,472,774,817.33</w:t>
            </w:r>
          </w:p>
        </w:tc>
      </w:tr>
      <w:tr w:rsidR="5D3FC234" w:rsidRPr="000842AA" w14:paraId="4640F82D"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26DE0BB7" w14:textId="5445CF78"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Datos Informativos</w:t>
            </w:r>
          </w:p>
        </w:tc>
        <w:tc>
          <w:tcPr>
            <w:tcW w:w="619" w:type="pct"/>
            <w:tcBorders>
              <w:top w:val="nil"/>
              <w:left w:val="single" w:sz="8" w:space="0" w:color="auto"/>
              <w:bottom w:val="nil"/>
              <w:right w:val="single" w:sz="8" w:space="0" w:color="auto"/>
            </w:tcBorders>
            <w:tcMar>
              <w:left w:w="70" w:type="dxa"/>
              <w:right w:w="70" w:type="dxa"/>
            </w:tcMar>
            <w:vAlign w:val="center"/>
          </w:tcPr>
          <w:p w14:paraId="7320EAAE" w14:textId="073A804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 xml:space="preserve"> </w:t>
            </w:r>
          </w:p>
        </w:tc>
        <w:tc>
          <w:tcPr>
            <w:tcW w:w="604" w:type="pct"/>
            <w:tcBorders>
              <w:top w:val="nil"/>
              <w:left w:val="single" w:sz="8" w:space="0" w:color="auto"/>
              <w:bottom w:val="nil"/>
              <w:right w:val="single" w:sz="8" w:space="0" w:color="auto"/>
            </w:tcBorders>
            <w:tcMar>
              <w:left w:w="70" w:type="dxa"/>
              <w:right w:w="70" w:type="dxa"/>
            </w:tcMar>
            <w:vAlign w:val="center"/>
          </w:tcPr>
          <w:p w14:paraId="3B2D5EEB" w14:textId="5071559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 xml:space="preserve"> </w:t>
            </w:r>
          </w:p>
        </w:tc>
        <w:tc>
          <w:tcPr>
            <w:tcW w:w="604" w:type="pct"/>
            <w:tcBorders>
              <w:top w:val="nil"/>
              <w:left w:val="single" w:sz="8" w:space="0" w:color="auto"/>
              <w:bottom w:val="nil"/>
              <w:right w:val="single" w:sz="8" w:space="0" w:color="auto"/>
            </w:tcBorders>
            <w:tcMar>
              <w:left w:w="70" w:type="dxa"/>
              <w:right w:w="70" w:type="dxa"/>
            </w:tcMar>
            <w:vAlign w:val="center"/>
          </w:tcPr>
          <w:p w14:paraId="4DEC9F2B" w14:textId="1822811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 xml:space="preserve"> </w:t>
            </w:r>
          </w:p>
        </w:tc>
        <w:tc>
          <w:tcPr>
            <w:tcW w:w="604" w:type="pct"/>
            <w:tcBorders>
              <w:top w:val="nil"/>
              <w:left w:val="single" w:sz="8" w:space="0" w:color="auto"/>
              <w:bottom w:val="nil"/>
              <w:right w:val="single" w:sz="8" w:space="0" w:color="auto"/>
            </w:tcBorders>
            <w:tcMar>
              <w:left w:w="70" w:type="dxa"/>
              <w:right w:w="70" w:type="dxa"/>
            </w:tcMar>
            <w:vAlign w:val="center"/>
          </w:tcPr>
          <w:p w14:paraId="0581B570" w14:textId="5802BB8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 xml:space="preserve"> </w:t>
            </w:r>
          </w:p>
        </w:tc>
        <w:tc>
          <w:tcPr>
            <w:tcW w:w="610" w:type="pct"/>
            <w:tcBorders>
              <w:top w:val="nil"/>
              <w:left w:val="single" w:sz="8" w:space="0" w:color="auto"/>
              <w:bottom w:val="nil"/>
              <w:right w:val="single" w:sz="8" w:space="0" w:color="auto"/>
            </w:tcBorders>
            <w:tcMar>
              <w:left w:w="70" w:type="dxa"/>
              <w:right w:w="70" w:type="dxa"/>
            </w:tcMar>
            <w:vAlign w:val="center"/>
          </w:tcPr>
          <w:p w14:paraId="47FFFF0C" w14:textId="01AB624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 xml:space="preserve"> </w:t>
            </w:r>
          </w:p>
        </w:tc>
        <w:tc>
          <w:tcPr>
            <w:tcW w:w="611" w:type="pct"/>
            <w:tcBorders>
              <w:top w:val="nil"/>
              <w:left w:val="single" w:sz="8" w:space="0" w:color="auto"/>
              <w:bottom w:val="nil"/>
              <w:right w:val="single" w:sz="8" w:space="0" w:color="auto"/>
            </w:tcBorders>
            <w:tcMar>
              <w:left w:w="70" w:type="dxa"/>
              <w:right w:w="70" w:type="dxa"/>
            </w:tcMar>
            <w:vAlign w:val="center"/>
          </w:tcPr>
          <w:p w14:paraId="6763F929" w14:textId="54DB9DDA"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r>
      <w:tr w:rsidR="5D3FC234" w:rsidRPr="000842AA" w14:paraId="74B35DA0"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1E2D91B1" w14:textId="6157BF97"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1. Ingresos Derivados de Financiamientos con Fuente de Pago de Recursos de Libre Disposición</w:t>
            </w:r>
          </w:p>
        </w:tc>
        <w:tc>
          <w:tcPr>
            <w:tcW w:w="619" w:type="pct"/>
            <w:tcBorders>
              <w:top w:val="nil"/>
              <w:left w:val="single" w:sz="8" w:space="0" w:color="auto"/>
              <w:bottom w:val="nil"/>
              <w:right w:val="single" w:sz="8" w:space="0" w:color="auto"/>
            </w:tcBorders>
            <w:tcMar>
              <w:left w:w="70" w:type="dxa"/>
              <w:right w:w="70" w:type="dxa"/>
            </w:tcMar>
            <w:vAlign w:val="center"/>
          </w:tcPr>
          <w:p w14:paraId="550B78EE" w14:textId="6FF0EEB9"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784,088,270.00</w:t>
            </w:r>
          </w:p>
        </w:tc>
        <w:tc>
          <w:tcPr>
            <w:tcW w:w="604" w:type="pct"/>
            <w:tcBorders>
              <w:top w:val="nil"/>
              <w:left w:val="single" w:sz="8" w:space="0" w:color="auto"/>
              <w:bottom w:val="nil"/>
              <w:right w:val="single" w:sz="8" w:space="0" w:color="auto"/>
            </w:tcBorders>
            <w:tcMar>
              <w:left w:w="70" w:type="dxa"/>
              <w:right w:w="70" w:type="dxa"/>
            </w:tcMar>
            <w:vAlign w:val="center"/>
          </w:tcPr>
          <w:p w14:paraId="35D02EA0" w14:textId="69C2339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4,504,620,000.00</w:t>
            </w:r>
          </w:p>
        </w:tc>
        <w:tc>
          <w:tcPr>
            <w:tcW w:w="604" w:type="pct"/>
            <w:tcBorders>
              <w:top w:val="nil"/>
              <w:left w:val="single" w:sz="8" w:space="0" w:color="auto"/>
              <w:bottom w:val="nil"/>
              <w:right w:val="single" w:sz="8" w:space="0" w:color="auto"/>
            </w:tcBorders>
            <w:tcMar>
              <w:left w:w="70" w:type="dxa"/>
              <w:right w:w="70" w:type="dxa"/>
            </w:tcMar>
            <w:vAlign w:val="center"/>
          </w:tcPr>
          <w:p w14:paraId="7E5DEFF0" w14:textId="05818CB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6ED5DD4" w14:textId="3EE572F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1,735,000,000.00</w:t>
            </w:r>
          </w:p>
        </w:tc>
        <w:tc>
          <w:tcPr>
            <w:tcW w:w="610" w:type="pct"/>
            <w:tcBorders>
              <w:top w:val="nil"/>
              <w:left w:val="single" w:sz="8" w:space="0" w:color="auto"/>
              <w:bottom w:val="nil"/>
              <w:right w:val="single" w:sz="8" w:space="0" w:color="auto"/>
            </w:tcBorders>
            <w:tcMar>
              <w:left w:w="70" w:type="dxa"/>
              <w:right w:w="70" w:type="dxa"/>
            </w:tcMar>
            <w:vAlign w:val="center"/>
          </w:tcPr>
          <w:p w14:paraId="709CDBBC" w14:textId="78834E27"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339EB6DF" w14:textId="294882D1"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1DD8695F" w14:textId="77777777" w:rsidTr="003466C4">
        <w:trPr>
          <w:trHeight w:val="105"/>
        </w:trPr>
        <w:tc>
          <w:tcPr>
            <w:tcW w:w="1349" w:type="pct"/>
            <w:tcBorders>
              <w:top w:val="nil"/>
              <w:left w:val="single" w:sz="8" w:space="0" w:color="auto"/>
              <w:bottom w:val="nil"/>
              <w:right w:val="single" w:sz="8" w:space="0" w:color="auto"/>
            </w:tcBorders>
            <w:tcMar>
              <w:left w:w="70" w:type="dxa"/>
              <w:right w:w="70" w:type="dxa"/>
            </w:tcMar>
            <w:vAlign w:val="center"/>
          </w:tcPr>
          <w:p w14:paraId="32C2D446" w14:textId="700B16F2"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2. Ingresos Derivados de Financiamientos con Fuente de Pago de Transferencias Federales Etiquetadas</w:t>
            </w:r>
          </w:p>
        </w:tc>
        <w:tc>
          <w:tcPr>
            <w:tcW w:w="619" w:type="pct"/>
            <w:tcBorders>
              <w:top w:val="nil"/>
              <w:left w:val="single" w:sz="8" w:space="0" w:color="auto"/>
              <w:bottom w:val="nil"/>
              <w:right w:val="single" w:sz="8" w:space="0" w:color="auto"/>
            </w:tcBorders>
            <w:tcMar>
              <w:left w:w="70" w:type="dxa"/>
              <w:right w:w="70" w:type="dxa"/>
            </w:tcMar>
            <w:vAlign w:val="center"/>
          </w:tcPr>
          <w:p w14:paraId="2634B6D9" w14:textId="1F53CDE3"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2B749EEA" w14:textId="7F58DAA8"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0A4E555A" w14:textId="1D52611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04" w:type="pct"/>
            <w:tcBorders>
              <w:top w:val="nil"/>
              <w:left w:val="single" w:sz="8" w:space="0" w:color="auto"/>
              <w:bottom w:val="nil"/>
              <w:right w:val="single" w:sz="8" w:space="0" w:color="auto"/>
            </w:tcBorders>
            <w:tcMar>
              <w:left w:w="70" w:type="dxa"/>
              <w:right w:w="70" w:type="dxa"/>
            </w:tcMar>
            <w:vAlign w:val="center"/>
          </w:tcPr>
          <w:p w14:paraId="2BE40C55" w14:textId="36646FC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0" w:type="pct"/>
            <w:tcBorders>
              <w:top w:val="nil"/>
              <w:left w:val="single" w:sz="8" w:space="0" w:color="auto"/>
              <w:bottom w:val="nil"/>
              <w:right w:val="single" w:sz="8" w:space="0" w:color="auto"/>
            </w:tcBorders>
            <w:tcMar>
              <w:left w:w="70" w:type="dxa"/>
              <w:right w:w="70" w:type="dxa"/>
            </w:tcMar>
            <w:vAlign w:val="center"/>
          </w:tcPr>
          <w:p w14:paraId="0C118EA7" w14:textId="51AEE0AD"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c>
          <w:tcPr>
            <w:tcW w:w="611" w:type="pct"/>
            <w:tcBorders>
              <w:top w:val="nil"/>
              <w:left w:val="single" w:sz="8" w:space="0" w:color="auto"/>
              <w:bottom w:val="nil"/>
              <w:right w:val="single" w:sz="8" w:space="0" w:color="auto"/>
            </w:tcBorders>
            <w:tcMar>
              <w:left w:w="70" w:type="dxa"/>
              <w:right w:w="70" w:type="dxa"/>
            </w:tcMar>
            <w:vAlign w:val="center"/>
          </w:tcPr>
          <w:p w14:paraId="1132C198" w14:textId="16193C8B"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color w:val="000000" w:themeColor="text1"/>
                <w:sz w:val="16"/>
                <w:szCs w:val="16"/>
              </w:rPr>
              <w:t>0.00</w:t>
            </w:r>
          </w:p>
        </w:tc>
      </w:tr>
      <w:tr w:rsidR="5D3FC234" w:rsidRPr="000842AA" w14:paraId="48EDB343" w14:textId="77777777" w:rsidTr="003466C4">
        <w:trPr>
          <w:trHeight w:val="105"/>
        </w:trPr>
        <w:tc>
          <w:tcPr>
            <w:tcW w:w="1349" w:type="pct"/>
            <w:tcBorders>
              <w:top w:val="nil"/>
              <w:left w:val="single" w:sz="8" w:space="0" w:color="auto"/>
              <w:bottom w:val="single" w:sz="8" w:space="0" w:color="auto"/>
              <w:right w:val="single" w:sz="8" w:space="0" w:color="auto"/>
            </w:tcBorders>
            <w:tcMar>
              <w:left w:w="70" w:type="dxa"/>
              <w:right w:w="70" w:type="dxa"/>
            </w:tcMar>
            <w:vAlign w:val="center"/>
          </w:tcPr>
          <w:p w14:paraId="403011F8" w14:textId="509A675C" w:rsidR="5D3FC234" w:rsidRPr="000842AA" w:rsidRDefault="5D3FC234" w:rsidP="003466C4">
            <w:pPr>
              <w:spacing w:after="0" w:line="240" w:lineRule="auto"/>
              <w:rPr>
                <w:rFonts w:ascii="Arial" w:hAnsi="Arial" w:cs="Arial"/>
                <w:sz w:val="16"/>
                <w:szCs w:val="16"/>
              </w:rPr>
            </w:pPr>
            <w:r w:rsidRPr="000842AA">
              <w:rPr>
                <w:rFonts w:ascii="Arial" w:eastAsia="Arial" w:hAnsi="Arial" w:cs="Arial"/>
                <w:b/>
                <w:bCs/>
                <w:color w:val="000000" w:themeColor="text1"/>
                <w:sz w:val="16"/>
                <w:szCs w:val="16"/>
              </w:rPr>
              <w:t>3. Ingresos Derivados de Financiamiento (3 = 1 + 2)</w:t>
            </w:r>
          </w:p>
        </w:tc>
        <w:tc>
          <w:tcPr>
            <w:tcW w:w="619" w:type="pct"/>
            <w:tcBorders>
              <w:top w:val="nil"/>
              <w:left w:val="single" w:sz="8" w:space="0" w:color="auto"/>
              <w:bottom w:val="single" w:sz="8" w:space="0" w:color="auto"/>
              <w:right w:val="single" w:sz="8" w:space="0" w:color="auto"/>
            </w:tcBorders>
            <w:tcMar>
              <w:left w:w="70" w:type="dxa"/>
              <w:right w:w="70" w:type="dxa"/>
            </w:tcMar>
            <w:vAlign w:val="center"/>
          </w:tcPr>
          <w:p w14:paraId="4EB406F0" w14:textId="5AE35DE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784,088,270.00</w:t>
            </w:r>
          </w:p>
        </w:tc>
        <w:tc>
          <w:tcPr>
            <w:tcW w:w="604" w:type="pct"/>
            <w:tcBorders>
              <w:top w:val="nil"/>
              <w:left w:val="single" w:sz="8" w:space="0" w:color="auto"/>
              <w:bottom w:val="single" w:sz="8" w:space="0" w:color="auto"/>
              <w:right w:val="single" w:sz="8" w:space="0" w:color="auto"/>
            </w:tcBorders>
            <w:tcMar>
              <w:left w:w="70" w:type="dxa"/>
              <w:right w:w="70" w:type="dxa"/>
            </w:tcMar>
            <w:vAlign w:val="center"/>
          </w:tcPr>
          <w:p w14:paraId="2BA6EEA0" w14:textId="04BB7AF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4,504,620,000.00</w:t>
            </w:r>
          </w:p>
        </w:tc>
        <w:tc>
          <w:tcPr>
            <w:tcW w:w="604" w:type="pct"/>
            <w:tcBorders>
              <w:top w:val="nil"/>
              <w:left w:val="single" w:sz="8" w:space="0" w:color="auto"/>
              <w:bottom w:val="single" w:sz="8" w:space="0" w:color="auto"/>
              <w:right w:val="single" w:sz="8" w:space="0" w:color="auto"/>
            </w:tcBorders>
            <w:tcMar>
              <w:left w:w="70" w:type="dxa"/>
              <w:right w:w="70" w:type="dxa"/>
            </w:tcMar>
            <w:vAlign w:val="center"/>
          </w:tcPr>
          <w:p w14:paraId="1E21422A" w14:textId="78D0AA95"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c>
          <w:tcPr>
            <w:tcW w:w="604" w:type="pct"/>
            <w:tcBorders>
              <w:top w:val="nil"/>
              <w:left w:val="single" w:sz="8" w:space="0" w:color="auto"/>
              <w:bottom w:val="single" w:sz="8" w:space="0" w:color="auto"/>
              <w:right w:val="single" w:sz="8" w:space="0" w:color="auto"/>
            </w:tcBorders>
            <w:tcMar>
              <w:left w:w="70" w:type="dxa"/>
              <w:right w:w="70" w:type="dxa"/>
            </w:tcMar>
            <w:vAlign w:val="center"/>
          </w:tcPr>
          <w:p w14:paraId="3D5CFCCB" w14:textId="1E04D07C"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1,735,000,000.00</w:t>
            </w:r>
          </w:p>
        </w:tc>
        <w:tc>
          <w:tcPr>
            <w:tcW w:w="610" w:type="pct"/>
            <w:tcBorders>
              <w:top w:val="nil"/>
              <w:left w:val="single" w:sz="8" w:space="0" w:color="auto"/>
              <w:bottom w:val="single" w:sz="8" w:space="0" w:color="auto"/>
              <w:right w:val="single" w:sz="8" w:space="0" w:color="auto"/>
            </w:tcBorders>
            <w:tcMar>
              <w:left w:w="70" w:type="dxa"/>
              <w:right w:w="70" w:type="dxa"/>
            </w:tcMar>
            <w:vAlign w:val="center"/>
          </w:tcPr>
          <w:p w14:paraId="7E673C52" w14:textId="1CFD68F0"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c>
          <w:tcPr>
            <w:tcW w:w="611" w:type="pct"/>
            <w:tcBorders>
              <w:top w:val="nil"/>
              <w:left w:val="single" w:sz="8" w:space="0" w:color="auto"/>
              <w:bottom w:val="single" w:sz="8" w:space="0" w:color="auto"/>
              <w:right w:val="single" w:sz="8" w:space="0" w:color="auto"/>
            </w:tcBorders>
            <w:tcMar>
              <w:left w:w="70" w:type="dxa"/>
              <w:right w:w="70" w:type="dxa"/>
            </w:tcMar>
            <w:vAlign w:val="center"/>
          </w:tcPr>
          <w:p w14:paraId="5A6D6BA4" w14:textId="7ADC98BF" w:rsidR="5D3FC234" w:rsidRPr="000842AA" w:rsidRDefault="5D3FC234" w:rsidP="003466C4">
            <w:pPr>
              <w:spacing w:after="0" w:line="240" w:lineRule="auto"/>
              <w:jc w:val="right"/>
              <w:rPr>
                <w:rFonts w:ascii="Arial" w:hAnsi="Arial" w:cs="Arial"/>
                <w:sz w:val="16"/>
                <w:szCs w:val="16"/>
              </w:rPr>
            </w:pPr>
            <w:r w:rsidRPr="000842AA">
              <w:rPr>
                <w:rFonts w:ascii="Arial" w:eastAsia="Arial" w:hAnsi="Arial" w:cs="Arial"/>
                <w:b/>
                <w:bCs/>
                <w:color w:val="000000" w:themeColor="text1"/>
                <w:sz w:val="16"/>
                <w:szCs w:val="16"/>
              </w:rPr>
              <w:t>0.00</w:t>
            </w:r>
          </w:p>
        </w:tc>
      </w:tr>
      <w:tr w:rsidR="5D3FC234" w:rsidRPr="000842AA" w14:paraId="44B44523" w14:textId="77777777" w:rsidTr="003466C4">
        <w:trPr>
          <w:trHeight w:val="105"/>
        </w:trPr>
        <w:tc>
          <w:tcPr>
            <w:tcW w:w="5000" w:type="pct"/>
            <w:gridSpan w:val="7"/>
            <w:tcMar>
              <w:left w:w="70" w:type="dxa"/>
              <w:right w:w="70" w:type="dxa"/>
            </w:tcMar>
            <w:vAlign w:val="center"/>
          </w:tcPr>
          <w:p w14:paraId="47A3BAA8" w14:textId="4D8B487E"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¹.Los importes corresponden al momento contable de los ingresos devengados.</w:t>
            </w:r>
          </w:p>
        </w:tc>
      </w:tr>
      <w:tr w:rsidR="5D3FC234" w:rsidRPr="000842AA" w14:paraId="1752E936" w14:textId="77777777" w:rsidTr="003466C4">
        <w:trPr>
          <w:trHeight w:val="105"/>
        </w:trPr>
        <w:tc>
          <w:tcPr>
            <w:tcW w:w="5000" w:type="pct"/>
            <w:gridSpan w:val="7"/>
            <w:tcMar>
              <w:left w:w="70" w:type="dxa"/>
              <w:right w:w="70" w:type="dxa"/>
            </w:tcMar>
            <w:vAlign w:val="center"/>
          </w:tcPr>
          <w:p w14:paraId="1B05C846" w14:textId="6C1E85FE"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². Los importes corresponden a los ingresos devengados al cierre trimestral más reciente disponible y estimados para el resto del ejercicio.</w:t>
            </w:r>
          </w:p>
        </w:tc>
      </w:tr>
      <w:tr w:rsidR="5D3FC234" w:rsidRPr="000842AA" w14:paraId="05D30B5E" w14:textId="77777777" w:rsidTr="003466C4">
        <w:trPr>
          <w:trHeight w:val="105"/>
        </w:trPr>
        <w:tc>
          <w:tcPr>
            <w:tcW w:w="5000" w:type="pct"/>
            <w:gridSpan w:val="7"/>
            <w:tcMar>
              <w:left w:w="70" w:type="dxa"/>
              <w:right w:w="70" w:type="dxa"/>
            </w:tcMar>
            <w:vAlign w:val="center"/>
          </w:tcPr>
          <w:p w14:paraId="3C150B44" w14:textId="2649B1DC"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Nota: Para el ejercicio 2024, se estima un cierre balanceado entre el ingreso y gasto, el diferencial corresponde a remanentes de ejercicios anteriores.</w:t>
            </w:r>
          </w:p>
        </w:tc>
      </w:tr>
      <w:tr w:rsidR="5D3FC234" w:rsidRPr="000842AA" w14:paraId="70113D50" w14:textId="77777777" w:rsidTr="003466C4">
        <w:trPr>
          <w:trHeight w:val="105"/>
        </w:trPr>
        <w:tc>
          <w:tcPr>
            <w:tcW w:w="5000" w:type="pct"/>
            <w:gridSpan w:val="7"/>
            <w:tcMar>
              <w:left w:w="70" w:type="dxa"/>
              <w:right w:w="70" w:type="dxa"/>
            </w:tcMar>
            <w:vAlign w:val="center"/>
          </w:tcPr>
          <w:p w14:paraId="3275D2FE" w14:textId="7700FEB4" w:rsidR="5D3FC234" w:rsidRPr="000842AA" w:rsidRDefault="5D3FC234" w:rsidP="003466C4">
            <w:pPr>
              <w:spacing w:after="0" w:line="240" w:lineRule="auto"/>
              <w:rPr>
                <w:rFonts w:ascii="Arial" w:hAnsi="Arial" w:cs="Arial"/>
                <w:sz w:val="16"/>
                <w:szCs w:val="16"/>
              </w:rPr>
            </w:pPr>
            <w:r w:rsidRPr="000842AA">
              <w:rPr>
                <w:rFonts w:ascii="Arial" w:eastAsia="Arial" w:hAnsi="Arial" w:cs="Arial"/>
                <w:color w:val="000000" w:themeColor="text1"/>
                <w:sz w:val="16"/>
                <w:szCs w:val="16"/>
              </w:rPr>
              <w:t>Bajo protesta de decir verdad declaramos que los Estados Financieros y sus Notas son razonablemente correctos y responsabilidad del emisor.</w:t>
            </w:r>
          </w:p>
        </w:tc>
      </w:tr>
    </w:tbl>
    <w:p w14:paraId="04B812B2" w14:textId="204CCD2C" w:rsidR="00D40ED3" w:rsidRPr="000842AA" w:rsidRDefault="00D40ED3" w:rsidP="003466C4">
      <w:pPr>
        <w:spacing w:line="240" w:lineRule="auto"/>
        <w:rPr>
          <w:rFonts w:ascii="Arial" w:hAnsi="Arial" w:cs="Arial"/>
          <w:sz w:val="16"/>
          <w:szCs w:val="16"/>
        </w:rPr>
      </w:pPr>
      <w:r w:rsidRPr="000842AA">
        <w:rPr>
          <w:rFonts w:ascii="Arial" w:hAnsi="Arial" w:cs="Arial"/>
          <w:sz w:val="16"/>
          <w:szCs w:val="16"/>
        </w:rPr>
        <w:br w:type="page"/>
      </w:r>
    </w:p>
    <w:p w14:paraId="5EDF127B" w14:textId="58A6B234" w:rsidR="00D9327F" w:rsidRPr="000842AA" w:rsidRDefault="5D3FC234" w:rsidP="003466C4">
      <w:pPr>
        <w:spacing w:after="0" w:line="240" w:lineRule="auto"/>
        <w:jc w:val="center"/>
        <w:rPr>
          <w:rFonts w:ascii="Arial" w:eastAsia="Arial" w:hAnsi="Arial" w:cs="Arial"/>
          <w:b/>
          <w:bCs/>
          <w:sz w:val="16"/>
          <w:szCs w:val="16"/>
        </w:rPr>
      </w:pPr>
      <w:bookmarkStart w:id="4" w:name="_GoBack"/>
      <w:bookmarkEnd w:id="4"/>
      <w:r w:rsidRPr="000842AA">
        <w:rPr>
          <w:rFonts w:ascii="Arial" w:eastAsia="Arial" w:hAnsi="Arial" w:cs="Arial"/>
          <w:b/>
          <w:bCs/>
          <w:sz w:val="16"/>
          <w:szCs w:val="16"/>
        </w:rPr>
        <w:t>Anexo III</w:t>
      </w:r>
      <w:r w:rsidR="60EA4332" w:rsidRPr="000842AA">
        <w:rPr>
          <w:rFonts w:ascii="Arial" w:hAnsi="Arial" w:cs="Arial"/>
          <w:sz w:val="16"/>
          <w:szCs w:val="16"/>
        </w:rPr>
        <w:br/>
      </w:r>
      <w:r w:rsidRPr="000842AA">
        <w:rPr>
          <w:rFonts w:ascii="Arial" w:eastAsia="Arial" w:hAnsi="Arial" w:cs="Arial"/>
          <w:b/>
          <w:bCs/>
          <w:sz w:val="16"/>
          <w:szCs w:val="16"/>
        </w:rPr>
        <w:t xml:space="preserve">Calendarización de amortizaciones de los siguientes ejercicios fiscales  </w:t>
      </w:r>
    </w:p>
    <w:tbl>
      <w:tblPr>
        <w:tblW w:w="5000" w:type="pct"/>
        <w:tblLook w:val="06A0" w:firstRow="1" w:lastRow="0" w:firstColumn="1" w:lastColumn="0" w:noHBand="1" w:noVBand="1"/>
      </w:tblPr>
      <w:tblGrid>
        <w:gridCol w:w="930"/>
        <w:gridCol w:w="1653"/>
        <w:gridCol w:w="1506"/>
        <w:gridCol w:w="1653"/>
        <w:gridCol w:w="1653"/>
        <w:gridCol w:w="1653"/>
        <w:gridCol w:w="1996"/>
        <w:gridCol w:w="1384"/>
      </w:tblGrid>
      <w:tr w:rsidR="5D3FC234" w:rsidRPr="000842AA" w14:paraId="255E6AC4" w14:textId="77777777" w:rsidTr="003466C4">
        <w:trPr>
          <w:trHeight w:val="1800"/>
        </w:trPr>
        <w:tc>
          <w:tcPr>
            <w:tcW w:w="374"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E0933E" w14:textId="63CD8B86"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Año</w:t>
            </w:r>
          </w:p>
        </w:tc>
        <w:tc>
          <w:tcPr>
            <w:tcW w:w="4067" w:type="pct"/>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0A520A" w14:textId="5F62F334" w:rsidR="5D3FC234" w:rsidRPr="000842AA" w:rsidRDefault="5D3FC234" w:rsidP="003466C4">
            <w:pPr>
              <w:spacing w:after="0" w:line="240" w:lineRule="auto"/>
              <w:jc w:val="center"/>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 xml:space="preserve">Deuda pública largo plazo </w:t>
            </w:r>
          </w:p>
        </w:tc>
        <w:tc>
          <w:tcPr>
            <w:tcW w:w="55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0EF2D6F5" w14:textId="434D1025" w:rsidR="5D3FC234" w:rsidRPr="000842AA" w:rsidRDefault="5D3FC234" w:rsidP="003466C4">
            <w:pPr>
              <w:spacing w:after="0" w:line="240" w:lineRule="auto"/>
              <w:jc w:val="center"/>
              <w:rPr>
                <w:rFonts w:ascii="Arial" w:eastAsia="Arial" w:hAnsi="Arial" w:cs="Arial"/>
                <w:b/>
                <w:bCs/>
                <w:color w:val="000000" w:themeColor="text1"/>
                <w:sz w:val="16"/>
                <w:szCs w:val="16"/>
              </w:rPr>
            </w:pPr>
            <w:r w:rsidRPr="000842AA">
              <w:rPr>
                <w:rFonts w:ascii="Arial" w:eastAsia="Arial" w:hAnsi="Arial" w:cs="Arial"/>
                <w:b/>
                <w:bCs/>
                <w:color w:val="000000" w:themeColor="text1"/>
                <w:sz w:val="16"/>
                <w:szCs w:val="16"/>
              </w:rPr>
              <w:t xml:space="preserve">Deuda pública con garantía </w:t>
            </w:r>
          </w:p>
        </w:tc>
      </w:tr>
      <w:tr w:rsidR="5D3FC234" w:rsidRPr="000842AA" w14:paraId="4A49CB77" w14:textId="77777777" w:rsidTr="003466C4">
        <w:trPr>
          <w:trHeight w:val="1200"/>
        </w:trPr>
        <w:tc>
          <w:tcPr>
            <w:tcW w:w="374" w:type="pct"/>
            <w:vMerge/>
            <w:tcBorders>
              <w:left w:val="single" w:sz="0" w:space="0" w:color="auto"/>
              <w:bottom w:val="single" w:sz="0" w:space="0" w:color="auto"/>
              <w:right w:val="single" w:sz="0" w:space="0" w:color="auto"/>
            </w:tcBorders>
            <w:vAlign w:val="center"/>
          </w:tcPr>
          <w:p w14:paraId="00E3D9D2" w14:textId="77777777" w:rsidR="00D809CB" w:rsidRPr="000842AA" w:rsidRDefault="00D809CB" w:rsidP="003466C4">
            <w:pPr>
              <w:spacing w:line="240" w:lineRule="auto"/>
              <w:rPr>
                <w:rFonts w:ascii="Arial" w:hAnsi="Arial" w:cs="Arial"/>
                <w:sz w:val="16"/>
                <w:szCs w:val="16"/>
              </w:rPr>
            </w:pPr>
          </w:p>
        </w:tc>
        <w:tc>
          <w:tcPr>
            <w:tcW w:w="665"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86FF756" w14:textId="70D3FCAC"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Banamex, S.A.</w:t>
            </w:r>
            <w:r w:rsidRPr="000842AA">
              <w:rPr>
                <w:rFonts w:ascii="Arial" w:hAnsi="Arial" w:cs="Arial"/>
                <w:sz w:val="16"/>
                <w:szCs w:val="16"/>
              </w:rPr>
              <w:br/>
            </w:r>
            <w:r w:rsidRPr="000842AA">
              <w:rPr>
                <w:rFonts w:ascii="Arial" w:eastAsia="Arial" w:hAnsi="Arial" w:cs="Arial"/>
                <w:b/>
                <w:bCs/>
                <w:sz w:val="16"/>
                <w:szCs w:val="16"/>
              </w:rPr>
              <w:t xml:space="preserve"> 2,620 </w:t>
            </w:r>
            <w:r w:rsidR="003B4032" w:rsidRPr="000842AA">
              <w:rPr>
                <w:rFonts w:ascii="Arial" w:eastAsia="Arial" w:hAnsi="Arial" w:cs="Arial"/>
                <w:b/>
                <w:bCs/>
                <w:sz w:val="16"/>
                <w:szCs w:val="16"/>
              </w:rPr>
              <w:t>mdp</w:t>
            </w:r>
          </w:p>
        </w:tc>
        <w:tc>
          <w:tcPr>
            <w:tcW w:w="606"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6FCA8122" w14:textId="55B374F5"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Banobras, S.N.C.</w:t>
            </w:r>
            <w:r w:rsidRPr="000842AA">
              <w:rPr>
                <w:rFonts w:ascii="Arial" w:hAnsi="Arial" w:cs="Arial"/>
                <w:sz w:val="16"/>
                <w:szCs w:val="16"/>
              </w:rPr>
              <w:br/>
            </w:r>
            <w:r w:rsidRPr="000842AA">
              <w:rPr>
                <w:rFonts w:ascii="Arial" w:eastAsia="Arial" w:hAnsi="Arial" w:cs="Arial"/>
                <w:b/>
                <w:bCs/>
                <w:sz w:val="16"/>
                <w:szCs w:val="16"/>
              </w:rPr>
              <w:t xml:space="preserve"> 800 </w:t>
            </w:r>
            <w:r w:rsidR="003B4032" w:rsidRPr="000842AA">
              <w:rPr>
                <w:rFonts w:ascii="Arial" w:eastAsia="Arial" w:hAnsi="Arial" w:cs="Arial"/>
                <w:b/>
                <w:bCs/>
                <w:sz w:val="16"/>
                <w:szCs w:val="16"/>
              </w:rPr>
              <w:t>mdp</w:t>
            </w:r>
          </w:p>
        </w:tc>
        <w:tc>
          <w:tcPr>
            <w:tcW w:w="665"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52DB607B" w14:textId="2D740D79"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Banobras, S.N.C.</w:t>
            </w:r>
            <w:r w:rsidRPr="000842AA">
              <w:rPr>
                <w:rFonts w:ascii="Arial" w:hAnsi="Arial" w:cs="Arial"/>
                <w:sz w:val="16"/>
                <w:szCs w:val="16"/>
              </w:rPr>
              <w:br/>
            </w:r>
            <w:r w:rsidRPr="000842AA">
              <w:rPr>
                <w:rFonts w:ascii="Arial" w:eastAsia="Arial" w:hAnsi="Arial" w:cs="Arial"/>
                <w:b/>
                <w:bCs/>
                <w:sz w:val="16"/>
                <w:szCs w:val="16"/>
              </w:rPr>
              <w:t xml:space="preserve"> 1,200 </w:t>
            </w:r>
            <w:r w:rsidR="003B4032" w:rsidRPr="000842AA">
              <w:rPr>
                <w:rFonts w:ascii="Arial" w:eastAsia="Arial" w:hAnsi="Arial" w:cs="Arial"/>
                <w:b/>
                <w:bCs/>
                <w:sz w:val="16"/>
                <w:szCs w:val="16"/>
              </w:rPr>
              <w:t>mdp</w:t>
            </w:r>
          </w:p>
        </w:tc>
        <w:tc>
          <w:tcPr>
            <w:tcW w:w="665"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460F84FF" w14:textId="1EA53073"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Banobras, S.N.C.</w:t>
            </w:r>
            <w:r w:rsidRPr="000842AA">
              <w:rPr>
                <w:rFonts w:ascii="Arial" w:hAnsi="Arial" w:cs="Arial"/>
                <w:sz w:val="16"/>
                <w:szCs w:val="16"/>
              </w:rPr>
              <w:br/>
            </w:r>
            <w:r w:rsidRPr="000842AA">
              <w:rPr>
                <w:rFonts w:ascii="Arial" w:eastAsia="Arial" w:hAnsi="Arial" w:cs="Arial"/>
                <w:b/>
                <w:bCs/>
                <w:sz w:val="16"/>
                <w:szCs w:val="16"/>
              </w:rPr>
              <w:t xml:space="preserve"> 1,420 </w:t>
            </w:r>
            <w:r w:rsidR="003B4032" w:rsidRPr="000842AA">
              <w:rPr>
                <w:rFonts w:ascii="Arial" w:eastAsia="Arial" w:hAnsi="Arial" w:cs="Arial"/>
                <w:b/>
                <w:bCs/>
                <w:sz w:val="16"/>
                <w:szCs w:val="16"/>
              </w:rPr>
              <w:t>mdp</w:t>
            </w:r>
          </w:p>
        </w:tc>
        <w:tc>
          <w:tcPr>
            <w:tcW w:w="665"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200C3025" w14:textId="3BA42600"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BBVA México, S.A.</w:t>
            </w:r>
            <w:r w:rsidRPr="000842AA">
              <w:rPr>
                <w:rFonts w:ascii="Arial" w:hAnsi="Arial" w:cs="Arial"/>
                <w:sz w:val="16"/>
                <w:szCs w:val="16"/>
              </w:rPr>
              <w:br/>
            </w:r>
            <w:r w:rsidRPr="000842AA">
              <w:rPr>
                <w:rFonts w:ascii="Arial" w:eastAsia="Arial" w:hAnsi="Arial" w:cs="Arial"/>
                <w:b/>
                <w:bCs/>
                <w:sz w:val="16"/>
                <w:szCs w:val="16"/>
              </w:rPr>
              <w:t xml:space="preserve"> 1,735 </w:t>
            </w:r>
            <w:r w:rsidR="003B4032" w:rsidRPr="000842AA">
              <w:rPr>
                <w:rFonts w:ascii="Arial" w:eastAsia="Arial" w:hAnsi="Arial" w:cs="Arial"/>
                <w:b/>
                <w:bCs/>
                <w:sz w:val="16"/>
                <w:szCs w:val="16"/>
              </w:rPr>
              <w:t>mdp</w:t>
            </w:r>
          </w:p>
        </w:tc>
        <w:tc>
          <w:tcPr>
            <w:tcW w:w="803"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5BC11F25" w14:textId="103D962C"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Financiamiento Proyecto "Ampliación Puerto de Altura de Progreso"</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792D53" w14:textId="2F0BF8CC" w:rsidR="5D3FC234" w:rsidRPr="000842AA" w:rsidRDefault="5D3FC234" w:rsidP="003466C4">
            <w:pPr>
              <w:spacing w:after="0" w:line="240" w:lineRule="auto"/>
              <w:jc w:val="center"/>
              <w:rPr>
                <w:rFonts w:ascii="Arial" w:eastAsia="Arial" w:hAnsi="Arial" w:cs="Arial"/>
                <w:b/>
                <w:bCs/>
                <w:sz w:val="16"/>
                <w:szCs w:val="16"/>
              </w:rPr>
            </w:pPr>
            <w:r w:rsidRPr="000842AA">
              <w:rPr>
                <w:rFonts w:ascii="Arial" w:eastAsia="Arial" w:hAnsi="Arial" w:cs="Arial"/>
                <w:b/>
                <w:bCs/>
                <w:sz w:val="16"/>
                <w:szCs w:val="16"/>
              </w:rPr>
              <w:t>Banobras, S.N.C.</w:t>
            </w:r>
            <w:r w:rsidRPr="000842AA">
              <w:rPr>
                <w:rFonts w:ascii="Arial" w:hAnsi="Arial" w:cs="Arial"/>
                <w:sz w:val="16"/>
                <w:szCs w:val="16"/>
              </w:rPr>
              <w:br/>
            </w:r>
            <w:r w:rsidRPr="000842AA">
              <w:rPr>
                <w:rFonts w:ascii="Arial" w:eastAsia="Arial" w:hAnsi="Arial" w:cs="Arial"/>
                <w:b/>
                <w:bCs/>
                <w:sz w:val="16"/>
                <w:szCs w:val="16"/>
              </w:rPr>
              <w:t xml:space="preserve"> (PROFISE)</w:t>
            </w:r>
          </w:p>
        </w:tc>
      </w:tr>
      <w:tr w:rsidR="5D3FC234" w:rsidRPr="000842AA" w14:paraId="44087656" w14:textId="77777777" w:rsidTr="003466C4">
        <w:trPr>
          <w:trHeight w:val="285"/>
        </w:trPr>
        <w:tc>
          <w:tcPr>
            <w:tcW w:w="374" w:type="pct"/>
            <w:tcBorders>
              <w:top w:val="nil"/>
              <w:left w:val="single" w:sz="4" w:space="0" w:color="auto"/>
              <w:bottom w:val="single" w:sz="4" w:space="0" w:color="auto"/>
              <w:right w:val="single" w:sz="4" w:space="0" w:color="auto"/>
            </w:tcBorders>
            <w:tcMar>
              <w:top w:w="15" w:type="dxa"/>
              <w:left w:w="15" w:type="dxa"/>
              <w:right w:w="15" w:type="dxa"/>
            </w:tcMar>
            <w:vAlign w:val="bottom"/>
          </w:tcPr>
          <w:p w14:paraId="0B78DE57" w14:textId="0863BD04"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2025</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158A50" w14:textId="11C6207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48,428,287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1BF0BF" w14:textId="161F5D3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12,947,881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F178FD" w14:textId="616CB1F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19,414,111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534F8" w14:textId="29CCD58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22,346,036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A2A7E2" w14:textId="2A432A5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21,283,291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C41279" w14:textId="12EDED3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17,047,304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F356F0" w14:textId="1C54DAF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020E7C19"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77B4E7" w14:textId="29BEE83B"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2026</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37DB79" w14:textId="5E4CB99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56,213,339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821D6E" w14:textId="7325892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15,029,301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A2F71A" w14:textId="762743E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22,535,004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3A1C7E" w14:textId="2D3CF95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25,938,248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ED7292" w14:textId="047BAFD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24,704,664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B0D799" w14:textId="20D1190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19,787,308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F1F54D" w14:textId="69F6CB7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3E08B3F0"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6F7FC6" w14:textId="3CF72F98"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2027</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BBF138" w14:textId="245732E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65,249,895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230EA" w14:textId="21B0233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17,445,334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E9640C" w14:textId="32DE06E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26,157,615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75A6DA" w14:textId="4357E4F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30,107,946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C7E8B6" w14:textId="44279B3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28,676,057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B9F607" w14:textId="6A2AE0B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22,967,800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ACB81" w14:textId="1304094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26AC2236"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16AAC" w14:textId="60567305"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2028</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6031E7" w14:textId="0FBB94F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75,739,110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D7B21" w14:textId="600F899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20,249,750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BA40D8" w14:textId="7C20D89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30,362,569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3CC930" w14:textId="090E973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34,947,934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7ED4E0" w14:textId="15F5F6D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33,285,863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6C745" w14:textId="371EA86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26,659,564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FBFA2F" w14:textId="704EED9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170E1720"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21240" w14:textId="1AEA9D95"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2029</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0E953" w14:textId="39D377C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87,914,514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35C81C" w14:textId="1AEFF2B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23,504,990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E1CC56" w14:textId="3AA4D9B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35,243,490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E70238" w14:textId="739E94D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40,565,973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CB2168" w14:textId="64B57BB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38,636,716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84072" w14:textId="6CAF702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30,944,796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E75367" w14:textId="17829FB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4DEE69F8"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FDD3AE" w14:textId="0F02DB8D"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2030</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805442" w14:textId="7FB5DED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102,047,170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97F94B" w14:textId="2B90A32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27,283,522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19C027" w14:textId="12176F8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40,909,040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E5EC20" w14:textId="4727788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47,087,136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D9E3C3" w14:textId="4C8A19C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44,847,742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74CF27" w14:textId="035BF70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35,918,899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7C4404" w14:textId="0CB6D21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5704111C"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F93DE9" w14:textId="6A389AA3"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2031</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B62EDF" w14:textId="6F79EF7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118,451,713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C820A" w14:textId="2B4D4A5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31,669,471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9AC6D3" w14:textId="0940A3B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47,485,352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6B7A8D" w14:textId="4C704B4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54,656,605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2B0982" w14:textId="4037675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52,057,219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05FDF1" w14:textId="715F06E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41,692,609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19ABD8" w14:textId="5186924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737731D3"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20873D" w14:textId="54952012"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2032</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261A0" w14:textId="172E95A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137,493,361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CE103A" w14:textId="65B0744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36,760,481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6425E" w14:textId="0F8A4EA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55,118,835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25886C" w14:textId="342102E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63,442,899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25944D" w14:textId="1C7F4B7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60,425,653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037579" w14:textId="19E1AAF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48,394,471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8F2296" w14:textId="776D42C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1EAE2976"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7A15AB" w14:textId="2A76C9F0"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2033</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66E0D" w14:textId="08FB922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159,596,040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62BA14" w14:textId="00E5DC7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42,669,896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F33F0F" w14:textId="403CBD1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63,979,439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D89BB8" w14:textId="026B40F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73,641,635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C17619" w14:textId="2EE7FF9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70,139,349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AB3142" w14:textId="36659CE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56,173,686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BA025C" w14:textId="50ACD0D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306,931,762 </w:t>
            </w:r>
          </w:p>
        </w:tc>
      </w:tr>
      <w:tr w:rsidR="5D3FC234" w:rsidRPr="000842AA" w14:paraId="0F9007C5"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A9629C" w14:textId="1E4FF553"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2034</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1FF9B" w14:textId="3829F8E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185,251,825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62207A" w14:textId="432951D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49,529,274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A75B43" w14:textId="22F9146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74,264,422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0676D4" w14:textId="7513C8C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85,479,859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D96837" w14:textId="2CDF13E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81,414,566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75BECE" w14:textId="2E57A12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65,203,446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9A1AF7" w14:textId="3F5D2A4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48E7BFB4"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68F28F" w14:textId="3310C19C"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2035</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8D024F" w14:textId="6F2891D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215,031,892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F05EA" w14:textId="6EECFD2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57,491,329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FBCF4B" w14:textId="393C92D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86,202,764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8478F" w14:textId="1E393D0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99,221,133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5D83B2" w14:textId="6015B19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94,502,326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F25C0" w14:textId="60EAE3C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75,684,781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F34F10" w14:textId="4DD8B5E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022B0B8B"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544CA" w14:textId="50E57353"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2036</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8621BE" w14:textId="0E30AE32"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249,599,241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31B109" w14:textId="73F3C84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66,733,319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F7A17F" w14:textId="69BD999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100,060,247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6ED4AF" w14:textId="2D35B98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115,171,378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2DDA41" w14:textId="18A08B0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109,694,002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93206" w14:textId="600591A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87,851,037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12640A" w14:textId="3895F1A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418CEE16"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358064" w14:textId="2D8365A0"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2037</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06CC5D" w14:textId="254DD23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289,723,446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9EAFEE" w14:textId="1DD9AE6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77,461,002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10AEE" w14:textId="4EAC7CB7"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116,145,384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87BD4E" w14:textId="1F903A9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133,685,697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78014E" w14:textId="59204D8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127,327,808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FA835" w14:textId="1174BD4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101,973,075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D358F1" w14:textId="5303395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7498816E"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B3F342" w14:textId="78E008FD"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2038</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510BE6" w14:textId="6F4DF5B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336,297,799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CDC90D" w14:textId="7BF586D0"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89,913,206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30504" w14:textId="25FB859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134,816,277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0757AC" w14:textId="3B1E069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155,176,275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8C473A" w14:textId="726A776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147,796,328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448EB3" w14:textId="5768546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118,365,294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7E035" w14:textId="7F2A84C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1411C442"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653D8" w14:textId="69C8AE02"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2039</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F28E20" w14:textId="3654B91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355,561,005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A61FE" w14:textId="111C395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104,367,162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686F33" w14:textId="226AD83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156,488,605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5EB21B" w14:textId="79E7681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180,121,564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EF6A14" w14:textId="399C831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171,555,256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A1CC6" w14:textId="7FDF487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137,392,635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3D2775" w14:textId="4F477EF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653E420B"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9C9CD" w14:textId="4E2E3BCD"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2040</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42CB21" w14:textId="275DED0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C47C91" w14:textId="09CA95F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89,679,334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D0F834" w14:textId="1D16334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135,276,779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282E1" w14:textId="0CBA408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154,772,647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6302B" w14:textId="6E8599E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199,133,538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DBEBBF" w14:textId="69F66B11"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159,478,709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4FD64A" w14:textId="3D30F24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297A21B1"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23FDEB" w14:textId="14678FAF"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2041</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737B57" w14:textId="77F73B5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9FDCE3" w14:textId="267545C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1C6019" w14:textId="62B48825"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2D583B" w14:textId="59AB45D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62DFB8" w14:textId="6A88BBDE"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231,145,154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9366D7" w14:textId="52AA02C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185,115,219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B324E0" w14:textId="6F26635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614D8D5A"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4F766F" w14:textId="1F073A23"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2042</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160D41" w14:textId="2361413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1A34A" w14:textId="649548AF"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4CBADC" w14:textId="367F51D4"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3DC5E9" w14:textId="3BAEC36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F1D048" w14:textId="6A7C4DF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174,428,788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5FBC88" w14:textId="114FEF9D"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214,872,912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00DE6C" w14:textId="40804FB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r w:rsidR="5D3FC234" w:rsidRPr="000842AA" w14:paraId="138C54B8" w14:textId="77777777" w:rsidTr="003466C4">
        <w:trPr>
          <w:trHeight w:val="285"/>
        </w:trPr>
        <w:tc>
          <w:tcPr>
            <w:tcW w:w="3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D58CE4" w14:textId="2C7A20C0" w:rsidR="5D3FC234" w:rsidRPr="000842AA" w:rsidRDefault="5D3FC234" w:rsidP="003466C4">
            <w:pPr>
              <w:spacing w:after="0" w:line="240" w:lineRule="auto"/>
              <w:jc w:val="center"/>
              <w:rPr>
                <w:rFonts w:ascii="Arial" w:eastAsia="Arial" w:hAnsi="Arial" w:cs="Arial"/>
                <w:color w:val="000000" w:themeColor="text1"/>
                <w:sz w:val="16"/>
                <w:szCs w:val="16"/>
              </w:rPr>
            </w:pPr>
            <w:r w:rsidRPr="000842AA">
              <w:rPr>
                <w:rFonts w:ascii="Arial" w:eastAsia="Arial" w:hAnsi="Arial" w:cs="Arial"/>
                <w:color w:val="000000" w:themeColor="text1"/>
                <w:sz w:val="16"/>
                <w:szCs w:val="16"/>
              </w:rPr>
              <w:t>2043</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5DE06D" w14:textId="45861BC6"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0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B82A7" w14:textId="4E2FC87B"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2D1A27" w14:textId="132D9699"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261B5B" w14:textId="29E9E8D8"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66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8695B0" w14:textId="1724A103"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c>
          <w:tcPr>
            <w:tcW w:w="80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30BF97" w14:textId="6CDDDBFA"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187,476,456 </w:t>
            </w:r>
          </w:p>
        </w:tc>
        <w:tc>
          <w:tcPr>
            <w:tcW w:w="5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1B384A" w14:textId="2215AABC" w:rsidR="5D3FC234" w:rsidRPr="000842AA" w:rsidRDefault="5D3FC234" w:rsidP="003466C4">
            <w:pPr>
              <w:spacing w:after="0" w:line="240" w:lineRule="auto"/>
              <w:jc w:val="right"/>
              <w:rPr>
                <w:rFonts w:ascii="Arial" w:eastAsia="Arial" w:hAnsi="Arial" w:cs="Arial"/>
                <w:color w:val="000000" w:themeColor="text1"/>
                <w:sz w:val="16"/>
                <w:szCs w:val="16"/>
              </w:rPr>
            </w:pPr>
            <w:r w:rsidRPr="000842AA">
              <w:rPr>
                <w:rFonts w:ascii="Arial" w:eastAsia="Arial" w:hAnsi="Arial" w:cs="Arial"/>
                <w:color w:val="000000" w:themeColor="text1"/>
                <w:sz w:val="16"/>
                <w:szCs w:val="16"/>
              </w:rPr>
              <w:t xml:space="preserve"> $                    -   </w:t>
            </w:r>
          </w:p>
        </w:tc>
      </w:tr>
    </w:tbl>
    <w:p w14:paraId="12DF35A7" w14:textId="28B50FAF" w:rsidR="00D9327F" w:rsidRPr="003B4032" w:rsidRDefault="5D3FC234" w:rsidP="003466C4">
      <w:pPr>
        <w:spacing w:after="0" w:line="240" w:lineRule="auto"/>
        <w:ind w:left="567"/>
        <w:rPr>
          <w:rFonts w:ascii="Arial" w:hAnsi="Arial" w:cs="Arial"/>
          <w:sz w:val="16"/>
          <w:szCs w:val="16"/>
        </w:rPr>
      </w:pPr>
      <w:r w:rsidRPr="000842AA">
        <w:rPr>
          <w:rFonts w:ascii="Arial" w:hAnsi="Arial" w:cs="Arial"/>
          <w:sz w:val="16"/>
          <w:szCs w:val="16"/>
        </w:rPr>
        <w:t>Esta hoja pertenece a la Iniciativa para expedir la Ley de Ingresos Estado de Yucatán para el Ejercicio Fiscal 2025.</w:t>
      </w:r>
    </w:p>
    <w:p w14:paraId="0FE809AE" w14:textId="4AEA8C2F" w:rsidR="00D9327F" w:rsidRPr="003B4032" w:rsidRDefault="00D9327F" w:rsidP="003466C4">
      <w:pPr>
        <w:spacing w:line="240" w:lineRule="auto"/>
        <w:rPr>
          <w:rFonts w:ascii="Arial" w:hAnsi="Arial" w:cs="Arial"/>
          <w:sz w:val="16"/>
          <w:szCs w:val="16"/>
        </w:rPr>
      </w:pPr>
    </w:p>
    <w:sectPr w:rsidR="00D9327F" w:rsidRPr="003B4032" w:rsidSect="00EA425C">
      <w:headerReference w:type="default" r:id="rId11"/>
      <w:pgSz w:w="15840" w:h="12240" w:orient="landscape"/>
      <w:pgMar w:top="3335"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12CA96" w16cex:dateUtc="2024-12-19T03:44:00Z"/>
  <w16cex:commentExtensible w16cex:durableId="3A6E32D8" w16cex:dateUtc="2024-12-19T03:47:00Z"/>
  <w16cex:commentExtensible w16cex:durableId="2577CB75" w16cex:dateUtc="2024-12-19T03:49:00Z"/>
  <w16cex:commentExtensible w16cex:durableId="7DB53936" w16cex:dateUtc="2024-12-19T04:00:00Z"/>
  <w16cex:commentExtensible w16cex:durableId="157A5FE2" w16cex:dateUtc="2024-12-19T03:06:00Z"/>
  <w16cex:commentExtensible w16cex:durableId="36D116BD" w16cex:dateUtc="2024-12-19T03:41:00Z"/>
  <w16cex:commentExtensible w16cex:durableId="054A286A" w16cex:dateUtc="2024-12-19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6276EE" w16cid:durableId="1012CA96"/>
  <w16cid:commentId w16cid:paraId="38BC99BB" w16cid:durableId="3A6E32D8"/>
  <w16cid:commentId w16cid:paraId="45B78478" w16cid:durableId="2577CB75"/>
  <w16cid:commentId w16cid:paraId="4211185E" w16cid:durableId="7DB53936"/>
  <w16cid:commentId w16cid:paraId="509BF45D" w16cid:durableId="157A5FE2"/>
  <w16cid:commentId w16cid:paraId="7560C583" w16cid:durableId="36D116BD"/>
  <w16cid:commentId w16cid:paraId="01686567" w16cid:durableId="054A286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997C" w14:textId="77777777" w:rsidR="006E28A9" w:rsidRDefault="006E28A9" w:rsidP="003D6FFD">
      <w:pPr>
        <w:spacing w:after="0" w:line="240" w:lineRule="auto"/>
      </w:pPr>
      <w:r>
        <w:separator/>
      </w:r>
    </w:p>
  </w:endnote>
  <w:endnote w:type="continuationSeparator" w:id="0">
    <w:p w14:paraId="7A39A9B7" w14:textId="77777777" w:rsidR="006E28A9" w:rsidRDefault="006E28A9" w:rsidP="003D6FFD">
      <w:pPr>
        <w:spacing w:after="0" w:line="240" w:lineRule="auto"/>
      </w:pPr>
      <w:r>
        <w:continuationSeparator/>
      </w:r>
    </w:p>
  </w:endnote>
  <w:endnote w:type="continuationNotice" w:id="1">
    <w:p w14:paraId="17596A3A" w14:textId="77777777" w:rsidR="006E28A9" w:rsidRDefault="006E2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86171"/>
      <w:docPartObj>
        <w:docPartGallery w:val="Page Numbers (Bottom of Page)"/>
        <w:docPartUnique/>
      </w:docPartObj>
    </w:sdtPr>
    <w:sdtEndPr>
      <w:rPr>
        <w:rFonts w:ascii="Arial" w:hAnsi="Arial" w:cs="Arial"/>
        <w:sz w:val="20"/>
        <w:szCs w:val="20"/>
      </w:rPr>
    </w:sdtEndPr>
    <w:sdtContent>
      <w:p w14:paraId="68B31A8E" w14:textId="0A6DB282" w:rsidR="0051662C" w:rsidRPr="006C6157" w:rsidRDefault="0051662C">
        <w:pPr>
          <w:pStyle w:val="Piedepgina"/>
          <w:jc w:val="right"/>
          <w:rPr>
            <w:rFonts w:ascii="Arial" w:hAnsi="Arial" w:cs="Arial"/>
            <w:sz w:val="20"/>
            <w:szCs w:val="20"/>
          </w:rPr>
        </w:pPr>
        <w:r w:rsidRPr="006C6157">
          <w:rPr>
            <w:rFonts w:ascii="Arial" w:hAnsi="Arial" w:cs="Arial"/>
            <w:sz w:val="20"/>
            <w:szCs w:val="20"/>
          </w:rPr>
          <w:fldChar w:fldCharType="begin"/>
        </w:r>
        <w:r w:rsidRPr="006C6157">
          <w:rPr>
            <w:rFonts w:ascii="Arial" w:hAnsi="Arial" w:cs="Arial"/>
            <w:sz w:val="20"/>
            <w:szCs w:val="20"/>
          </w:rPr>
          <w:instrText>PAGE   \* MERGEFORMAT</w:instrText>
        </w:r>
        <w:r w:rsidRPr="006C6157">
          <w:rPr>
            <w:rFonts w:ascii="Arial" w:hAnsi="Arial" w:cs="Arial"/>
            <w:sz w:val="20"/>
            <w:szCs w:val="20"/>
          </w:rPr>
          <w:fldChar w:fldCharType="separate"/>
        </w:r>
        <w:r w:rsidR="006E28A9" w:rsidRPr="006E28A9">
          <w:rPr>
            <w:rFonts w:ascii="Arial" w:hAnsi="Arial" w:cs="Arial"/>
            <w:noProof/>
            <w:sz w:val="20"/>
            <w:szCs w:val="20"/>
            <w:lang w:val="es-ES"/>
          </w:rPr>
          <w:t>1</w:t>
        </w:r>
        <w:r w:rsidRPr="006C6157">
          <w:rPr>
            <w:rFonts w:ascii="Arial" w:hAnsi="Arial" w:cs="Arial"/>
            <w:sz w:val="20"/>
            <w:szCs w:val="20"/>
          </w:rPr>
          <w:fldChar w:fldCharType="end"/>
        </w:r>
      </w:p>
    </w:sdtContent>
  </w:sdt>
  <w:p w14:paraId="1FF09C7E" w14:textId="77777777" w:rsidR="0051662C" w:rsidRDefault="005166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529B6" w14:textId="77777777" w:rsidR="006E28A9" w:rsidRDefault="006E28A9" w:rsidP="003D6FFD">
      <w:pPr>
        <w:spacing w:after="0" w:line="240" w:lineRule="auto"/>
      </w:pPr>
      <w:r>
        <w:separator/>
      </w:r>
    </w:p>
  </w:footnote>
  <w:footnote w:type="continuationSeparator" w:id="0">
    <w:p w14:paraId="6556ADC3" w14:textId="77777777" w:rsidR="006E28A9" w:rsidRDefault="006E28A9" w:rsidP="003D6FFD">
      <w:pPr>
        <w:spacing w:after="0" w:line="240" w:lineRule="auto"/>
      </w:pPr>
      <w:r>
        <w:continuationSeparator/>
      </w:r>
    </w:p>
  </w:footnote>
  <w:footnote w:type="continuationNotice" w:id="1">
    <w:p w14:paraId="5BD94D40" w14:textId="77777777" w:rsidR="006E28A9" w:rsidRDefault="006E28A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5F6B" w14:textId="6591B56B" w:rsidR="0051662C" w:rsidRDefault="0051662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36F"/>
    <w:multiLevelType w:val="hybridMultilevel"/>
    <w:tmpl w:val="9690A42A"/>
    <w:lvl w:ilvl="0" w:tplc="753C19DC">
      <w:start w:val="1"/>
      <w:numFmt w:val="decimal"/>
      <w:lvlText w:val="%1."/>
      <w:lvlJc w:val="left"/>
      <w:pPr>
        <w:ind w:left="1330" w:hanging="9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624BB"/>
    <w:multiLevelType w:val="hybridMultilevel"/>
    <w:tmpl w:val="30126E34"/>
    <w:lvl w:ilvl="0" w:tplc="59E663C2">
      <w:start w:val="1"/>
      <w:numFmt w:val="lowerLetter"/>
      <w:lvlText w:val="%1)"/>
      <w:lvlJc w:val="left"/>
      <w:pPr>
        <w:ind w:left="1068" w:hanging="360"/>
      </w:pPr>
    </w:lvl>
    <w:lvl w:ilvl="1" w:tplc="92425C3E">
      <w:start w:val="1"/>
      <w:numFmt w:val="lowerLetter"/>
      <w:lvlText w:val="%2."/>
      <w:lvlJc w:val="left"/>
      <w:pPr>
        <w:ind w:left="1788" w:hanging="360"/>
      </w:pPr>
    </w:lvl>
    <w:lvl w:ilvl="2" w:tplc="1DCC73D6">
      <w:start w:val="1"/>
      <w:numFmt w:val="lowerRoman"/>
      <w:lvlText w:val="%3."/>
      <w:lvlJc w:val="right"/>
      <w:pPr>
        <w:ind w:left="2508" w:hanging="180"/>
      </w:pPr>
    </w:lvl>
    <w:lvl w:ilvl="3" w:tplc="4232E59A">
      <w:start w:val="1"/>
      <w:numFmt w:val="decimal"/>
      <w:lvlText w:val="%4."/>
      <w:lvlJc w:val="left"/>
      <w:pPr>
        <w:ind w:left="3228" w:hanging="360"/>
      </w:pPr>
    </w:lvl>
    <w:lvl w:ilvl="4" w:tplc="E6806D04">
      <w:start w:val="1"/>
      <w:numFmt w:val="lowerLetter"/>
      <w:lvlText w:val="%5."/>
      <w:lvlJc w:val="left"/>
      <w:pPr>
        <w:ind w:left="3948" w:hanging="360"/>
      </w:pPr>
    </w:lvl>
    <w:lvl w:ilvl="5" w:tplc="C9F6691E">
      <w:start w:val="1"/>
      <w:numFmt w:val="lowerRoman"/>
      <w:lvlText w:val="%6."/>
      <w:lvlJc w:val="right"/>
      <w:pPr>
        <w:ind w:left="4668" w:hanging="180"/>
      </w:pPr>
    </w:lvl>
    <w:lvl w:ilvl="6" w:tplc="1A5CC52A">
      <w:start w:val="1"/>
      <w:numFmt w:val="decimal"/>
      <w:lvlText w:val="%7."/>
      <w:lvlJc w:val="left"/>
      <w:pPr>
        <w:ind w:left="5388" w:hanging="360"/>
      </w:pPr>
    </w:lvl>
    <w:lvl w:ilvl="7" w:tplc="840ADD7C">
      <w:start w:val="1"/>
      <w:numFmt w:val="lowerLetter"/>
      <w:lvlText w:val="%8."/>
      <w:lvlJc w:val="left"/>
      <w:pPr>
        <w:ind w:left="6108" w:hanging="360"/>
      </w:pPr>
    </w:lvl>
    <w:lvl w:ilvl="8" w:tplc="99B09D66">
      <w:start w:val="1"/>
      <w:numFmt w:val="lowerRoman"/>
      <w:lvlText w:val="%9."/>
      <w:lvlJc w:val="right"/>
      <w:pPr>
        <w:ind w:left="6828" w:hanging="180"/>
      </w:pPr>
    </w:lvl>
  </w:abstractNum>
  <w:abstractNum w:abstractNumId="2" w15:restartNumberingAfterBreak="0">
    <w:nsid w:val="0CA66363"/>
    <w:multiLevelType w:val="hybridMultilevel"/>
    <w:tmpl w:val="0C10073E"/>
    <w:lvl w:ilvl="0" w:tplc="94DE86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EE646D"/>
    <w:multiLevelType w:val="hybridMultilevel"/>
    <w:tmpl w:val="E2464B5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10780785"/>
    <w:multiLevelType w:val="multilevel"/>
    <w:tmpl w:val="3602312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2766D"/>
    <w:multiLevelType w:val="hybridMultilevel"/>
    <w:tmpl w:val="F26CB83A"/>
    <w:lvl w:ilvl="0" w:tplc="080A0011">
      <w:start w:val="1"/>
      <w:numFmt w:val="decimal"/>
      <w:lvlText w:val="%1)"/>
      <w:lvlJc w:val="left"/>
      <w:pPr>
        <w:ind w:left="766" w:hanging="360"/>
      </w:pPr>
    </w:lvl>
    <w:lvl w:ilvl="1" w:tplc="080A0019">
      <w:start w:val="1"/>
      <w:numFmt w:val="lowerLetter"/>
      <w:lvlText w:val="%2."/>
      <w:lvlJc w:val="left"/>
      <w:pPr>
        <w:ind w:left="1486" w:hanging="360"/>
      </w:pPr>
    </w:lvl>
    <w:lvl w:ilvl="2" w:tplc="080A001B">
      <w:start w:val="1"/>
      <w:numFmt w:val="lowerRoman"/>
      <w:lvlText w:val="%3."/>
      <w:lvlJc w:val="right"/>
      <w:pPr>
        <w:ind w:left="2206" w:hanging="180"/>
      </w:pPr>
    </w:lvl>
    <w:lvl w:ilvl="3" w:tplc="080A000F">
      <w:start w:val="1"/>
      <w:numFmt w:val="decimal"/>
      <w:lvlText w:val="%4."/>
      <w:lvlJc w:val="left"/>
      <w:pPr>
        <w:ind w:left="2926" w:hanging="360"/>
      </w:pPr>
    </w:lvl>
    <w:lvl w:ilvl="4" w:tplc="080A0019">
      <w:start w:val="1"/>
      <w:numFmt w:val="lowerLetter"/>
      <w:lvlText w:val="%5."/>
      <w:lvlJc w:val="left"/>
      <w:pPr>
        <w:ind w:left="3646" w:hanging="360"/>
      </w:pPr>
    </w:lvl>
    <w:lvl w:ilvl="5" w:tplc="080A001B">
      <w:start w:val="1"/>
      <w:numFmt w:val="lowerRoman"/>
      <w:lvlText w:val="%6."/>
      <w:lvlJc w:val="right"/>
      <w:pPr>
        <w:ind w:left="4366" w:hanging="180"/>
      </w:pPr>
    </w:lvl>
    <w:lvl w:ilvl="6" w:tplc="080A000F">
      <w:start w:val="1"/>
      <w:numFmt w:val="decimal"/>
      <w:lvlText w:val="%7."/>
      <w:lvlJc w:val="left"/>
      <w:pPr>
        <w:ind w:left="5086" w:hanging="360"/>
      </w:pPr>
    </w:lvl>
    <w:lvl w:ilvl="7" w:tplc="080A0019">
      <w:start w:val="1"/>
      <w:numFmt w:val="lowerLetter"/>
      <w:lvlText w:val="%8."/>
      <w:lvlJc w:val="left"/>
      <w:pPr>
        <w:ind w:left="5806" w:hanging="360"/>
      </w:pPr>
    </w:lvl>
    <w:lvl w:ilvl="8" w:tplc="080A001B">
      <w:start w:val="1"/>
      <w:numFmt w:val="lowerRoman"/>
      <w:lvlText w:val="%9."/>
      <w:lvlJc w:val="right"/>
      <w:pPr>
        <w:ind w:left="6526" w:hanging="180"/>
      </w:pPr>
    </w:lvl>
  </w:abstractNum>
  <w:abstractNum w:abstractNumId="6" w15:restartNumberingAfterBreak="0">
    <w:nsid w:val="14A07300"/>
    <w:multiLevelType w:val="hybridMultilevel"/>
    <w:tmpl w:val="81FE716E"/>
    <w:lvl w:ilvl="0" w:tplc="65F4C39A">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7" w15:restartNumberingAfterBreak="0">
    <w:nsid w:val="1C6F0940"/>
    <w:multiLevelType w:val="hybridMultilevel"/>
    <w:tmpl w:val="F5763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3310B"/>
    <w:multiLevelType w:val="hybridMultilevel"/>
    <w:tmpl w:val="443AB4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A49F8"/>
    <w:multiLevelType w:val="hybridMultilevel"/>
    <w:tmpl w:val="E50C7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EA1D2A"/>
    <w:multiLevelType w:val="hybridMultilevel"/>
    <w:tmpl w:val="3162FF20"/>
    <w:lvl w:ilvl="0" w:tplc="E514DFF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3F209F"/>
    <w:multiLevelType w:val="hybridMultilevel"/>
    <w:tmpl w:val="37A2A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E90B88"/>
    <w:multiLevelType w:val="hybridMultilevel"/>
    <w:tmpl w:val="25B4F3CC"/>
    <w:lvl w:ilvl="0" w:tplc="080A001B">
      <w:start w:val="1"/>
      <w:numFmt w:val="lowerRoman"/>
      <w:lvlText w:val="%1."/>
      <w:lvlJc w:val="righ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3" w15:restartNumberingAfterBreak="0">
    <w:nsid w:val="33D534E5"/>
    <w:multiLevelType w:val="hybridMultilevel"/>
    <w:tmpl w:val="48345B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B46B77"/>
    <w:multiLevelType w:val="hybridMultilevel"/>
    <w:tmpl w:val="14487D4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5" w15:restartNumberingAfterBreak="0">
    <w:nsid w:val="417C799A"/>
    <w:multiLevelType w:val="hybridMultilevel"/>
    <w:tmpl w:val="F2B0DA52"/>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6" w15:restartNumberingAfterBreak="0">
    <w:nsid w:val="443734FC"/>
    <w:multiLevelType w:val="hybridMultilevel"/>
    <w:tmpl w:val="BAE6B5B6"/>
    <w:lvl w:ilvl="0" w:tplc="080A0001">
      <w:start w:val="1"/>
      <w:numFmt w:val="bullet"/>
      <w:lvlText w:val=""/>
      <w:lvlJc w:val="left"/>
      <w:pPr>
        <w:ind w:left="720" w:hanging="360"/>
      </w:pPr>
      <w:rPr>
        <w:rFonts w:ascii="Symbol" w:hAnsi="Symbol" w:hint="default"/>
      </w:rPr>
    </w:lvl>
    <w:lvl w:ilvl="1" w:tplc="80862D0E">
      <w:numFmt w:val="bullet"/>
      <w:lvlText w:val="•"/>
      <w:lvlJc w:val="left"/>
      <w:pPr>
        <w:ind w:left="1440" w:hanging="360"/>
      </w:pPr>
      <w:rPr>
        <w:rFonts w:ascii="Barlow" w:eastAsia="Calibri" w:hAnsi="Barl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036EC8"/>
    <w:multiLevelType w:val="hybridMultilevel"/>
    <w:tmpl w:val="7B1677E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8E426A5"/>
    <w:multiLevelType w:val="hybridMultilevel"/>
    <w:tmpl w:val="BF1A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000BF1"/>
    <w:multiLevelType w:val="multilevel"/>
    <w:tmpl w:val="A25E65B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47E0E"/>
    <w:multiLevelType w:val="hybridMultilevel"/>
    <w:tmpl w:val="5F664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E735F9"/>
    <w:multiLevelType w:val="hybridMultilevel"/>
    <w:tmpl w:val="96D27D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5A5B27EE"/>
    <w:multiLevelType w:val="hybridMultilevel"/>
    <w:tmpl w:val="0816A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358D0F"/>
    <w:multiLevelType w:val="hybridMultilevel"/>
    <w:tmpl w:val="159EC99E"/>
    <w:lvl w:ilvl="0" w:tplc="4FBC6E62">
      <w:start w:val="1"/>
      <w:numFmt w:val="decimal"/>
      <w:lvlText w:val="%1."/>
      <w:lvlJc w:val="left"/>
      <w:pPr>
        <w:ind w:left="720" w:hanging="360"/>
      </w:pPr>
    </w:lvl>
    <w:lvl w:ilvl="1" w:tplc="102CDEF8">
      <w:start w:val="1"/>
      <w:numFmt w:val="lowerLetter"/>
      <w:lvlText w:val="%2."/>
      <w:lvlJc w:val="left"/>
      <w:pPr>
        <w:ind w:left="1440" w:hanging="360"/>
      </w:pPr>
    </w:lvl>
    <w:lvl w:ilvl="2" w:tplc="78C80B58">
      <w:start w:val="1"/>
      <w:numFmt w:val="lowerRoman"/>
      <w:lvlText w:val="%3."/>
      <w:lvlJc w:val="right"/>
      <w:pPr>
        <w:ind w:left="2160" w:hanging="180"/>
      </w:pPr>
    </w:lvl>
    <w:lvl w:ilvl="3" w:tplc="A044C1BE">
      <w:start w:val="1"/>
      <w:numFmt w:val="decimal"/>
      <w:lvlText w:val="%4."/>
      <w:lvlJc w:val="left"/>
      <w:pPr>
        <w:ind w:left="2880" w:hanging="360"/>
      </w:pPr>
    </w:lvl>
    <w:lvl w:ilvl="4" w:tplc="1C542A7A">
      <w:start w:val="1"/>
      <w:numFmt w:val="lowerLetter"/>
      <w:lvlText w:val="%5."/>
      <w:lvlJc w:val="left"/>
      <w:pPr>
        <w:ind w:left="3600" w:hanging="360"/>
      </w:pPr>
    </w:lvl>
    <w:lvl w:ilvl="5" w:tplc="FDA8BA14">
      <w:start w:val="1"/>
      <w:numFmt w:val="lowerRoman"/>
      <w:lvlText w:val="%6."/>
      <w:lvlJc w:val="right"/>
      <w:pPr>
        <w:ind w:left="4320" w:hanging="180"/>
      </w:pPr>
    </w:lvl>
    <w:lvl w:ilvl="6" w:tplc="0D6E864A">
      <w:start w:val="1"/>
      <w:numFmt w:val="decimal"/>
      <w:lvlText w:val="%7."/>
      <w:lvlJc w:val="left"/>
      <w:pPr>
        <w:ind w:left="5040" w:hanging="360"/>
      </w:pPr>
    </w:lvl>
    <w:lvl w:ilvl="7" w:tplc="4990A5D4">
      <w:start w:val="1"/>
      <w:numFmt w:val="lowerLetter"/>
      <w:lvlText w:val="%8."/>
      <w:lvlJc w:val="left"/>
      <w:pPr>
        <w:ind w:left="5760" w:hanging="360"/>
      </w:pPr>
    </w:lvl>
    <w:lvl w:ilvl="8" w:tplc="411E7F60">
      <w:start w:val="1"/>
      <w:numFmt w:val="lowerRoman"/>
      <w:lvlText w:val="%9."/>
      <w:lvlJc w:val="right"/>
      <w:pPr>
        <w:ind w:left="6480" w:hanging="180"/>
      </w:pPr>
    </w:lvl>
  </w:abstractNum>
  <w:abstractNum w:abstractNumId="24" w15:restartNumberingAfterBreak="0">
    <w:nsid w:val="5EE24D00"/>
    <w:multiLevelType w:val="hybridMultilevel"/>
    <w:tmpl w:val="03CE35AC"/>
    <w:lvl w:ilvl="0" w:tplc="1E3AE8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
  </w:num>
  <w:num w:numId="3">
    <w:abstractNumId w:val="16"/>
  </w:num>
  <w:num w:numId="4">
    <w:abstractNumId w:val="9"/>
  </w:num>
  <w:num w:numId="5">
    <w:abstractNumId w:val="17"/>
  </w:num>
  <w:num w:numId="6">
    <w:abstractNumId w:val="6"/>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5"/>
  </w:num>
  <w:num w:numId="13">
    <w:abstractNumId w:val="8"/>
  </w:num>
  <w:num w:numId="14">
    <w:abstractNumId w:val="3"/>
  </w:num>
  <w:num w:numId="15">
    <w:abstractNumId w:val="22"/>
  </w:num>
  <w:num w:numId="16">
    <w:abstractNumId w:val="18"/>
  </w:num>
  <w:num w:numId="17">
    <w:abstractNumId w:val="13"/>
  </w:num>
  <w:num w:numId="18">
    <w:abstractNumId w:val="7"/>
  </w:num>
  <w:num w:numId="19">
    <w:abstractNumId w:val="10"/>
  </w:num>
  <w:num w:numId="20">
    <w:abstractNumId w:val="20"/>
  </w:num>
  <w:num w:numId="21">
    <w:abstractNumId w:val="4"/>
  </w:num>
  <w:num w:numId="22">
    <w:abstractNumId w:val="19"/>
  </w:num>
  <w:num w:numId="23">
    <w:abstractNumId w:val="23"/>
  </w:num>
  <w:num w:numId="24">
    <w:abstractNumId w:val="1"/>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FD"/>
    <w:rsid w:val="00000103"/>
    <w:rsid w:val="000013C7"/>
    <w:rsid w:val="0000162A"/>
    <w:rsid w:val="00001C53"/>
    <w:rsid w:val="00002C97"/>
    <w:rsid w:val="00002F5B"/>
    <w:rsid w:val="000032EA"/>
    <w:rsid w:val="00003D00"/>
    <w:rsid w:val="00004816"/>
    <w:rsid w:val="00004C6F"/>
    <w:rsid w:val="00004C90"/>
    <w:rsid w:val="00004ECC"/>
    <w:rsid w:val="00004FBA"/>
    <w:rsid w:val="00005592"/>
    <w:rsid w:val="00005B2B"/>
    <w:rsid w:val="00005D59"/>
    <w:rsid w:val="00007D0B"/>
    <w:rsid w:val="00010185"/>
    <w:rsid w:val="00010D9B"/>
    <w:rsid w:val="00010DEE"/>
    <w:rsid w:val="00010FDB"/>
    <w:rsid w:val="000119B0"/>
    <w:rsid w:val="00011FA3"/>
    <w:rsid w:val="00012A90"/>
    <w:rsid w:val="0001391A"/>
    <w:rsid w:val="00013AF7"/>
    <w:rsid w:val="00014406"/>
    <w:rsid w:val="00014455"/>
    <w:rsid w:val="00015653"/>
    <w:rsid w:val="000160F3"/>
    <w:rsid w:val="00016313"/>
    <w:rsid w:val="000172F6"/>
    <w:rsid w:val="000173E9"/>
    <w:rsid w:val="00020C8E"/>
    <w:rsid w:val="00020CF3"/>
    <w:rsid w:val="0002124B"/>
    <w:rsid w:val="00021A17"/>
    <w:rsid w:val="00021CFF"/>
    <w:rsid w:val="00022107"/>
    <w:rsid w:val="00022B85"/>
    <w:rsid w:val="00023272"/>
    <w:rsid w:val="0002347D"/>
    <w:rsid w:val="00023824"/>
    <w:rsid w:val="00025A28"/>
    <w:rsid w:val="000268A4"/>
    <w:rsid w:val="000270EA"/>
    <w:rsid w:val="00027674"/>
    <w:rsid w:val="00027ED8"/>
    <w:rsid w:val="000301FC"/>
    <w:rsid w:val="00030C31"/>
    <w:rsid w:val="00031A4B"/>
    <w:rsid w:val="00031FEC"/>
    <w:rsid w:val="0003218D"/>
    <w:rsid w:val="00032C11"/>
    <w:rsid w:val="00034074"/>
    <w:rsid w:val="000340AE"/>
    <w:rsid w:val="000377F9"/>
    <w:rsid w:val="00037A00"/>
    <w:rsid w:val="00037FBB"/>
    <w:rsid w:val="000403DD"/>
    <w:rsid w:val="00041120"/>
    <w:rsid w:val="000415A5"/>
    <w:rsid w:val="00041E3F"/>
    <w:rsid w:val="00042056"/>
    <w:rsid w:val="0004273C"/>
    <w:rsid w:val="0004339A"/>
    <w:rsid w:val="00044B01"/>
    <w:rsid w:val="00044C89"/>
    <w:rsid w:val="000450F5"/>
    <w:rsid w:val="00045764"/>
    <w:rsid w:val="0004582E"/>
    <w:rsid w:val="00046470"/>
    <w:rsid w:val="00046B1D"/>
    <w:rsid w:val="00046DD5"/>
    <w:rsid w:val="00051057"/>
    <w:rsid w:val="0005206B"/>
    <w:rsid w:val="000522E6"/>
    <w:rsid w:val="000525B6"/>
    <w:rsid w:val="0005262F"/>
    <w:rsid w:val="00052B14"/>
    <w:rsid w:val="00052B1B"/>
    <w:rsid w:val="00052EAF"/>
    <w:rsid w:val="00053830"/>
    <w:rsid w:val="000542B3"/>
    <w:rsid w:val="00054F64"/>
    <w:rsid w:val="000551F1"/>
    <w:rsid w:val="00055879"/>
    <w:rsid w:val="000558E7"/>
    <w:rsid w:val="00055E00"/>
    <w:rsid w:val="00055EC1"/>
    <w:rsid w:val="000603E3"/>
    <w:rsid w:val="000607DF"/>
    <w:rsid w:val="00062534"/>
    <w:rsid w:val="00062F43"/>
    <w:rsid w:val="000632A5"/>
    <w:rsid w:val="000632AD"/>
    <w:rsid w:val="0006386F"/>
    <w:rsid w:val="00063F34"/>
    <w:rsid w:val="00064A36"/>
    <w:rsid w:val="00064B33"/>
    <w:rsid w:val="00065FEC"/>
    <w:rsid w:val="00066295"/>
    <w:rsid w:val="00066D6C"/>
    <w:rsid w:val="000676DF"/>
    <w:rsid w:val="00070ED4"/>
    <w:rsid w:val="00071AAA"/>
    <w:rsid w:val="00072C18"/>
    <w:rsid w:val="00075B55"/>
    <w:rsid w:val="00075F63"/>
    <w:rsid w:val="000767C4"/>
    <w:rsid w:val="00076D36"/>
    <w:rsid w:val="00077764"/>
    <w:rsid w:val="00077E31"/>
    <w:rsid w:val="000800E4"/>
    <w:rsid w:val="0008099E"/>
    <w:rsid w:val="00080E64"/>
    <w:rsid w:val="00080E6A"/>
    <w:rsid w:val="000814A0"/>
    <w:rsid w:val="0008208A"/>
    <w:rsid w:val="00082D00"/>
    <w:rsid w:val="00082D2E"/>
    <w:rsid w:val="00082DDF"/>
    <w:rsid w:val="000831B8"/>
    <w:rsid w:val="00083D2D"/>
    <w:rsid w:val="00083FC7"/>
    <w:rsid w:val="000842AA"/>
    <w:rsid w:val="000846B3"/>
    <w:rsid w:val="00084C67"/>
    <w:rsid w:val="00085654"/>
    <w:rsid w:val="00085E3C"/>
    <w:rsid w:val="000862F1"/>
    <w:rsid w:val="00086843"/>
    <w:rsid w:val="000870C6"/>
    <w:rsid w:val="00087966"/>
    <w:rsid w:val="00087D67"/>
    <w:rsid w:val="0009016C"/>
    <w:rsid w:val="000907E1"/>
    <w:rsid w:val="00090DD9"/>
    <w:rsid w:val="0009115C"/>
    <w:rsid w:val="00091B89"/>
    <w:rsid w:val="00092968"/>
    <w:rsid w:val="00092DC9"/>
    <w:rsid w:val="00093027"/>
    <w:rsid w:val="00093280"/>
    <w:rsid w:val="00093B44"/>
    <w:rsid w:val="00093BD7"/>
    <w:rsid w:val="00093F6B"/>
    <w:rsid w:val="0009463D"/>
    <w:rsid w:val="000949A7"/>
    <w:rsid w:val="00095A9A"/>
    <w:rsid w:val="00095C40"/>
    <w:rsid w:val="00096541"/>
    <w:rsid w:val="00096615"/>
    <w:rsid w:val="0009749A"/>
    <w:rsid w:val="000976DD"/>
    <w:rsid w:val="0009787B"/>
    <w:rsid w:val="000A0368"/>
    <w:rsid w:val="000A1FEB"/>
    <w:rsid w:val="000A211C"/>
    <w:rsid w:val="000A2927"/>
    <w:rsid w:val="000A2E8A"/>
    <w:rsid w:val="000A37FE"/>
    <w:rsid w:val="000A3DC6"/>
    <w:rsid w:val="000A47A3"/>
    <w:rsid w:val="000A4D95"/>
    <w:rsid w:val="000A56AC"/>
    <w:rsid w:val="000A5A16"/>
    <w:rsid w:val="000A5B95"/>
    <w:rsid w:val="000A6268"/>
    <w:rsid w:val="000A6CFB"/>
    <w:rsid w:val="000B0D57"/>
    <w:rsid w:val="000B2B6A"/>
    <w:rsid w:val="000B3205"/>
    <w:rsid w:val="000B3F93"/>
    <w:rsid w:val="000B5607"/>
    <w:rsid w:val="000B5CA0"/>
    <w:rsid w:val="000B60A6"/>
    <w:rsid w:val="000B656F"/>
    <w:rsid w:val="000B713B"/>
    <w:rsid w:val="000B7A61"/>
    <w:rsid w:val="000C006C"/>
    <w:rsid w:val="000C09DC"/>
    <w:rsid w:val="000C0C6D"/>
    <w:rsid w:val="000C1263"/>
    <w:rsid w:val="000C1BF0"/>
    <w:rsid w:val="000C210A"/>
    <w:rsid w:val="000C257C"/>
    <w:rsid w:val="000C29EA"/>
    <w:rsid w:val="000C3601"/>
    <w:rsid w:val="000C3B90"/>
    <w:rsid w:val="000C42CD"/>
    <w:rsid w:val="000C4897"/>
    <w:rsid w:val="000C48AC"/>
    <w:rsid w:val="000C5758"/>
    <w:rsid w:val="000C5BED"/>
    <w:rsid w:val="000C65B1"/>
    <w:rsid w:val="000C7ADF"/>
    <w:rsid w:val="000D0A61"/>
    <w:rsid w:val="000D245C"/>
    <w:rsid w:val="000D2AAE"/>
    <w:rsid w:val="000D30A8"/>
    <w:rsid w:val="000D36E4"/>
    <w:rsid w:val="000D3A31"/>
    <w:rsid w:val="000D4870"/>
    <w:rsid w:val="000D4933"/>
    <w:rsid w:val="000D4BAC"/>
    <w:rsid w:val="000D4C1A"/>
    <w:rsid w:val="000D4E2C"/>
    <w:rsid w:val="000D5CA8"/>
    <w:rsid w:val="000D65DD"/>
    <w:rsid w:val="000D78A3"/>
    <w:rsid w:val="000D7EAE"/>
    <w:rsid w:val="000E15F0"/>
    <w:rsid w:val="000E176F"/>
    <w:rsid w:val="000E1EFF"/>
    <w:rsid w:val="000E297B"/>
    <w:rsid w:val="000E2B9B"/>
    <w:rsid w:val="000E3F49"/>
    <w:rsid w:val="000E5417"/>
    <w:rsid w:val="000E5D5B"/>
    <w:rsid w:val="000E62A8"/>
    <w:rsid w:val="000E6BA7"/>
    <w:rsid w:val="000E7D53"/>
    <w:rsid w:val="000F0D65"/>
    <w:rsid w:val="000F16B9"/>
    <w:rsid w:val="000F2D60"/>
    <w:rsid w:val="000F3ED8"/>
    <w:rsid w:val="000F452E"/>
    <w:rsid w:val="000F4645"/>
    <w:rsid w:val="000F4E43"/>
    <w:rsid w:val="000F4FC9"/>
    <w:rsid w:val="000F5C01"/>
    <w:rsid w:val="000F6DC6"/>
    <w:rsid w:val="000F738A"/>
    <w:rsid w:val="001009B5"/>
    <w:rsid w:val="00100AC0"/>
    <w:rsid w:val="0010110B"/>
    <w:rsid w:val="0010140D"/>
    <w:rsid w:val="0010281D"/>
    <w:rsid w:val="001032AB"/>
    <w:rsid w:val="001033BD"/>
    <w:rsid w:val="00103742"/>
    <w:rsid w:val="0010386F"/>
    <w:rsid w:val="00103A21"/>
    <w:rsid w:val="00103A49"/>
    <w:rsid w:val="00103D11"/>
    <w:rsid w:val="00103D5F"/>
    <w:rsid w:val="00105224"/>
    <w:rsid w:val="00105DFD"/>
    <w:rsid w:val="0010613C"/>
    <w:rsid w:val="001062B3"/>
    <w:rsid w:val="00106E04"/>
    <w:rsid w:val="00107BFA"/>
    <w:rsid w:val="001101C0"/>
    <w:rsid w:val="001107A2"/>
    <w:rsid w:val="00110829"/>
    <w:rsid w:val="0011093A"/>
    <w:rsid w:val="00110D22"/>
    <w:rsid w:val="0011114A"/>
    <w:rsid w:val="00111264"/>
    <w:rsid w:val="00111819"/>
    <w:rsid w:val="00111DF5"/>
    <w:rsid w:val="00111E0C"/>
    <w:rsid w:val="00112573"/>
    <w:rsid w:val="00112966"/>
    <w:rsid w:val="00113FA5"/>
    <w:rsid w:val="00114C10"/>
    <w:rsid w:val="001156B5"/>
    <w:rsid w:val="001210F4"/>
    <w:rsid w:val="00121F5B"/>
    <w:rsid w:val="0012225F"/>
    <w:rsid w:val="001228AD"/>
    <w:rsid w:val="00122C7A"/>
    <w:rsid w:val="001234AA"/>
    <w:rsid w:val="00123A04"/>
    <w:rsid w:val="00123F92"/>
    <w:rsid w:val="0012415F"/>
    <w:rsid w:val="001241B2"/>
    <w:rsid w:val="00124DF3"/>
    <w:rsid w:val="00124F4A"/>
    <w:rsid w:val="00125905"/>
    <w:rsid w:val="00125C11"/>
    <w:rsid w:val="001260AB"/>
    <w:rsid w:val="00126320"/>
    <w:rsid w:val="001274EC"/>
    <w:rsid w:val="00127C4D"/>
    <w:rsid w:val="00130108"/>
    <w:rsid w:val="001302F4"/>
    <w:rsid w:val="001303AA"/>
    <w:rsid w:val="001315F3"/>
    <w:rsid w:val="00131857"/>
    <w:rsid w:val="00131C6B"/>
    <w:rsid w:val="0013216E"/>
    <w:rsid w:val="00132494"/>
    <w:rsid w:val="00133B2A"/>
    <w:rsid w:val="00133CAF"/>
    <w:rsid w:val="0013441E"/>
    <w:rsid w:val="00134594"/>
    <w:rsid w:val="00134722"/>
    <w:rsid w:val="00135333"/>
    <w:rsid w:val="00135C83"/>
    <w:rsid w:val="00137424"/>
    <w:rsid w:val="0013757D"/>
    <w:rsid w:val="00137BC5"/>
    <w:rsid w:val="00140027"/>
    <w:rsid w:val="00140248"/>
    <w:rsid w:val="00140440"/>
    <w:rsid w:val="00141D97"/>
    <w:rsid w:val="0014224E"/>
    <w:rsid w:val="00142568"/>
    <w:rsid w:val="0014339B"/>
    <w:rsid w:val="0014354A"/>
    <w:rsid w:val="00143815"/>
    <w:rsid w:val="00143E9D"/>
    <w:rsid w:val="00144122"/>
    <w:rsid w:val="00144C63"/>
    <w:rsid w:val="0014555F"/>
    <w:rsid w:val="00145FC8"/>
    <w:rsid w:val="001465BB"/>
    <w:rsid w:val="001476BE"/>
    <w:rsid w:val="00150973"/>
    <w:rsid w:val="0015178F"/>
    <w:rsid w:val="0015192C"/>
    <w:rsid w:val="00151F45"/>
    <w:rsid w:val="00152B6F"/>
    <w:rsid w:val="00152CCC"/>
    <w:rsid w:val="00152DB8"/>
    <w:rsid w:val="00152EC3"/>
    <w:rsid w:val="00152F23"/>
    <w:rsid w:val="0015350F"/>
    <w:rsid w:val="0015375B"/>
    <w:rsid w:val="00153F21"/>
    <w:rsid w:val="00155720"/>
    <w:rsid w:val="00155C94"/>
    <w:rsid w:val="00156ACC"/>
    <w:rsid w:val="00156AD8"/>
    <w:rsid w:val="00157826"/>
    <w:rsid w:val="001578B2"/>
    <w:rsid w:val="001607BD"/>
    <w:rsid w:val="00160A46"/>
    <w:rsid w:val="00162D78"/>
    <w:rsid w:val="00162F4B"/>
    <w:rsid w:val="00162FF1"/>
    <w:rsid w:val="0016312B"/>
    <w:rsid w:val="001637EF"/>
    <w:rsid w:val="001638CB"/>
    <w:rsid w:val="001660AF"/>
    <w:rsid w:val="001661D8"/>
    <w:rsid w:val="00166694"/>
    <w:rsid w:val="00166736"/>
    <w:rsid w:val="00166A9C"/>
    <w:rsid w:val="00166E84"/>
    <w:rsid w:val="00167953"/>
    <w:rsid w:val="00167DFD"/>
    <w:rsid w:val="00167F68"/>
    <w:rsid w:val="0017140B"/>
    <w:rsid w:val="001714B3"/>
    <w:rsid w:val="0017235A"/>
    <w:rsid w:val="00172685"/>
    <w:rsid w:val="00172A10"/>
    <w:rsid w:val="00172B32"/>
    <w:rsid w:val="00172D6E"/>
    <w:rsid w:val="00173C07"/>
    <w:rsid w:val="00174F70"/>
    <w:rsid w:val="00175036"/>
    <w:rsid w:val="001751BD"/>
    <w:rsid w:val="00175263"/>
    <w:rsid w:val="00175380"/>
    <w:rsid w:val="0017556A"/>
    <w:rsid w:val="00176EAD"/>
    <w:rsid w:val="0018014C"/>
    <w:rsid w:val="001801E3"/>
    <w:rsid w:val="00181F15"/>
    <w:rsid w:val="001820B7"/>
    <w:rsid w:val="00182824"/>
    <w:rsid w:val="00182C8D"/>
    <w:rsid w:val="00182DBA"/>
    <w:rsid w:val="00182F48"/>
    <w:rsid w:val="001834D6"/>
    <w:rsid w:val="00184DA4"/>
    <w:rsid w:val="00184ED8"/>
    <w:rsid w:val="00185913"/>
    <w:rsid w:val="00185FF4"/>
    <w:rsid w:val="001875F6"/>
    <w:rsid w:val="00187D36"/>
    <w:rsid w:val="00187F9C"/>
    <w:rsid w:val="001904CD"/>
    <w:rsid w:val="00190C68"/>
    <w:rsid w:val="00190F2E"/>
    <w:rsid w:val="0019137D"/>
    <w:rsid w:val="00191E7A"/>
    <w:rsid w:val="00191FC5"/>
    <w:rsid w:val="00192603"/>
    <w:rsid w:val="0019295D"/>
    <w:rsid w:val="001937FB"/>
    <w:rsid w:val="00193C00"/>
    <w:rsid w:val="0019468A"/>
    <w:rsid w:val="00195263"/>
    <w:rsid w:val="001965AA"/>
    <w:rsid w:val="00196AA8"/>
    <w:rsid w:val="00197A4E"/>
    <w:rsid w:val="001A134A"/>
    <w:rsid w:val="001A184B"/>
    <w:rsid w:val="001A1B7B"/>
    <w:rsid w:val="001A3ECF"/>
    <w:rsid w:val="001A4703"/>
    <w:rsid w:val="001A4D51"/>
    <w:rsid w:val="001A50B4"/>
    <w:rsid w:val="001A5BF7"/>
    <w:rsid w:val="001A5D58"/>
    <w:rsid w:val="001A6D6A"/>
    <w:rsid w:val="001A71D4"/>
    <w:rsid w:val="001A72EC"/>
    <w:rsid w:val="001A7913"/>
    <w:rsid w:val="001A7AF1"/>
    <w:rsid w:val="001B0154"/>
    <w:rsid w:val="001B066C"/>
    <w:rsid w:val="001B0842"/>
    <w:rsid w:val="001B3174"/>
    <w:rsid w:val="001B3685"/>
    <w:rsid w:val="001B3BCF"/>
    <w:rsid w:val="001B3CC0"/>
    <w:rsid w:val="001B4670"/>
    <w:rsid w:val="001B5789"/>
    <w:rsid w:val="001B592E"/>
    <w:rsid w:val="001B5D67"/>
    <w:rsid w:val="001B6058"/>
    <w:rsid w:val="001B6898"/>
    <w:rsid w:val="001B6BFA"/>
    <w:rsid w:val="001B71EF"/>
    <w:rsid w:val="001B76D2"/>
    <w:rsid w:val="001C058E"/>
    <w:rsid w:val="001C08B7"/>
    <w:rsid w:val="001C18CB"/>
    <w:rsid w:val="001C2078"/>
    <w:rsid w:val="001C3379"/>
    <w:rsid w:val="001C3F49"/>
    <w:rsid w:val="001C5552"/>
    <w:rsid w:val="001C5A99"/>
    <w:rsid w:val="001C5D31"/>
    <w:rsid w:val="001C61A8"/>
    <w:rsid w:val="001C638F"/>
    <w:rsid w:val="001C6B47"/>
    <w:rsid w:val="001C6F48"/>
    <w:rsid w:val="001C789C"/>
    <w:rsid w:val="001C78E5"/>
    <w:rsid w:val="001D023C"/>
    <w:rsid w:val="001D0599"/>
    <w:rsid w:val="001D14CE"/>
    <w:rsid w:val="001D160B"/>
    <w:rsid w:val="001D1F3D"/>
    <w:rsid w:val="001D24D8"/>
    <w:rsid w:val="001D2525"/>
    <w:rsid w:val="001D3411"/>
    <w:rsid w:val="001D374E"/>
    <w:rsid w:val="001D3802"/>
    <w:rsid w:val="001D3E24"/>
    <w:rsid w:val="001D43B9"/>
    <w:rsid w:val="001D4BA3"/>
    <w:rsid w:val="001D5C8C"/>
    <w:rsid w:val="001D63F2"/>
    <w:rsid w:val="001D65A6"/>
    <w:rsid w:val="001D6694"/>
    <w:rsid w:val="001D6846"/>
    <w:rsid w:val="001D6F0B"/>
    <w:rsid w:val="001D78DA"/>
    <w:rsid w:val="001E072F"/>
    <w:rsid w:val="001E106E"/>
    <w:rsid w:val="001E1334"/>
    <w:rsid w:val="001E136D"/>
    <w:rsid w:val="001E176E"/>
    <w:rsid w:val="001E1A36"/>
    <w:rsid w:val="001E1E39"/>
    <w:rsid w:val="001E2279"/>
    <w:rsid w:val="001E23F9"/>
    <w:rsid w:val="001E29E9"/>
    <w:rsid w:val="001E5045"/>
    <w:rsid w:val="001E5129"/>
    <w:rsid w:val="001E59AF"/>
    <w:rsid w:val="001E64C0"/>
    <w:rsid w:val="001E729E"/>
    <w:rsid w:val="001F16FA"/>
    <w:rsid w:val="001F21E7"/>
    <w:rsid w:val="001F22F5"/>
    <w:rsid w:val="001F35AA"/>
    <w:rsid w:val="001F39C3"/>
    <w:rsid w:val="001F45BE"/>
    <w:rsid w:val="001F46B1"/>
    <w:rsid w:val="001F4CC4"/>
    <w:rsid w:val="001F5084"/>
    <w:rsid w:val="001F5398"/>
    <w:rsid w:val="001F5544"/>
    <w:rsid w:val="001F558B"/>
    <w:rsid w:val="001F5F60"/>
    <w:rsid w:val="001F5F97"/>
    <w:rsid w:val="001F6444"/>
    <w:rsid w:val="001F6874"/>
    <w:rsid w:val="001F6EBD"/>
    <w:rsid w:val="001F7E61"/>
    <w:rsid w:val="00200245"/>
    <w:rsid w:val="002018D2"/>
    <w:rsid w:val="00201C5F"/>
    <w:rsid w:val="00201CF4"/>
    <w:rsid w:val="002026F4"/>
    <w:rsid w:val="00202B99"/>
    <w:rsid w:val="00203215"/>
    <w:rsid w:val="00204979"/>
    <w:rsid w:val="00205000"/>
    <w:rsid w:val="0020570A"/>
    <w:rsid w:val="00205F68"/>
    <w:rsid w:val="00206B97"/>
    <w:rsid w:val="00206C09"/>
    <w:rsid w:val="00207A4E"/>
    <w:rsid w:val="00207D26"/>
    <w:rsid w:val="00210452"/>
    <w:rsid w:val="00211439"/>
    <w:rsid w:val="00211679"/>
    <w:rsid w:val="00212548"/>
    <w:rsid w:val="00212BB4"/>
    <w:rsid w:val="00212D5D"/>
    <w:rsid w:val="00212E3F"/>
    <w:rsid w:val="00213291"/>
    <w:rsid w:val="002136DF"/>
    <w:rsid w:val="002138E1"/>
    <w:rsid w:val="00213ADB"/>
    <w:rsid w:val="00213DDF"/>
    <w:rsid w:val="00214916"/>
    <w:rsid w:val="00214EBC"/>
    <w:rsid w:val="002155AF"/>
    <w:rsid w:val="0021572D"/>
    <w:rsid w:val="00215D8E"/>
    <w:rsid w:val="002166EF"/>
    <w:rsid w:val="00216AE9"/>
    <w:rsid w:val="0021707A"/>
    <w:rsid w:val="00217731"/>
    <w:rsid w:val="00217AED"/>
    <w:rsid w:val="002200AD"/>
    <w:rsid w:val="00220EC6"/>
    <w:rsid w:val="002216A4"/>
    <w:rsid w:val="002223AC"/>
    <w:rsid w:val="002226DA"/>
    <w:rsid w:val="00222C17"/>
    <w:rsid w:val="00223B83"/>
    <w:rsid w:val="00224665"/>
    <w:rsid w:val="00224B87"/>
    <w:rsid w:val="00224CA2"/>
    <w:rsid w:val="002251E4"/>
    <w:rsid w:val="002265D0"/>
    <w:rsid w:val="00226D2B"/>
    <w:rsid w:val="00227EDF"/>
    <w:rsid w:val="00227F17"/>
    <w:rsid w:val="00230058"/>
    <w:rsid w:val="002303CE"/>
    <w:rsid w:val="00230E6E"/>
    <w:rsid w:val="00231FD3"/>
    <w:rsid w:val="002320E4"/>
    <w:rsid w:val="002321B9"/>
    <w:rsid w:val="0023287D"/>
    <w:rsid w:val="00232945"/>
    <w:rsid w:val="00233B7D"/>
    <w:rsid w:val="00233D8D"/>
    <w:rsid w:val="002340EA"/>
    <w:rsid w:val="00234499"/>
    <w:rsid w:val="002345D5"/>
    <w:rsid w:val="00235046"/>
    <w:rsid w:val="00235BED"/>
    <w:rsid w:val="00236CBE"/>
    <w:rsid w:val="00236CD0"/>
    <w:rsid w:val="00240432"/>
    <w:rsid w:val="002410EA"/>
    <w:rsid w:val="0024145D"/>
    <w:rsid w:val="00241E75"/>
    <w:rsid w:val="00242113"/>
    <w:rsid w:val="00242244"/>
    <w:rsid w:val="002429A1"/>
    <w:rsid w:val="00243C62"/>
    <w:rsid w:val="00244229"/>
    <w:rsid w:val="0024438E"/>
    <w:rsid w:val="002443C9"/>
    <w:rsid w:val="002449A2"/>
    <w:rsid w:val="00244DC4"/>
    <w:rsid w:val="00245B21"/>
    <w:rsid w:val="00245DFD"/>
    <w:rsid w:val="00245FEA"/>
    <w:rsid w:val="0024604B"/>
    <w:rsid w:val="00246D83"/>
    <w:rsid w:val="00250157"/>
    <w:rsid w:val="00250490"/>
    <w:rsid w:val="002504BC"/>
    <w:rsid w:val="00250DC1"/>
    <w:rsid w:val="002510F6"/>
    <w:rsid w:val="002517EB"/>
    <w:rsid w:val="00253233"/>
    <w:rsid w:val="00253664"/>
    <w:rsid w:val="00255751"/>
    <w:rsid w:val="00257A6D"/>
    <w:rsid w:val="00260430"/>
    <w:rsid w:val="0026058C"/>
    <w:rsid w:val="00262922"/>
    <w:rsid w:val="00262D2E"/>
    <w:rsid w:val="00263027"/>
    <w:rsid w:val="002633BF"/>
    <w:rsid w:val="00265502"/>
    <w:rsid w:val="00265982"/>
    <w:rsid w:val="002663DD"/>
    <w:rsid w:val="00266574"/>
    <w:rsid w:val="00266658"/>
    <w:rsid w:val="002668F2"/>
    <w:rsid w:val="00266C24"/>
    <w:rsid w:val="00267640"/>
    <w:rsid w:val="002677CC"/>
    <w:rsid w:val="00267CA1"/>
    <w:rsid w:val="00267F35"/>
    <w:rsid w:val="00270896"/>
    <w:rsid w:val="002708E4"/>
    <w:rsid w:val="00271249"/>
    <w:rsid w:val="00271FA5"/>
    <w:rsid w:val="00272C58"/>
    <w:rsid w:val="00272D6B"/>
    <w:rsid w:val="002732A1"/>
    <w:rsid w:val="002737FA"/>
    <w:rsid w:val="00274342"/>
    <w:rsid w:val="0027436F"/>
    <w:rsid w:val="002743C5"/>
    <w:rsid w:val="002745A4"/>
    <w:rsid w:val="002745DC"/>
    <w:rsid w:val="002748B8"/>
    <w:rsid w:val="00274A96"/>
    <w:rsid w:val="00274ADC"/>
    <w:rsid w:val="002756BB"/>
    <w:rsid w:val="00276446"/>
    <w:rsid w:val="002768EE"/>
    <w:rsid w:val="00276E22"/>
    <w:rsid w:val="0027A312"/>
    <w:rsid w:val="0028004C"/>
    <w:rsid w:val="00280576"/>
    <w:rsid w:val="00280F5C"/>
    <w:rsid w:val="0028114F"/>
    <w:rsid w:val="002812AE"/>
    <w:rsid w:val="0028172D"/>
    <w:rsid w:val="00282271"/>
    <w:rsid w:val="002831B3"/>
    <w:rsid w:val="00283EA4"/>
    <w:rsid w:val="0028433C"/>
    <w:rsid w:val="00284565"/>
    <w:rsid w:val="0028460C"/>
    <w:rsid w:val="002847C4"/>
    <w:rsid w:val="0028495A"/>
    <w:rsid w:val="00284C71"/>
    <w:rsid w:val="00285957"/>
    <w:rsid w:val="00285AA0"/>
    <w:rsid w:val="00286081"/>
    <w:rsid w:val="002863FD"/>
    <w:rsid w:val="002865BE"/>
    <w:rsid w:val="002867E0"/>
    <w:rsid w:val="002869C5"/>
    <w:rsid w:val="00286A2E"/>
    <w:rsid w:val="00286AD2"/>
    <w:rsid w:val="002874B0"/>
    <w:rsid w:val="00287D49"/>
    <w:rsid w:val="00287E0F"/>
    <w:rsid w:val="00290540"/>
    <w:rsid w:val="00290571"/>
    <w:rsid w:val="00290CD6"/>
    <w:rsid w:val="002922C1"/>
    <w:rsid w:val="002935D3"/>
    <w:rsid w:val="0029558A"/>
    <w:rsid w:val="0029561E"/>
    <w:rsid w:val="0029588E"/>
    <w:rsid w:val="002958B2"/>
    <w:rsid w:val="002959B5"/>
    <w:rsid w:val="00296321"/>
    <w:rsid w:val="00296ADD"/>
    <w:rsid w:val="00297042"/>
    <w:rsid w:val="002A042F"/>
    <w:rsid w:val="002A0831"/>
    <w:rsid w:val="002A143B"/>
    <w:rsid w:val="002A195F"/>
    <w:rsid w:val="002A2043"/>
    <w:rsid w:val="002A29D1"/>
    <w:rsid w:val="002A2BF4"/>
    <w:rsid w:val="002A2C8B"/>
    <w:rsid w:val="002A3501"/>
    <w:rsid w:val="002A38F8"/>
    <w:rsid w:val="002A41BD"/>
    <w:rsid w:val="002A4A08"/>
    <w:rsid w:val="002A5407"/>
    <w:rsid w:val="002A5A85"/>
    <w:rsid w:val="002A61B0"/>
    <w:rsid w:val="002A63DF"/>
    <w:rsid w:val="002A66CD"/>
    <w:rsid w:val="002A7A48"/>
    <w:rsid w:val="002B08E3"/>
    <w:rsid w:val="002B093A"/>
    <w:rsid w:val="002B0DC9"/>
    <w:rsid w:val="002B1042"/>
    <w:rsid w:val="002B107E"/>
    <w:rsid w:val="002B1497"/>
    <w:rsid w:val="002B18B0"/>
    <w:rsid w:val="002B1B87"/>
    <w:rsid w:val="002B1EA4"/>
    <w:rsid w:val="002B2469"/>
    <w:rsid w:val="002B299F"/>
    <w:rsid w:val="002B30A9"/>
    <w:rsid w:val="002B365C"/>
    <w:rsid w:val="002B3A97"/>
    <w:rsid w:val="002B4298"/>
    <w:rsid w:val="002B4594"/>
    <w:rsid w:val="002B46CA"/>
    <w:rsid w:val="002B4971"/>
    <w:rsid w:val="002B5279"/>
    <w:rsid w:val="002B567C"/>
    <w:rsid w:val="002B59D0"/>
    <w:rsid w:val="002B60CC"/>
    <w:rsid w:val="002B7809"/>
    <w:rsid w:val="002C004B"/>
    <w:rsid w:val="002C25C9"/>
    <w:rsid w:val="002C31F2"/>
    <w:rsid w:val="002C4AE1"/>
    <w:rsid w:val="002C54B0"/>
    <w:rsid w:val="002C6CC9"/>
    <w:rsid w:val="002C6ED3"/>
    <w:rsid w:val="002C6FF3"/>
    <w:rsid w:val="002D0ACB"/>
    <w:rsid w:val="002D0D16"/>
    <w:rsid w:val="002D1C5D"/>
    <w:rsid w:val="002D1C6A"/>
    <w:rsid w:val="002D1E23"/>
    <w:rsid w:val="002D1F55"/>
    <w:rsid w:val="002D2B30"/>
    <w:rsid w:val="002D2B9D"/>
    <w:rsid w:val="002D2D4A"/>
    <w:rsid w:val="002D3196"/>
    <w:rsid w:val="002D416C"/>
    <w:rsid w:val="002D4783"/>
    <w:rsid w:val="002D5018"/>
    <w:rsid w:val="002D569E"/>
    <w:rsid w:val="002D596C"/>
    <w:rsid w:val="002D5E7C"/>
    <w:rsid w:val="002D5F64"/>
    <w:rsid w:val="002D6A85"/>
    <w:rsid w:val="002D794E"/>
    <w:rsid w:val="002D7AF5"/>
    <w:rsid w:val="002E03B1"/>
    <w:rsid w:val="002E0C58"/>
    <w:rsid w:val="002E1183"/>
    <w:rsid w:val="002E1398"/>
    <w:rsid w:val="002E1958"/>
    <w:rsid w:val="002E1B81"/>
    <w:rsid w:val="002E1CED"/>
    <w:rsid w:val="002E223E"/>
    <w:rsid w:val="002E2BCE"/>
    <w:rsid w:val="002E2C33"/>
    <w:rsid w:val="002E38BB"/>
    <w:rsid w:val="002E38DA"/>
    <w:rsid w:val="002E403E"/>
    <w:rsid w:val="002E406C"/>
    <w:rsid w:val="002E47A7"/>
    <w:rsid w:val="002E4A7C"/>
    <w:rsid w:val="002E4B4E"/>
    <w:rsid w:val="002E4E35"/>
    <w:rsid w:val="002E5573"/>
    <w:rsid w:val="002E58E4"/>
    <w:rsid w:val="002E59EB"/>
    <w:rsid w:val="002E5C95"/>
    <w:rsid w:val="002E6149"/>
    <w:rsid w:val="002E6852"/>
    <w:rsid w:val="002E6BF7"/>
    <w:rsid w:val="002E6E49"/>
    <w:rsid w:val="002E7A3A"/>
    <w:rsid w:val="002F0328"/>
    <w:rsid w:val="002F0486"/>
    <w:rsid w:val="002F0A6E"/>
    <w:rsid w:val="002F1693"/>
    <w:rsid w:val="002F1E0E"/>
    <w:rsid w:val="002F1FC4"/>
    <w:rsid w:val="002F2034"/>
    <w:rsid w:val="002F24CE"/>
    <w:rsid w:val="002F24EE"/>
    <w:rsid w:val="002F2766"/>
    <w:rsid w:val="002F2D8B"/>
    <w:rsid w:val="002F3916"/>
    <w:rsid w:val="002F3EB8"/>
    <w:rsid w:val="002F46FA"/>
    <w:rsid w:val="002F5A45"/>
    <w:rsid w:val="002F66CB"/>
    <w:rsid w:val="002F74E7"/>
    <w:rsid w:val="002F7783"/>
    <w:rsid w:val="002F79A9"/>
    <w:rsid w:val="002F79BB"/>
    <w:rsid w:val="00300086"/>
    <w:rsid w:val="0030082C"/>
    <w:rsid w:val="0030225E"/>
    <w:rsid w:val="003029B7"/>
    <w:rsid w:val="00302AF2"/>
    <w:rsid w:val="00303C7F"/>
    <w:rsid w:val="00304086"/>
    <w:rsid w:val="00304557"/>
    <w:rsid w:val="003047A2"/>
    <w:rsid w:val="00305EBD"/>
    <w:rsid w:val="0030620E"/>
    <w:rsid w:val="00306AEA"/>
    <w:rsid w:val="003076DE"/>
    <w:rsid w:val="00307936"/>
    <w:rsid w:val="00307E2B"/>
    <w:rsid w:val="00307EDB"/>
    <w:rsid w:val="00310350"/>
    <w:rsid w:val="003109E6"/>
    <w:rsid w:val="00310F06"/>
    <w:rsid w:val="003112F8"/>
    <w:rsid w:val="00311A77"/>
    <w:rsid w:val="00311D55"/>
    <w:rsid w:val="00311DB7"/>
    <w:rsid w:val="00311E72"/>
    <w:rsid w:val="003127DB"/>
    <w:rsid w:val="0031297B"/>
    <w:rsid w:val="00312B19"/>
    <w:rsid w:val="00313FE8"/>
    <w:rsid w:val="0031443F"/>
    <w:rsid w:val="00314D35"/>
    <w:rsid w:val="00314EAD"/>
    <w:rsid w:val="003158AF"/>
    <w:rsid w:val="00315F76"/>
    <w:rsid w:val="003162B4"/>
    <w:rsid w:val="003164FB"/>
    <w:rsid w:val="00316C3B"/>
    <w:rsid w:val="00316CEA"/>
    <w:rsid w:val="0031763A"/>
    <w:rsid w:val="00317DED"/>
    <w:rsid w:val="00317FA5"/>
    <w:rsid w:val="0032047E"/>
    <w:rsid w:val="0032090C"/>
    <w:rsid w:val="0032090F"/>
    <w:rsid w:val="00321546"/>
    <w:rsid w:val="00321747"/>
    <w:rsid w:val="0032193B"/>
    <w:rsid w:val="00322CDC"/>
    <w:rsid w:val="00322EF9"/>
    <w:rsid w:val="003236A0"/>
    <w:rsid w:val="00323B63"/>
    <w:rsid w:val="00323D7F"/>
    <w:rsid w:val="003243F0"/>
    <w:rsid w:val="00324C3B"/>
    <w:rsid w:val="00324D66"/>
    <w:rsid w:val="00324F24"/>
    <w:rsid w:val="0032511A"/>
    <w:rsid w:val="00326A95"/>
    <w:rsid w:val="00326DF1"/>
    <w:rsid w:val="003271D9"/>
    <w:rsid w:val="003275EC"/>
    <w:rsid w:val="003277DF"/>
    <w:rsid w:val="00330776"/>
    <w:rsid w:val="00331159"/>
    <w:rsid w:val="003315E9"/>
    <w:rsid w:val="00331D2E"/>
    <w:rsid w:val="0033211E"/>
    <w:rsid w:val="00332D13"/>
    <w:rsid w:val="00332FFA"/>
    <w:rsid w:val="00333184"/>
    <w:rsid w:val="00333363"/>
    <w:rsid w:val="00333CA4"/>
    <w:rsid w:val="003351F5"/>
    <w:rsid w:val="00335ECE"/>
    <w:rsid w:val="00336299"/>
    <w:rsid w:val="00336816"/>
    <w:rsid w:val="003379AD"/>
    <w:rsid w:val="003379BA"/>
    <w:rsid w:val="0034026B"/>
    <w:rsid w:val="00340650"/>
    <w:rsid w:val="00340A5F"/>
    <w:rsid w:val="00341393"/>
    <w:rsid w:val="0034235B"/>
    <w:rsid w:val="00342C1E"/>
    <w:rsid w:val="00342F0D"/>
    <w:rsid w:val="00343E90"/>
    <w:rsid w:val="00343EA1"/>
    <w:rsid w:val="00343FAE"/>
    <w:rsid w:val="00344088"/>
    <w:rsid w:val="003442DE"/>
    <w:rsid w:val="00344702"/>
    <w:rsid w:val="00345BE2"/>
    <w:rsid w:val="00345D2E"/>
    <w:rsid w:val="00345D32"/>
    <w:rsid w:val="00345E1B"/>
    <w:rsid w:val="00346038"/>
    <w:rsid w:val="00346226"/>
    <w:rsid w:val="003466C4"/>
    <w:rsid w:val="00347B68"/>
    <w:rsid w:val="00347D89"/>
    <w:rsid w:val="00350400"/>
    <w:rsid w:val="00350976"/>
    <w:rsid w:val="00351151"/>
    <w:rsid w:val="003524D9"/>
    <w:rsid w:val="0035278A"/>
    <w:rsid w:val="003529AF"/>
    <w:rsid w:val="0035397B"/>
    <w:rsid w:val="003544A2"/>
    <w:rsid w:val="0035457F"/>
    <w:rsid w:val="00354FEA"/>
    <w:rsid w:val="003550ED"/>
    <w:rsid w:val="0035546E"/>
    <w:rsid w:val="00356498"/>
    <w:rsid w:val="00357015"/>
    <w:rsid w:val="003603D2"/>
    <w:rsid w:val="00360802"/>
    <w:rsid w:val="00361337"/>
    <w:rsid w:val="003618A7"/>
    <w:rsid w:val="00361EC5"/>
    <w:rsid w:val="00361F70"/>
    <w:rsid w:val="003627F3"/>
    <w:rsid w:val="00362DFF"/>
    <w:rsid w:val="00362F02"/>
    <w:rsid w:val="00363216"/>
    <w:rsid w:val="003645A3"/>
    <w:rsid w:val="00364820"/>
    <w:rsid w:val="003649CD"/>
    <w:rsid w:val="00365800"/>
    <w:rsid w:val="003662FF"/>
    <w:rsid w:val="003668A6"/>
    <w:rsid w:val="0036746A"/>
    <w:rsid w:val="00367C32"/>
    <w:rsid w:val="00367C7F"/>
    <w:rsid w:val="003711E2"/>
    <w:rsid w:val="003729CE"/>
    <w:rsid w:val="00372DBD"/>
    <w:rsid w:val="00372E23"/>
    <w:rsid w:val="00373C0F"/>
    <w:rsid w:val="00374D04"/>
    <w:rsid w:val="00375912"/>
    <w:rsid w:val="003779B1"/>
    <w:rsid w:val="00377CF9"/>
    <w:rsid w:val="00380000"/>
    <w:rsid w:val="00380357"/>
    <w:rsid w:val="003812A5"/>
    <w:rsid w:val="003815E7"/>
    <w:rsid w:val="0038161D"/>
    <w:rsid w:val="00381F5E"/>
    <w:rsid w:val="00381FF9"/>
    <w:rsid w:val="00382B75"/>
    <w:rsid w:val="0038374C"/>
    <w:rsid w:val="00383754"/>
    <w:rsid w:val="0038378E"/>
    <w:rsid w:val="00383A01"/>
    <w:rsid w:val="003849F5"/>
    <w:rsid w:val="00384D81"/>
    <w:rsid w:val="00385C39"/>
    <w:rsid w:val="00386262"/>
    <w:rsid w:val="003867FB"/>
    <w:rsid w:val="003869ED"/>
    <w:rsid w:val="00386C29"/>
    <w:rsid w:val="003903DC"/>
    <w:rsid w:val="003904B7"/>
    <w:rsid w:val="00390EAE"/>
    <w:rsid w:val="00391A60"/>
    <w:rsid w:val="00393A99"/>
    <w:rsid w:val="00393E9E"/>
    <w:rsid w:val="00394B12"/>
    <w:rsid w:val="003958A7"/>
    <w:rsid w:val="00396186"/>
    <w:rsid w:val="003965A0"/>
    <w:rsid w:val="00397310"/>
    <w:rsid w:val="0039755E"/>
    <w:rsid w:val="003978E6"/>
    <w:rsid w:val="003979B1"/>
    <w:rsid w:val="003A0A91"/>
    <w:rsid w:val="003A18DD"/>
    <w:rsid w:val="003A191D"/>
    <w:rsid w:val="003A19D4"/>
    <w:rsid w:val="003A1B37"/>
    <w:rsid w:val="003A1C88"/>
    <w:rsid w:val="003A1FBE"/>
    <w:rsid w:val="003A2D86"/>
    <w:rsid w:val="003A36A6"/>
    <w:rsid w:val="003A3EA7"/>
    <w:rsid w:val="003A40E5"/>
    <w:rsid w:val="003A47A4"/>
    <w:rsid w:val="003A4A3E"/>
    <w:rsid w:val="003A6136"/>
    <w:rsid w:val="003A6F94"/>
    <w:rsid w:val="003A7295"/>
    <w:rsid w:val="003B00A0"/>
    <w:rsid w:val="003B1203"/>
    <w:rsid w:val="003B230C"/>
    <w:rsid w:val="003B25DA"/>
    <w:rsid w:val="003B276E"/>
    <w:rsid w:val="003B2CFB"/>
    <w:rsid w:val="003B35FA"/>
    <w:rsid w:val="003B371B"/>
    <w:rsid w:val="003B3B8D"/>
    <w:rsid w:val="003B4032"/>
    <w:rsid w:val="003B4A6F"/>
    <w:rsid w:val="003B4AA0"/>
    <w:rsid w:val="003B4D0B"/>
    <w:rsid w:val="003B5478"/>
    <w:rsid w:val="003B63FF"/>
    <w:rsid w:val="003B6468"/>
    <w:rsid w:val="003B6931"/>
    <w:rsid w:val="003B7FF0"/>
    <w:rsid w:val="003C12C7"/>
    <w:rsid w:val="003C3808"/>
    <w:rsid w:val="003C3A61"/>
    <w:rsid w:val="003C3CDA"/>
    <w:rsid w:val="003C3D20"/>
    <w:rsid w:val="003C3F8A"/>
    <w:rsid w:val="003C4D1A"/>
    <w:rsid w:val="003C51BE"/>
    <w:rsid w:val="003C53CE"/>
    <w:rsid w:val="003C6003"/>
    <w:rsid w:val="003C6008"/>
    <w:rsid w:val="003C63D5"/>
    <w:rsid w:val="003C6EBF"/>
    <w:rsid w:val="003C70FD"/>
    <w:rsid w:val="003C71E0"/>
    <w:rsid w:val="003C7C03"/>
    <w:rsid w:val="003C7E8F"/>
    <w:rsid w:val="003D07F9"/>
    <w:rsid w:val="003D0C8E"/>
    <w:rsid w:val="003D17CB"/>
    <w:rsid w:val="003D1EF3"/>
    <w:rsid w:val="003D1F74"/>
    <w:rsid w:val="003D2493"/>
    <w:rsid w:val="003D36AC"/>
    <w:rsid w:val="003D373E"/>
    <w:rsid w:val="003D3A40"/>
    <w:rsid w:val="003D3CD1"/>
    <w:rsid w:val="003D4585"/>
    <w:rsid w:val="003D45E1"/>
    <w:rsid w:val="003D477F"/>
    <w:rsid w:val="003D47F9"/>
    <w:rsid w:val="003D6375"/>
    <w:rsid w:val="003D6759"/>
    <w:rsid w:val="003D6E57"/>
    <w:rsid w:val="003D6FFD"/>
    <w:rsid w:val="003D76D5"/>
    <w:rsid w:val="003E13C9"/>
    <w:rsid w:val="003E149F"/>
    <w:rsid w:val="003E1729"/>
    <w:rsid w:val="003E1D73"/>
    <w:rsid w:val="003E2A29"/>
    <w:rsid w:val="003E2FC2"/>
    <w:rsid w:val="003E362B"/>
    <w:rsid w:val="003E4147"/>
    <w:rsid w:val="003E4AEE"/>
    <w:rsid w:val="003E4D17"/>
    <w:rsid w:val="003E525A"/>
    <w:rsid w:val="003E5A56"/>
    <w:rsid w:val="003E641B"/>
    <w:rsid w:val="003E695E"/>
    <w:rsid w:val="003E7099"/>
    <w:rsid w:val="003F0084"/>
    <w:rsid w:val="003F01F9"/>
    <w:rsid w:val="003F0959"/>
    <w:rsid w:val="003F0A6B"/>
    <w:rsid w:val="003F0A93"/>
    <w:rsid w:val="003F2B8F"/>
    <w:rsid w:val="003F2BC3"/>
    <w:rsid w:val="003F2C7B"/>
    <w:rsid w:val="003F2F7A"/>
    <w:rsid w:val="003F33EF"/>
    <w:rsid w:val="003F358E"/>
    <w:rsid w:val="003F3A0A"/>
    <w:rsid w:val="003F419B"/>
    <w:rsid w:val="003F5A57"/>
    <w:rsid w:val="003F5EB9"/>
    <w:rsid w:val="003F6B4B"/>
    <w:rsid w:val="003F6E70"/>
    <w:rsid w:val="003F6F64"/>
    <w:rsid w:val="003F7133"/>
    <w:rsid w:val="00401184"/>
    <w:rsid w:val="00401452"/>
    <w:rsid w:val="004016DA"/>
    <w:rsid w:val="00401C2C"/>
    <w:rsid w:val="00401C9B"/>
    <w:rsid w:val="00402D11"/>
    <w:rsid w:val="00402E73"/>
    <w:rsid w:val="00402FA2"/>
    <w:rsid w:val="00403290"/>
    <w:rsid w:val="00403648"/>
    <w:rsid w:val="00403C4A"/>
    <w:rsid w:val="00404DE8"/>
    <w:rsid w:val="00404F2E"/>
    <w:rsid w:val="004052AA"/>
    <w:rsid w:val="004053A0"/>
    <w:rsid w:val="00405AA4"/>
    <w:rsid w:val="00406541"/>
    <w:rsid w:val="00406DC2"/>
    <w:rsid w:val="00407164"/>
    <w:rsid w:val="004071FF"/>
    <w:rsid w:val="00407469"/>
    <w:rsid w:val="00407835"/>
    <w:rsid w:val="004100C5"/>
    <w:rsid w:val="00410594"/>
    <w:rsid w:val="0041067E"/>
    <w:rsid w:val="00411206"/>
    <w:rsid w:val="00412099"/>
    <w:rsid w:val="004120B0"/>
    <w:rsid w:val="00412DA5"/>
    <w:rsid w:val="00412DE1"/>
    <w:rsid w:val="004133E0"/>
    <w:rsid w:val="00413549"/>
    <w:rsid w:val="0041355A"/>
    <w:rsid w:val="00414602"/>
    <w:rsid w:val="0041473A"/>
    <w:rsid w:val="004152D2"/>
    <w:rsid w:val="00415506"/>
    <w:rsid w:val="00416BF4"/>
    <w:rsid w:val="0041742B"/>
    <w:rsid w:val="004178D3"/>
    <w:rsid w:val="00417908"/>
    <w:rsid w:val="004207BF"/>
    <w:rsid w:val="00421EC0"/>
    <w:rsid w:val="0042211F"/>
    <w:rsid w:val="004226BA"/>
    <w:rsid w:val="004228D8"/>
    <w:rsid w:val="00422A32"/>
    <w:rsid w:val="00422A34"/>
    <w:rsid w:val="00424680"/>
    <w:rsid w:val="00424955"/>
    <w:rsid w:val="00424C02"/>
    <w:rsid w:val="00424DD4"/>
    <w:rsid w:val="00424F95"/>
    <w:rsid w:val="00425182"/>
    <w:rsid w:val="00425186"/>
    <w:rsid w:val="00425ED9"/>
    <w:rsid w:val="00426044"/>
    <w:rsid w:val="00426B8F"/>
    <w:rsid w:val="00427203"/>
    <w:rsid w:val="00430F5E"/>
    <w:rsid w:val="00431A35"/>
    <w:rsid w:val="004324FC"/>
    <w:rsid w:val="004329D5"/>
    <w:rsid w:val="00432EB6"/>
    <w:rsid w:val="00432FE8"/>
    <w:rsid w:val="004336A7"/>
    <w:rsid w:val="00433D58"/>
    <w:rsid w:val="00435C52"/>
    <w:rsid w:val="0043614E"/>
    <w:rsid w:val="00437039"/>
    <w:rsid w:val="00437306"/>
    <w:rsid w:val="0043754E"/>
    <w:rsid w:val="00437BDB"/>
    <w:rsid w:val="00440212"/>
    <w:rsid w:val="0044030A"/>
    <w:rsid w:val="004403F9"/>
    <w:rsid w:val="004415F8"/>
    <w:rsid w:val="00441AA3"/>
    <w:rsid w:val="00441D1B"/>
    <w:rsid w:val="004429EF"/>
    <w:rsid w:val="00443DF0"/>
    <w:rsid w:val="004459A3"/>
    <w:rsid w:val="00445EB2"/>
    <w:rsid w:val="004463B9"/>
    <w:rsid w:val="00446CE6"/>
    <w:rsid w:val="0044713F"/>
    <w:rsid w:val="00447E98"/>
    <w:rsid w:val="0045342D"/>
    <w:rsid w:val="0045352D"/>
    <w:rsid w:val="00453C66"/>
    <w:rsid w:val="00454E4E"/>
    <w:rsid w:val="004552A5"/>
    <w:rsid w:val="004555B9"/>
    <w:rsid w:val="00455A56"/>
    <w:rsid w:val="00455E49"/>
    <w:rsid w:val="004566AB"/>
    <w:rsid w:val="00456F49"/>
    <w:rsid w:val="00456FB3"/>
    <w:rsid w:val="00457578"/>
    <w:rsid w:val="00460997"/>
    <w:rsid w:val="00461641"/>
    <w:rsid w:val="0046178A"/>
    <w:rsid w:val="004618BE"/>
    <w:rsid w:val="00462033"/>
    <w:rsid w:val="00462114"/>
    <w:rsid w:val="00462271"/>
    <w:rsid w:val="004627F4"/>
    <w:rsid w:val="00462A0F"/>
    <w:rsid w:val="00462CF4"/>
    <w:rsid w:val="00463862"/>
    <w:rsid w:val="00463C2B"/>
    <w:rsid w:val="004657D0"/>
    <w:rsid w:val="00466982"/>
    <w:rsid w:val="00467D07"/>
    <w:rsid w:val="00467D40"/>
    <w:rsid w:val="00467E88"/>
    <w:rsid w:val="00471362"/>
    <w:rsid w:val="00472271"/>
    <w:rsid w:val="004727F4"/>
    <w:rsid w:val="00472DA0"/>
    <w:rsid w:val="00473371"/>
    <w:rsid w:val="00473533"/>
    <w:rsid w:val="004736DB"/>
    <w:rsid w:val="00473AC2"/>
    <w:rsid w:val="00473E12"/>
    <w:rsid w:val="00473E68"/>
    <w:rsid w:val="004754F3"/>
    <w:rsid w:val="00475816"/>
    <w:rsid w:val="004758B3"/>
    <w:rsid w:val="00475CF9"/>
    <w:rsid w:val="00475E93"/>
    <w:rsid w:val="0047673B"/>
    <w:rsid w:val="00476A77"/>
    <w:rsid w:val="00477231"/>
    <w:rsid w:val="004778BE"/>
    <w:rsid w:val="004809C1"/>
    <w:rsid w:val="00480D4F"/>
    <w:rsid w:val="004826CA"/>
    <w:rsid w:val="00482821"/>
    <w:rsid w:val="00482DDE"/>
    <w:rsid w:val="004850F6"/>
    <w:rsid w:val="0048606B"/>
    <w:rsid w:val="00486248"/>
    <w:rsid w:val="00486C24"/>
    <w:rsid w:val="00487785"/>
    <w:rsid w:val="004911FC"/>
    <w:rsid w:val="00491333"/>
    <w:rsid w:val="0049177E"/>
    <w:rsid w:val="00491D27"/>
    <w:rsid w:val="0049323F"/>
    <w:rsid w:val="004933EC"/>
    <w:rsid w:val="00493863"/>
    <w:rsid w:val="00493F87"/>
    <w:rsid w:val="00494C99"/>
    <w:rsid w:val="004951BD"/>
    <w:rsid w:val="00496635"/>
    <w:rsid w:val="0049665C"/>
    <w:rsid w:val="004966A0"/>
    <w:rsid w:val="0049719D"/>
    <w:rsid w:val="004973A7"/>
    <w:rsid w:val="0049748A"/>
    <w:rsid w:val="004974BE"/>
    <w:rsid w:val="00497DB2"/>
    <w:rsid w:val="004A0745"/>
    <w:rsid w:val="004A158C"/>
    <w:rsid w:val="004A22B1"/>
    <w:rsid w:val="004A2302"/>
    <w:rsid w:val="004A3A0F"/>
    <w:rsid w:val="004A4429"/>
    <w:rsid w:val="004A4B0A"/>
    <w:rsid w:val="004A5362"/>
    <w:rsid w:val="004A5625"/>
    <w:rsid w:val="004A5697"/>
    <w:rsid w:val="004A6701"/>
    <w:rsid w:val="004A6D88"/>
    <w:rsid w:val="004B0982"/>
    <w:rsid w:val="004B1B7E"/>
    <w:rsid w:val="004B29AE"/>
    <w:rsid w:val="004B3B8F"/>
    <w:rsid w:val="004B43E9"/>
    <w:rsid w:val="004B5E38"/>
    <w:rsid w:val="004B5FA9"/>
    <w:rsid w:val="004B6267"/>
    <w:rsid w:val="004C000D"/>
    <w:rsid w:val="004C0E6B"/>
    <w:rsid w:val="004C179B"/>
    <w:rsid w:val="004C1D06"/>
    <w:rsid w:val="004C37CD"/>
    <w:rsid w:val="004C3C75"/>
    <w:rsid w:val="004C430C"/>
    <w:rsid w:val="004C4C2F"/>
    <w:rsid w:val="004C578A"/>
    <w:rsid w:val="004C57EF"/>
    <w:rsid w:val="004C5FD9"/>
    <w:rsid w:val="004C66F5"/>
    <w:rsid w:val="004C6BFE"/>
    <w:rsid w:val="004C6D6A"/>
    <w:rsid w:val="004C7640"/>
    <w:rsid w:val="004C7A74"/>
    <w:rsid w:val="004D035B"/>
    <w:rsid w:val="004D076B"/>
    <w:rsid w:val="004D07F2"/>
    <w:rsid w:val="004D40B5"/>
    <w:rsid w:val="004D4187"/>
    <w:rsid w:val="004D483A"/>
    <w:rsid w:val="004D5706"/>
    <w:rsid w:val="004D60DB"/>
    <w:rsid w:val="004D6F66"/>
    <w:rsid w:val="004E087C"/>
    <w:rsid w:val="004E2247"/>
    <w:rsid w:val="004E2CFC"/>
    <w:rsid w:val="004E2D53"/>
    <w:rsid w:val="004E2E5B"/>
    <w:rsid w:val="004E3A34"/>
    <w:rsid w:val="004E4C78"/>
    <w:rsid w:val="004E565D"/>
    <w:rsid w:val="004E56BA"/>
    <w:rsid w:val="004E62B2"/>
    <w:rsid w:val="004E6D05"/>
    <w:rsid w:val="004E6D97"/>
    <w:rsid w:val="004E70A2"/>
    <w:rsid w:val="004E7303"/>
    <w:rsid w:val="004E7B5F"/>
    <w:rsid w:val="004E7D4A"/>
    <w:rsid w:val="004F0641"/>
    <w:rsid w:val="004F06CF"/>
    <w:rsid w:val="004F0C1B"/>
    <w:rsid w:val="004F10A1"/>
    <w:rsid w:val="004F1449"/>
    <w:rsid w:val="004F15D3"/>
    <w:rsid w:val="004F1E90"/>
    <w:rsid w:val="004F2F31"/>
    <w:rsid w:val="004F4070"/>
    <w:rsid w:val="004F5DE5"/>
    <w:rsid w:val="004F651F"/>
    <w:rsid w:val="004F66DB"/>
    <w:rsid w:val="004F7B82"/>
    <w:rsid w:val="005000E9"/>
    <w:rsid w:val="00500F05"/>
    <w:rsid w:val="005022B9"/>
    <w:rsid w:val="00502A35"/>
    <w:rsid w:val="00502A67"/>
    <w:rsid w:val="00502DC5"/>
    <w:rsid w:val="00502F38"/>
    <w:rsid w:val="00503734"/>
    <w:rsid w:val="005037B4"/>
    <w:rsid w:val="005040CD"/>
    <w:rsid w:val="005040E7"/>
    <w:rsid w:val="005049D6"/>
    <w:rsid w:val="00504C4D"/>
    <w:rsid w:val="00505D18"/>
    <w:rsid w:val="00505F1E"/>
    <w:rsid w:val="005065FA"/>
    <w:rsid w:val="00506AB6"/>
    <w:rsid w:val="00507162"/>
    <w:rsid w:val="005073CA"/>
    <w:rsid w:val="00510195"/>
    <w:rsid w:val="00512161"/>
    <w:rsid w:val="0051273F"/>
    <w:rsid w:val="00512AE1"/>
    <w:rsid w:val="00512E79"/>
    <w:rsid w:val="005139AA"/>
    <w:rsid w:val="00513E72"/>
    <w:rsid w:val="005149A3"/>
    <w:rsid w:val="00514CC2"/>
    <w:rsid w:val="00515778"/>
    <w:rsid w:val="005159CD"/>
    <w:rsid w:val="00515BF5"/>
    <w:rsid w:val="0051607C"/>
    <w:rsid w:val="005161FB"/>
    <w:rsid w:val="0051662C"/>
    <w:rsid w:val="00516814"/>
    <w:rsid w:val="00517261"/>
    <w:rsid w:val="00517408"/>
    <w:rsid w:val="00517EC8"/>
    <w:rsid w:val="00521003"/>
    <w:rsid w:val="00521360"/>
    <w:rsid w:val="00521E91"/>
    <w:rsid w:val="005222D4"/>
    <w:rsid w:val="00522A20"/>
    <w:rsid w:val="00523645"/>
    <w:rsid w:val="00523DD6"/>
    <w:rsid w:val="00524057"/>
    <w:rsid w:val="0052439D"/>
    <w:rsid w:val="00524615"/>
    <w:rsid w:val="0052470F"/>
    <w:rsid w:val="005248E9"/>
    <w:rsid w:val="00524F39"/>
    <w:rsid w:val="00525C06"/>
    <w:rsid w:val="00525C34"/>
    <w:rsid w:val="00525F97"/>
    <w:rsid w:val="00526143"/>
    <w:rsid w:val="00526682"/>
    <w:rsid w:val="00526CD3"/>
    <w:rsid w:val="00526F8F"/>
    <w:rsid w:val="0053062F"/>
    <w:rsid w:val="00530661"/>
    <w:rsid w:val="00530A7B"/>
    <w:rsid w:val="00530F32"/>
    <w:rsid w:val="0053120F"/>
    <w:rsid w:val="00532991"/>
    <w:rsid w:val="00532D39"/>
    <w:rsid w:val="00532E0E"/>
    <w:rsid w:val="00533A96"/>
    <w:rsid w:val="0053429C"/>
    <w:rsid w:val="00534CFE"/>
    <w:rsid w:val="00535ED8"/>
    <w:rsid w:val="0053604B"/>
    <w:rsid w:val="005360B6"/>
    <w:rsid w:val="00536674"/>
    <w:rsid w:val="00536A54"/>
    <w:rsid w:val="005400BC"/>
    <w:rsid w:val="005412FA"/>
    <w:rsid w:val="0054159D"/>
    <w:rsid w:val="0054189C"/>
    <w:rsid w:val="00542A29"/>
    <w:rsid w:val="00542EE0"/>
    <w:rsid w:val="005430E9"/>
    <w:rsid w:val="0054348F"/>
    <w:rsid w:val="00544CAE"/>
    <w:rsid w:val="0054567E"/>
    <w:rsid w:val="00545A00"/>
    <w:rsid w:val="00546240"/>
    <w:rsid w:val="005467DA"/>
    <w:rsid w:val="005478DD"/>
    <w:rsid w:val="00550429"/>
    <w:rsid w:val="00550515"/>
    <w:rsid w:val="00550D1B"/>
    <w:rsid w:val="00550E75"/>
    <w:rsid w:val="005514D0"/>
    <w:rsid w:val="00551676"/>
    <w:rsid w:val="00551809"/>
    <w:rsid w:val="00551CAB"/>
    <w:rsid w:val="00551D67"/>
    <w:rsid w:val="005524A1"/>
    <w:rsid w:val="00552628"/>
    <w:rsid w:val="00552FA9"/>
    <w:rsid w:val="0055325B"/>
    <w:rsid w:val="0055344D"/>
    <w:rsid w:val="00553AF8"/>
    <w:rsid w:val="00553EAA"/>
    <w:rsid w:val="005541CF"/>
    <w:rsid w:val="00554B64"/>
    <w:rsid w:val="00555AAC"/>
    <w:rsid w:val="00555CA2"/>
    <w:rsid w:val="005569AA"/>
    <w:rsid w:val="005571D7"/>
    <w:rsid w:val="0055746A"/>
    <w:rsid w:val="00560015"/>
    <w:rsid w:val="00560D04"/>
    <w:rsid w:val="00561694"/>
    <w:rsid w:val="005625F5"/>
    <w:rsid w:val="00562ECF"/>
    <w:rsid w:val="00562FF0"/>
    <w:rsid w:val="005643C9"/>
    <w:rsid w:val="005649FB"/>
    <w:rsid w:val="00564E5C"/>
    <w:rsid w:val="00567BD6"/>
    <w:rsid w:val="00570304"/>
    <w:rsid w:val="00570EDD"/>
    <w:rsid w:val="00571508"/>
    <w:rsid w:val="00571950"/>
    <w:rsid w:val="005720B8"/>
    <w:rsid w:val="00572813"/>
    <w:rsid w:val="0057453A"/>
    <w:rsid w:val="00574BFE"/>
    <w:rsid w:val="00574D20"/>
    <w:rsid w:val="005750D8"/>
    <w:rsid w:val="005761A1"/>
    <w:rsid w:val="00576EA8"/>
    <w:rsid w:val="00576EC6"/>
    <w:rsid w:val="005772FF"/>
    <w:rsid w:val="00577862"/>
    <w:rsid w:val="005779D1"/>
    <w:rsid w:val="00577D8C"/>
    <w:rsid w:val="00580169"/>
    <w:rsid w:val="00580F4F"/>
    <w:rsid w:val="00581271"/>
    <w:rsid w:val="0058132F"/>
    <w:rsid w:val="00581DBF"/>
    <w:rsid w:val="00582369"/>
    <w:rsid w:val="00583368"/>
    <w:rsid w:val="00583BD6"/>
    <w:rsid w:val="0058478A"/>
    <w:rsid w:val="00584929"/>
    <w:rsid w:val="00584A21"/>
    <w:rsid w:val="00585CF6"/>
    <w:rsid w:val="00586CBF"/>
    <w:rsid w:val="005871E5"/>
    <w:rsid w:val="00587524"/>
    <w:rsid w:val="0058795E"/>
    <w:rsid w:val="00590860"/>
    <w:rsid w:val="005909EB"/>
    <w:rsid w:val="00592658"/>
    <w:rsid w:val="00593365"/>
    <w:rsid w:val="005934C1"/>
    <w:rsid w:val="00594199"/>
    <w:rsid w:val="00594B29"/>
    <w:rsid w:val="0059559F"/>
    <w:rsid w:val="0059573D"/>
    <w:rsid w:val="00595A5B"/>
    <w:rsid w:val="00595B63"/>
    <w:rsid w:val="00595CAC"/>
    <w:rsid w:val="00596BCE"/>
    <w:rsid w:val="005975C5"/>
    <w:rsid w:val="00597A36"/>
    <w:rsid w:val="005A021D"/>
    <w:rsid w:val="005A0314"/>
    <w:rsid w:val="005A0B7A"/>
    <w:rsid w:val="005A1406"/>
    <w:rsid w:val="005A15E4"/>
    <w:rsid w:val="005A189D"/>
    <w:rsid w:val="005A22CA"/>
    <w:rsid w:val="005A4489"/>
    <w:rsid w:val="005A47F3"/>
    <w:rsid w:val="005A57B6"/>
    <w:rsid w:val="005A626F"/>
    <w:rsid w:val="005A6D5B"/>
    <w:rsid w:val="005A74B5"/>
    <w:rsid w:val="005A7A70"/>
    <w:rsid w:val="005B0A1A"/>
    <w:rsid w:val="005B13B5"/>
    <w:rsid w:val="005B163A"/>
    <w:rsid w:val="005B1E32"/>
    <w:rsid w:val="005B1E54"/>
    <w:rsid w:val="005B231B"/>
    <w:rsid w:val="005B2381"/>
    <w:rsid w:val="005B254E"/>
    <w:rsid w:val="005B29AC"/>
    <w:rsid w:val="005B33B5"/>
    <w:rsid w:val="005B3462"/>
    <w:rsid w:val="005B3798"/>
    <w:rsid w:val="005B45F8"/>
    <w:rsid w:val="005B493B"/>
    <w:rsid w:val="005B4E44"/>
    <w:rsid w:val="005B4F80"/>
    <w:rsid w:val="005B5217"/>
    <w:rsid w:val="005B59C2"/>
    <w:rsid w:val="005B6244"/>
    <w:rsid w:val="005B64DF"/>
    <w:rsid w:val="005B6518"/>
    <w:rsid w:val="005B66C2"/>
    <w:rsid w:val="005B72AB"/>
    <w:rsid w:val="005B798E"/>
    <w:rsid w:val="005B7BAD"/>
    <w:rsid w:val="005B7CCD"/>
    <w:rsid w:val="005C0737"/>
    <w:rsid w:val="005C0958"/>
    <w:rsid w:val="005C0E7A"/>
    <w:rsid w:val="005C160D"/>
    <w:rsid w:val="005C2123"/>
    <w:rsid w:val="005C28E3"/>
    <w:rsid w:val="005C3190"/>
    <w:rsid w:val="005C3346"/>
    <w:rsid w:val="005C3423"/>
    <w:rsid w:val="005C351E"/>
    <w:rsid w:val="005C3724"/>
    <w:rsid w:val="005C3AFE"/>
    <w:rsid w:val="005C3CED"/>
    <w:rsid w:val="005C3D58"/>
    <w:rsid w:val="005C43C6"/>
    <w:rsid w:val="005C4419"/>
    <w:rsid w:val="005C48CE"/>
    <w:rsid w:val="005C517A"/>
    <w:rsid w:val="005C5EBD"/>
    <w:rsid w:val="005C6A82"/>
    <w:rsid w:val="005C6B44"/>
    <w:rsid w:val="005C71D3"/>
    <w:rsid w:val="005C729F"/>
    <w:rsid w:val="005C740C"/>
    <w:rsid w:val="005C74D8"/>
    <w:rsid w:val="005C75E3"/>
    <w:rsid w:val="005C77EC"/>
    <w:rsid w:val="005C7ABB"/>
    <w:rsid w:val="005D09DD"/>
    <w:rsid w:val="005D0E42"/>
    <w:rsid w:val="005D11F7"/>
    <w:rsid w:val="005D2236"/>
    <w:rsid w:val="005D323A"/>
    <w:rsid w:val="005D37CF"/>
    <w:rsid w:val="005D3CF8"/>
    <w:rsid w:val="005D47DD"/>
    <w:rsid w:val="005D5233"/>
    <w:rsid w:val="005D5C53"/>
    <w:rsid w:val="005D5CD7"/>
    <w:rsid w:val="005D5F65"/>
    <w:rsid w:val="005D67C3"/>
    <w:rsid w:val="005D68C1"/>
    <w:rsid w:val="005D6A59"/>
    <w:rsid w:val="005D7077"/>
    <w:rsid w:val="005D7356"/>
    <w:rsid w:val="005D74DA"/>
    <w:rsid w:val="005E030B"/>
    <w:rsid w:val="005E03E1"/>
    <w:rsid w:val="005E0763"/>
    <w:rsid w:val="005E076A"/>
    <w:rsid w:val="005E0AA2"/>
    <w:rsid w:val="005E179C"/>
    <w:rsid w:val="005E1BE8"/>
    <w:rsid w:val="005E1D8D"/>
    <w:rsid w:val="005E3E2F"/>
    <w:rsid w:val="005E4DB4"/>
    <w:rsid w:val="005E51A8"/>
    <w:rsid w:val="005E5B3A"/>
    <w:rsid w:val="005E615A"/>
    <w:rsid w:val="005E64CC"/>
    <w:rsid w:val="005E6C4F"/>
    <w:rsid w:val="005E6FAE"/>
    <w:rsid w:val="005F0761"/>
    <w:rsid w:val="005F115F"/>
    <w:rsid w:val="005F1402"/>
    <w:rsid w:val="005F224C"/>
    <w:rsid w:val="005F2BDA"/>
    <w:rsid w:val="005F2CE6"/>
    <w:rsid w:val="005F3129"/>
    <w:rsid w:val="005F4B3D"/>
    <w:rsid w:val="005F5013"/>
    <w:rsid w:val="005F5CA1"/>
    <w:rsid w:val="005F5D71"/>
    <w:rsid w:val="005F64BB"/>
    <w:rsid w:val="005F65FF"/>
    <w:rsid w:val="005F6969"/>
    <w:rsid w:val="005F72D6"/>
    <w:rsid w:val="005F7538"/>
    <w:rsid w:val="005F76D9"/>
    <w:rsid w:val="005F7FDB"/>
    <w:rsid w:val="006040F8"/>
    <w:rsid w:val="0060434C"/>
    <w:rsid w:val="006048F5"/>
    <w:rsid w:val="00604A89"/>
    <w:rsid w:val="00605650"/>
    <w:rsid w:val="00605873"/>
    <w:rsid w:val="0060597C"/>
    <w:rsid w:val="00605E3A"/>
    <w:rsid w:val="00606574"/>
    <w:rsid w:val="006075BB"/>
    <w:rsid w:val="00607CB5"/>
    <w:rsid w:val="006105F5"/>
    <w:rsid w:val="00610A56"/>
    <w:rsid w:val="00610C1C"/>
    <w:rsid w:val="00610FD8"/>
    <w:rsid w:val="006116F3"/>
    <w:rsid w:val="00611B50"/>
    <w:rsid w:val="006122CE"/>
    <w:rsid w:val="0061255B"/>
    <w:rsid w:val="006126A2"/>
    <w:rsid w:val="006127A9"/>
    <w:rsid w:val="00612C84"/>
    <w:rsid w:val="00612DC7"/>
    <w:rsid w:val="00613168"/>
    <w:rsid w:val="0061374F"/>
    <w:rsid w:val="00613D77"/>
    <w:rsid w:val="006144D1"/>
    <w:rsid w:val="006146BA"/>
    <w:rsid w:val="006146CC"/>
    <w:rsid w:val="006146ED"/>
    <w:rsid w:val="00614B16"/>
    <w:rsid w:val="00614D50"/>
    <w:rsid w:val="00615EBE"/>
    <w:rsid w:val="00616500"/>
    <w:rsid w:val="00616661"/>
    <w:rsid w:val="00617053"/>
    <w:rsid w:val="00617EBF"/>
    <w:rsid w:val="00622530"/>
    <w:rsid w:val="00622724"/>
    <w:rsid w:val="00623768"/>
    <w:rsid w:val="00623ABB"/>
    <w:rsid w:val="0062436B"/>
    <w:rsid w:val="0062464F"/>
    <w:rsid w:val="00625630"/>
    <w:rsid w:val="00626AAC"/>
    <w:rsid w:val="00627132"/>
    <w:rsid w:val="00627557"/>
    <w:rsid w:val="0062775F"/>
    <w:rsid w:val="00627C86"/>
    <w:rsid w:val="00627D3B"/>
    <w:rsid w:val="00630C1E"/>
    <w:rsid w:val="00630E8D"/>
    <w:rsid w:val="00631082"/>
    <w:rsid w:val="00633575"/>
    <w:rsid w:val="00634107"/>
    <w:rsid w:val="006342DC"/>
    <w:rsid w:val="00634675"/>
    <w:rsid w:val="00634B2B"/>
    <w:rsid w:val="006353F3"/>
    <w:rsid w:val="00635499"/>
    <w:rsid w:val="00635860"/>
    <w:rsid w:val="00635DA1"/>
    <w:rsid w:val="0063605F"/>
    <w:rsid w:val="006363E3"/>
    <w:rsid w:val="00637780"/>
    <w:rsid w:val="00637E61"/>
    <w:rsid w:val="00637E73"/>
    <w:rsid w:val="00640773"/>
    <w:rsid w:val="00640F82"/>
    <w:rsid w:val="006412E5"/>
    <w:rsid w:val="0064173D"/>
    <w:rsid w:val="00641924"/>
    <w:rsid w:val="00641C6C"/>
    <w:rsid w:val="0064243A"/>
    <w:rsid w:val="006434A2"/>
    <w:rsid w:val="00643D20"/>
    <w:rsid w:val="0064480F"/>
    <w:rsid w:val="00644947"/>
    <w:rsid w:val="00644D2C"/>
    <w:rsid w:val="00644D8A"/>
    <w:rsid w:val="00644E4D"/>
    <w:rsid w:val="00644F8F"/>
    <w:rsid w:val="00645665"/>
    <w:rsid w:val="00645C20"/>
    <w:rsid w:val="0064606A"/>
    <w:rsid w:val="00646850"/>
    <w:rsid w:val="00647CDC"/>
    <w:rsid w:val="00650A87"/>
    <w:rsid w:val="006512A7"/>
    <w:rsid w:val="00651BEC"/>
    <w:rsid w:val="00653096"/>
    <w:rsid w:val="0065325B"/>
    <w:rsid w:val="006538EC"/>
    <w:rsid w:val="00654068"/>
    <w:rsid w:val="006543A2"/>
    <w:rsid w:val="006551DF"/>
    <w:rsid w:val="00655430"/>
    <w:rsid w:val="0065628C"/>
    <w:rsid w:val="00656BB2"/>
    <w:rsid w:val="00660264"/>
    <w:rsid w:val="0066030B"/>
    <w:rsid w:val="006605B2"/>
    <w:rsid w:val="0066085B"/>
    <w:rsid w:val="006609C6"/>
    <w:rsid w:val="00660F7B"/>
    <w:rsid w:val="0066115F"/>
    <w:rsid w:val="006614D4"/>
    <w:rsid w:val="00661B7D"/>
    <w:rsid w:val="00661D41"/>
    <w:rsid w:val="006634AA"/>
    <w:rsid w:val="006653C9"/>
    <w:rsid w:val="006660D1"/>
    <w:rsid w:val="0066655A"/>
    <w:rsid w:val="0066691A"/>
    <w:rsid w:val="006672DE"/>
    <w:rsid w:val="00670449"/>
    <w:rsid w:val="00671AAC"/>
    <w:rsid w:val="006720EE"/>
    <w:rsid w:val="00672ADB"/>
    <w:rsid w:val="00672B47"/>
    <w:rsid w:val="00672C26"/>
    <w:rsid w:val="00672F1E"/>
    <w:rsid w:val="00673F4C"/>
    <w:rsid w:val="0067451E"/>
    <w:rsid w:val="00674D9C"/>
    <w:rsid w:val="006750CD"/>
    <w:rsid w:val="00675E41"/>
    <w:rsid w:val="00676003"/>
    <w:rsid w:val="00677309"/>
    <w:rsid w:val="006775C6"/>
    <w:rsid w:val="00677D00"/>
    <w:rsid w:val="00680358"/>
    <w:rsid w:val="006828E0"/>
    <w:rsid w:val="00683137"/>
    <w:rsid w:val="00683B7C"/>
    <w:rsid w:val="00684498"/>
    <w:rsid w:val="0068498A"/>
    <w:rsid w:val="006855B6"/>
    <w:rsid w:val="006861F9"/>
    <w:rsid w:val="00686E99"/>
    <w:rsid w:val="00687AC4"/>
    <w:rsid w:val="00687C3D"/>
    <w:rsid w:val="00687DDC"/>
    <w:rsid w:val="00687E0F"/>
    <w:rsid w:val="0069075B"/>
    <w:rsid w:val="0069099F"/>
    <w:rsid w:val="00690E3F"/>
    <w:rsid w:val="00690FAA"/>
    <w:rsid w:val="00691E05"/>
    <w:rsid w:val="006927D2"/>
    <w:rsid w:val="0069302F"/>
    <w:rsid w:val="00693980"/>
    <w:rsid w:val="00693B0E"/>
    <w:rsid w:val="00693E89"/>
    <w:rsid w:val="0069578B"/>
    <w:rsid w:val="00697518"/>
    <w:rsid w:val="00697782"/>
    <w:rsid w:val="006A04BD"/>
    <w:rsid w:val="006A053C"/>
    <w:rsid w:val="006A3E12"/>
    <w:rsid w:val="006A4F41"/>
    <w:rsid w:val="006A50F0"/>
    <w:rsid w:val="006A51BE"/>
    <w:rsid w:val="006A56A1"/>
    <w:rsid w:val="006A5E33"/>
    <w:rsid w:val="006A652E"/>
    <w:rsid w:val="006A76A6"/>
    <w:rsid w:val="006A79AA"/>
    <w:rsid w:val="006A7D11"/>
    <w:rsid w:val="006B0CE7"/>
    <w:rsid w:val="006B1405"/>
    <w:rsid w:val="006B1A2E"/>
    <w:rsid w:val="006B1E9A"/>
    <w:rsid w:val="006B2C77"/>
    <w:rsid w:val="006B388A"/>
    <w:rsid w:val="006B4297"/>
    <w:rsid w:val="006B49AC"/>
    <w:rsid w:val="006B53B3"/>
    <w:rsid w:val="006B6313"/>
    <w:rsid w:val="006B67A2"/>
    <w:rsid w:val="006B7EA8"/>
    <w:rsid w:val="006C10D3"/>
    <w:rsid w:val="006C202E"/>
    <w:rsid w:val="006C24B2"/>
    <w:rsid w:val="006C38B5"/>
    <w:rsid w:val="006C3B42"/>
    <w:rsid w:val="006C3C5F"/>
    <w:rsid w:val="006C4212"/>
    <w:rsid w:val="006C4BF5"/>
    <w:rsid w:val="006C531A"/>
    <w:rsid w:val="006C6157"/>
    <w:rsid w:val="006C6AE6"/>
    <w:rsid w:val="006C6B45"/>
    <w:rsid w:val="006C74C5"/>
    <w:rsid w:val="006C77C9"/>
    <w:rsid w:val="006C7AFA"/>
    <w:rsid w:val="006D0229"/>
    <w:rsid w:val="006D030D"/>
    <w:rsid w:val="006D03B4"/>
    <w:rsid w:val="006D04AB"/>
    <w:rsid w:val="006D0C1D"/>
    <w:rsid w:val="006D1097"/>
    <w:rsid w:val="006D121B"/>
    <w:rsid w:val="006D182B"/>
    <w:rsid w:val="006D1C8B"/>
    <w:rsid w:val="006D1F0F"/>
    <w:rsid w:val="006D1F78"/>
    <w:rsid w:val="006D2014"/>
    <w:rsid w:val="006D2242"/>
    <w:rsid w:val="006D29FF"/>
    <w:rsid w:val="006D2A86"/>
    <w:rsid w:val="006D2BD9"/>
    <w:rsid w:val="006D2E0B"/>
    <w:rsid w:val="006D35D2"/>
    <w:rsid w:val="006D40BB"/>
    <w:rsid w:val="006D4311"/>
    <w:rsid w:val="006D4E93"/>
    <w:rsid w:val="006D59E8"/>
    <w:rsid w:val="006D5A05"/>
    <w:rsid w:val="006D5E29"/>
    <w:rsid w:val="006D61D1"/>
    <w:rsid w:val="006D63F2"/>
    <w:rsid w:val="006D657B"/>
    <w:rsid w:val="006D7117"/>
    <w:rsid w:val="006D73F9"/>
    <w:rsid w:val="006D75FB"/>
    <w:rsid w:val="006D767B"/>
    <w:rsid w:val="006D7FBF"/>
    <w:rsid w:val="006E065F"/>
    <w:rsid w:val="006E0F79"/>
    <w:rsid w:val="006E2185"/>
    <w:rsid w:val="006E25AC"/>
    <w:rsid w:val="006E28A9"/>
    <w:rsid w:val="006E2AD9"/>
    <w:rsid w:val="006E362F"/>
    <w:rsid w:val="006E391C"/>
    <w:rsid w:val="006E4474"/>
    <w:rsid w:val="006E4EA6"/>
    <w:rsid w:val="006E5248"/>
    <w:rsid w:val="006E5B4C"/>
    <w:rsid w:val="006E6130"/>
    <w:rsid w:val="006E6571"/>
    <w:rsid w:val="006E7405"/>
    <w:rsid w:val="006E782A"/>
    <w:rsid w:val="006E7EAF"/>
    <w:rsid w:val="006F0349"/>
    <w:rsid w:val="006F0CDB"/>
    <w:rsid w:val="006F0F17"/>
    <w:rsid w:val="006F10A8"/>
    <w:rsid w:val="006F118B"/>
    <w:rsid w:val="006F13E4"/>
    <w:rsid w:val="006F1A39"/>
    <w:rsid w:val="006F1D1D"/>
    <w:rsid w:val="006F1D34"/>
    <w:rsid w:val="006F1DDD"/>
    <w:rsid w:val="006F313F"/>
    <w:rsid w:val="006F352B"/>
    <w:rsid w:val="006F3574"/>
    <w:rsid w:val="006F3BAE"/>
    <w:rsid w:val="006F48A6"/>
    <w:rsid w:val="006F5789"/>
    <w:rsid w:val="006F5B56"/>
    <w:rsid w:val="006F5BA3"/>
    <w:rsid w:val="006F7899"/>
    <w:rsid w:val="00700D3C"/>
    <w:rsid w:val="007011A8"/>
    <w:rsid w:val="007014AF"/>
    <w:rsid w:val="00701CBA"/>
    <w:rsid w:val="0070289B"/>
    <w:rsid w:val="0070350E"/>
    <w:rsid w:val="00703FDC"/>
    <w:rsid w:val="00704E51"/>
    <w:rsid w:val="00705525"/>
    <w:rsid w:val="00705C1D"/>
    <w:rsid w:val="00706AF7"/>
    <w:rsid w:val="00706DC5"/>
    <w:rsid w:val="0071003F"/>
    <w:rsid w:val="00710930"/>
    <w:rsid w:val="007115D7"/>
    <w:rsid w:val="00711779"/>
    <w:rsid w:val="00712B00"/>
    <w:rsid w:val="007131A5"/>
    <w:rsid w:val="007149BD"/>
    <w:rsid w:val="00715071"/>
    <w:rsid w:val="007158D6"/>
    <w:rsid w:val="007165E2"/>
    <w:rsid w:val="00717C3C"/>
    <w:rsid w:val="007207C3"/>
    <w:rsid w:val="00720950"/>
    <w:rsid w:val="00720EF0"/>
    <w:rsid w:val="0072112A"/>
    <w:rsid w:val="007219D5"/>
    <w:rsid w:val="00721B93"/>
    <w:rsid w:val="00722520"/>
    <w:rsid w:val="0072252A"/>
    <w:rsid w:val="00722782"/>
    <w:rsid w:val="00722AFC"/>
    <w:rsid w:val="007235CD"/>
    <w:rsid w:val="00723916"/>
    <w:rsid w:val="00723D3F"/>
    <w:rsid w:val="00724300"/>
    <w:rsid w:val="007247F3"/>
    <w:rsid w:val="007253D3"/>
    <w:rsid w:val="00725BA9"/>
    <w:rsid w:val="00725C0B"/>
    <w:rsid w:val="00726484"/>
    <w:rsid w:val="00727507"/>
    <w:rsid w:val="007301FC"/>
    <w:rsid w:val="007304E3"/>
    <w:rsid w:val="00732819"/>
    <w:rsid w:val="00733E55"/>
    <w:rsid w:val="007343D3"/>
    <w:rsid w:val="00734948"/>
    <w:rsid w:val="00734ED2"/>
    <w:rsid w:val="00735584"/>
    <w:rsid w:val="007358A7"/>
    <w:rsid w:val="00737078"/>
    <w:rsid w:val="00737B3C"/>
    <w:rsid w:val="00737DC1"/>
    <w:rsid w:val="007404B9"/>
    <w:rsid w:val="00740C01"/>
    <w:rsid w:val="007410B3"/>
    <w:rsid w:val="0074139F"/>
    <w:rsid w:val="007415F8"/>
    <w:rsid w:val="007416CA"/>
    <w:rsid w:val="007419FF"/>
    <w:rsid w:val="00743156"/>
    <w:rsid w:val="007440F2"/>
    <w:rsid w:val="00744B8C"/>
    <w:rsid w:val="00744C4B"/>
    <w:rsid w:val="00745031"/>
    <w:rsid w:val="007453DA"/>
    <w:rsid w:val="00745541"/>
    <w:rsid w:val="007465CA"/>
    <w:rsid w:val="0074677E"/>
    <w:rsid w:val="007469D9"/>
    <w:rsid w:val="00746A2C"/>
    <w:rsid w:val="00746AFB"/>
    <w:rsid w:val="00750002"/>
    <w:rsid w:val="007500B6"/>
    <w:rsid w:val="00750325"/>
    <w:rsid w:val="0075107A"/>
    <w:rsid w:val="007513D3"/>
    <w:rsid w:val="00751ABC"/>
    <w:rsid w:val="0075300E"/>
    <w:rsid w:val="00753316"/>
    <w:rsid w:val="007546EF"/>
    <w:rsid w:val="007554E3"/>
    <w:rsid w:val="00755E39"/>
    <w:rsid w:val="00756C01"/>
    <w:rsid w:val="00757795"/>
    <w:rsid w:val="0076042B"/>
    <w:rsid w:val="0076145F"/>
    <w:rsid w:val="007618B0"/>
    <w:rsid w:val="00761CB3"/>
    <w:rsid w:val="00761D32"/>
    <w:rsid w:val="00762368"/>
    <w:rsid w:val="007626BB"/>
    <w:rsid w:val="00762AA4"/>
    <w:rsid w:val="00762FF9"/>
    <w:rsid w:val="00763027"/>
    <w:rsid w:val="007647C4"/>
    <w:rsid w:val="007656ED"/>
    <w:rsid w:val="00765C4A"/>
    <w:rsid w:val="0076632D"/>
    <w:rsid w:val="007668BF"/>
    <w:rsid w:val="00766A15"/>
    <w:rsid w:val="007706A6"/>
    <w:rsid w:val="007709A3"/>
    <w:rsid w:val="0077117E"/>
    <w:rsid w:val="00771A70"/>
    <w:rsid w:val="00772CA6"/>
    <w:rsid w:val="00772CD4"/>
    <w:rsid w:val="00773742"/>
    <w:rsid w:val="00773E66"/>
    <w:rsid w:val="00774A7C"/>
    <w:rsid w:val="00774C2F"/>
    <w:rsid w:val="0077507C"/>
    <w:rsid w:val="00775D40"/>
    <w:rsid w:val="00776025"/>
    <w:rsid w:val="0077643A"/>
    <w:rsid w:val="00776989"/>
    <w:rsid w:val="00776BB3"/>
    <w:rsid w:val="00776D15"/>
    <w:rsid w:val="00776F9D"/>
    <w:rsid w:val="0077749A"/>
    <w:rsid w:val="00780813"/>
    <w:rsid w:val="007818E8"/>
    <w:rsid w:val="00782528"/>
    <w:rsid w:val="007839C2"/>
    <w:rsid w:val="00783E43"/>
    <w:rsid w:val="00783EC4"/>
    <w:rsid w:val="00784A16"/>
    <w:rsid w:val="00785CDF"/>
    <w:rsid w:val="00786AD5"/>
    <w:rsid w:val="00786F62"/>
    <w:rsid w:val="00787872"/>
    <w:rsid w:val="00787932"/>
    <w:rsid w:val="007900CB"/>
    <w:rsid w:val="00790D54"/>
    <w:rsid w:val="00790D66"/>
    <w:rsid w:val="0079130D"/>
    <w:rsid w:val="00791AD4"/>
    <w:rsid w:val="00791D8D"/>
    <w:rsid w:val="00792B6D"/>
    <w:rsid w:val="00793C65"/>
    <w:rsid w:val="0079431C"/>
    <w:rsid w:val="0079506D"/>
    <w:rsid w:val="00795846"/>
    <w:rsid w:val="007959B7"/>
    <w:rsid w:val="00795D36"/>
    <w:rsid w:val="00796C97"/>
    <w:rsid w:val="007975BB"/>
    <w:rsid w:val="007A091E"/>
    <w:rsid w:val="007A189B"/>
    <w:rsid w:val="007A1C9F"/>
    <w:rsid w:val="007A2384"/>
    <w:rsid w:val="007A258C"/>
    <w:rsid w:val="007A2BEF"/>
    <w:rsid w:val="007A2F47"/>
    <w:rsid w:val="007A2F82"/>
    <w:rsid w:val="007A362B"/>
    <w:rsid w:val="007A3A85"/>
    <w:rsid w:val="007A3F0D"/>
    <w:rsid w:val="007A3FDC"/>
    <w:rsid w:val="007A41C6"/>
    <w:rsid w:val="007A43FE"/>
    <w:rsid w:val="007A4E13"/>
    <w:rsid w:val="007A5403"/>
    <w:rsid w:val="007A6671"/>
    <w:rsid w:val="007A69CA"/>
    <w:rsid w:val="007B0E34"/>
    <w:rsid w:val="007B11AF"/>
    <w:rsid w:val="007B1372"/>
    <w:rsid w:val="007B22D7"/>
    <w:rsid w:val="007B2C27"/>
    <w:rsid w:val="007B2D63"/>
    <w:rsid w:val="007B2F6A"/>
    <w:rsid w:val="007B32A5"/>
    <w:rsid w:val="007B3376"/>
    <w:rsid w:val="007B3424"/>
    <w:rsid w:val="007B348F"/>
    <w:rsid w:val="007B3A9D"/>
    <w:rsid w:val="007B4381"/>
    <w:rsid w:val="007B45B9"/>
    <w:rsid w:val="007B5A0D"/>
    <w:rsid w:val="007B629F"/>
    <w:rsid w:val="007B782D"/>
    <w:rsid w:val="007C0BBE"/>
    <w:rsid w:val="007C1B6F"/>
    <w:rsid w:val="007C1C7B"/>
    <w:rsid w:val="007C1FA5"/>
    <w:rsid w:val="007C2195"/>
    <w:rsid w:val="007C21F7"/>
    <w:rsid w:val="007C2670"/>
    <w:rsid w:val="007C26B6"/>
    <w:rsid w:val="007C3318"/>
    <w:rsid w:val="007C37F7"/>
    <w:rsid w:val="007C41FD"/>
    <w:rsid w:val="007C4325"/>
    <w:rsid w:val="007C45FE"/>
    <w:rsid w:val="007C4C98"/>
    <w:rsid w:val="007C5010"/>
    <w:rsid w:val="007C5181"/>
    <w:rsid w:val="007C54E6"/>
    <w:rsid w:val="007C7E6E"/>
    <w:rsid w:val="007D059F"/>
    <w:rsid w:val="007D087B"/>
    <w:rsid w:val="007D1002"/>
    <w:rsid w:val="007D1225"/>
    <w:rsid w:val="007D19FA"/>
    <w:rsid w:val="007D2145"/>
    <w:rsid w:val="007D2318"/>
    <w:rsid w:val="007D262B"/>
    <w:rsid w:val="007D29A5"/>
    <w:rsid w:val="007D3071"/>
    <w:rsid w:val="007D31BA"/>
    <w:rsid w:val="007D357A"/>
    <w:rsid w:val="007D3E90"/>
    <w:rsid w:val="007D4445"/>
    <w:rsid w:val="007D4B1F"/>
    <w:rsid w:val="007D4D80"/>
    <w:rsid w:val="007D5089"/>
    <w:rsid w:val="007D6F68"/>
    <w:rsid w:val="007E0014"/>
    <w:rsid w:val="007E09C7"/>
    <w:rsid w:val="007E1B3C"/>
    <w:rsid w:val="007E2F31"/>
    <w:rsid w:val="007E304C"/>
    <w:rsid w:val="007E318F"/>
    <w:rsid w:val="007E3EFC"/>
    <w:rsid w:val="007E4834"/>
    <w:rsid w:val="007E63B9"/>
    <w:rsid w:val="007E63C0"/>
    <w:rsid w:val="007E6469"/>
    <w:rsid w:val="007E686E"/>
    <w:rsid w:val="007E754A"/>
    <w:rsid w:val="007E7776"/>
    <w:rsid w:val="007E7848"/>
    <w:rsid w:val="007F1831"/>
    <w:rsid w:val="007F1FF0"/>
    <w:rsid w:val="007F2475"/>
    <w:rsid w:val="007F2C09"/>
    <w:rsid w:val="007F2D2C"/>
    <w:rsid w:val="007F34DA"/>
    <w:rsid w:val="007F36A9"/>
    <w:rsid w:val="007F45CE"/>
    <w:rsid w:val="007F66D4"/>
    <w:rsid w:val="007F755A"/>
    <w:rsid w:val="007F7959"/>
    <w:rsid w:val="007F7A45"/>
    <w:rsid w:val="007F7ADD"/>
    <w:rsid w:val="008000A2"/>
    <w:rsid w:val="008022C5"/>
    <w:rsid w:val="00802869"/>
    <w:rsid w:val="00802C31"/>
    <w:rsid w:val="00802C55"/>
    <w:rsid w:val="0080338B"/>
    <w:rsid w:val="00805B38"/>
    <w:rsid w:val="008063A1"/>
    <w:rsid w:val="00807243"/>
    <w:rsid w:val="008103E3"/>
    <w:rsid w:val="00812394"/>
    <w:rsid w:val="00812C3E"/>
    <w:rsid w:val="00812DA6"/>
    <w:rsid w:val="00813E02"/>
    <w:rsid w:val="00813FEA"/>
    <w:rsid w:val="008142BF"/>
    <w:rsid w:val="0081430B"/>
    <w:rsid w:val="0081490B"/>
    <w:rsid w:val="00814E64"/>
    <w:rsid w:val="0081704B"/>
    <w:rsid w:val="00817A8E"/>
    <w:rsid w:val="00817DD8"/>
    <w:rsid w:val="008206F2"/>
    <w:rsid w:val="008207D0"/>
    <w:rsid w:val="00820A84"/>
    <w:rsid w:val="00820B3C"/>
    <w:rsid w:val="00821A63"/>
    <w:rsid w:val="00821A66"/>
    <w:rsid w:val="00821C6D"/>
    <w:rsid w:val="00822291"/>
    <w:rsid w:val="008224A2"/>
    <w:rsid w:val="00822512"/>
    <w:rsid w:val="00822F9E"/>
    <w:rsid w:val="00823CBD"/>
    <w:rsid w:val="0082417E"/>
    <w:rsid w:val="00824DFB"/>
    <w:rsid w:val="00825AD3"/>
    <w:rsid w:val="00826AA9"/>
    <w:rsid w:val="00826FFA"/>
    <w:rsid w:val="00827793"/>
    <w:rsid w:val="00827BBC"/>
    <w:rsid w:val="0083046E"/>
    <w:rsid w:val="0083111D"/>
    <w:rsid w:val="0083211D"/>
    <w:rsid w:val="00832757"/>
    <w:rsid w:val="008333C5"/>
    <w:rsid w:val="00834198"/>
    <w:rsid w:val="008356AC"/>
    <w:rsid w:val="00837D0E"/>
    <w:rsid w:val="00840E16"/>
    <w:rsid w:val="00841805"/>
    <w:rsid w:val="008430AB"/>
    <w:rsid w:val="00843EDF"/>
    <w:rsid w:val="00844F8F"/>
    <w:rsid w:val="008457B1"/>
    <w:rsid w:val="0084609D"/>
    <w:rsid w:val="00846415"/>
    <w:rsid w:val="00846C71"/>
    <w:rsid w:val="00846D07"/>
    <w:rsid w:val="00847239"/>
    <w:rsid w:val="00847403"/>
    <w:rsid w:val="008476CD"/>
    <w:rsid w:val="00847D4D"/>
    <w:rsid w:val="008515EC"/>
    <w:rsid w:val="00851B72"/>
    <w:rsid w:val="008531E8"/>
    <w:rsid w:val="00853224"/>
    <w:rsid w:val="0085526B"/>
    <w:rsid w:val="00855716"/>
    <w:rsid w:val="00855797"/>
    <w:rsid w:val="00855BE6"/>
    <w:rsid w:val="008560E4"/>
    <w:rsid w:val="00856EF4"/>
    <w:rsid w:val="00857A88"/>
    <w:rsid w:val="00860228"/>
    <w:rsid w:val="00860403"/>
    <w:rsid w:val="00860568"/>
    <w:rsid w:val="00860BEA"/>
    <w:rsid w:val="008630B9"/>
    <w:rsid w:val="00863550"/>
    <w:rsid w:val="00863796"/>
    <w:rsid w:val="00863A87"/>
    <w:rsid w:val="00863D8D"/>
    <w:rsid w:val="00863F2A"/>
    <w:rsid w:val="00864795"/>
    <w:rsid w:val="0086494A"/>
    <w:rsid w:val="00865505"/>
    <w:rsid w:val="00865CC4"/>
    <w:rsid w:val="008661AB"/>
    <w:rsid w:val="00866470"/>
    <w:rsid w:val="00867ADF"/>
    <w:rsid w:val="00870349"/>
    <w:rsid w:val="00873E7B"/>
    <w:rsid w:val="008743E6"/>
    <w:rsid w:val="00874604"/>
    <w:rsid w:val="008747FC"/>
    <w:rsid w:val="00874A8F"/>
    <w:rsid w:val="00875BC0"/>
    <w:rsid w:val="008761AF"/>
    <w:rsid w:val="0087632B"/>
    <w:rsid w:val="0087640D"/>
    <w:rsid w:val="00876C30"/>
    <w:rsid w:val="00876D7D"/>
    <w:rsid w:val="008779A3"/>
    <w:rsid w:val="00877DC4"/>
    <w:rsid w:val="00880FE2"/>
    <w:rsid w:val="008813B2"/>
    <w:rsid w:val="00882A08"/>
    <w:rsid w:val="00882BA9"/>
    <w:rsid w:val="008836DA"/>
    <w:rsid w:val="008847B9"/>
    <w:rsid w:val="00884CB1"/>
    <w:rsid w:val="008851BC"/>
    <w:rsid w:val="00885D4F"/>
    <w:rsid w:val="008869AB"/>
    <w:rsid w:val="00886E69"/>
    <w:rsid w:val="008878C4"/>
    <w:rsid w:val="00887FC7"/>
    <w:rsid w:val="008900FE"/>
    <w:rsid w:val="008902CE"/>
    <w:rsid w:val="00890BCA"/>
    <w:rsid w:val="00891393"/>
    <w:rsid w:val="00891F83"/>
    <w:rsid w:val="0089215B"/>
    <w:rsid w:val="00892998"/>
    <w:rsid w:val="0089359C"/>
    <w:rsid w:val="00893610"/>
    <w:rsid w:val="008936AB"/>
    <w:rsid w:val="00893C39"/>
    <w:rsid w:val="008951B4"/>
    <w:rsid w:val="00895702"/>
    <w:rsid w:val="00895A75"/>
    <w:rsid w:val="00896EBE"/>
    <w:rsid w:val="008A00C2"/>
    <w:rsid w:val="008A037F"/>
    <w:rsid w:val="008A1445"/>
    <w:rsid w:val="008A1AFE"/>
    <w:rsid w:val="008A20DF"/>
    <w:rsid w:val="008A22AF"/>
    <w:rsid w:val="008A2D44"/>
    <w:rsid w:val="008A2FF8"/>
    <w:rsid w:val="008A39AA"/>
    <w:rsid w:val="008A4ADB"/>
    <w:rsid w:val="008A5614"/>
    <w:rsid w:val="008A5818"/>
    <w:rsid w:val="008A584F"/>
    <w:rsid w:val="008A58C9"/>
    <w:rsid w:val="008A6A35"/>
    <w:rsid w:val="008A7238"/>
    <w:rsid w:val="008A7264"/>
    <w:rsid w:val="008A7B88"/>
    <w:rsid w:val="008A7BA3"/>
    <w:rsid w:val="008A7DF4"/>
    <w:rsid w:val="008B0195"/>
    <w:rsid w:val="008B0A6E"/>
    <w:rsid w:val="008B1895"/>
    <w:rsid w:val="008B19C7"/>
    <w:rsid w:val="008B1FAD"/>
    <w:rsid w:val="008B2B55"/>
    <w:rsid w:val="008B2E18"/>
    <w:rsid w:val="008B2F72"/>
    <w:rsid w:val="008B3346"/>
    <w:rsid w:val="008B36B4"/>
    <w:rsid w:val="008B3AB1"/>
    <w:rsid w:val="008B3F5D"/>
    <w:rsid w:val="008B515E"/>
    <w:rsid w:val="008B5630"/>
    <w:rsid w:val="008B5ABB"/>
    <w:rsid w:val="008B63C1"/>
    <w:rsid w:val="008B6C19"/>
    <w:rsid w:val="008B7E64"/>
    <w:rsid w:val="008C0A03"/>
    <w:rsid w:val="008C2F5B"/>
    <w:rsid w:val="008C3387"/>
    <w:rsid w:val="008C363D"/>
    <w:rsid w:val="008C37B6"/>
    <w:rsid w:val="008C46A1"/>
    <w:rsid w:val="008C4AB5"/>
    <w:rsid w:val="008C4E4C"/>
    <w:rsid w:val="008C50ED"/>
    <w:rsid w:val="008C54DF"/>
    <w:rsid w:val="008C640C"/>
    <w:rsid w:val="008C71F2"/>
    <w:rsid w:val="008C7EFA"/>
    <w:rsid w:val="008D03E4"/>
    <w:rsid w:val="008D087A"/>
    <w:rsid w:val="008D0B9E"/>
    <w:rsid w:val="008D165A"/>
    <w:rsid w:val="008D1A62"/>
    <w:rsid w:val="008D1C5B"/>
    <w:rsid w:val="008D20B9"/>
    <w:rsid w:val="008D27B1"/>
    <w:rsid w:val="008D29F4"/>
    <w:rsid w:val="008D36C7"/>
    <w:rsid w:val="008D3A3C"/>
    <w:rsid w:val="008D3A99"/>
    <w:rsid w:val="008D469D"/>
    <w:rsid w:val="008D4DA7"/>
    <w:rsid w:val="008D5050"/>
    <w:rsid w:val="008D57E0"/>
    <w:rsid w:val="008D5A99"/>
    <w:rsid w:val="008D6A77"/>
    <w:rsid w:val="008D6F78"/>
    <w:rsid w:val="008D6FA1"/>
    <w:rsid w:val="008D70ED"/>
    <w:rsid w:val="008D76D3"/>
    <w:rsid w:val="008D76ED"/>
    <w:rsid w:val="008E024E"/>
    <w:rsid w:val="008E1091"/>
    <w:rsid w:val="008E201C"/>
    <w:rsid w:val="008E28BA"/>
    <w:rsid w:val="008E2931"/>
    <w:rsid w:val="008E2FB9"/>
    <w:rsid w:val="008E30F6"/>
    <w:rsid w:val="008E3835"/>
    <w:rsid w:val="008E3A69"/>
    <w:rsid w:val="008E3B9A"/>
    <w:rsid w:val="008E4944"/>
    <w:rsid w:val="008E4C7B"/>
    <w:rsid w:val="008E4E82"/>
    <w:rsid w:val="008E54B9"/>
    <w:rsid w:val="008E62D5"/>
    <w:rsid w:val="008E69FC"/>
    <w:rsid w:val="008E6A1B"/>
    <w:rsid w:val="008E6A63"/>
    <w:rsid w:val="008E7255"/>
    <w:rsid w:val="008E7FF1"/>
    <w:rsid w:val="008F001D"/>
    <w:rsid w:val="008F0A1C"/>
    <w:rsid w:val="008F0DEF"/>
    <w:rsid w:val="008F1A1A"/>
    <w:rsid w:val="008F2115"/>
    <w:rsid w:val="008F2675"/>
    <w:rsid w:val="008F290D"/>
    <w:rsid w:val="008F2DFF"/>
    <w:rsid w:val="008F37CA"/>
    <w:rsid w:val="008F3843"/>
    <w:rsid w:val="008F5DB3"/>
    <w:rsid w:val="008F63D2"/>
    <w:rsid w:val="008F67A4"/>
    <w:rsid w:val="008F67B2"/>
    <w:rsid w:val="008F6A38"/>
    <w:rsid w:val="008F6E47"/>
    <w:rsid w:val="008F73C3"/>
    <w:rsid w:val="00900961"/>
    <w:rsid w:val="0090201B"/>
    <w:rsid w:val="0090204D"/>
    <w:rsid w:val="00903A7E"/>
    <w:rsid w:val="00903BC4"/>
    <w:rsid w:val="00903CD1"/>
    <w:rsid w:val="00904757"/>
    <w:rsid w:val="0090633D"/>
    <w:rsid w:val="00906532"/>
    <w:rsid w:val="0090672E"/>
    <w:rsid w:val="00906924"/>
    <w:rsid w:val="00911AE0"/>
    <w:rsid w:val="009121AE"/>
    <w:rsid w:val="00912B82"/>
    <w:rsid w:val="00913C94"/>
    <w:rsid w:val="00913F58"/>
    <w:rsid w:val="00914B11"/>
    <w:rsid w:val="009158D3"/>
    <w:rsid w:val="00915DD1"/>
    <w:rsid w:val="00916099"/>
    <w:rsid w:val="00916280"/>
    <w:rsid w:val="00916667"/>
    <w:rsid w:val="00916712"/>
    <w:rsid w:val="0091762B"/>
    <w:rsid w:val="00917D38"/>
    <w:rsid w:val="00920D41"/>
    <w:rsid w:val="00920E7E"/>
    <w:rsid w:val="0092222F"/>
    <w:rsid w:val="00922C39"/>
    <w:rsid w:val="00923904"/>
    <w:rsid w:val="00923E78"/>
    <w:rsid w:val="009244BB"/>
    <w:rsid w:val="00924C22"/>
    <w:rsid w:val="009259CE"/>
    <w:rsid w:val="00925D37"/>
    <w:rsid w:val="0092655A"/>
    <w:rsid w:val="00926872"/>
    <w:rsid w:val="009268B8"/>
    <w:rsid w:val="00927190"/>
    <w:rsid w:val="00930844"/>
    <w:rsid w:val="0093144C"/>
    <w:rsid w:val="00931C5D"/>
    <w:rsid w:val="00932880"/>
    <w:rsid w:val="00933405"/>
    <w:rsid w:val="00933A8C"/>
    <w:rsid w:val="00933AAA"/>
    <w:rsid w:val="009346DB"/>
    <w:rsid w:val="0093473D"/>
    <w:rsid w:val="00934BF1"/>
    <w:rsid w:val="0093508D"/>
    <w:rsid w:val="00935D78"/>
    <w:rsid w:val="0093651F"/>
    <w:rsid w:val="009365B3"/>
    <w:rsid w:val="009366FA"/>
    <w:rsid w:val="0093674E"/>
    <w:rsid w:val="0093691A"/>
    <w:rsid w:val="00936FDF"/>
    <w:rsid w:val="00937886"/>
    <w:rsid w:val="00937B1A"/>
    <w:rsid w:val="00937E34"/>
    <w:rsid w:val="009404E9"/>
    <w:rsid w:val="009407D4"/>
    <w:rsid w:val="00940BA4"/>
    <w:rsid w:val="0094113D"/>
    <w:rsid w:val="00941316"/>
    <w:rsid w:val="009417C6"/>
    <w:rsid w:val="0094210C"/>
    <w:rsid w:val="0094222F"/>
    <w:rsid w:val="0094299A"/>
    <w:rsid w:val="00942C4C"/>
    <w:rsid w:val="00942D2D"/>
    <w:rsid w:val="00943231"/>
    <w:rsid w:val="00943266"/>
    <w:rsid w:val="009436DE"/>
    <w:rsid w:val="009441B1"/>
    <w:rsid w:val="00944B5C"/>
    <w:rsid w:val="00944DF1"/>
    <w:rsid w:val="00945AE3"/>
    <w:rsid w:val="00946A61"/>
    <w:rsid w:val="0094773A"/>
    <w:rsid w:val="00950536"/>
    <w:rsid w:val="00951D7A"/>
    <w:rsid w:val="009525E8"/>
    <w:rsid w:val="00954F4C"/>
    <w:rsid w:val="00955773"/>
    <w:rsid w:val="00956122"/>
    <w:rsid w:val="00956491"/>
    <w:rsid w:val="009571B7"/>
    <w:rsid w:val="00957C82"/>
    <w:rsid w:val="00961031"/>
    <w:rsid w:val="00961337"/>
    <w:rsid w:val="00962B32"/>
    <w:rsid w:val="00962B64"/>
    <w:rsid w:val="00963675"/>
    <w:rsid w:val="009638B0"/>
    <w:rsid w:val="00963F98"/>
    <w:rsid w:val="00963FBC"/>
    <w:rsid w:val="0096444C"/>
    <w:rsid w:val="009644BD"/>
    <w:rsid w:val="0096457B"/>
    <w:rsid w:val="00964A90"/>
    <w:rsid w:val="00964EAC"/>
    <w:rsid w:val="009654FE"/>
    <w:rsid w:val="00965AB2"/>
    <w:rsid w:val="009662C6"/>
    <w:rsid w:val="00966DE9"/>
    <w:rsid w:val="009672BB"/>
    <w:rsid w:val="00967A44"/>
    <w:rsid w:val="00967CFB"/>
    <w:rsid w:val="009701D7"/>
    <w:rsid w:val="00970297"/>
    <w:rsid w:val="009712FD"/>
    <w:rsid w:val="009718CA"/>
    <w:rsid w:val="0097206B"/>
    <w:rsid w:val="0097209B"/>
    <w:rsid w:val="00972CF4"/>
    <w:rsid w:val="00972DBA"/>
    <w:rsid w:val="00973813"/>
    <w:rsid w:val="00973837"/>
    <w:rsid w:val="00973A1E"/>
    <w:rsid w:val="0097405E"/>
    <w:rsid w:val="009741C2"/>
    <w:rsid w:val="00974323"/>
    <w:rsid w:val="0097464A"/>
    <w:rsid w:val="00974940"/>
    <w:rsid w:val="00974F6B"/>
    <w:rsid w:val="00975220"/>
    <w:rsid w:val="009756C7"/>
    <w:rsid w:val="00975962"/>
    <w:rsid w:val="009760B7"/>
    <w:rsid w:val="009762CC"/>
    <w:rsid w:val="00976767"/>
    <w:rsid w:val="009768EF"/>
    <w:rsid w:val="00977B05"/>
    <w:rsid w:val="009808D7"/>
    <w:rsid w:val="009808E7"/>
    <w:rsid w:val="00980A7B"/>
    <w:rsid w:val="0098161E"/>
    <w:rsid w:val="00982369"/>
    <w:rsid w:val="00983BA6"/>
    <w:rsid w:val="00984389"/>
    <w:rsid w:val="009846A0"/>
    <w:rsid w:val="009866DA"/>
    <w:rsid w:val="009869CD"/>
    <w:rsid w:val="0098755C"/>
    <w:rsid w:val="00987E68"/>
    <w:rsid w:val="00990147"/>
    <w:rsid w:val="009921A3"/>
    <w:rsid w:val="009926F8"/>
    <w:rsid w:val="009933AF"/>
    <w:rsid w:val="009937A7"/>
    <w:rsid w:val="00993880"/>
    <w:rsid w:val="00994F69"/>
    <w:rsid w:val="00996907"/>
    <w:rsid w:val="00996E4B"/>
    <w:rsid w:val="009976A9"/>
    <w:rsid w:val="00997983"/>
    <w:rsid w:val="00997B71"/>
    <w:rsid w:val="009A0744"/>
    <w:rsid w:val="009A07AD"/>
    <w:rsid w:val="009A0A87"/>
    <w:rsid w:val="009A1DED"/>
    <w:rsid w:val="009A2CE8"/>
    <w:rsid w:val="009A35EA"/>
    <w:rsid w:val="009A4030"/>
    <w:rsid w:val="009A4100"/>
    <w:rsid w:val="009A55BF"/>
    <w:rsid w:val="009A562E"/>
    <w:rsid w:val="009A6051"/>
    <w:rsid w:val="009A63D5"/>
    <w:rsid w:val="009A7BB3"/>
    <w:rsid w:val="009A7E90"/>
    <w:rsid w:val="009B0D47"/>
    <w:rsid w:val="009B205B"/>
    <w:rsid w:val="009B223A"/>
    <w:rsid w:val="009B2E00"/>
    <w:rsid w:val="009B2EE9"/>
    <w:rsid w:val="009B30ED"/>
    <w:rsid w:val="009B35A7"/>
    <w:rsid w:val="009B396D"/>
    <w:rsid w:val="009B41CC"/>
    <w:rsid w:val="009B5903"/>
    <w:rsid w:val="009B664F"/>
    <w:rsid w:val="009B66B4"/>
    <w:rsid w:val="009B74F0"/>
    <w:rsid w:val="009C1976"/>
    <w:rsid w:val="009C2668"/>
    <w:rsid w:val="009C26FB"/>
    <w:rsid w:val="009C2C2E"/>
    <w:rsid w:val="009C363D"/>
    <w:rsid w:val="009C36CB"/>
    <w:rsid w:val="009C36ED"/>
    <w:rsid w:val="009C4E2A"/>
    <w:rsid w:val="009C4F9D"/>
    <w:rsid w:val="009C56C6"/>
    <w:rsid w:val="009C5E8B"/>
    <w:rsid w:val="009D031B"/>
    <w:rsid w:val="009D07D4"/>
    <w:rsid w:val="009D10DE"/>
    <w:rsid w:val="009D28AC"/>
    <w:rsid w:val="009D293B"/>
    <w:rsid w:val="009D2CB2"/>
    <w:rsid w:val="009D3B7E"/>
    <w:rsid w:val="009D4AB6"/>
    <w:rsid w:val="009D4DB4"/>
    <w:rsid w:val="009D4E58"/>
    <w:rsid w:val="009D54BA"/>
    <w:rsid w:val="009D5B56"/>
    <w:rsid w:val="009D6156"/>
    <w:rsid w:val="009D6775"/>
    <w:rsid w:val="009D69F7"/>
    <w:rsid w:val="009D6A2F"/>
    <w:rsid w:val="009D7229"/>
    <w:rsid w:val="009D7665"/>
    <w:rsid w:val="009E0FFC"/>
    <w:rsid w:val="009E1C36"/>
    <w:rsid w:val="009E1CD5"/>
    <w:rsid w:val="009E2C8C"/>
    <w:rsid w:val="009E2D51"/>
    <w:rsid w:val="009E2EC4"/>
    <w:rsid w:val="009E32DB"/>
    <w:rsid w:val="009E3669"/>
    <w:rsid w:val="009E42A7"/>
    <w:rsid w:val="009E5D10"/>
    <w:rsid w:val="009E754C"/>
    <w:rsid w:val="009E75D1"/>
    <w:rsid w:val="009E7738"/>
    <w:rsid w:val="009E7A72"/>
    <w:rsid w:val="009F0FFD"/>
    <w:rsid w:val="009F2773"/>
    <w:rsid w:val="009F29BB"/>
    <w:rsid w:val="009F2DDB"/>
    <w:rsid w:val="009F2EEF"/>
    <w:rsid w:val="009F3121"/>
    <w:rsid w:val="009F321C"/>
    <w:rsid w:val="009F42CD"/>
    <w:rsid w:val="009F4B11"/>
    <w:rsid w:val="009F4B45"/>
    <w:rsid w:val="009F4D9A"/>
    <w:rsid w:val="009F5B8B"/>
    <w:rsid w:val="009F5DCC"/>
    <w:rsid w:val="009F72E7"/>
    <w:rsid w:val="009F7398"/>
    <w:rsid w:val="009F755D"/>
    <w:rsid w:val="009F7AFB"/>
    <w:rsid w:val="00A0044B"/>
    <w:rsid w:val="00A0083C"/>
    <w:rsid w:val="00A0120E"/>
    <w:rsid w:val="00A01697"/>
    <w:rsid w:val="00A019B6"/>
    <w:rsid w:val="00A01A4D"/>
    <w:rsid w:val="00A01BF4"/>
    <w:rsid w:val="00A0259B"/>
    <w:rsid w:val="00A02738"/>
    <w:rsid w:val="00A037B0"/>
    <w:rsid w:val="00A03B90"/>
    <w:rsid w:val="00A03BE5"/>
    <w:rsid w:val="00A04324"/>
    <w:rsid w:val="00A043A4"/>
    <w:rsid w:val="00A045C2"/>
    <w:rsid w:val="00A053C0"/>
    <w:rsid w:val="00A06019"/>
    <w:rsid w:val="00A06064"/>
    <w:rsid w:val="00A07EE0"/>
    <w:rsid w:val="00A11C30"/>
    <w:rsid w:val="00A12004"/>
    <w:rsid w:val="00A13345"/>
    <w:rsid w:val="00A13E7C"/>
    <w:rsid w:val="00A143E8"/>
    <w:rsid w:val="00A144A9"/>
    <w:rsid w:val="00A151FE"/>
    <w:rsid w:val="00A156AC"/>
    <w:rsid w:val="00A16155"/>
    <w:rsid w:val="00A16177"/>
    <w:rsid w:val="00A165EE"/>
    <w:rsid w:val="00A16722"/>
    <w:rsid w:val="00A1788C"/>
    <w:rsid w:val="00A17AE3"/>
    <w:rsid w:val="00A17E0F"/>
    <w:rsid w:val="00A205D9"/>
    <w:rsid w:val="00A20716"/>
    <w:rsid w:val="00A209CF"/>
    <w:rsid w:val="00A2130D"/>
    <w:rsid w:val="00A21D58"/>
    <w:rsid w:val="00A225CD"/>
    <w:rsid w:val="00A232E0"/>
    <w:rsid w:val="00A23DBC"/>
    <w:rsid w:val="00A24224"/>
    <w:rsid w:val="00A246DB"/>
    <w:rsid w:val="00A25398"/>
    <w:rsid w:val="00A254C6"/>
    <w:rsid w:val="00A25BA6"/>
    <w:rsid w:val="00A2647B"/>
    <w:rsid w:val="00A26690"/>
    <w:rsid w:val="00A26ACD"/>
    <w:rsid w:val="00A26ACF"/>
    <w:rsid w:val="00A27734"/>
    <w:rsid w:val="00A27E84"/>
    <w:rsid w:val="00A3049C"/>
    <w:rsid w:val="00A30EE3"/>
    <w:rsid w:val="00A328F6"/>
    <w:rsid w:val="00A3420B"/>
    <w:rsid w:val="00A342F1"/>
    <w:rsid w:val="00A354B1"/>
    <w:rsid w:val="00A357AC"/>
    <w:rsid w:val="00A35BB7"/>
    <w:rsid w:val="00A35D4E"/>
    <w:rsid w:val="00A35EDB"/>
    <w:rsid w:val="00A3618F"/>
    <w:rsid w:val="00A36D9C"/>
    <w:rsid w:val="00A36E1F"/>
    <w:rsid w:val="00A36FD7"/>
    <w:rsid w:val="00A3750C"/>
    <w:rsid w:val="00A378B5"/>
    <w:rsid w:val="00A40291"/>
    <w:rsid w:val="00A40712"/>
    <w:rsid w:val="00A40B82"/>
    <w:rsid w:val="00A42659"/>
    <w:rsid w:val="00A42CD7"/>
    <w:rsid w:val="00A42CEA"/>
    <w:rsid w:val="00A4353B"/>
    <w:rsid w:val="00A43A67"/>
    <w:rsid w:val="00A43C57"/>
    <w:rsid w:val="00A45DB8"/>
    <w:rsid w:val="00A46E87"/>
    <w:rsid w:val="00A5034F"/>
    <w:rsid w:val="00A51462"/>
    <w:rsid w:val="00A51ED9"/>
    <w:rsid w:val="00A52022"/>
    <w:rsid w:val="00A527EE"/>
    <w:rsid w:val="00A53385"/>
    <w:rsid w:val="00A54416"/>
    <w:rsid w:val="00A54947"/>
    <w:rsid w:val="00A54965"/>
    <w:rsid w:val="00A54A7B"/>
    <w:rsid w:val="00A55C6D"/>
    <w:rsid w:val="00A5605D"/>
    <w:rsid w:val="00A568F1"/>
    <w:rsid w:val="00A56E66"/>
    <w:rsid w:val="00A600ED"/>
    <w:rsid w:val="00A6045A"/>
    <w:rsid w:val="00A60A76"/>
    <w:rsid w:val="00A61727"/>
    <w:rsid w:val="00A6182A"/>
    <w:rsid w:val="00A633A3"/>
    <w:rsid w:val="00A63AEC"/>
    <w:rsid w:val="00A641B9"/>
    <w:rsid w:val="00A64413"/>
    <w:rsid w:val="00A64939"/>
    <w:rsid w:val="00A64DD5"/>
    <w:rsid w:val="00A6595E"/>
    <w:rsid w:val="00A65F81"/>
    <w:rsid w:val="00A6604A"/>
    <w:rsid w:val="00A66659"/>
    <w:rsid w:val="00A669CD"/>
    <w:rsid w:val="00A66AE9"/>
    <w:rsid w:val="00A66F99"/>
    <w:rsid w:val="00A67049"/>
    <w:rsid w:val="00A670FC"/>
    <w:rsid w:val="00A70E9E"/>
    <w:rsid w:val="00A70F1F"/>
    <w:rsid w:val="00A710ED"/>
    <w:rsid w:val="00A7155E"/>
    <w:rsid w:val="00A71A02"/>
    <w:rsid w:val="00A71F19"/>
    <w:rsid w:val="00A723D2"/>
    <w:rsid w:val="00A72575"/>
    <w:rsid w:val="00A7284D"/>
    <w:rsid w:val="00A731CF"/>
    <w:rsid w:val="00A73A86"/>
    <w:rsid w:val="00A7456D"/>
    <w:rsid w:val="00A746B3"/>
    <w:rsid w:val="00A7481E"/>
    <w:rsid w:val="00A748AF"/>
    <w:rsid w:val="00A749E9"/>
    <w:rsid w:val="00A74E82"/>
    <w:rsid w:val="00A75596"/>
    <w:rsid w:val="00A75749"/>
    <w:rsid w:val="00A75F1D"/>
    <w:rsid w:val="00A75FFF"/>
    <w:rsid w:val="00A7601F"/>
    <w:rsid w:val="00A76139"/>
    <w:rsid w:val="00A761FD"/>
    <w:rsid w:val="00A767B7"/>
    <w:rsid w:val="00A76B64"/>
    <w:rsid w:val="00A76C32"/>
    <w:rsid w:val="00A76D6B"/>
    <w:rsid w:val="00A77266"/>
    <w:rsid w:val="00A77DFD"/>
    <w:rsid w:val="00A81592"/>
    <w:rsid w:val="00A81825"/>
    <w:rsid w:val="00A81D49"/>
    <w:rsid w:val="00A8225E"/>
    <w:rsid w:val="00A82BF1"/>
    <w:rsid w:val="00A85894"/>
    <w:rsid w:val="00A85AA8"/>
    <w:rsid w:val="00A85C86"/>
    <w:rsid w:val="00A862D4"/>
    <w:rsid w:val="00A86C1C"/>
    <w:rsid w:val="00A86F97"/>
    <w:rsid w:val="00A873DC"/>
    <w:rsid w:val="00A90945"/>
    <w:rsid w:val="00A9141B"/>
    <w:rsid w:val="00A9212A"/>
    <w:rsid w:val="00A9276B"/>
    <w:rsid w:val="00A9278B"/>
    <w:rsid w:val="00A937F1"/>
    <w:rsid w:val="00A94273"/>
    <w:rsid w:val="00A942F4"/>
    <w:rsid w:val="00A949A9"/>
    <w:rsid w:val="00A96279"/>
    <w:rsid w:val="00A968E0"/>
    <w:rsid w:val="00A96CBC"/>
    <w:rsid w:val="00A96DE3"/>
    <w:rsid w:val="00A96E44"/>
    <w:rsid w:val="00A970EE"/>
    <w:rsid w:val="00AA1389"/>
    <w:rsid w:val="00AA300D"/>
    <w:rsid w:val="00AA4901"/>
    <w:rsid w:val="00AA53DD"/>
    <w:rsid w:val="00AA5466"/>
    <w:rsid w:val="00AA546C"/>
    <w:rsid w:val="00AA5528"/>
    <w:rsid w:val="00AA59F6"/>
    <w:rsid w:val="00AA6BEF"/>
    <w:rsid w:val="00AA732C"/>
    <w:rsid w:val="00AA7F06"/>
    <w:rsid w:val="00AB000B"/>
    <w:rsid w:val="00AB046B"/>
    <w:rsid w:val="00AB0C2C"/>
    <w:rsid w:val="00AB1135"/>
    <w:rsid w:val="00AB2064"/>
    <w:rsid w:val="00AB20F6"/>
    <w:rsid w:val="00AB3890"/>
    <w:rsid w:val="00AB3AF9"/>
    <w:rsid w:val="00AB49FD"/>
    <w:rsid w:val="00AB5030"/>
    <w:rsid w:val="00AB61D3"/>
    <w:rsid w:val="00AB6E93"/>
    <w:rsid w:val="00AB715A"/>
    <w:rsid w:val="00AB72C7"/>
    <w:rsid w:val="00AB774A"/>
    <w:rsid w:val="00AC0070"/>
    <w:rsid w:val="00AC0AA9"/>
    <w:rsid w:val="00AC0C1B"/>
    <w:rsid w:val="00AC12D7"/>
    <w:rsid w:val="00AC1778"/>
    <w:rsid w:val="00AC26D9"/>
    <w:rsid w:val="00AC3056"/>
    <w:rsid w:val="00AC3CF0"/>
    <w:rsid w:val="00AC4370"/>
    <w:rsid w:val="00AC4416"/>
    <w:rsid w:val="00AC4930"/>
    <w:rsid w:val="00AC4BDC"/>
    <w:rsid w:val="00AC513F"/>
    <w:rsid w:val="00AC563B"/>
    <w:rsid w:val="00AC63B9"/>
    <w:rsid w:val="00AC6EE7"/>
    <w:rsid w:val="00AC6FEC"/>
    <w:rsid w:val="00AD163E"/>
    <w:rsid w:val="00AD214A"/>
    <w:rsid w:val="00AD2952"/>
    <w:rsid w:val="00AD454D"/>
    <w:rsid w:val="00AD4CC4"/>
    <w:rsid w:val="00AD54C9"/>
    <w:rsid w:val="00AD5C17"/>
    <w:rsid w:val="00AD5C80"/>
    <w:rsid w:val="00AD60AE"/>
    <w:rsid w:val="00AD69BE"/>
    <w:rsid w:val="00AD6C6D"/>
    <w:rsid w:val="00AD7F2C"/>
    <w:rsid w:val="00AE103F"/>
    <w:rsid w:val="00AE212D"/>
    <w:rsid w:val="00AE21AD"/>
    <w:rsid w:val="00AE24A3"/>
    <w:rsid w:val="00AE2753"/>
    <w:rsid w:val="00AE287E"/>
    <w:rsid w:val="00AE2986"/>
    <w:rsid w:val="00AE2BE4"/>
    <w:rsid w:val="00AE2C20"/>
    <w:rsid w:val="00AE2DF8"/>
    <w:rsid w:val="00AE3338"/>
    <w:rsid w:val="00AE3779"/>
    <w:rsid w:val="00AE3B0B"/>
    <w:rsid w:val="00AE5277"/>
    <w:rsid w:val="00AE552E"/>
    <w:rsid w:val="00AE6294"/>
    <w:rsid w:val="00AE6787"/>
    <w:rsid w:val="00AE6A1A"/>
    <w:rsid w:val="00AE6F5B"/>
    <w:rsid w:val="00AE732F"/>
    <w:rsid w:val="00AE762F"/>
    <w:rsid w:val="00AF017B"/>
    <w:rsid w:val="00AF088F"/>
    <w:rsid w:val="00AF1985"/>
    <w:rsid w:val="00AF19A5"/>
    <w:rsid w:val="00AF2456"/>
    <w:rsid w:val="00AF2F46"/>
    <w:rsid w:val="00AF450B"/>
    <w:rsid w:val="00AF4736"/>
    <w:rsid w:val="00AF47DA"/>
    <w:rsid w:val="00AF4BA5"/>
    <w:rsid w:val="00AF5363"/>
    <w:rsid w:val="00AF574A"/>
    <w:rsid w:val="00AF57E2"/>
    <w:rsid w:val="00AF59A7"/>
    <w:rsid w:val="00AF5B46"/>
    <w:rsid w:val="00AF5DC0"/>
    <w:rsid w:val="00AF6458"/>
    <w:rsid w:val="00AF6ACD"/>
    <w:rsid w:val="00AF79DE"/>
    <w:rsid w:val="00B00123"/>
    <w:rsid w:val="00B01042"/>
    <w:rsid w:val="00B012B1"/>
    <w:rsid w:val="00B01590"/>
    <w:rsid w:val="00B01C60"/>
    <w:rsid w:val="00B01F09"/>
    <w:rsid w:val="00B026C3"/>
    <w:rsid w:val="00B02722"/>
    <w:rsid w:val="00B027EC"/>
    <w:rsid w:val="00B033EC"/>
    <w:rsid w:val="00B04817"/>
    <w:rsid w:val="00B05732"/>
    <w:rsid w:val="00B05D19"/>
    <w:rsid w:val="00B065C1"/>
    <w:rsid w:val="00B0677A"/>
    <w:rsid w:val="00B06F1A"/>
    <w:rsid w:val="00B074FB"/>
    <w:rsid w:val="00B07821"/>
    <w:rsid w:val="00B07C97"/>
    <w:rsid w:val="00B07D10"/>
    <w:rsid w:val="00B07F0E"/>
    <w:rsid w:val="00B103E9"/>
    <w:rsid w:val="00B10839"/>
    <w:rsid w:val="00B10A16"/>
    <w:rsid w:val="00B10CEF"/>
    <w:rsid w:val="00B10D65"/>
    <w:rsid w:val="00B10DD6"/>
    <w:rsid w:val="00B112C9"/>
    <w:rsid w:val="00B12131"/>
    <w:rsid w:val="00B1245D"/>
    <w:rsid w:val="00B12EAE"/>
    <w:rsid w:val="00B1385E"/>
    <w:rsid w:val="00B13F1A"/>
    <w:rsid w:val="00B146D7"/>
    <w:rsid w:val="00B147CA"/>
    <w:rsid w:val="00B148EB"/>
    <w:rsid w:val="00B1490E"/>
    <w:rsid w:val="00B153CA"/>
    <w:rsid w:val="00B156F0"/>
    <w:rsid w:val="00B15900"/>
    <w:rsid w:val="00B16A2E"/>
    <w:rsid w:val="00B17B19"/>
    <w:rsid w:val="00B21DFF"/>
    <w:rsid w:val="00B22822"/>
    <w:rsid w:val="00B22B86"/>
    <w:rsid w:val="00B23028"/>
    <w:rsid w:val="00B232DA"/>
    <w:rsid w:val="00B23315"/>
    <w:rsid w:val="00B238E4"/>
    <w:rsid w:val="00B24362"/>
    <w:rsid w:val="00B245E6"/>
    <w:rsid w:val="00B24E2A"/>
    <w:rsid w:val="00B25097"/>
    <w:rsid w:val="00B25FB5"/>
    <w:rsid w:val="00B2739E"/>
    <w:rsid w:val="00B27739"/>
    <w:rsid w:val="00B27869"/>
    <w:rsid w:val="00B30634"/>
    <w:rsid w:val="00B30887"/>
    <w:rsid w:val="00B324CC"/>
    <w:rsid w:val="00B329C4"/>
    <w:rsid w:val="00B33C5B"/>
    <w:rsid w:val="00B34297"/>
    <w:rsid w:val="00B342A1"/>
    <w:rsid w:val="00B34480"/>
    <w:rsid w:val="00B349A7"/>
    <w:rsid w:val="00B34AEC"/>
    <w:rsid w:val="00B351C6"/>
    <w:rsid w:val="00B3567B"/>
    <w:rsid w:val="00B3697B"/>
    <w:rsid w:val="00B36C3F"/>
    <w:rsid w:val="00B36DBC"/>
    <w:rsid w:val="00B37DA6"/>
    <w:rsid w:val="00B41133"/>
    <w:rsid w:val="00B41D24"/>
    <w:rsid w:val="00B41FEB"/>
    <w:rsid w:val="00B425EB"/>
    <w:rsid w:val="00B4389B"/>
    <w:rsid w:val="00B44D53"/>
    <w:rsid w:val="00B4511D"/>
    <w:rsid w:val="00B451FA"/>
    <w:rsid w:val="00B453B1"/>
    <w:rsid w:val="00B45D4E"/>
    <w:rsid w:val="00B45ED6"/>
    <w:rsid w:val="00B46017"/>
    <w:rsid w:val="00B46264"/>
    <w:rsid w:val="00B4704E"/>
    <w:rsid w:val="00B47504"/>
    <w:rsid w:val="00B47FBD"/>
    <w:rsid w:val="00B508DD"/>
    <w:rsid w:val="00B5102A"/>
    <w:rsid w:val="00B512EC"/>
    <w:rsid w:val="00B51662"/>
    <w:rsid w:val="00B5195E"/>
    <w:rsid w:val="00B519CB"/>
    <w:rsid w:val="00B52FFC"/>
    <w:rsid w:val="00B53541"/>
    <w:rsid w:val="00B53B05"/>
    <w:rsid w:val="00B54042"/>
    <w:rsid w:val="00B54551"/>
    <w:rsid w:val="00B54A18"/>
    <w:rsid w:val="00B54A83"/>
    <w:rsid w:val="00B54F38"/>
    <w:rsid w:val="00B554BC"/>
    <w:rsid w:val="00B55C24"/>
    <w:rsid w:val="00B56A14"/>
    <w:rsid w:val="00B5703F"/>
    <w:rsid w:val="00B5708E"/>
    <w:rsid w:val="00B578A7"/>
    <w:rsid w:val="00B578C6"/>
    <w:rsid w:val="00B6025D"/>
    <w:rsid w:val="00B608CC"/>
    <w:rsid w:val="00B60C0C"/>
    <w:rsid w:val="00B6110C"/>
    <w:rsid w:val="00B6177E"/>
    <w:rsid w:val="00B62058"/>
    <w:rsid w:val="00B64F1E"/>
    <w:rsid w:val="00B6538E"/>
    <w:rsid w:val="00B65943"/>
    <w:rsid w:val="00B65BC8"/>
    <w:rsid w:val="00B66C69"/>
    <w:rsid w:val="00B66D47"/>
    <w:rsid w:val="00B66E2E"/>
    <w:rsid w:val="00B67569"/>
    <w:rsid w:val="00B67697"/>
    <w:rsid w:val="00B6769D"/>
    <w:rsid w:val="00B70840"/>
    <w:rsid w:val="00B70B80"/>
    <w:rsid w:val="00B71754"/>
    <w:rsid w:val="00B71AC2"/>
    <w:rsid w:val="00B72418"/>
    <w:rsid w:val="00B725D7"/>
    <w:rsid w:val="00B728F9"/>
    <w:rsid w:val="00B72D79"/>
    <w:rsid w:val="00B7302E"/>
    <w:rsid w:val="00B738F5"/>
    <w:rsid w:val="00B74302"/>
    <w:rsid w:val="00B743F3"/>
    <w:rsid w:val="00B76775"/>
    <w:rsid w:val="00B77EFB"/>
    <w:rsid w:val="00B806A8"/>
    <w:rsid w:val="00B80C05"/>
    <w:rsid w:val="00B80C5E"/>
    <w:rsid w:val="00B80C69"/>
    <w:rsid w:val="00B81AE3"/>
    <w:rsid w:val="00B81CA8"/>
    <w:rsid w:val="00B81CCC"/>
    <w:rsid w:val="00B81D0F"/>
    <w:rsid w:val="00B8236D"/>
    <w:rsid w:val="00B82D5F"/>
    <w:rsid w:val="00B8313D"/>
    <w:rsid w:val="00B8354E"/>
    <w:rsid w:val="00B835DF"/>
    <w:rsid w:val="00B83951"/>
    <w:rsid w:val="00B84A1E"/>
    <w:rsid w:val="00B859EF"/>
    <w:rsid w:val="00B866F2"/>
    <w:rsid w:val="00B86AD2"/>
    <w:rsid w:val="00B86FF6"/>
    <w:rsid w:val="00B8747B"/>
    <w:rsid w:val="00B8748A"/>
    <w:rsid w:val="00B908A2"/>
    <w:rsid w:val="00B908E9"/>
    <w:rsid w:val="00B90B07"/>
    <w:rsid w:val="00B90D88"/>
    <w:rsid w:val="00B917E8"/>
    <w:rsid w:val="00B91966"/>
    <w:rsid w:val="00B91E57"/>
    <w:rsid w:val="00B921D9"/>
    <w:rsid w:val="00B92848"/>
    <w:rsid w:val="00B932D4"/>
    <w:rsid w:val="00B93AFD"/>
    <w:rsid w:val="00B93C84"/>
    <w:rsid w:val="00B9406E"/>
    <w:rsid w:val="00B95466"/>
    <w:rsid w:val="00B95F2E"/>
    <w:rsid w:val="00B973AF"/>
    <w:rsid w:val="00B97F14"/>
    <w:rsid w:val="00BA0506"/>
    <w:rsid w:val="00BA0ACF"/>
    <w:rsid w:val="00BA0F51"/>
    <w:rsid w:val="00BA1285"/>
    <w:rsid w:val="00BA177A"/>
    <w:rsid w:val="00BA2992"/>
    <w:rsid w:val="00BA3A88"/>
    <w:rsid w:val="00BA3DCA"/>
    <w:rsid w:val="00BA3DCD"/>
    <w:rsid w:val="00BA407C"/>
    <w:rsid w:val="00BA43E1"/>
    <w:rsid w:val="00BA4C6B"/>
    <w:rsid w:val="00BA6207"/>
    <w:rsid w:val="00BA6642"/>
    <w:rsid w:val="00BA6789"/>
    <w:rsid w:val="00BA69D1"/>
    <w:rsid w:val="00BA6B4A"/>
    <w:rsid w:val="00BB0233"/>
    <w:rsid w:val="00BB0FD4"/>
    <w:rsid w:val="00BB152E"/>
    <w:rsid w:val="00BB188B"/>
    <w:rsid w:val="00BB1A0D"/>
    <w:rsid w:val="00BB1F57"/>
    <w:rsid w:val="00BB22CB"/>
    <w:rsid w:val="00BB24F4"/>
    <w:rsid w:val="00BB2710"/>
    <w:rsid w:val="00BB2F04"/>
    <w:rsid w:val="00BB3182"/>
    <w:rsid w:val="00BB31FC"/>
    <w:rsid w:val="00BB39C3"/>
    <w:rsid w:val="00BB3F4F"/>
    <w:rsid w:val="00BB4ED6"/>
    <w:rsid w:val="00BB5037"/>
    <w:rsid w:val="00BB55B0"/>
    <w:rsid w:val="00BB5702"/>
    <w:rsid w:val="00BB57F1"/>
    <w:rsid w:val="00BB5AF1"/>
    <w:rsid w:val="00BB6298"/>
    <w:rsid w:val="00BB774C"/>
    <w:rsid w:val="00BB7F2F"/>
    <w:rsid w:val="00BC003A"/>
    <w:rsid w:val="00BC10F4"/>
    <w:rsid w:val="00BC1ADB"/>
    <w:rsid w:val="00BC1C77"/>
    <w:rsid w:val="00BC208B"/>
    <w:rsid w:val="00BC2903"/>
    <w:rsid w:val="00BC2E15"/>
    <w:rsid w:val="00BC378F"/>
    <w:rsid w:val="00BC3893"/>
    <w:rsid w:val="00BC415A"/>
    <w:rsid w:val="00BC4237"/>
    <w:rsid w:val="00BC457C"/>
    <w:rsid w:val="00BC4B3F"/>
    <w:rsid w:val="00BC4CD9"/>
    <w:rsid w:val="00BC55FF"/>
    <w:rsid w:val="00BC5C24"/>
    <w:rsid w:val="00BC61F0"/>
    <w:rsid w:val="00BC633E"/>
    <w:rsid w:val="00BC7081"/>
    <w:rsid w:val="00BC7332"/>
    <w:rsid w:val="00BC782C"/>
    <w:rsid w:val="00BD0241"/>
    <w:rsid w:val="00BD0727"/>
    <w:rsid w:val="00BD0745"/>
    <w:rsid w:val="00BD1156"/>
    <w:rsid w:val="00BD22D1"/>
    <w:rsid w:val="00BD3488"/>
    <w:rsid w:val="00BD359C"/>
    <w:rsid w:val="00BD384E"/>
    <w:rsid w:val="00BD3DBC"/>
    <w:rsid w:val="00BD4AA4"/>
    <w:rsid w:val="00BD4D9B"/>
    <w:rsid w:val="00BD59AE"/>
    <w:rsid w:val="00BD6052"/>
    <w:rsid w:val="00BD681F"/>
    <w:rsid w:val="00BD70A9"/>
    <w:rsid w:val="00BE00EB"/>
    <w:rsid w:val="00BE0628"/>
    <w:rsid w:val="00BE0ABB"/>
    <w:rsid w:val="00BE0F90"/>
    <w:rsid w:val="00BE1326"/>
    <w:rsid w:val="00BE1BB1"/>
    <w:rsid w:val="00BE2433"/>
    <w:rsid w:val="00BE26D6"/>
    <w:rsid w:val="00BE28CB"/>
    <w:rsid w:val="00BE2EED"/>
    <w:rsid w:val="00BE3152"/>
    <w:rsid w:val="00BE3606"/>
    <w:rsid w:val="00BE3AEE"/>
    <w:rsid w:val="00BE3DA9"/>
    <w:rsid w:val="00BE4FE3"/>
    <w:rsid w:val="00BE5AB1"/>
    <w:rsid w:val="00BE699B"/>
    <w:rsid w:val="00BE6DAA"/>
    <w:rsid w:val="00BE7DB9"/>
    <w:rsid w:val="00BE7FD3"/>
    <w:rsid w:val="00BF21F5"/>
    <w:rsid w:val="00BF2C69"/>
    <w:rsid w:val="00BF3163"/>
    <w:rsid w:val="00BF34F4"/>
    <w:rsid w:val="00BF409C"/>
    <w:rsid w:val="00BF4650"/>
    <w:rsid w:val="00BF492A"/>
    <w:rsid w:val="00BF4A1C"/>
    <w:rsid w:val="00BF5CA2"/>
    <w:rsid w:val="00BF5F81"/>
    <w:rsid w:val="00BF6195"/>
    <w:rsid w:val="00BF61A9"/>
    <w:rsid w:val="00BF6320"/>
    <w:rsid w:val="00BF68F1"/>
    <w:rsid w:val="00BF6915"/>
    <w:rsid w:val="00BF7C13"/>
    <w:rsid w:val="00BF7CDE"/>
    <w:rsid w:val="00BF7E8F"/>
    <w:rsid w:val="00C01C4C"/>
    <w:rsid w:val="00C01CFF"/>
    <w:rsid w:val="00C02087"/>
    <w:rsid w:val="00C03CF2"/>
    <w:rsid w:val="00C0453B"/>
    <w:rsid w:val="00C04CD6"/>
    <w:rsid w:val="00C05203"/>
    <w:rsid w:val="00C0521A"/>
    <w:rsid w:val="00C05634"/>
    <w:rsid w:val="00C05B98"/>
    <w:rsid w:val="00C05F29"/>
    <w:rsid w:val="00C065AA"/>
    <w:rsid w:val="00C075AE"/>
    <w:rsid w:val="00C1118F"/>
    <w:rsid w:val="00C12DAF"/>
    <w:rsid w:val="00C13B44"/>
    <w:rsid w:val="00C141CE"/>
    <w:rsid w:val="00C143C0"/>
    <w:rsid w:val="00C14E6A"/>
    <w:rsid w:val="00C16D5F"/>
    <w:rsid w:val="00C1723F"/>
    <w:rsid w:val="00C178F9"/>
    <w:rsid w:val="00C17DFE"/>
    <w:rsid w:val="00C213AC"/>
    <w:rsid w:val="00C2151B"/>
    <w:rsid w:val="00C22646"/>
    <w:rsid w:val="00C22C9F"/>
    <w:rsid w:val="00C22E88"/>
    <w:rsid w:val="00C23156"/>
    <w:rsid w:val="00C2332E"/>
    <w:rsid w:val="00C23FA6"/>
    <w:rsid w:val="00C248D1"/>
    <w:rsid w:val="00C248F1"/>
    <w:rsid w:val="00C25209"/>
    <w:rsid w:val="00C25DE4"/>
    <w:rsid w:val="00C26483"/>
    <w:rsid w:val="00C266E0"/>
    <w:rsid w:val="00C268D6"/>
    <w:rsid w:val="00C269A9"/>
    <w:rsid w:val="00C27456"/>
    <w:rsid w:val="00C27509"/>
    <w:rsid w:val="00C27613"/>
    <w:rsid w:val="00C276F3"/>
    <w:rsid w:val="00C27A81"/>
    <w:rsid w:val="00C30360"/>
    <w:rsid w:val="00C309DC"/>
    <w:rsid w:val="00C318CB"/>
    <w:rsid w:val="00C32832"/>
    <w:rsid w:val="00C328B9"/>
    <w:rsid w:val="00C3382B"/>
    <w:rsid w:val="00C33FB7"/>
    <w:rsid w:val="00C3443A"/>
    <w:rsid w:val="00C35152"/>
    <w:rsid w:val="00C35453"/>
    <w:rsid w:val="00C35971"/>
    <w:rsid w:val="00C3717C"/>
    <w:rsid w:val="00C376C3"/>
    <w:rsid w:val="00C37776"/>
    <w:rsid w:val="00C379AC"/>
    <w:rsid w:val="00C40011"/>
    <w:rsid w:val="00C4099A"/>
    <w:rsid w:val="00C40CC6"/>
    <w:rsid w:val="00C413F7"/>
    <w:rsid w:val="00C418B5"/>
    <w:rsid w:val="00C42269"/>
    <w:rsid w:val="00C42386"/>
    <w:rsid w:val="00C42DF2"/>
    <w:rsid w:val="00C43CB5"/>
    <w:rsid w:val="00C44268"/>
    <w:rsid w:val="00C442EE"/>
    <w:rsid w:val="00C443BC"/>
    <w:rsid w:val="00C447B9"/>
    <w:rsid w:val="00C44EC9"/>
    <w:rsid w:val="00C4508D"/>
    <w:rsid w:val="00C45C0E"/>
    <w:rsid w:val="00C45DFC"/>
    <w:rsid w:val="00C4616C"/>
    <w:rsid w:val="00C468EA"/>
    <w:rsid w:val="00C47519"/>
    <w:rsid w:val="00C4780E"/>
    <w:rsid w:val="00C47843"/>
    <w:rsid w:val="00C50A96"/>
    <w:rsid w:val="00C5113D"/>
    <w:rsid w:val="00C52114"/>
    <w:rsid w:val="00C52289"/>
    <w:rsid w:val="00C526D4"/>
    <w:rsid w:val="00C52BD2"/>
    <w:rsid w:val="00C53BA3"/>
    <w:rsid w:val="00C543AE"/>
    <w:rsid w:val="00C54886"/>
    <w:rsid w:val="00C548C4"/>
    <w:rsid w:val="00C5541C"/>
    <w:rsid w:val="00C557B1"/>
    <w:rsid w:val="00C55F24"/>
    <w:rsid w:val="00C562FA"/>
    <w:rsid w:val="00C57130"/>
    <w:rsid w:val="00C5766A"/>
    <w:rsid w:val="00C60112"/>
    <w:rsid w:val="00C610D7"/>
    <w:rsid w:val="00C63863"/>
    <w:rsid w:val="00C63A8F"/>
    <w:rsid w:val="00C6407C"/>
    <w:rsid w:val="00C6507D"/>
    <w:rsid w:val="00C660B2"/>
    <w:rsid w:val="00C67400"/>
    <w:rsid w:val="00C67EE7"/>
    <w:rsid w:val="00C70B2C"/>
    <w:rsid w:val="00C70B5D"/>
    <w:rsid w:val="00C7164C"/>
    <w:rsid w:val="00C71E28"/>
    <w:rsid w:val="00C72187"/>
    <w:rsid w:val="00C722CF"/>
    <w:rsid w:val="00C72354"/>
    <w:rsid w:val="00C7249D"/>
    <w:rsid w:val="00C7318E"/>
    <w:rsid w:val="00C73B28"/>
    <w:rsid w:val="00C73DA4"/>
    <w:rsid w:val="00C741EA"/>
    <w:rsid w:val="00C744E1"/>
    <w:rsid w:val="00C7458D"/>
    <w:rsid w:val="00C75256"/>
    <w:rsid w:val="00C7557B"/>
    <w:rsid w:val="00C75900"/>
    <w:rsid w:val="00C75F3E"/>
    <w:rsid w:val="00C7641D"/>
    <w:rsid w:val="00C77AE6"/>
    <w:rsid w:val="00C807DF"/>
    <w:rsid w:val="00C807E1"/>
    <w:rsid w:val="00C80C0E"/>
    <w:rsid w:val="00C82737"/>
    <w:rsid w:val="00C83750"/>
    <w:rsid w:val="00C846AD"/>
    <w:rsid w:val="00C848DC"/>
    <w:rsid w:val="00C84FAC"/>
    <w:rsid w:val="00C85381"/>
    <w:rsid w:val="00C854E3"/>
    <w:rsid w:val="00C85B05"/>
    <w:rsid w:val="00C86752"/>
    <w:rsid w:val="00C87263"/>
    <w:rsid w:val="00C9196F"/>
    <w:rsid w:val="00C91CCD"/>
    <w:rsid w:val="00C92158"/>
    <w:rsid w:val="00C926F0"/>
    <w:rsid w:val="00C92827"/>
    <w:rsid w:val="00C93320"/>
    <w:rsid w:val="00C93446"/>
    <w:rsid w:val="00C93B81"/>
    <w:rsid w:val="00C93C00"/>
    <w:rsid w:val="00C93F39"/>
    <w:rsid w:val="00C9413A"/>
    <w:rsid w:val="00C94DAF"/>
    <w:rsid w:val="00C94E0F"/>
    <w:rsid w:val="00C94F1B"/>
    <w:rsid w:val="00C95958"/>
    <w:rsid w:val="00C975A1"/>
    <w:rsid w:val="00C97939"/>
    <w:rsid w:val="00C97962"/>
    <w:rsid w:val="00C97C21"/>
    <w:rsid w:val="00C97E27"/>
    <w:rsid w:val="00CA0EAE"/>
    <w:rsid w:val="00CA15CC"/>
    <w:rsid w:val="00CA2137"/>
    <w:rsid w:val="00CA2218"/>
    <w:rsid w:val="00CA2A24"/>
    <w:rsid w:val="00CA2A5A"/>
    <w:rsid w:val="00CA2EAC"/>
    <w:rsid w:val="00CA4201"/>
    <w:rsid w:val="00CA4261"/>
    <w:rsid w:val="00CA4FDA"/>
    <w:rsid w:val="00CA5401"/>
    <w:rsid w:val="00CA5A17"/>
    <w:rsid w:val="00CA5C4B"/>
    <w:rsid w:val="00CA5FD6"/>
    <w:rsid w:val="00CA6061"/>
    <w:rsid w:val="00CA6393"/>
    <w:rsid w:val="00CA6D82"/>
    <w:rsid w:val="00CA6F65"/>
    <w:rsid w:val="00CA7366"/>
    <w:rsid w:val="00CA74EB"/>
    <w:rsid w:val="00CA75B1"/>
    <w:rsid w:val="00CA7C39"/>
    <w:rsid w:val="00CA7CCB"/>
    <w:rsid w:val="00CB05F6"/>
    <w:rsid w:val="00CB0863"/>
    <w:rsid w:val="00CB1535"/>
    <w:rsid w:val="00CB1A28"/>
    <w:rsid w:val="00CB1A40"/>
    <w:rsid w:val="00CB2210"/>
    <w:rsid w:val="00CB3578"/>
    <w:rsid w:val="00CB3B19"/>
    <w:rsid w:val="00CB414B"/>
    <w:rsid w:val="00CB41AE"/>
    <w:rsid w:val="00CB493A"/>
    <w:rsid w:val="00CB6451"/>
    <w:rsid w:val="00CB66F3"/>
    <w:rsid w:val="00CB69F9"/>
    <w:rsid w:val="00CB7D7E"/>
    <w:rsid w:val="00CC0337"/>
    <w:rsid w:val="00CC0EA5"/>
    <w:rsid w:val="00CC0F11"/>
    <w:rsid w:val="00CC1637"/>
    <w:rsid w:val="00CC1C19"/>
    <w:rsid w:val="00CC1EA6"/>
    <w:rsid w:val="00CC2059"/>
    <w:rsid w:val="00CC23FF"/>
    <w:rsid w:val="00CC2729"/>
    <w:rsid w:val="00CC29EC"/>
    <w:rsid w:val="00CC2A72"/>
    <w:rsid w:val="00CC2C71"/>
    <w:rsid w:val="00CC3597"/>
    <w:rsid w:val="00CC4346"/>
    <w:rsid w:val="00CC58C6"/>
    <w:rsid w:val="00CC58FB"/>
    <w:rsid w:val="00CC5E9D"/>
    <w:rsid w:val="00CC6858"/>
    <w:rsid w:val="00CC790C"/>
    <w:rsid w:val="00CD05D3"/>
    <w:rsid w:val="00CD0C5C"/>
    <w:rsid w:val="00CD23D5"/>
    <w:rsid w:val="00CD27EF"/>
    <w:rsid w:val="00CD34C3"/>
    <w:rsid w:val="00CD3A2E"/>
    <w:rsid w:val="00CD3B93"/>
    <w:rsid w:val="00CD4C6C"/>
    <w:rsid w:val="00CD4E23"/>
    <w:rsid w:val="00CD4FEE"/>
    <w:rsid w:val="00CD5198"/>
    <w:rsid w:val="00CD54DD"/>
    <w:rsid w:val="00CD57CB"/>
    <w:rsid w:val="00CD5C4F"/>
    <w:rsid w:val="00CD62EB"/>
    <w:rsid w:val="00CE0AF0"/>
    <w:rsid w:val="00CE220B"/>
    <w:rsid w:val="00CE23BF"/>
    <w:rsid w:val="00CE31E3"/>
    <w:rsid w:val="00CE37A9"/>
    <w:rsid w:val="00CE3CA5"/>
    <w:rsid w:val="00CE43FD"/>
    <w:rsid w:val="00CE4410"/>
    <w:rsid w:val="00CE4506"/>
    <w:rsid w:val="00CE468A"/>
    <w:rsid w:val="00CE534F"/>
    <w:rsid w:val="00CE5E06"/>
    <w:rsid w:val="00CE60B0"/>
    <w:rsid w:val="00CE64E7"/>
    <w:rsid w:val="00CE6D5B"/>
    <w:rsid w:val="00CE6E7F"/>
    <w:rsid w:val="00CE74A6"/>
    <w:rsid w:val="00CF0014"/>
    <w:rsid w:val="00CF020A"/>
    <w:rsid w:val="00CF0DA4"/>
    <w:rsid w:val="00CF1952"/>
    <w:rsid w:val="00CF2060"/>
    <w:rsid w:val="00CF2169"/>
    <w:rsid w:val="00CF23F6"/>
    <w:rsid w:val="00CF247A"/>
    <w:rsid w:val="00CF2543"/>
    <w:rsid w:val="00CF3E68"/>
    <w:rsid w:val="00CF4202"/>
    <w:rsid w:val="00CF4401"/>
    <w:rsid w:val="00CF46A9"/>
    <w:rsid w:val="00CF4C44"/>
    <w:rsid w:val="00CF5331"/>
    <w:rsid w:val="00CF5426"/>
    <w:rsid w:val="00CF5994"/>
    <w:rsid w:val="00CF6228"/>
    <w:rsid w:val="00CF770A"/>
    <w:rsid w:val="00D006B0"/>
    <w:rsid w:val="00D01201"/>
    <w:rsid w:val="00D02580"/>
    <w:rsid w:val="00D026EC"/>
    <w:rsid w:val="00D0289A"/>
    <w:rsid w:val="00D02ED1"/>
    <w:rsid w:val="00D035E4"/>
    <w:rsid w:val="00D0363D"/>
    <w:rsid w:val="00D0378E"/>
    <w:rsid w:val="00D0427A"/>
    <w:rsid w:val="00D053F0"/>
    <w:rsid w:val="00D0580E"/>
    <w:rsid w:val="00D05985"/>
    <w:rsid w:val="00D05D64"/>
    <w:rsid w:val="00D06177"/>
    <w:rsid w:val="00D06224"/>
    <w:rsid w:val="00D06ADE"/>
    <w:rsid w:val="00D06BA9"/>
    <w:rsid w:val="00D07140"/>
    <w:rsid w:val="00D077FB"/>
    <w:rsid w:val="00D07E44"/>
    <w:rsid w:val="00D10C63"/>
    <w:rsid w:val="00D10E16"/>
    <w:rsid w:val="00D11999"/>
    <w:rsid w:val="00D11ED3"/>
    <w:rsid w:val="00D12040"/>
    <w:rsid w:val="00D12461"/>
    <w:rsid w:val="00D125BD"/>
    <w:rsid w:val="00D12955"/>
    <w:rsid w:val="00D13736"/>
    <w:rsid w:val="00D13C65"/>
    <w:rsid w:val="00D13E06"/>
    <w:rsid w:val="00D141FA"/>
    <w:rsid w:val="00D147A1"/>
    <w:rsid w:val="00D14865"/>
    <w:rsid w:val="00D14B47"/>
    <w:rsid w:val="00D1505E"/>
    <w:rsid w:val="00D150BC"/>
    <w:rsid w:val="00D15161"/>
    <w:rsid w:val="00D15982"/>
    <w:rsid w:val="00D16D68"/>
    <w:rsid w:val="00D173C5"/>
    <w:rsid w:val="00D17E1A"/>
    <w:rsid w:val="00D20A18"/>
    <w:rsid w:val="00D21947"/>
    <w:rsid w:val="00D21967"/>
    <w:rsid w:val="00D22A54"/>
    <w:rsid w:val="00D22B46"/>
    <w:rsid w:val="00D22E78"/>
    <w:rsid w:val="00D23123"/>
    <w:rsid w:val="00D235E7"/>
    <w:rsid w:val="00D23BC0"/>
    <w:rsid w:val="00D24A12"/>
    <w:rsid w:val="00D24E1A"/>
    <w:rsid w:val="00D263E5"/>
    <w:rsid w:val="00D2641D"/>
    <w:rsid w:val="00D271C4"/>
    <w:rsid w:val="00D2740F"/>
    <w:rsid w:val="00D27B43"/>
    <w:rsid w:val="00D27FBE"/>
    <w:rsid w:val="00D3018B"/>
    <w:rsid w:val="00D3069D"/>
    <w:rsid w:val="00D3069E"/>
    <w:rsid w:val="00D3095F"/>
    <w:rsid w:val="00D30B22"/>
    <w:rsid w:val="00D311E7"/>
    <w:rsid w:val="00D317E9"/>
    <w:rsid w:val="00D317FA"/>
    <w:rsid w:val="00D31D65"/>
    <w:rsid w:val="00D31F90"/>
    <w:rsid w:val="00D32134"/>
    <w:rsid w:val="00D33044"/>
    <w:rsid w:val="00D341C6"/>
    <w:rsid w:val="00D34EFB"/>
    <w:rsid w:val="00D353DD"/>
    <w:rsid w:val="00D35547"/>
    <w:rsid w:val="00D356D6"/>
    <w:rsid w:val="00D35EDC"/>
    <w:rsid w:val="00D36E44"/>
    <w:rsid w:val="00D37387"/>
    <w:rsid w:val="00D374EC"/>
    <w:rsid w:val="00D37AAC"/>
    <w:rsid w:val="00D401B9"/>
    <w:rsid w:val="00D4022A"/>
    <w:rsid w:val="00D40606"/>
    <w:rsid w:val="00D40ED3"/>
    <w:rsid w:val="00D41679"/>
    <w:rsid w:val="00D41C7E"/>
    <w:rsid w:val="00D42134"/>
    <w:rsid w:val="00D4237F"/>
    <w:rsid w:val="00D42436"/>
    <w:rsid w:val="00D43788"/>
    <w:rsid w:val="00D448FA"/>
    <w:rsid w:val="00D44E78"/>
    <w:rsid w:val="00D4512A"/>
    <w:rsid w:val="00D45AB2"/>
    <w:rsid w:val="00D45DE3"/>
    <w:rsid w:val="00D46532"/>
    <w:rsid w:val="00D46A48"/>
    <w:rsid w:val="00D46B44"/>
    <w:rsid w:val="00D47F48"/>
    <w:rsid w:val="00D50AC2"/>
    <w:rsid w:val="00D515DA"/>
    <w:rsid w:val="00D51607"/>
    <w:rsid w:val="00D51D05"/>
    <w:rsid w:val="00D52DD1"/>
    <w:rsid w:val="00D53777"/>
    <w:rsid w:val="00D537BE"/>
    <w:rsid w:val="00D53A5B"/>
    <w:rsid w:val="00D541EE"/>
    <w:rsid w:val="00D54654"/>
    <w:rsid w:val="00D549D4"/>
    <w:rsid w:val="00D54B05"/>
    <w:rsid w:val="00D554FD"/>
    <w:rsid w:val="00D574CB"/>
    <w:rsid w:val="00D57BC0"/>
    <w:rsid w:val="00D606C8"/>
    <w:rsid w:val="00D624A4"/>
    <w:rsid w:val="00D640A0"/>
    <w:rsid w:val="00D641E2"/>
    <w:rsid w:val="00D642FA"/>
    <w:rsid w:val="00D6430E"/>
    <w:rsid w:val="00D65197"/>
    <w:rsid w:val="00D65539"/>
    <w:rsid w:val="00D65547"/>
    <w:rsid w:val="00D66072"/>
    <w:rsid w:val="00D66491"/>
    <w:rsid w:val="00D66DC7"/>
    <w:rsid w:val="00D678DA"/>
    <w:rsid w:val="00D707E6"/>
    <w:rsid w:val="00D70E51"/>
    <w:rsid w:val="00D711D6"/>
    <w:rsid w:val="00D71DD4"/>
    <w:rsid w:val="00D728E9"/>
    <w:rsid w:val="00D72E1C"/>
    <w:rsid w:val="00D72E42"/>
    <w:rsid w:val="00D730BF"/>
    <w:rsid w:val="00D7323F"/>
    <w:rsid w:val="00D73F21"/>
    <w:rsid w:val="00D7480B"/>
    <w:rsid w:val="00D74960"/>
    <w:rsid w:val="00D74A9C"/>
    <w:rsid w:val="00D75317"/>
    <w:rsid w:val="00D76A0C"/>
    <w:rsid w:val="00D771E9"/>
    <w:rsid w:val="00D8001B"/>
    <w:rsid w:val="00D802A3"/>
    <w:rsid w:val="00D80962"/>
    <w:rsid w:val="00D809CB"/>
    <w:rsid w:val="00D81882"/>
    <w:rsid w:val="00D81B77"/>
    <w:rsid w:val="00D827F3"/>
    <w:rsid w:val="00D82F62"/>
    <w:rsid w:val="00D83415"/>
    <w:rsid w:val="00D839CA"/>
    <w:rsid w:val="00D83FB6"/>
    <w:rsid w:val="00D84EC7"/>
    <w:rsid w:val="00D85195"/>
    <w:rsid w:val="00D85AD7"/>
    <w:rsid w:val="00D86530"/>
    <w:rsid w:val="00D86997"/>
    <w:rsid w:val="00D86F23"/>
    <w:rsid w:val="00D874E2"/>
    <w:rsid w:val="00D908D3"/>
    <w:rsid w:val="00D90A2A"/>
    <w:rsid w:val="00D915B1"/>
    <w:rsid w:val="00D9170D"/>
    <w:rsid w:val="00D9206A"/>
    <w:rsid w:val="00D926BD"/>
    <w:rsid w:val="00D9327F"/>
    <w:rsid w:val="00D93665"/>
    <w:rsid w:val="00D93F7E"/>
    <w:rsid w:val="00D9417A"/>
    <w:rsid w:val="00D94209"/>
    <w:rsid w:val="00D959C0"/>
    <w:rsid w:val="00D95C8A"/>
    <w:rsid w:val="00D96A3E"/>
    <w:rsid w:val="00DA0281"/>
    <w:rsid w:val="00DA11C5"/>
    <w:rsid w:val="00DA17BB"/>
    <w:rsid w:val="00DA1C85"/>
    <w:rsid w:val="00DA23B1"/>
    <w:rsid w:val="00DA29D2"/>
    <w:rsid w:val="00DA3169"/>
    <w:rsid w:val="00DA35F3"/>
    <w:rsid w:val="00DA4519"/>
    <w:rsid w:val="00DA4AE8"/>
    <w:rsid w:val="00DA5159"/>
    <w:rsid w:val="00DA5253"/>
    <w:rsid w:val="00DA52A3"/>
    <w:rsid w:val="00DA5829"/>
    <w:rsid w:val="00DA663D"/>
    <w:rsid w:val="00DA798C"/>
    <w:rsid w:val="00DA7998"/>
    <w:rsid w:val="00DA7A47"/>
    <w:rsid w:val="00DA7FD4"/>
    <w:rsid w:val="00DB0CC6"/>
    <w:rsid w:val="00DB1E38"/>
    <w:rsid w:val="00DB1E66"/>
    <w:rsid w:val="00DB1FE1"/>
    <w:rsid w:val="00DB3262"/>
    <w:rsid w:val="00DB3F9A"/>
    <w:rsid w:val="00DB448D"/>
    <w:rsid w:val="00DB4682"/>
    <w:rsid w:val="00DB4719"/>
    <w:rsid w:val="00DB4CE1"/>
    <w:rsid w:val="00DB6746"/>
    <w:rsid w:val="00DB6AC3"/>
    <w:rsid w:val="00DB70CE"/>
    <w:rsid w:val="00DB751B"/>
    <w:rsid w:val="00DB773E"/>
    <w:rsid w:val="00DB7A9B"/>
    <w:rsid w:val="00DB7C6B"/>
    <w:rsid w:val="00DC01A3"/>
    <w:rsid w:val="00DC03C0"/>
    <w:rsid w:val="00DC0CE8"/>
    <w:rsid w:val="00DC0D14"/>
    <w:rsid w:val="00DC0EB9"/>
    <w:rsid w:val="00DC172E"/>
    <w:rsid w:val="00DC25E8"/>
    <w:rsid w:val="00DC2C2E"/>
    <w:rsid w:val="00DC37F7"/>
    <w:rsid w:val="00DC4787"/>
    <w:rsid w:val="00DC48D0"/>
    <w:rsid w:val="00DC68B8"/>
    <w:rsid w:val="00DC6EEB"/>
    <w:rsid w:val="00DC75AC"/>
    <w:rsid w:val="00DC79F9"/>
    <w:rsid w:val="00DD0217"/>
    <w:rsid w:val="00DD03BA"/>
    <w:rsid w:val="00DD056C"/>
    <w:rsid w:val="00DD0B71"/>
    <w:rsid w:val="00DD1091"/>
    <w:rsid w:val="00DD12AC"/>
    <w:rsid w:val="00DD23AF"/>
    <w:rsid w:val="00DD371B"/>
    <w:rsid w:val="00DD37DE"/>
    <w:rsid w:val="00DD3A57"/>
    <w:rsid w:val="00DD3FD6"/>
    <w:rsid w:val="00DD50BF"/>
    <w:rsid w:val="00DD56BD"/>
    <w:rsid w:val="00DD5FD5"/>
    <w:rsid w:val="00DD6AEF"/>
    <w:rsid w:val="00DD6ECE"/>
    <w:rsid w:val="00DD79C1"/>
    <w:rsid w:val="00DD7EE2"/>
    <w:rsid w:val="00DE08C5"/>
    <w:rsid w:val="00DE0C2E"/>
    <w:rsid w:val="00DE1707"/>
    <w:rsid w:val="00DE178E"/>
    <w:rsid w:val="00DE2507"/>
    <w:rsid w:val="00DE27AB"/>
    <w:rsid w:val="00DE302B"/>
    <w:rsid w:val="00DE328E"/>
    <w:rsid w:val="00DE431C"/>
    <w:rsid w:val="00DE4EDE"/>
    <w:rsid w:val="00DE5F96"/>
    <w:rsid w:val="00DE62B4"/>
    <w:rsid w:val="00DE663A"/>
    <w:rsid w:val="00DE6646"/>
    <w:rsid w:val="00DE6764"/>
    <w:rsid w:val="00DE68B1"/>
    <w:rsid w:val="00DE7497"/>
    <w:rsid w:val="00DE7714"/>
    <w:rsid w:val="00DE7F48"/>
    <w:rsid w:val="00DE7F8D"/>
    <w:rsid w:val="00DF0AF0"/>
    <w:rsid w:val="00DF2E3F"/>
    <w:rsid w:val="00DF30CE"/>
    <w:rsid w:val="00DF31C0"/>
    <w:rsid w:val="00DF383D"/>
    <w:rsid w:val="00DF38CD"/>
    <w:rsid w:val="00DF39FD"/>
    <w:rsid w:val="00DF5898"/>
    <w:rsid w:val="00DF641B"/>
    <w:rsid w:val="00DF68CE"/>
    <w:rsid w:val="00DF6DE8"/>
    <w:rsid w:val="00DF7AE1"/>
    <w:rsid w:val="00E0020C"/>
    <w:rsid w:val="00E0114C"/>
    <w:rsid w:val="00E01CB3"/>
    <w:rsid w:val="00E02B5A"/>
    <w:rsid w:val="00E03BBF"/>
    <w:rsid w:val="00E04197"/>
    <w:rsid w:val="00E0441A"/>
    <w:rsid w:val="00E04631"/>
    <w:rsid w:val="00E05EDF"/>
    <w:rsid w:val="00E062E0"/>
    <w:rsid w:val="00E06C48"/>
    <w:rsid w:val="00E07862"/>
    <w:rsid w:val="00E07CEE"/>
    <w:rsid w:val="00E10031"/>
    <w:rsid w:val="00E10313"/>
    <w:rsid w:val="00E10390"/>
    <w:rsid w:val="00E11788"/>
    <w:rsid w:val="00E12AC9"/>
    <w:rsid w:val="00E12C3F"/>
    <w:rsid w:val="00E13A4B"/>
    <w:rsid w:val="00E1447B"/>
    <w:rsid w:val="00E146FB"/>
    <w:rsid w:val="00E14988"/>
    <w:rsid w:val="00E14E48"/>
    <w:rsid w:val="00E14EDF"/>
    <w:rsid w:val="00E14F5B"/>
    <w:rsid w:val="00E1550C"/>
    <w:rsid w:val="00E15F16"/>
    <w:rsid w:val="00E16268"/>
    <w:rsid w:val="00E17697"/>
    <w:rsid w:val="00E176E2"/>
    <w:rsid w:val="00E17823"/>
    <w:rsid w:val="00E17BB1"/>
    <w:rsid w:val="00E20467"/>
    <w:rsid w:val="00E20543"/>
    <w:rsid w:val="00E21235"/>
    <w:rsid w:val="00E213F0"/>
    <w:rsid w:val="00E21EC0"/>
    <w:rsid w:val="00E22BF5"/>
    <w:rsid w:val="00E2375D"/>
    <w:rsid w:val="00E2651C"/>
    <w:rsid w:val="00E2673C"/>
    <w:rsid w:val="00E276FA"/>
    <w:rsid w:val="00E304F0"/>
    <w:rsid w:val="00E30D3C"/>
    <w:rsid w:val="00E31846"/>
    <w:rsid w:val="00E31B1D"/>
    <w:rsid w:val="00E31CC8"/>
    <w:rsid w:val="00E31D89"/>
    <w:rsid w:val="00E31DE3"/>
    <w:rsid w:val="00E31F0C"/>
    <w:rsid w:val="00E31FDA"/>
    <w:rsid w:val="00E326B1"/>
    <w:rsid w:val="00E33E8C"/>
    <w:rsid w:val="00E34346"/>
    <w:rsid w:val="00E344DC"/>
    <w:rsid w:val="00E347AE"/>
    <w:rsid w:val="00E34EA3"/>
    <w:rsid w:val="00E353AC"/>
    <w:rsid w:val="00E3565D"/>
    <w:rsid w:val="00E36527"/>
    <w:rsid w:val="00E36552"/>
    <w:rsid w:val="00E36605"/>
    <w:rsid w:val="00E3681D"/>
    <w:rsid w:val="00E372DF"/>
    <w:rsid w:val="00E379C1"/>
    <w:rsid w:val="00E41778"/>
    <w:rsid w:val="00E41AE9"/>
    <w:rsid w:val="00E424CA"/>
    <w:rsid w:val="00E42D4C"/>
    <w:rsid w:val="00E43C8B"/>
    <w:rsid w:val="00E44049"/>
    <w:rsid w:val="00E444D8"/>
    <w:rsid w:val="00E44677"/>
    <w:rsid w:val="00E449BE"/>
    <w:rsid w:val="00E44F54"/>
    <w:rsid w:val="00E45520"/>
    <w:rsid w:val="00E45DE5"/>
    <w:rsid w:val="00E465C2"/>
    <w:rsid w:val="00E468AC"/>
    <w:rsid w:val="00E47204"/>
    <w:rsid w:val="00E472B1"/>
    <w:rsid w:val="00E47F4D"/>
    <w:rsid w:val="00E50132"/>
    <w:rsid w:val="00E50352"/>
    <w:rsid w:val="00E50966"/>
    <w:rsid w:val="00E50E68"/>
    <w:rsid w:val="00E512E4"/>
    <w:rsid w:val="00E51BB1"/>
    <w:rsid w:val="00E524FE"/>
    <w:rsid w:val="00E538D8"/>
    <w:rsid w:val="00E53A6F"/>
    <w:rsid w:val="00E54053"/>
    <w:rsid w:val="00E554B6"/>
    <w:rsid w:val="00E5561D"/>
    <w:rsid w:val="00E559FB"/>
    <w:rsid w:val="00E55B50"/>
    <w:rsid w:val="00E55CE9"/>
    <w:rsid w:val="00E56465"/>
    <w:rsid w:val="00E564E9"/>
    <w:rsid w:val="00E56A5A"/>
    <w:rsid w:val="00E571E9"/>
    <w:rsid w:val="00E57C07"/>
    <w:rsid w:val="00E57E4E"/>
    <w:rsid w:val="00E6041B"/>
    <w:rsid w:val="00E60AE1"/>
    <w:rsid w:val="00E60C16"/>
    <w:rsid w:val="00E61695"/>
    <w:rsid w:val="00E62223"/>
    <w:rsid w:val="00E6320E"/>
    <w:rsid w:val="00E637ED"/>
    <w:rsid w:val="00E63891"/>
    <w:rsid w:val="00E646C6"/>
    <w:rsid w:val="00E65705"/>
    <w:rsid w:val="00E65C15"/>
    <w:rsid w:val="00E67015"/>
    <w:rsid w:val="00E672C0"/>
    <w:rsid w:val="00E677D7"/>
    <w:rsid w:val="00E70557"/>
    <w:rsid w:val="00E70991"/>
    <w:rsid w:val="00E70AF2"/>
    <w:rsid w:val="00E727E1"/>
    <w:rsid w:val="00E73195"/>
    <w:rsid w:val="00E751DE"/>
    <w:rsid w:val="00E7664D"/>
    <w:rsid w:val="00E7675A"/>
    <w:rsid w:val="00E76773"/>
    <w:rsid w:val="00E76BD2"/>
    <w:rsid w:val="00E772D0"/>
    <w:rsid w:val="00E8045F"/>
    <w:rsid w:val="00E807AE"/>
    <w:rsid w:val="00E80C4C"/>
    <w:rsid w:val="00E8246D"/>
    <w:rsid w:val="00E82B9A"/>
    <w:rsid w:val="00E838B7"/>
    <w:rsid w:val="00E840A2"/>
    <w:rsid w:val="00E848FF"/>
    <w:rsid w:val="00E85237"/>
    <w:rsid w:val="00E85ADA"/>
    <w:rsid w:val="00E865CE"/>
    <w:rsid w:val="00E86FA9"/>
    <w:rsid w:val="00E9060B"/>
    <w:rsid w:val="00E907CE"/>
    <w:rsid w:val="00E9082E"/>
    <w:rsid w:val="00E90CC4"/>
    <w:rsid w:val="00E9117F"/>
    <w:rsid w:val="00E91C4B"/>
    <w:rsid w:val="00E91DB3"/>
    <w:rsid w:val="00E928E9"/>
    <w:rsid w:val="00E934DA"/>
    <w:rsid w:val="00E93765"/>
    <w:rsid w:val="00E93D8C"/>
    <w:rsid w:val="00E9436E"/>
    <w:rsid w:val="00E94C06"/>
    <w:rsid w:val="00E959F1"/>
    <w:rsid w:val="00E9653E"/>
    <w:rsid w:val="00E96A83"/>
    <w:rsid w:val="00E96B9A"/>
    <w:rsid w:val="00EA02A1"/>
    <w:rsid w:val="00EA07F2"/>
    <w:rsid w:val="00EA07FE"/>
    <w:rsid w:val="00EA1245"/>
    <w:rsid w:val="00EA135C"/>
    <w:rsid w:val="00EA25B5"/>
    <w:rsid w:val="00EA2BA5"/>
    <w:rsid w:val="00EA2EE4"/>
    <w:rsid w:val="00EA3059"/>
    <w:rsid w:val="00EA3DCC"/>
    <w:rsid w:val="00EA425C"/>
    <w:rsid w:val="00EA42EB"/>
    <w:rsid w:val="00EA454F"/>
    <w:rsid w:val="00EA6536"/>
    <w:rsid w:val="00EA7D1D"/>
    <w:rsid w:val="00EB016C"/>
    <w:rsid w:val="00EB06E0"/>
    <w:rsid w:val="00EB140A"/>
    <w:rsid w:val="00EB14E1"/>
    <w:rsid w:val="00EB1717"/>
    <w:rsid w:val="00EB201E"/>
    <w:rsid w:val="00EB214F"/>
    <w:rsid w:val="00EB26AE"/>
    <w:rsid w:val="00EB3C40"/>
    <w:rsid w:val="00EB3CC6"/>
    <w:rsid w:val="00EB3FC9"/>
    <w:rsid w:val="00EB3FCC"/>
    <w:rsid w:val="00EB4DD1"/>
    <w:rsid w:val="00EB58D0"/>
    <w:rsid w:val="00EB6315"/>
    <w:rsid w:val="00EB64B5"/>
    <w:rsid w:val="00EB66DF"/>
    <w:rsid w:val="00EB6905"/>
    <w:rsid w:val="00EB733C"/>
    <w:rsid w:val="00EB7C20"/>
    <w:rsid w:val="00EC1560"/>
    <w:rsid w:val="00EC1F26"/>
    <w:rsid w:val="00EC261F"/>
    <w:rsid w:val="00EC2652"/>
    <w:rsid w:val="00EC27E2"/>
    <w:rsid w:val="00EC363C"/>
    <w:rsid w:val="00EC38BC"/>
    <w:rsid w:val="00EC3EE7"/>
    <w:rsid w:val="00EC4B7C"/>
    <w:rsid w:val="00EC4CDE"/>
    <w:rsid w:val="00EC546F"/>
    <w:rsid w:val="00EC5892"/>
    <w:rsid w:val="00EC6F48"/>
    <w:rsid w:val="00EC766D"/>
    <w:rsid w:val="00ED2571"/>
    <w:rsid w:val="00ED25EB"/>
    <w:rsid w:val="00ED2C0D"/>
    <w:rsid w:val="00ED2CC1"/>
    <w:rsid w:val="00ED332F"/>
    <w:rsid w:val="00ED482D"/>
    <w:rsid w:val="00ED4905"/>
    <w:rsid w:val="00ED4BA1"/>
    <w:rsid w:val="00ED5EAF"/>
    <w:rsid w:val="00ED6105"/>
    <w:rsid w:val="00ED64F0"/>
    <w:rsid w:val="00ED65DC"/>
    <w:rsid w:val="00ED688C"/>
    <w:rsid w:val="00ED6D2D"/>
    <w:rsid w:val="00ED6E2A"/>
    <w:rsid w:val="00ED75AA"/>
    <w:rsid w:val="00EE0F20"/>
    <w:rsid w:val="00EE17A9"/>
    <w:rsid w:val="00EE1D20"/>
    <w:rsid w:val="00EE1F97"/>
    <w:rsid w:val="00EE294C"/>
    <w:rsid w:val="00EE2B41"/>
    <w:rsid w:val="00EE340C"/>
    <w:rsid w:val="00EE345C"/>
    <w:rsid w:val="00EE354B"/>
    <w:rsid w:val="00EE3C9B"/>
    <w:rsid w:val="00EE4056"/>
    <w:rsid w:val="00EE408F"/>
    <w:rsid w:val="00EE4B81"/>
    <w:rsid w:val="00EE53C0"/>
    <w:rsid w:val="00EE5701"/>
    <w:rsid w:val="00EE7797"/>
    <w:rsid w:val="00EE7CFD"/>
    <w:rsid w:val="00EF00F9"/>
    <w:rsid w:val="00EF0B37"/>
    <w:rsid w:val="00EF0C67"/>
    <w:rsid w:val="00EF14AA"/>
    <w:rsid w:val="00EF1974"/>
    <w:rsid w:val="00EF1B25"/>
    <w:rsid w:val="00EF1D8C"/>
    <w:rsid w:val="00EF2403"/>
    <w:rsid w:val="00EF28A7"/>
    <w:rsid w:val="00EF342F"/>
    <w:rsid w:val="00EF4456"/>
    <w:rsid w:val="00EF4A04"/>
    <w:rsid w:val="00EF5F91"/>
    <w:rsid w:val="00EF6C25"/>
    <w:rsid w:val="00EF739E"/>
    <w:rsid w:val="00EF7424"/>
    <w:rsid w:val="00EF768E"/>
    <w:rsid w:val="00EF7B84"/>
    <w:rsid w:val="00F00B13"/>
    <w:rsid w:val="00F00DFC"/>
    <w:rsid w:val="00F01670"/>
    <w:rsid w:val="00F02A6D"/>
    <w:rsid w:val="00F02AEC"/>
    <w:rsid w:val="00F02D0B"/>
    <w:rsid w:val="00F042F9"/>
    <w:rsid w:val="00F043DE"/>
    <w:rsid w:val="00F04C4B"/>
    <w:rsid w:val="00F05600"/>
    <w:rsid w:val="00F05AAC"/>
    <w:rsid w:val="00F05D95"/>
    <w:rsid w:val="00F10476"/>
    <w:rsid w:val="00F1082C"/>
    <w:rsid w:val="00F10986"/>
    <w:rsid w:val="00F111B6"/>
    <w:rsid w:val="00F1157E"/>
    <w:rsid w:val="00F119AF"/>
    <w:rsid w:val="00F11E5A"/>
    <w:rsid w:val="00F12912"/>
    <w:rsid w:val="00F12BD3"/>
    <w:rsid w:val="00F12C54"/>
    <w:rsid w:val="00F12E37"/>
    <w:rsid w:val="00F12ED1"/>
    <w:rsid w:val="00F13F0A"/>
    <w:rsid w:val="00F14120"/>
    <w:rsid w:val="00F1445D"/>
    <w:rsid w:val="00F14971"/>
    <w:rsid w:val="00F14BB2"/>
    <w:rsid w:val="00F14FB5"/>
    <w:rsid w:val="00F15413"/>
    <w:rsid w:val="00F15E65"/>
    <w:rsid w:val="00F15F5F"/>
    <w:rsid w:val="00F15F68"/>
    <w:rsid w:val="00F1603D"/>
    <w:rsid w:val="00F200D6"/>
    <w:rsid w:val="00F204E9"/>
    <w:rsid w:val="00F20DC3"/>
    <w:rsid w:val="00F20EF6"/>
    <w:rsid w:val="00F210E4"/>
    <w:rsid w:val="00F222F6"/>
    <w:rsid w:val="00F236D0"/>
    <w:rsid w:val="00F23D96"/>
    <w:rsid w:val="00F241E5"/>
    <w:rsid w:val="00F24B10"/>
    <w:rsid w:val="00F24CAA"/>
    <w:rsid w:val="00F24F7D"/>
    <w:rsid w:val="00F25622"/>
    <w:rsid w:val="00F25B68"/>
    <w:rsid w:val="00F25EF7"/>
    <w:rsid w:val="00F26622"/>
    <w:rsid w:val="00F26919"/>
    <w:rsid w:val="00F26F18"/>
    <w:rsid w:val="00F270B8"/>
    <w:rsid w:val="00F27634"/>
    <w:rsid w:val="00F313C9"/>
    <w:rsid w:val="00F31788"/>
    <w:rsid w:val="00F3209E"/>
    <w:rsid w:val="00F32B43"/>
    <w:rsid w:val="00F32B45"/>
    <w:rsid w:val="00F32CDC"/>
    <w:rsid w:val="00F32CDE"/>
    <w:rsid w:val="00F33413"/>
    <w:rsid w:val="00F33578"/>
    <w:rsid w:val="00F336EE"/>
    <w:rsid w:val="00F34230"/>
    <w:rsid w:val="00F34C6F"/>
    <w:rsid w:val="00F35514"/>
    <w:rsid w:val="00F35804"/>
    <w:rsid w:val="00F35D32"/>
    <w:rsid w:val="00F3632F"/>
    <w:rsid w:val="00F3634E"/>
    <w:rsid w:val="00F376E0"/>
    <w:rsid w:val="00F377CB"/>
    <w:rsid w:val="00F37D7F"/>
    <w:rsid w:val="00F40754"/>
    <w:rsid w:val="00F410B1"/>
    <w:rsid w:val="00F418F0"/>
    <w:rsid w:val="00F41940"/>
    <w:rsid w:val="00F41E3F"/>
    <w:rsid w:val="00F420E0"/>
    <w:rsid w:val="00F421C7"/>
    <w:rsid w:val="00F427E4"/>
    <w:rsid w:val="00F42852"/>
    <w:rsid w:val="00F42BD1"/>
    <w:rsid w:val="00F42BF2"/>
    <w:rsid w:val="00F42E10"/>
    <w:rsid w:val="00F43047"/>
    <w:rsid w:val="00F43549"/>
    <w:rsid w:val="00F43739"/>
    <w:rsid w:val="00F43B0C"/>
    <w:rsid w:val="00F44232"/>
    <w:rsid w:val="00F4510E"/>
    <w:rsid w:val="00F45CF0"/>
    <w:rsid w:val="00F46D6B"/>
    <w:rsid w:val="00F46F40"/>
    <w:rsid w:val="00F4737D"/>
    <w:rsid w:val="00F51DAF"/>
    <w:rsid w:val="00F52258"/>
    <w:rsid w:val="00F53355"/>
    <w:rsid w:val="00F53671"/>
    <w:rsid w:val="00F54068"/>
    <w:rsid w:val="00F54337"/>
    <w:rsid w:val="00F55574"/>
    <w:rsid w:val="00F55DE8"/>
    <w:rsid w:val="00F571B6"/>
    <w:rsid w:val="00F575A0"/>
    <w:rsid w:val="00F5780D"/>
    <w:rsid w:val="00F609B0"/>
    <w:rsid w:val="00F60B1A"/>
    <w:rsid w:val="00F6116D"/>
    <w:rsid w:val="00F61C84"/>
    <w:rsid w:val="00F61D4E"/>
    <w:rsid w:val="00F6204B"/>
    <w:rsid w:val="00F6235C"/>
    <w:rsid w:val="00F62E9F"/>
    <w:rsid w:val="00F63E50"/>
    <w:rsid w:val="00F64638"/>
    <w:rsid w:val="00F64A02"/>
    <w:rsid w:val="00F656B1"/>
    <w:rsid w:val="00F66433"/>
    <w:rsid w:val="00F6664E"/>
    <w:rsid w:val="00F67EAA"/>
    <w:rsid w:val="00F67ECE"/>
    <w:rsid w:val="00F722AE"/>
    <w:rsid w:val="00F723A3"/>
    <w:rsid w:val="00F72B61"/>
    <w:rsid w:val="00F72D15"/>
    <w:rsid w:val="00F73C78"/>
    <w:rsid w:val="00F743C9"/>
    <w:rsid w:val="00F74D13"/>
    <w:rsid w:val="00F74D90"/>
    <w:rsid w:val="00F74FFC"/>
    <w:rsid w:val="00F75447"/>
    <w:rsid w:val="00F755F0"/>
    <w:rsid w:val="00F76C89"/>
    <w:rsid w:val="00F800FD"/>
    <w:rsid w:val="00F802E6"/>
    <w:rsid w:val="00F80357"/>
    <w:rsid w:val="00F80490"/>
    <w:rsid w:val="00F80F99"/>
    <w:rsid w:val="00F814F1"/>
    <w:rsid w:val="00F81584"/>
    <w:rsid w:val="00F81D9B"/>
    <w:rsid w:val="00F82F88"/>
    <w:rsid w:val="00F83B35"/>
    <w:rsid w:val="00F83E2A"/>
    <w:rsid w:val="00F843E2"/>
    <w:rsid w:val="00F84BE5"/>
    <w:rsid w:val="00F85394"/>
    <w:rsid w:val="00F8567C"/>
    <w:rsid w:val="00F862CE"/>
    <w:rsid w:val="00F86352"/>
    <w:rsid w:val="00F875A0"/>
    <w:rsid w:val="00F87FB9"/>
    <w:rsid w:val="00F91270"/>
    <w:rsid w:val="00F912E0"/>
    <w:rsid w:val="00F91456"/>
    <w:rsid w:val="00F9195E"/>
    <w:rsid w:val="00F91F09"/>
    <w:rsid w:val="00F92068"/>
    <w:rsid w:val="00F92856"/>
    <w:rsid w:val="00F92B94"/>
    <w:rsid w:val="00F92EEF"/>
    <w:rsid w:val="00F937DB"/>
    <w:rsid w:val="00F93B56"/>
    <w:rsid w:val="00F949F5"/>
    <w:rsid w:val="00F94DD9"/>
    <w:rsid w:val="00F95667"/>
    <w:rsid w:val="00F96879"/>
    <w:rsid w:val="00F9749E"/>
    <w:rsid w:val="00F974CE"/>
    <w:rsid w:val="00F97A03"/>
    <w:rsid w:val="00F97BD7"/>
    <w:rsid w:val="00F97C17"/>
    <w:rsid w:val="00FA074A"/>
    <w:rsid w:val="00FA101B"/>
    <w:rsid w:val="00FA32FC"/>
    <w:rsid w:val="00FA34D8"/>
    <w:rsid w:val="00FA360D"/>
    <w:rsid w:val="00FA437F"/>
    <w:rsid w:val="00FA47A3"/>
    <w:rsid w:val="00FA4C06"/>
    <w:rsid w:val="00FA4C95"/>
    <w:rsid w:val="00FA4F0B"/>
    <w:rsid w:val="00FA51EA"/>
    <w:rsid w:val="00FA5315"/>
    <w:rsid w:val="00FA5D9F"/>
    <w:rsid w:val="00FA60E1"/>
    <w:rsid w:val="00FA6375"/>
    <w:rsid w:val="00FA67C3"/>
    <w:rsid w:val="00FA70B4"/>
    <w:rsid w:val="00FA7234"/>
    <w:rsid w:val="00FA79DE"/>
    <w:rsid w:val="00FB0E82"/>
    <w:rsid w:val="00FB10DA"/>
    <w:rsid w:val="00FB1137"/>
    <w:rsid w:val="00FB1599"/>
    <w:rsid w:val="00FB1900"/>
    <w:rsid w:val="00FB1EFB"/>
    <w:rsid w:val="00FB25DF"/>
    <w:rsid w:val="00FB2F07"/>
    <w:rsid w:val="00FB2F8C"/>
    <w:rsid w:val="00FB3329"/>
    <w:rsid w:val="00FB33B0"/>
    <w:rsid w:val="00FB4337"/>
    <w:rsid w:val="00FB4853"/>
    <w:rsid w:val="00FB4929"/>
    <w:rsid w:val="00FB4E45"/>
    <w:rsid w:val="00FB5B66"/>
    <w:rsid w:val="00FB5F54"/>
    <w:rsid w:val="00FB62B9"/>
    <w:rsid w:val="00FB62BB"/>
    <w:rsid w:val="00FB6688"/>
    <w:rsid w:val="00FB6690"/>
    <w:rsid w:val="00FB66CC"/>
    <w:rsid w:val="00FB73B8"/>
    <w:rsid w:val="00FB79A0"/>
    <w:rsid w:val="00FC0B5A"/>
    <w:rsid w:val="00FC0FBE"/>
    <w:rsid w:val="00FC14E2"/>
    <w:rsid w:val="00FC206C"/>
    <w:rsid w:val="00FC20E2"/>
    <w:rsid w:val="00FC215B"/>
    <w:rsid w:val="00FC41DD"/>
    <w:rsid w:val="00FC424A"/>
    <w:rsid w:val="00FC44C9"/>
    <w:rsid w:val="00FC465B"/>
    <w:rsid w:val="00FC553F"/>
    <w:rsid w:val="00FC5B0A"/>
    <w:rsid w:val="00FC5ED9"/>
    <w:rsid w:val="00FC5F90"/>
    <w:rsid w:val="00FC67A5"/>
    <w:rsid w:val="00FC7144"/>
    <w:rsid w:val="00FC7A44"/>
    <w:rsid w:val="00FC7A8D"/>
    <w:rsid w:val="00FC7F61"/>
    <w:rsid w:val="00FD1A9E"/>
    <w:rsid w:val="00FD1CF4"/>
    <w:rsid w:val="00FD1DCE"/>
    <w:rsid w:val="00FD231A"/>
    <w:rsid w:val="00FD2CEC"/>
    <w:rsid w:val="00FD2E69"/>
    <w:rsid w:val="00FD3430"/>
    <w:rsid w:val="00FD51FB"/>
    <w:rsid w:val="00FD5BAC"/>
    <w:rsid w:val="00FD68E9"/>
    <w:rsid w:val="00FD6A73"/>
    <w:rsid w:val="00FE037E"/>
    <w:rsid w:val="00FE03D7"/>
    <w:rsid w:val="00FE0791"/>
    <w:rsid w:val="00FE1B79"/>
    <w:rsid w:val="00FE2B3A"/>
    <w:rsid w:val="00FE2C4E"/>
    <w:rsid w:val="00FE356B"/>
    <w:rsid w:val="00FE45C7"/>
    <w:rsid w:val="00FE48A8"/>
    <w:rsid w:val="00FE4B0A"/>
    <w:rsid w:val="00FE5E85"/>
    <w:rsid w:val="00FE611B"/>
    <w:rsid w:val="00FE6FA0"/>
    <w:rsid w:val="00FE7A8E"/>
    <w:rsid w:val="00FE7B66"/>
    <w:rsid w:val="00FF0B81"/>
    <w:rsid w:val="00FF1A65"/>
    <w:rsid w:val="00FF1D88"/>
    <w:rsid w:val="00FF2453"/>
    <w:rsid w:val="00FF324B"/>
    <w:rsid w:val="00FF3373"/>
    <w:rsid w:val="00FF3AED"/>
    <w:rsid w:val="00FF444A"/>
    <w:rsid w:val="00FF4982"/>
    <w:rsid w:val="00FF578B"/>
    <w:rsid w:val="00FF57AA"/>
    <w:rsid w:val="00FF5BEF"/>
    <w:rsid w:val="00FF5F44"/>
    <w:rsid w:val="00FF6A1C"/>
    <w:rsid w:val="00FF6E6D"/>
    <w:rsid w:val="00FF7992"/>
    <w:rsid w:val="00FF7DBB"/>
    <w:rsid w:val="025F68CF"/>
    <w:rsid w:val="026E853D"/>
    <w:rsid w:val="027FC903"/>
    <w:rsid w:val="02B97CB1"/>
    <w:rsid w:val="02E1F6D3"/>
    <w:rsid w:val="036B49BA"/>
    <w:rsid w:val="04141B97"/>
    <w:rsid w:val="041E7E41"/>
    <w:rsid w:val="04647FC9"/>
    <w:rsid w:val="04DC4E17"/>
    <w:rsid w:val="05201559"/>
    <w:rsid w:val="054DD4B2"/>
    <w:rsid w:val="057DC887"/>
    <w:rsid w:val="05D5C0E8"/>
    <w:rsid w:val="064E8B56"/>
    <w:rsid w:val="069E1365"/>
    <w:rsid w:val="07660ADE"/>
    <w:rsid w:val="07BCFEC1"/>
    <w:rsid w:val="07C6B851"/>
    <w:rsid w:val="0802D294"/>
    <w:rsid w:val="0813F858"/>
    <w:rsid w:val="082A4AC7"/>
    <w:rsid w:val="08418C44"/>
    <w:rsid w:val="0856185A"/>
    <w:rsid w:val="08BC4436"/>
    <w:rsid w:val="08D5BE24"/>
    <w:rsid w:val="0903A9D9"/>
    <w:rsid w:val="095E06D6"/>
    <w:rsid w:val="099C9323"/>
    <w:rsid w:val="09AA410E"/>
    <w:rsid w:val="09F268BB"/>
    <w:rsid w:val="0A0BDE16"/>
    <w:rsid w:val="0A6B69CD"/>
    <w:rsid w:val="0AAF315B"/>
    <w:rsid w:val="0AC1DDCE"/>
    <w:rsid w:val="0BE31BC0"/>
    <w:rsid w:val="0C2FC3C5"/>
    <w:rsid w:val="0C84D525"/>
    <w:rsid w:val="0CDFA1DA"/>
    <w:rsid w:val="0D06B40E"/>
    <w:rsid w:val="0D2404F3"/>
    <w:rsid w:val="0D84CA9F"/>
    <w:rsid w:val="0E5E4A6A"/>
    <w:rsid w:val="0F183FCC"/>
    <w:rsid w:val="10538FB9"/>
    <w:rsid w:val="10F14813"/>
    <w:rsid w:val="11AF6D4E"/>
    <w:rsid w:val="11DC3A92"/>
    <w:rsid w:val="12512586"/>
    <w:rsid w:val="12545AF7"/>
    <w:rsid w:val="127618DE"/>
    <w:rsid w:val="12F55C30"/>
    <w:rsid w:val="132DEDE8"/>
    <w:rsid w:val="13B8BF20"/>
    <w:rsid w:val="14239D88"/>
    <w:rsid w:val="14A94725"/>
    <w:rsid w:val="14B03245"/>
    <w:rsid w:val="14B328BE"/>
    <w:rsid w:val="14CFD9D5"/>
    <w:rsid w:val="155245FC"/>
    <w:rsid w:val="15C86A63"/>
    <w:rsid w:val="16D25549"/>
    <w:rsid w:val="16E8A785"/>
    <w:rsid w:val="172475B8"/>
    <w:rsid w:val="1757670C"/>
    <w:rsid w:val="17972199"/>
    <w:rsid w:val="17A162C7"/>
    <w:rsid w:val="18E542EE"/>
    <w:rsid w:val="193E0B52"/>
    <w:rsid w:val="193EF19C"/>
    <w:rsid w:val="196A203E"/>
    <w:rsid w:val="1A13190B"/>
    <w:rsid w:val="1A197C24"/>
    <w:rsid w:val="1A3893AB"/>
    <w:rsid w:val="1A70BEC4"/>
    <w:rsid w:val="1ABAA5C3"/>
    <w:rsid w:val="1AF332D7"/>
    <w:rsid w:val="1B13BE25"/>
    <w:rsid w:val="1B89F530"/>
    <w:rsid w:val="1BD0E683"/>
    <w:rsid w:val="1CB62932"/>
    <w:rsid w:val="1D530F99"/>
    <w:rsid w:val="1D9B4DF3"/>
    <w:rsid w:val="1E3AAFF6"/>
    <w:rsid w:val="1EE2398C"/>
    <w:rsid w:val="1F435D28"/>
    <w:rsid w:val="1F9DD2FB"/>
    <w:rsid w:val="1FFB6C15"/>
    <w:rsid w:val="2029C7EA"/>
    <w:rsid w:val="20C28C80"/>
    <w:rsid w:val="21C0EF80"/>
    <w:rsid w:val="2207E661"/>
    <w:rsid w:val="22210C22"/>
    <w:rsid w:val="225C584C"/>
    <w:rsid w:val="233D49B9"/>
    <w:rsid w:val="238A5907"/>
    <w:rsid w:val="23A39A15"/>
    <w:rsid w:val="24EA2555"/>
    <w:rsid w:val="25226DFE"/>
    <w:rsid w:val="25EC1554"/>
    <w:rsid w:val="2627C33C"/>
    <w:rsid w:val="265D3636"/>
    <w:rsid w:val="26D72B54"/>
    <w:rsid w:val="26F9F9E9"/>
    <w:rsid w:val="27161F3E"/>
    <w:rsid w:val="271DDD4F"/>
    <w:rsid w:val="27234961"/>
    <w:rsid w:val="2746CC73"/>
    <w:rsid w:val="279BB350"/>
    <w:rsid w:val="293055F8"/>
    <w:rsid w:val="295CD481"/>
    <w:rsid w:val="29F4DC20"/>
    <w:rsid w:val="2A2B49AD"/>
    <w:rsid w:val="2A2B644C"/>
    <w:rsid w:val="2A5BF089"/>
    <w:rsid w:val="2A60CB48"/>
    <w:rsid w:val="2A7714D4"/>
    <w:rsid w:val="2AF95BDA"/>
    <w:rsid w:val="2B13D0EF"/>
    <w:rsid w:val="2B9AF90E"/>
    <w:rsid w:val="2BD45832"/>
    <w:rsid w:val="2BDD29B4"/>
    <w:rsid w:val="2CEE06B6"/>
    <w:rsid w:val="2D48A364"/>
    <w:rsid w:val="2E4E96D8"/>
    <w:rsid w:val="2E5D3D97"/>
    <w:rsid w:val="2EA81569"/>
    <w:rsid w:val="2EEB09D4"/>
    <w:rsid w:val="2F51D4B3"/>
    <w:rsid w:val="306351F8"/>
    <w:rsid w:val="3081BF1A"/>
    <w:rsid w:val="316D26CC"/>
    <w:rsid w:val="31E43230"/>
    <w:rsid w:val="324D092A"/>
    <w:rsid w:val="3290C101"/>
    <w:rsid w:val="32929610"/>
    <w:rsid w:val="32DAF3A6"/>
    <w:rsid w:val="32F94FBB"/>
    <w:rsid w:val="330B8CB3"/>
    <w:rsid w:val="33239D78"/>
    <w:rsid w:val="337EFEB2"/>
    <w:rsid w:val="33C6EBB3"/>
    <w:rsid w:val="343ED284"/>
    <w:rsid w:val="34A92815"/>
    <w:rsid w:val="3500DF27"/>
    <w:rsid w:val="35107AAD"/>
    <w:rsid w:val="35ECCAC0"/>
    <w:rsid w:val="35F440DF"/>
    <w:rsid w:val="36AEBC31"/>
    <w:rsid w:val="36B7A6AD"/>
    <w:rsid w:val="36D1B9EB"/>
    <w:rsid w:val="36D8D29B"/>
    <w:rsid w:val="3719478F"/>
    <w:rsid w:val="37470D00"/>
    <w:rsid w:val="379DA302"/>
    <w:rsid w:val="38163AD4"/>
    <w:rsid w:val="381B9637"/>
    <w:rsid w:val="3829F73E"/>
    <w:rsid w:val="38A318D3"/>
    <w:rsid w:val="3947CBAA"/>
    <w:rsid w:val="398C414B"/>
    <w:rsid w:val="39B8AE53"/>
    <w:rsid w:val="39EBF474"/>
    <w:rsid w:val="3B20E41A"/>
    <w:rsid w:val="3C706547"/>
    <w:rsid w:val="3CA9BB0D"/>
    <w:rsid w:val="3CAA06DB"/>
    <w:rsid w:val="3CEF9245"/>
    <w:rsid w:val="3E240B97"/>
    <w:rsid w:val="3E5EDA9A"/>
    <w:rsid w:val="3E9E8D6A"/>
    <w:rsid w:val="3EA98CAE"/>
    <w:rsid w:val="3EAEF3CE"/>
    <w:rsid w:val="3ED59871"/>
    <w:rsid w:val="3EDE6F38"/>
    <w:rsid w:val="3F07C205"/>
    <w:rsid w:val="3FE466D4"/>
    <w:rsid w:val="40CC6964"/>
    <w:rsid w:val="40E4FBE6"/>
    <w:rsid w:val="419E63D5"/>
    <w:rsid w:val="41B12FA9"/>
    <w:rsid w:val="422BEB52"/>
    <w:rsid w:val="440016ED"/>
    <w:rsid w:val="4459C096"/>
    <w:rsid w:val="447B0A45"/>
    <w:rsid w:val="448BA660"/>
    <w:rsid w:val="452252BE"/>
    <w:rsid w:val="45C61C2C"/>
    <w:rsid w:val="464380D7"/>
    <w:rsid w:val="46C99656"/>
    <w:rsid w:val="47114A66"/>
    <w:rsid w:val="471271C2"/>
    <w:rsid w:val="4737F025"/>
    <w:rsid w:val="4856A3C8"/>
    <w:rsid w:val="48988C29"/>
    <w:rsid w:val="49F2DE3E"/>
    <w:rsid w:val="49FA9C93"/>
    <w:rsid w:val="4A433451"/>
    <w:rsid w:val="4A682EA4"/>
    <w:rsid w:val="4AF4090D"/>
    <w:rsid w:val="4AF8B943"/>
    <w:rsid w:val="4BCE4DFC"/>
    <w:rsid w:val="4C4A20CE"/>
    <w:rsid w:val="4C97E312"/>
    <w:rsid w:val="4CE0E602"/>
    <w:rsid w:val="4DD4D526"/>
    <w:rsid w:val="4EFDB72C"/>
    <w:rsid w:val="4F77DB6D"/>
    <w:rsid w:val="4FF10D9A"/>
    <w:rsid w:val="50402FCA"/>
    <w:rsid w:val="50914EEC"/>
    <w:rsid w:val="5126B8EF"/>
    <w:rsid w:val="519642E7"/>
    <w:rsid w:val="5198A6F1"/>
    <w:rsid w:val="51F8FA8C"/>
    <w:rsid w:val="5215B246"/>
    <w:rsid w:val="5245199B"/>
    <w:rsid w:val="52BF372D"/>
    <w:rsid w:val="52C710BD"/>
    <w:rsid w:val="52C9C7C1"/>
    <w:rsid w:val="52D296A4"/>
    <w:rsid w:val="52D9F114"/>
    <w:rsid w:val="5349B116"/>
    <w:rsid w:val="5450C487"/>
    <w:rsid w:val="5539C0A7"/>
    <w:rsid w:val="5621A67C"/>
    <w:rsid w:val="56E5FA96"/>
    <w:rsid w:val="56ECFEF8"/>
    <w:rsid w:val="57755C82"/>
    <w:rsid w:val="582329EB"/>
    <w:rsid w:val="5867B977"/>
    <w:rsid w:val="58B1AD72"/>
    <w:rsid w:val="592E6202"/>
    <w:rsid w:val="595C3463"/>
    <w:rsid w:val="597DD644"/>
    <w:rsid w:val="59BC5DB7"/>
    <w:rsid w:val="5ADD2448"/>
    <w:rsid w:val="5AE4E6A5"/>
    <w:rsid w:val="5B04A0E0"/>
    <w:rsid w:val="5B1EB7C7"/>
    <w:rsid w:val="5B5FD7F4"/>
    <w:rsid w:val="5B6075E9"/>
    <w:rsid w:val="5B93B315"/>
    <w:rsid w:val="5C5E5836"/>
    <w:rsid w:val="5CA869A0"/>
    <w:rsid w:val="5CAFE232"/>
    <w:rsid w:val="5D3FC234"/>
    <w:rsid w:val="5D51EF96"/>
    <w:rsid w:val="5D85390A"/>
    <w:rsid w:val="5DA3EA8E"/>
    <w:rsid w:val="5E6EDF4D"/>
    <w:rsid w:val="5E70DA24"/>
    <w:rsid w:val="5E952BC2"/>
    <w:rsid w:val="5F16BD62"/>
    <w:rsid w:val="5FAEE8FE"/>
    <w:rsid w:val="600D8CF7"/>
    <w:rsid w:val="601AEF3C"/>
    <w:rsid w:val="601E4B95"/>
    <w:rsid w:val="60CAE4A0"/>
    <w:rsid w:val="60D2590B"/>
    <w:rsid w:val="60EA4332"/>
    <w:rsid w:val="61573D1A"/>
    <w:rsid w:val="61D42A1E"/>
    <w:rsid w:val="62753112"/>
    <w:rsid w:val="62CAD252"/>
    <w:rsid w:val="6304C028"/>
    <w:rsid w:val="6342CDB9"/>
    <w:rsid w:val="6391FB04"/>
    <w:rsid w:val="64297148"/>
    <w:rsid w:val="64C63898"/>
    <w:rsid w:val="64D25E63"/>
    <w:rsid w:val="64D97581"/>
    <w:rsid w:val="6510CA40"/>
    <w:rsid w:val="65365210"/>
    <w:rsid w:val="654BC50E"/>
    <w:rsid w:val="664D3627"/>
    <w:rsid w:val="6684001C"/>
    <w:rsid w:val="6694A14D"/>
    <w:rsid w:val="66959220"/>
    <w:rsid w:val="66E9F79C"/>
    <w:rsid w:val="6798706F"/>
    <w:rsid w:val="68DD9ABD"/>
    <w:rsid w:val="68F2ADFC"/>
    <w:rsid w:val="68FB5466"/>
    <w:rsid w:val="693941C8"/>
    <w:rsid w:val="69911FDC"/>
    <w:rsid w:val="69C54F51"/>
    <w:rsid w:val="6A3059BC"/>
    <w:rsid w:val="6A99166F"/>
    <w:rsid w:val="6ACB77E4"/>
    <w:rsid w:val="6B8F2675"/>
    <w:rsid w:val="6B91BB2A"/>
    <w:rsid w:val="6BA0876C"/>
    <w:rsid w:val="6D8B8919"/>
    <w:rsid w:val="6E0152C2"/>
    <w:rsid w:val="6E5422DC"/>
    <w:rsid w:val="6EAA6B18"/>
    <w:rsid w:val="6F5E66A7"/>
    <w:rsid w:val="70C7FC39"/>
    <w:rsid w:val="70F827B7"/>
    <w:rsid w:val="71A0FD24"/>
    <w:rsid w:val="71FCE1D3"/>
    <w:rsid w:val="72252C01"/>
    <w:rsid w:val="724C3344"/>
    <w:rsid w:val="72A0B79E"/>
    <w:rsid w:val="72E00239"/>
    <w:rsid w:val="72E42F9A"/>
    <w:rsid w:val="732DD7A2"/>
    <w:rsid w:val="734DB27D"/>
    <w:rsid w:val="73529D24"/>
    <w:rsid w:val="739FDB1A"/>
    <w:rsid w:val="740F519D"/>
    <w:rsid w:val="746BC207"/>
    <w:rsid w:val="747595C1"/>
    <w:rsid w:val="755A2EF9"/>
    <w:rsid w:val="75863517"/>
    <w:rsid w:val="76D3302F"/>
    <w:rsid w:val="783FF6A0"/>
    <w:rsid w:val="7905EACE"/>
    <w:rsid w:val="791A9F35"/>
    <w:rsid w:val="79271BA2"/>
    <w:rsid w:val="79BB1209"/>
    <w:rsid w:val="79BCCD1B"/>
    <w:rsid w:val="79D9C555"/>
    <w:rsid w:val="79EBAF0D"/>
    <w:rsid w:val="7A50FA2A"/>
    <w:rsid w:val="7A8BAE72"/>
    <w:rsid w:val="7A965DE8"/>
    <w:rsid w:val="7BE94B58"/>
    <w:rsid w:val="7BFB128B"/>
    <w:rsid w:val="7D03254E"/>
    <w:rsid w:val="7D0CD4B0"/>
    <w:rsid w:val="7D97987D"/>
    <w:rsid w:val="7EC876A0"/>
    <w:rsid w:val="7ED72847"/>
    <w:rsid w:val="7F20B836"/>
    <w:rsid w:val="7F771F5E"/>
    <w:rsid w:val="7FC6037D"/>
    <w:rsid w:val="7FF3991B"/>
  </w:rsids>
  <m:mathPr>
    <m:mathFont m:val="Cambria Math"/>
    <m:brkBin m:val="before"/>
    <m:brkBinSub m:val="--"/>
    <m:smallFrac/>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7FF5"/>
  <w15:docId w15:val="{BC7635C8-548F-41B7-948D-1E46D265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MX"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cadémico"/>
    <w:qFormat/>
    <w:rsid w:val="00FA5315"/>
    <w:rPr>
      <w:rFonts w:eastAsiaTheme="minorEastAsia"/>
      <w:lang w:eastAsia="es-MX"/>
    </w:rPr>
  </w:style>
  <w:style w:type="paragraph" w:styleId="Ttulo1">
    <w:name w:val="heading 1"/>
    <w:basedOn w:val="Normal"/>
    <w:next w:val="Normal"/>
    <w:link w:val="Ttulo1Car"/>
    <w:uiPriority w:val="9"/>
    <w:qFormat/>
    <w:rsid w:val="00723916"/>
    <w:pPr>
      <w:keepNext/>
      <w:keepLines/>
      <w:spacing w:before="480" w:after="0"/>
      <w:outlineLvl w:val="0"/>
    </w:pPr>
    <w:rPr>
      <w:rFonts w:ascii="Arial" w:eastAsia="Times New Roman" w:hAnsi="Arial" w:cs="Times New Roman"/>
      <w:b/>
      <w:szCs w:val="32"/>
      <w:lang w:eastAsia="en-US"/>
    </w:rPr>
  </w:style>
  <w:style w:type="paragraph" w:styleId="Ttulo2">
    <w:name w:val="heading 2"/>
    <w:basedOn w:val="Normal"/>
    <w:next w:val="Normal"/>
    <w:link w:val="Ttulo2Car"/>
    <w:uiPriority w:val="9"/>
    <w:semiHidden/>
    <w:unhideWhenUsed/>
    <w:qFormat/>
    <w:rsid w:val="00723916"/>
    <w:pPr>
      <w:keepNext/>
      <w:keepLines/>
      <w:spacing w:before="200" w:after="0"/>
      <w:outlineLvl w:val="1"/>
    </w:pPr>
    <w:rPr>
      <w:rFonts w:ascii="Arial" w:eastAsia="Times New Roman" w:hAnsi="Arial" w:cs="Times New Roman"/>
      <w:i/>
      <w:szCs w:val="26"/>
      <w:lang w:eastAsia="en-US"/>
    </w:rPr>
  </w:style>
  <w:style w:type="paragraph" w:styleId="Ttulo3">
    <w:name w:val="heading 3"/>
    <w:basedOn w:val="Normal"/>
    <w:link w:val="Ttulo3Car"/>
    <w:uiPriority w:val="9"/>
    <w:qFormat/>
    <w:rsid w:val="00723916"/>
    <w:pPr>
      <w:spacing w:before="120" w:after="120" w:line="240" w:lineRule="auto"/>
      <w:outlineLvl w:val="2"/>
    </w:pPr>
    <w:rPr>
      <w:rFonts w:ascii="Arial" w:eastAsia="Times New Roman" w:hAnsi="Arial" w:cs="Times New Roman"/>
      <w:bCs/>
      <w:i/>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FFD"/>
    <w:rPr>
      <w:rFonts w:eastAsiaTheme="minorEastAsia"/>
      <w:lang w:eastAsia="es-MX"/>
    </w:rPr>
  </w:style>
  <w:style w:type="paragraph" w:styleId="Piedepgina">
    <w:name w:val="footer"/>
    <w:basedOn w:val="Normal"/>
    <w:link w:val="PiedepginaCar"/>
    <w:uiPriority w:val="99"/>
    <w:unhideWhenUsed/>
    <w:rsid w:val="003D6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FFD"/>
    <w:rPr>
      <w:rFonts w:eastAsiaTheme="minorEastAsia"/>
      <w:lang w:eastAsia="es-MX"/>
    </w:rPr>
  </w:style>
  <w:style w:type="paragraph" w:customStyle="1" w:styleId="Ttulo11">
    <w:name w:val="Título 11"/>
    <w:basedOn w:val="Normal"/>
    <w:next w:val="Normal"/>
    <w:uiPriority w:val="9"/>
    <w:qFormat/>
    <w:rsid w:val="00723916"/>
    <w:pPr>
      <w:keepNext/>
      <w:keepLines/>
      <w:spacing w:before="120" w:after="120" w:line="240" w:lineRule="auto"/>
      <w:outlineLvl w:val="0"/>
    </w:pPr>
    <w:rPr>
      <w:rFonts w:ascii="Arial" w:eastAsia="Times New Roman" w:hAnsi="Arial" w:cs="Times New Roman"/>
      <w:b/>
      <w:szCs w:val="32"/>
      <w:lang w:eastAsia="en-US"/>
    </w:rPr>
  </w:style>
  <w:style w:type="paragraph" w:customStyle="1" w:styleId="Ttulo21">
    <w:name w:val="Título 21"/>
    <w:basedOn w:val="Normal"/>
    <w:next w:val="Normal"/>
    <w:uiPriority w:val="9"/>
    <w:unhideWhenUsed/>
    <w:qFormat/>
    <w:rsid w:val="00723916"/>
    <w:pPr>
      <w:keepNext/>
      <w:keepLines/>
      <w:spacing w:before="120" w:after="120" w:line="240" w:lineRule="auto"/>
      <w:outlineLvl w:val="1"/>
    </w:pPr>
    <w:rPr>
      <w:rFonts w:ascii="Arial" w:eastAsia="Times New Roman" w:hAnsi="Arial" w:cs="Times New Roman"/>
      <w:i/>
      <w:szCs w:val="26"/>
      <w:lang w:eastAsia="en-US"/>
    </w:rPr>
  </w:style>
  <w:style w:type="character" w:customStyle="1" w:styleId="Ttulo3Car">
    <w:name w:val="Título 3 Car"/>
    <w:basedOn w:val="Fuentedeprrafopredeter"/>
    <w:link w:val="Ttulo3"/>
    <w:uiPriority w:val="9"/>
    <w:rsid w:val="00723916"/>
    <w:rPr>
      <w:rFonts w:ascii="Arial" w:eastAsia="Times New Roman" w:hAnsi="Arial" w:cs="Times New Roman"/>
      <w:bCs/>
      <w:i/>
      <w:szCs w:val="27"/>
      <w:lang w:eastAsia="es-MX"/>
    </w:rPr>
  </w:style>
  <w:style w:type="numbering" w:customStyle="1" w:styleId="Sinlista1">
    <w:name w:val="Sin lista1"/>
    <w:next w:val="Sinlista"/>
    <w:uiPriority w:val="99"/>
    <w:semiHidden/>
    <w:unhideWhenUsed/>
    <w:rsid w:val="00723916"/>
  </w:style>
  <w:style w:type="paragraph" w:styleId="Textonotapie">
    <w:name w:val="footnote text"/>
    <w:basedOn w:val="Normal"/>
    <w:link w:val="TextonotapieCar"/>
    <w:uiPriority w:val="99"/>
    <w:unhideWhenUsed/>
    <w:rsid w:val="00723916"/>
    <w:pPr>
      <w:spacing w:after="0" w:line="240" w:lineRule="auto"/>
    </w:pPr>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723916"/>
    <w:rPr>
      <w:rFonts w:ascii="Calibri" w:eastAsia="Calibri" w:hAnsi="Calibri" w:cs="Times New Roman"/>
      <w:sz w:val="20"/>
      <w:szCs w:val="20"/>
    </w:rPr>
  </w:style>
  <w:style w:type="character" w:styleId="Refdenotaalpie">
    <w:name w:val="footnote reference"/>
    <w:uiPriority w:val="99"/>
    <w:semiHidden/>
    <w:unhideWhenUsed/>
    <w:rsid w:val="00723916"/>
    <w:rPr>
      <w:vertAlign w:val="superscript"/>
    </w:rPr>
  </w:style>
  <w:style w:type="paragraph" w:styleId="Prrafodelista">
    <w:name w:val="List Paragraph"/>
    <w:basedOn w:val="Normal"/>
    <w:uiPriority w:val="34"/>
    <w:qFormat/>
    <w:rsid w:val="00723916"/>
    <w:pPr>
      <w:spacing w:line="276" w:lineRule="auto"/>
      <w:ind w:left="720"/>
      <w:contextualSpacing/>
    </w:pPr>
    <w:rPr>
      <w:rFonts w:ascii="Calibri" w:eastAsia="Calibri" w:hAnsi="Calibri" w:cs="Times New Roman"/>
      <w:sz w:val="22"/>
      <w:lang w:eastAsia="en-U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rsid w:val="00723916"/>
    <w:pPr>
      <w:spacing w:beforeLines="1" w:afterLines="1" w:line="240" w:lineRule="auto"/>
    </w:pPr>
    <w:rPr>
      <w:rFonts w:ascii="Times" w:eastAsia="Times New Roman" w:hAnsi="Times" w:cs="Times New Roman"/>
      <w:sz w:val="20"/>
      <w:szCs w:val="20"/>
      <w:lang w:val="es-ES_tradnl" w:eastAsia="es-ES_tradnl"/>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rsid w:val="00723916"/>
    <w:rPr>
      <w:rFonts w:ascii="Times" w:eastAsia="Times New Roman" w:hAnsi="Times" w:cs="Times New Roman"/>
      <w:sz w:val="20"/>
      <w:szCs w:val="20"/>
      <w:lang w:val="es-ES_tradnl" w:eastAsia="es-ES_tradnl"/>
    </w:rPr>
  </w:style>
  <w:style w:type="paragraph" w:styleId="Textodeglobo">
    <w:name w:val="Balloon Text"/>
    <w:basedOn w:val="Normal"/>
    <w:link w:val="TextodegloboCar"/>
    <w:uiPriority w:val="99"/>
    <w:semiHidden/>
    <w:unhideWhenUsed/>
    <w:rsid w:val="00723916"/>
    <w:pPr>
      <w:spacing w:after="0" w:line="240" w:lineRule="auto"/>
    </w:pPr>
    <w:rPr>
      <w:rFonts w:ascii="Segoe UI" w:eastAsia="Calibri" w:hAnsi="Segoe UI" w:cs="Times New Roman"/>
      <w:sz w:val="18"/>
      <w:szCs w:val="18"/>
      <w:lang w:eastAsia="en-US"/>
    </w:rPr>
  </w:style>
  <w:style w:type="character" w:customStyle="1" w:styleId="TextodegloboCar">
    <w:name w:val="Texto de globo Car"/>
    <w:basedOn w:val="Fuentedeprrafopredeter"/>
    <w:link w:val="Textodeglobo"/>
    <w:uiPriority w:val="99"/>
    <w:semiHidden/>
    <w:rsid w:val="00723916"/>
    <w:rPr>
      <w:rFonts w:ascii="Segoe UI" w:eastAsia="Calibri" w:hAnsi="Segoe UI" w:cs="Times New Roman"/>
      <w:sz w:val="18"/>
      <w:szCs w:val="18"/>
    </w:rPr>
  </w:style>
  <w:style w:type="table" w:styleId="Tablaconcuadrcula">
    <w:name w:val="Table Grid"/>
    <w:basedOn w:val="Tablanormal"/>
    <w:uiPriority w:val="39"/>
    <w:rsid w:val="007239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723916"/>
    <w:rPr>
      <w:sz w:val="16"/>
      <w:szCs w:val="16"/>
    </w:rPr>
  </w:style>
  <w:style w:type="paragraph" w:styleId="Textocomentario">
    <w:name w:val="annotation text"/>
    <w:basedOn w:val="Normal"/>
    <w:link w:val="TextocomentarioCar"/>
    <w:uiPriority w:val="99"/>
    <w:unhideWhenUsed/>
    <w:rsid w:val="005F76D9"/>
    <w:pPr>
      <w:spacing w:after="160" w:line="240" w:lineRule="auto"/>
    </w:pPr>
    <w:rPr>
      <w:rFonts w:ascii="Barlow" w:eastAsia="Calibri" w:hAnsi="Barlow" w:cs="Times New Roman"/>
      <w:sz w:val="20"/>
      <w:szCs w:val="20"/>
      <w:lang w:eastAsia="en-US"/>
    </w:rPr>
  </w:style>
  <w:style w:type="character" w:customStyle="1" w:styleId="TextocomentarioCar">
    <w:name w:val="Texto comentario Car"/>
    <w:basedOn w:val="Fuentedeprrafopredeter"/>
    <w:link w:val="Textocomentario"/>
    <w:uiPriority w:val="99"/>
    <w:rsid w:val="00723916"/>
    <w:rPr>
      <w:rFonts w:ascii="Barlow" w:eastAsia="Calibri" w:hAnsi="Barl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23916"/>
    <w:rPr>
      <w:b/>
      <w:bCs/>
    </w:rPr>
  </w:style>
  <w:style w:type="character" w:customStyle="1" w:styleId="AsuntodelcomentarioCar">
    <w:name w:val="Asunto del comentario Car"/>
    <w:basedOn w:val="TextocomentarioCar"/>
    <w:link w:val="Asuntodelcomentario"/>
    <w:uiPriority w:val="99"/>
    <w:semiHidden/>
    <w:rsid w:val="00723916"/>
    <w:rPr>
      <w:rFonts w:ascii="Barlow" w:eastAsia="Calibri" w:hAnsi="Barlow" w:cs="Times New Roman"/>
      <w:b/>
      <w:bCs/>
      <w:sz w:val="20"/>
      <w:szCs w:val="20"/>
    </w:rPr>
  </w:style>
  <w:style w:type="paragraph" w:customStyle="1" w:styleId="paragraph">
    <w:name w:val="paragraph"/>
    <w:basedOn w:val="Normal"/>
    <w:rsid w:val="0072391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Fuentedeprrafopredeter"/>
    <w:rsid w:val="00723916"/>
  </w:style>
  <w:style w:type="character" w:customStyle="1" w:styleId="eop">
    <w:name w:val="eop"/>
    <w:basedOn w:val="Fuentedeprrafopredeter"/>
    <w:rsid w:val="00723916"/>
  </w:style>
  <w:style w:type="character" w:customStyle="1" w:styleId="spellingerror">
    <w:name w:val="spellingerror"/>
    <w:basedOn w:val="Fuentedeprrafopredeter"/>
    <w:rsid w:val="00723916"/>
  </w:style>
  <w:style w:type="character" w:customStyle="1" w:styleId="findhit">
    <w:name w:val="findhit"/>
    <w:basedOn w:val="Fuentedeprrafopredeter"/>
    <w:rsid w:val="00723916"/>
  </w:style>
  <w:style w:type="character" w:styleId="Hipervnculo">
    <w:name w:val="Hyperlink"/>
    <w:uiPriority w:val="99"/>
    <w:unhideWhenUsed/>
    <w:rsid w:val="00723916"/>
    <w:rPr>
      <w:color w:val="0563C1"/>
      <w:u w:val="single"/>
    </w:rPr>
  </w:style>
  <w:style w:type="character" w:styleId="Hipervnculovisitado">
    <w:name w:val="FollowedHyperlink"/>
    <w:uiPriority w:val="99"/>
    <w:semiHidden/>
    <w:unhideWhenUsed/>
    <w:rsid w:val="00723916"/>
    <w:rPr>
      <w:color w:val="954F72"/>
      <w:u w:val="single"/>
    </w:rPr>
  </w:style>
  <w:style w:type="paragraph" w:customStyle="1" w:styleId="msonormal0">
    <w:name w:val="msonormal"/>
    <w:basedOn w:val="Normal"/>
    <w:rsid w:val="00723916"/>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723916"/>
    <w:pPr>
      <w:spacing w:before="100" w:beforeAutospacing="1" w:after="100" w:afterAutospacing="1" w:line="240" w:lineRule="auto"/>
    </w:pPr>
    <w:rPr>
      <w:rFonts w:ascii="Barlow" w:eastAsia="Times New Roman" w:hAnsi="Barlow" w:cs="Times New Roman"/>
      <w:szCs w:val="24"/>
    </w:rPr>
  </w:style>
  <w:style w:type="paragraph" w:customStyle="1" w:styleId="xl66">
    <w:name w:val="xl66"/>
    <w:basedOn w:val="Normal"/>
    <w:rsid w:val="00723916"/>
    <w:pPr>
      <w:pBdr>
        <w:top w:val="single" w:sz="4" w:space="0" w:color="BFBFBF"/>
        <w:left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67">
    <w:name w:val="xl67"/>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Barlow" w:eastAsia="Times New Roman" w:hAnsi="Barlow" w:cs="Times New Roman"/>
      <w:szCs w:val="24"/>
    </w:rPr>
  </w:style>
  <w:style w:type="paragraph" w:customStyle="1" w:styleId="xl68">
    <w:name w:val="xl68"/>
    <w:basedOn w:val="Normal"/>
    <w:rsid w:val="00723916"/>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line="240" w:lineRule="auto"/>
      <w:jc w:val="center"/>
    </w:pPr>
    <w:rPr>
      <w:rFonts w:ascii="Barlow" w:eastAsia="Times New Roman" w:hAnsi="Barlow" w:cs="Times New Roman"/>
      <w:b/>
      <w:bCs/>
      <w:szCs w:val="24"/>
    </w:rPr>
  </w:style>
  <w:style w:type="paragraph" w:customStyle="1" w:styleId="xl69">
    <w:name w:val="xl69"/>
    <w:basedOn w:val="Normal"/>
    <w:rsid w:val="00723916"/>
    <w:pPr>
      <w:spacing w:before="100" w:beforeAutospacing="1" w:after="100" w:afterAutospacing="1" w:line="240" w:lineRule="auto"/>
      <w:jc w:val="center"/>
    </w:pPr>
    <w:rPr>
      <w:rFonts w:ascii="Barlow" w:eastAsia="Times New Roman" w:hAnsi="Barlow" w:cs="Times New Roman"/>
      <w:szCs w:val="24"/>
    </w:rPr>
  </w:style>
  <w:style w:type="paragraph" w:customStyle="1" w:styleId="xl70">
    <w:name w:val="xl70"/>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Barlow" w:eastAsia="Times New Roman" w:hAnsi="Barlow" w:cs="Times New Roman"/>
      <w:szCs w:val="24"/>
    </w:rPr>
  </w:style>
  <w:style w:type="paragraph" w:customStyle="1" w:styleId="xl71">
    <w:name w:val="xl71"/>
    <w:basedOn w:val="Normal"/>
    <w:rsid w:val="00723916"/>
    <w:pPr>
      <w:spacing w:before="100" w:beforeAutospacing="1" w:after="100" w:afterAutospacing="1" w:line="240" w:lineRule="auto"/>
    </w:pPr>
    <w:rPr>
      <w:rFonts w:ascii="Barlow" w:eastAsia="Times New Roman" w:hAnsi="Barlow" w:cs="Times New Roman"/>
      <w:szCs w:val="24"/>
    </w:rPr>
  </w:style>
  <w:style w:type="paragraph" w:customStyle="1" w:styleId="xl72">
    <w:name w:val="xl72"/>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Barlow" w:eastAsia="Times New Roman" w:hAnsi="Barlow" w:cs="Times New Roman"/>
      <w:szCs w:val="24"/>
    </w:rPr>
  </w:style>
  <w:style w:type="paragraph" w:customStyle="1" w:styleId="xl73">
    <w:name w:val="xl73"/>
    <w:basedOn w:val="Normal"/>
    <w:rsid w:val="00723916"/>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line="240" w:lineRule="auto"/>
    </w:pPr>
    <w:rPr>
      <w:rFonts w:ascii="Barlow" w:eastAsia="Times New Roman" w:hAnsi="Barlow" w:cs="Times New Roman"/>
      <w:szCs w:val="24"/>
    </w:rPr>
  </w:style>
  <w:style w:type="paragraph" w:customStyle="1" w:styleId="xl74">
    <w:name w:val="xl74"/>
    <w:basedOn w:val="Normal"/>
    <w:rsid w:val="00723916"/>
    <w:pPr>
      <w:pBdr>
        <w:top w:val="single" w:sz="4" w:space="0" w:color="BFBFBF"/>
        <w:left w:val="single" w:sz="4" w:space="0" w:color="BFBFBF"/>
        <w:bottom w:val="single" w:sz="4" w:space="0" w:color="BFBFBF"/>
        <w:right w:val="single" w:sz="4" w:space="0" w:color="BFBFBF"/>
      </w:pBdr>
      <w:shd w:val="clear" w:color="000000" w:fill="auto"/>
      <w:spacing w:before="100" w:beforeAutospacing="1" w:after="100" w:afterAutospacing="1" w:line="240" w:lineRule="auto"/>
    </w:pPr>
    <w:rPr>
      <w:rFonts w:ascii="Barlow" w:eastAsia="Times New Roman" w:hAnsi="Barlow" w:cs="Times New Roman"/>
      <w:szCs w:val="24"/>
    </w:rPr>
  </w:style>
  <w:style w:type="paragraph" w:customStyle="1" w:styleId="xl75">
    <w:name w:val="xl75"/>
    <w:basedOn w:val="Normal"/>
    <w:rsid w:val="00723916"/>
    <w:pPr>
      <w:pBdr>
        <w:top w:val="single" w:sz="4" w:space="0" w:color="BFBFBF"/>
        <w:left w:val="single" w:sz="4" w:space="0" w:color="BFBFBF"/>
        <w:bottom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6">
    <w:name w:val="xl76"/>
    <w:basedOn w:val="Normal"/>
    <w:rsid w:val="00723916"/>
    <w:pPr>
      <w:pBdr>
        <w:top w:val="single" w:sz="4" w:space="0" w:color="BFBFBF"/>
        <w:bottom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7">
    <w:name w:val="xl77"/>
    <w:basedOn w:val="Normal"/>
    <w:rsid w:val="00723916"/>
    <w:pPr>
      <w:pBdr>
        <w:top w:val="single" w:sz="4" w:space="0" w:color="BFBFBF"/>
        <w:bottom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8">
    <w:name w:val="xl78"/>
    <w:basedOn w:val="Normal"/>
    <w:rsid w:val="00723916"/>
    <w:pPr>
      <w:pBdr>
        <w:left w:val="single" w:sz="4" w:space="0" w:color="BFBFBF"/>
        <w:bottom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9">
    <w:name w:val="xl79"/>
    <w:basedOn w:val="Normal"/>
    <w:rsid w:val="00723916"/>
    <w:pPr>
      <w:spacing w:before="100" w:beforeAutospacing="1" w:after="100" w:afterAutospacing="1" w:line="240" w:lineRule="auto"/>
      <w:ind w:firstLineChars="200" w:firstLine="200"/>
      <w:textAlignment w:val="top"/>
    </w:pPr>
    <w:rPr>
      <w:rFonts w:ascii="Barlow" w:eastAsia="Times New Roman" w:hAnsi="Barlow" w:cs="Times New Roman"/>
      <w:b/>
      <w:bCs/>
      <w:sz w:val="18"/>
      <w:szCs w:val="18"/>
    </w:rPr>
  </w:style>
  <w:style w:type="paragraph" w:customStyle="1" w:styleId="xl80">
    <w:name w:val="xl80"/>
    <w:basedOn w:val="Normal"/>
    <w:rsid w:val="00723916"/>
    <w:pPr>
      <w:spacing w:before="100" w:beforeAutospacing="1" w:after="100" w:afterAutospacing="1" w:line="240" w:lineRule="auto"/>
      <w:ind w:firstLineChars="400" w:firstLine="400"/>
      <w:textAlignment w:val="top"/>
    </w:pPr>
    <w:rPr>
      <w:rFonts w:ascii="Barlow" w:eastAsia="Times New Roman" w:hAnsi="Barlow" w:cs="Times New Roman"/>
      <w:b/>
      <w:bCs/>
      <w:sz w:val="18"/>
      <w:szCs w:val="18"/>
    </w:rPr>
  </w:style>
  <w:style w:type="paragraph" w:customStyle="1" w:styleId="xl81">
    <w:name w:val="xl81"/>
    <w:basedOn w:val="Normal"/>
    <w:rsid w:val="00723916"/>
    <w:pPr>
      <w:spacing w:before="100" w:beforeAutospacing="1" w:after="100" w:afterAutospacing="1" w:line="240" w:lineRule="auto"/>
      <w:ind w:firstLineChars="400" w:firstLine="400"/>
      <w:textAlignment w:val="top"/>
    </w:pPr>
    <w:rPr>
      <w:rFonts w:ascii="Barlow" w:eastAsia="Times New Roman" w:hAnsi="Barlow" w:cs="Times New Roman"/>
      <w:b/>
      <w:bCs/>
      <w:sz w:val="18"/>
      <w:szCs w:val="18"/>
    </w:rPr>
  </w:style>
  <w:style w:type="paragraph" w:customStyle="1" w:styleId="xl82">
    <w:name w:val="xl82"/>
    <w:basedOn w:val="Normal"/>
    <w:rsid w:val="00723916"/>
    <w:pPr>
      <w:spacing w:before="100" w:beforeAutospacing="1" w:after="100" w:afterAutospacing="1" w:line="240" w:lineRule="auto"/>
      <w:jc w:val="right"/>
      <w:textAlignment w:val="top"/>
    </w:pPr>
    <w:rPr>
      <w:rFonts w:ascii="Barlow" w:eastAsia="Times New Roman" w:hAnsi="Barlow" w:cs="Times New Roman"/>
      <w:sz w:val="18"/>
      <w:szCs w:val="18"/>
    </w:rPr>
  </w:style>
  <w:style w:type="paragraph" w:customStyle="1" w:styleId="xl83">
    <w:name w:val="xl83"/>
    <w:basedOn w:val="Normal"/>
    <w:rsid w:val="00723916"/>
    <w:pPr>
      <w:spacing w:before="100" w:beforeAutospacing="1" w:after="100" w:afterAutospacing="1" w:line="240" w:lineRule="auto"/>
      <w:jc w:val="right"/>
      <w:textAlignment w:val="top"/>
    </w:pPr>
    <w:rPr>
      <w:rFonts w:ascii="Barlow" w:eastAsia="Times New Roman" w:hAnsi="Barlow" w:cs="Times New Roman"/>
      <w:sz w:val="18"/>
      <w:szCs w:val="18"/>
    </w:rPr>
  </w:style>
  <w:style w:type="paragraph" w:customStyle="1" w:styleId="xl84">
    <w:name w:val="xl84"/>
    <w:basedOn w:val="Normal"/>
    <w:rsid w:val="00723916"/>
    <w:pPr>
      <w:spacing w:before="100" w:beforeAutospacing="1" w:after="100" w:afterAutospacing="1" w:line="240" w:lineRule="auto"/>
      <w:textAlignment w:val="top"/>
    </w:pPr>
    <w:rPr>
      <w:rFonts w:ascii="Barlow" w:eastAsia="Times New Roman" w:hAnsi="Barlow" w:cs="Times New Roman"/>
      <w:b/>
      <w:bCs/>
      <w:color w:val="FFFFFF"/>
      <w:sz w:val="18"/>
      <w:szCs w:val="18"/>
    </w:rPr>
  </w:style>
  <w:style w:type="paragraph" w:customStyle="1" w:styleId="xl85">
    <w:name w:val="xl85"/>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6">
    <w:name w:val="xl86"/>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7">
    <w:name w:val="xl87"/>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8">
    <w:name w:val="xl88"/>
    <w:basedOn w:val="Normal"/>
    <w:rsid w:val="00723916"/>
    <w:pPr>
      <w:spacing w:before="100" w:beforeAutospacing="1" w:after="100" w:afterAutospacing="1" w:line="240" w:lineRule="auto"/>
    </w:pPr>
    <w:rPr>
      <w:rFonts w:eastAsia="Times New Roman" w:cs="Times New Roman"/>
      <w:szCs w:val="24"/>
    </w:rPr>
  </w:style>
  <w:style w:type="paragraph" w:customStyle="1" w:styleId="xl89">
    <w:name w:val="xl89"/>
    <w:basedOn w:val="Normal"/>
    <w:rsid w:val="00723916"/>
    <w:pPr>
      <w:shd w:val="clear" w:color="000000" w:fill="FFFF00"/>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font5">
    <w:name w:val="font5"/>
    <w:basedOn w:val="Normal"/>
    <w:rsid w:val="00723916"/>
    <w:pPr>
      <w:spacing w:before="100" w:beforeAutospacing="1" w:after="100" w:afterAutospacing="1" w:line="240" w:lineRule="auto"/>
    </w:pPr>
    <w:rPr>
      <w:rFonts w:ascii="Calibri" w:eastAsia="Times New Roman" w:hAnsi="Calibri" w:cs="Times New Roman"/>
      <w:color w:val="000000"/>
      <w:sz w:val="22"/>
      <w:lang w:val="en-US" w:eastAsia="en-US"/>
    </w:rPr>
  </w:style>
  <w:style w:type="paragraph" w:customStyle="1" w:styleId="font6">
    <w:name w:val="font6"/>
    <w:basedOn w:val="Normal"/>
    <w:rsid w:val="00723916"/>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character" w:customStyle="1" w:styleId="Ttulo1Car">
    <w:name w:val="Título 1 Car"/>
    <w:basedOn w:val="Fuentedeprrafopredeter"/>
    <w:link w:val="Ttulo1"/>
    <w:uiPriority w:val="9"/>
    <w:rsid w:val="00723916"/>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723916"/>
    <w:rPr>
      <w:rFonts w:ascii="Arial" w:eastAsia="Times New Roman" w:hAnsi="Arial" w:cs="Times New Roman"/>
      <w:i/>
      <w:sz w:val="24"/>
      <w:szCs w:val="26"/>
    </w:rPr>
  </w:style>
  <w:style w:type="paragraph" w:customStyle="1" w:styleId="TtulodeTDC1">
    <w:name w:val="Título de TDC1"/>
    <w:basedOn w:val="Ttulo1"/>
    <w:next w:val="Normal"/>
    <w:uiPriority w:val="39"/>
    <w:unhideWhenUsed/>
    <w:qFormat/>
    <w:rsid w:val="00723916"/>
  </w:style>
  <w:style w:type="paragraph" w:styleId="TDC1">
    <w:name w:val="toc 1"/>
    <w:basedOn w:val="Normal"/>
    <w:next w:val="Normal"/>
    <w:autoRedefine/>
    <w:uiPriority w:val="39"/>
    <w:unhideWhenUsed/>
    <w:rsid w:val="00723916"/>
    <w:pPr>
      <w:spacing w:after="100" w:line="259" w:lineRule="auto"/>
    </w:pPr>
    <w:rPr>
      <w:rFonts w:ascii="Barlow" w:eastAsia="Calibri" w:hAnsi="Barlow" w:cs="Times New Roman"/>
      <w:sz w:val="22"/>
      <w:lang w:eastAsia="en-US"/>
    </w:rPr>
  </w:style>
  <w:style w:type="paragraph" w:styleId="TDC2">
    <w:name w:val="toc 2"/>
    <w:basedOn w:val="Normal"/>
    <w:next w:val="Normal"/>
    <w:autoRedefine/>
    <w:uiPriority w:val="39"/>
    <w:unhideWhenUsed/>
    <w:rsid w:val="00723916"/>
    <w:pPr>
      <w:spacing w:after="100" w:line="259" w:lineRule="auto"/>
      <w:ind w:left="220"/>
    </w:pPr>
    <w:rPr>
      <w:rFonts w:ascii="Barlow" w:eastAsia="Calibri" w:hAnsi="Barlow" w:cs="Times New Roman"/>
      <w:sz w:val="22"/>
      <w:lang w:eastAsia="en-US"/>
    </w:rPr>
  </w:style>
  <w:style w:type="paragraph" w:styleId="TDC3">
    <w:name w:val="toc 3"/>
    <w:basedOn w:val="Normal"/>
    <w:next w:val="Normal"/>
    <w:autoRedefine/>
    <w:uiPriority w:val="39"/>
    <w:unhideWhenUsed/>
    <w:rsid w:val="00723916"/>
    <w:pPr>
      <w:spacing w:after="100" w:line="259" w:lineRule="auto"/>
      <w:ind w:left="440"/>
    </w:pPr>
    <w:rPr>
      <w:rFonts w:ascii="Barlow" w:eastAsia="Calibri" w:hAnsi="Barlow" w:cs="Times New Roman"/>
      <w:sz w:val="22"/>
      <w:lang w:eastAsia="en-US"/>
    </w:rPr>
  </w:style>
  <w:style w:type="paragraph" w:customStyle="1" w:styleId="xl63">
    <w:name w:val="xl63"/>
    <w:basedOn w:val="Normal"/>
    <w:rsid w:val="00723916"/>
    <w:pPr>
      <w:pBdr>
        <w:top w:val="single" w:sz="8" w:space="0" w:color="auto"/>
        <w:left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64">
    <w:name w:val="xl64"/>
    <w:basedOn w:val="Normal"/>
    <w:rsid w:val="00723916"/>
    <w:pPr>
      <w:pBdr>
        <w:top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90">
    <w:name w:val="xl90"/>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91">
    <w:name w:val="xl91"/>
    <w:basedOn w:val="Normal"/>
    <w:rsid w:val="00723916"/>
    <w:pPr>
      <w:pBdr>
        <w:top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92">
    <w:name w:val="xl92"/>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b/>
      <w:bCs/>
      <w:szCs w:val="24"/>
    </w:rPr>
  </w:style>
  <w:style w:type="paragraph" w:customStyle="1" w:styleId="xl93">
    <w:name w:val="xl93"/>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b/>
      <w:bCs/>
      <w:szCs w:val="24"/>
    </w:rPr>
  </w:style>
  <w:style w:type="paragraph" w:customStyle="1" w:styleId="xl94">
    <w:name w:val="xl94"/>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95">
    <w:name w:val="xl95"/>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96">
    <w:name w:val="xl96"/>
    <w:basedOn w:val="Normal"/>
    <w:rsid w:val="00723916"/>
    <w:pPr>
      <w:shd w:val="clear" w:color="90EE9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7">
    <w:name w:val="xl97"/>
    <w:basedOn w:val="Normal"/>
    <w:rsid w:val="00723916"/>
    <w:pPr>
      <w:pBdr>
        <w:right w:val="single" w:sz="8" w:space="0" w:color="auto"/>
      </w:pBdr>
      <w:shd w:val="clear" w:color="90EE9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8">
    <w:name w:val="xl98"/>
    <w:basedOn w:val="Normal"/>
    <w:rsid w:val="00723916"/>
    <w:pPr>
      <w:shd w:val="clear" w:color="00000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9">
    <w:name w:val="xl99"/>
    <w:basedOn w:val="Normal"/>
    <w:rsid w:val="00723916"/>
    <w:pPr>
      <w:pBdr>
        <w:right w:val="single" w:sz="8" w:space="0" w:color="auto"/>
      </w:pBdr>
      <w:shd w:val="clear" w:color="00000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00">
    <w:name w:val="xl100"/>
    <w:basedOn w:val="Normal"/>
    <w:rsid w:val="00723916"/>
    <w:pP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1">
    <w:name w:val="xl101"/>
    <w:basedOn w:val="Normal"/>
    <w:rsid w:val="00723916"/>
    <w:pPr>
      <w:pBdr>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2">
    <w:name w:val="xl102"/>
    <w:basedOn w:val="Normal"/>
    <w:rsid w:val="00723916"/>
    <w:pPr>
      <w:pBdr>
        <w:bottom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3">
    <w:name w:val="xl103"/>
    <w:basedOn w:val="Normal"/>
    <w:rsid w:val="00723916"/>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4">
    <w:name w:val="xl104"/>
    <w:basedOn w:val="Normal"/>
    <w:rsid w:val="00723916"/>
    <w:pPr>
      <w:pBdr>
        <w:top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5">
    <w:name w:val="xl105"/>
    <w:basedOn w:val="Normal"/>
    <w:rsid w:val="00723916"/>
    <w:pPr>
      <w:pBdr>
        <w:top w:val="single" w:sz="8" w:space="0" w:color="auto"/>
        <w:righ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6">
    <w:name w:val="xl106"/>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07">
    <w:name w:val="xl107"/>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08">
    <w:name w:val="xl108"/>
    <w:basedOn w:val="Normal"/>
    <w:rsid w:val="00723916"/>
    <w:pP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9">
    <w:name w:val="xl109"/>
    <w:basedOn w:val="Normal"/>
    <w:rsid w:val="00723916"/>
    <w:pPr>
      <w:pBdr>
        <w:right w:val="single" w:sz="8" w:space="0" w:color="auto"/>
      </w:pBd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0">
    <w:name w:val="xl110"/>
    <w:basedOn w:val="Normal"/>
    <w:rsid w:val="00723916"/>
    <w:pPr>
      <w:spacing w:before="100" w:beforeAutospacing="1" w:after="100" w:afterAutospacing="1" w:line="240" w:lineRule="auto"/>
      <w:textAlignment w:val="center"/>
    </w:pPr>
    <w:rPr>
      <w:rFonts w:eastAsia="Times New Roman" w:cs="Times New Roman"/>
      <w:szCs w:val="24"/>
    </w:rPr>
  </w:style>
  <w:style w:type="paragraph" w:customStyle="1" w:styleId="xl111">
    <w:name w:val="xl111"/>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2">
    <w:name w:val="xl112"/>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3">
    <w:name w:val="xl113"/>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4">
    <w:name w:val="xl114"/>
    <w:basedOn w:val="Normal"/>
    <w:rsid w:val="00723916"/>
    <w:pP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5">
    <w:name w:val="xl115"/>
    <w:basedOn w:val="Normal"/>
    <w:rsid w:val="00723916"/>
    <w:pPr>
      <w:pBdr>
        <w:right w:val="single" w:sz="8" w:space="0" w:color="auto"/>
      </w:pBd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6">
    <w:name w:val="xl116"/>
    <w:basedOn w:val="Normal"/>
    <w:rsid w:val="00723916"/>
    <w:pPr>
      <w:shd w:val="clear" w:color="000000" w:fill="FFFFFF"/>
      <w:spacing w:before="100" w:beforeAutospacing="1" w:after="100" w:afterAutospacing="1" w:line="240" w:lineRule="auto"/>
      <w:textAlignment w:val="center"/>
    </w:pPr>
    <w:rPr>
      <w:rFonts w:eastAsia="Times New Roman" w:cs="Times New Roman"/>
      <w:b/>
      <w:bCs/>
      <w:szCs w:val="24"/>
    </w:rPr>
  </w:style>
  <w:style w:type="paragraph" w:customStyle="1" w:styleId="xl117">
    <w:name w:val="xl117"/>
    <w:basedOn w:val="Normal"/>
    <w:rsid w:val="00723916"/>
    <w:pPr>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723916"/>
    <w:pP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19">
    <w:name w:val="xl119"/>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0">
    <w:name w:val="xl120"/>
    <w:basedOn w:val="Normal"/>
    <w:rsid w:val="00723916"/>
    <w:pPr>
      <w:pBdr>
        <w:bottom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1">
    <w:name w:val="xl12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723916"/>
    <w:pPr>
      <w:pBdr>
        <w:left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4">
    <w:name w:val="xl124"/>
    <w:basedOn w:val="Normal"/>
    <w:rsid w:val="00723916"/>
    <w:pPr>
      <w:pBdr>
        <w:left w:val="single" w:sz="8" w:space="0" w:color="auto"/>
      </w:pBdr>
      <w:shd w:val="clear" w:color="D3D3D3" w:fill="9BC2E6"/>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5">
    <w:name w:val="xl125"/>
    <w:basedOn w:val="Normal"/>
    <w:rsid w:val="00723916"/>
    <w:pPr>
      <w:pBdr>
        <w:left w:val="single" w:sz="8" w:space="7" w:color="auto"/>
      </w:pBdr>
      <w:shd w:val="clear" w:color="000000" w:fill="FFFFFF"/>
      <w:spacing w:before="100" w:beforeAutospacing="1" w:after="100" w:afterAutospacing="1" w:line="240" w:lineRule="auto"/>
      <w:ind w:firstLineChars="100" w:firstLine="100"/>
      <w:textAlignment w:val="center"/>
    </w:pPr>
    <w:rPr>
      <w:rFonts w:eastAsia="Times New Roman" w:cs="Times New Roman"/>
      <w:b/>
      <w:bCs/>
      <w:color w:val="000000"/>
      <w:szCs w:val="24"/>
    </w:rPr>
  </w:style>
  <w:style w:type="paragraph" w:customStyle="1" w:styleId="xl126">
    <w:name w:val="xl126"/>
    <w:basedOn w:val="Normal"/>
    <w:rsid w:val="00723916"/>
    <w:pPr>
      <w:pBdr>
        <w:left w:val="single" w:sz="8" w:space="7" w:color="auto"/>
      </w:pBdr>
      <w:shd w:val="clear" w:color="000000" w:fill="FFFFFF"/>
      <w:spacing w:before="100" w:beforeAutospacing="1" w:after="100" w:afterAutospacing="1" w:line="240" w:lineRule="auto"/>
      <w:ind w:firstLineChars="100" w:firstLine="100"/>
      <w:textAlignment w:val="center"/>
    </w:pPr>
    <w:rPr>
      <w:rFonts w:eastAsia="Times New Roman" w:cs="Times New Roman"/>
      <w:color w:val="000000"/>
      <w:szCs w:val="24"/>
    </w:rPr>
  </w:style>
  <w:style w:type="paragraph" w:customStyle="1" w:styleId="xl127">
    <w:name w:val="xl127"/>
    <w:basedOn w:val="Normal"/>
    <w:rsid w:val="00723916"/>
    <w:pPr>
      <w:pBdr>
        <w:lef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8">
    <w:name w:val="xl128"/>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9">
    <w:name w:val="xl129"/>
    <w:basedOn w:val="Normal"/>
    <w:rsid w:val="00723916"/>
    <w:pPr>
      <w:pBdr>
        <w:left w:val="single" w:sz="8" w:space="0" w:color="auto"/>
      </w:pBdr>
      <w:shd w:val="clear" w:color="00000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0">
    <w:name w:val="xl130"/>
    <w:basedOn w:val="Normal"/>
    <w:rsid w:val="00723916"/>
    <w:pPr>
      <w:pBdr>
        <w:left w:val="single" w:sz="8" w:space="0" w:color="auto"/>
      </w:pBdr>
      <w:shd w:val="clear" w:color="000000" w:fill="D9D9D9"/>
      <w:spacing w:before="100" w:beforeAutospacing="1" w:after="100" w:afterAutospacing="1" w:line="240" w:lineRule="auto"/>
      <w:textAlignment w:val="center"/>
    </w:pPr>
    <w:rPr>
      <w:rFonts w:eastAsia="Times New Roman" w:cs="Times New Roman"/>
      <w:color w:val="000000"/>
      <w:szCs w:val="24"/>
    </w:rPr>
  </w:style>
  <w:style w:type="paragraph" w:customStyle="1" w:styleId="xl131">
    <w:name w:val="xl131"/>
    <w:basedOn w:val="Normal"/>
    <w:rsid w:val="00723916"/>
    <w:pPr>
      <w:pBdr>
        <w:left w:val="single" w:sz="8" w:space="0" w:color="auto"/>
        <w:bottom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2">
    <w:name w:val="xl132"/>
    <w:basedOn w:val="Normal"/>
    <w:rsid w:val="00723916"/>
    <w:pPr>
      <w:pBdr>
        <w:top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3">
    <w:name w:val="xl133"/>
    <w:basedOn w:val="Normal"/>
    <w:rsid w:val="00723916"/>
    <w:pPr>
      <w:pBdr>
        <w:top w:val="single" w:sz="8" w:space="0" w:color="auto"/>
        <w:right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4">
    <w:name w:val="xl134"/>
    <w:basedOn w:val="Normal"/>
    <w:rsid w:val="00723916"/>
    <w:pPr>
      <w:pBdr>
        <w:top w:val="single" w:sz="8" w:space="0" w:color="auto"/>
        <w:lef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5">
    <w:name w:val="xl135"/>
    <w:basedOn w:val="Normal"/>
    <w:rsid w:val="00723916"/>
    <w:pPr>
      <w:pBdr>
        <w:left w:val="single" w:sz="8" w:space="0" w:color="auto"/>
      </w:pBdr>
      <w:shd w:val="clear" w:color="90EE9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6">
    <w:name w:val="xl136"/>
    <w:basedOn w:val="Normal"/>
    <w:rsid w:val="00723916"/>
    <w:pPr>
      <w:pBdr>
        <w:left w:val="single" w:sz="8" w:space="0" w:color="auto"/>
      </w:pBd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7">
    <w:name w:val="xl137"/>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38">
    <w:name w:val="xl138"/>
    <w:basedOn w:val="Normal"/>
    <w:rsid w:val="00723916"/>
    <w:pPr>
      <w:pBdr>
        <w:left w:val="single" w:sz="8" w:space="0" w:color="auto"/>
      </w:pBd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9">
    <w:name w:val="xl139"/>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0">
    <w:name w:val="xl140"/>
    <w:basedOn w:val="Normal"/>
    <w:rsid w:val="00723916"/>
    <w:pPr>
      <w:pBdr>
        <w:left w:val="single" w:sz="8" w:space="0" w:color="auto"/>
        <w:bottom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1">
    <w:name w:val="xl14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2">
    <w:name w:val="xl142"/>
    <w:basedOn w:val="Normal"/>
    <w:rsid w:val="00723916"/>
    <w:pPr>
      <w:pBdr>
        <w:bottom w:val="single" w:sz="8" w:space="0" w:color="auto"/>
        <w:righ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3">
    <w:name w:val="xl143"/>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ind w:firstLineChars="600" w:firstLine="600"/>
      <w:textAlignment w:val="center"/>
    </w:pPr>
    <w:rPr>
      <w:rFonts w:eastAsia="Times New Roman" w:cs="Times New Roman"/>
      <w:b/>
      <w:bCs/>
      <w:color w:val="FFFFFF"/>
      <w:szCs w:val="24"/>
    </w:rPr>
  </w:style>
  <w:style w:type="paragraph" w:customStyle="1" w:styleId="xl144">
    <w:name w:val="xl144"/>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5">
    <w:name w:val="xl145"/>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color w:val="000000"/>
      <w:szCs w:val="24"/>
    </w:rPr>
  </w:style>
  <w:style w:type="paragraph" w:customStyle="1" w:styleId="xl146">
    <w:name w:val="xl146"/>
    <w:basedOn w:val="Normal"/>
    <w:rsid w:val="00723916"/>
    <w:pPr>
      <w:pBdr>
        <w:right w:val="single" w:sz="8" w:space="0" w:color="auto"/>
      </w:pBdr>
      <w:shd w:val="clear" w:color="F0E68C" w:fill="D9E1F2"/>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47">
    <w:name w:val="xl147"/>
    <w:basedOn w:val="Normal"/>
    <w:rsid w:val="00723916"/>
    <w:pPr>
      <w:pBdr>
        <w:right w:val="single" w:sz="8" w:space="0" w:color="auto"/>
      </w:pBdr>
      <w:shd w:val="clear" w:color="F0E68C" w:fill="FFFFF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48">
    <w:name w:val="xl148"/>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149">
    <w:name w:val="xl149"/>
    <w:basedOn w:val="Normal"/>
    <w:rsid w:val="00723916"/>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50">
    <w:name w:val="xl150"/>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151">
    <w:name w:val="xl151"/>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52">
    <w:name w:val="xl152"/>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b/>
      <w:bCs/>
      <w:szCs w:val="24"/>
    </w:rPr>
  </w:style>
  <w:style w:type="paragraph" w:customStyle="1" w:styleId="xl153">
    <w:name w:val="xl153"/>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54">
    <w:name w:val="xl154"/>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color w:val="FFFFFF"/>
      <w:szCs w:val="24"/>
    </w:rPr>
  </w:style>
  <w:style w:type="paragraph" w:customStyle="1" w:styleId="xl155">
    <w:name w:val="xl155"/>
    <w:basedOn w:val="Normal"/>
    <w:rsid w:val="00723916"/>
    <w:pPr>
      <w:pBdr>
        <w:top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6">
    <w:name w:val="xl156"/>
    <w:basedOn w:val="Normal"/>
    <w:rsid w:val="00723916"/>
    <w:pPr>
      <w:pBdr>
        <w:top w:val="single" w:sz="8" w:space="0" w:color="auto"/>
        <w:right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7">
    <w:name w:val="xl157"/>
    <w:basedOn w:val="Normal"/>
    <w:rsid w:val="00723916"/>
    <w:pPr>
      <w:pBdr>
        <w:top w:val="single" w:sz="8" w:space="0" w:color="auto"/>
        <w:left w:val="single" w:sz="8" w:space="0" w:color="auto"/>
        <w:bottom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8">
    <w:name w:val="xl158"/>
    <w:basedOn w:val="Normal"/>
    <w:rsid w:val="00723916"/>
    <w:pPr>
      <w:pBdr>
        <w:top w:val="single" w:sz="8" w:space="0" w:color="auto"/>
        <w:bottom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9">
    <w:name w:val="xl159"/>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60">
    <w:name w:val="xl160"/>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161">
    <w:name w:val="xl16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2">
    <w:name w:val="xl162"/>
    <w:basedOn w:val="Normal"/>
    <w:rsid w:val="00723916"/>
    <w:pPr>
      <w:pBdr>
        <w:top w:val="single" w:sz="8" w:space="0" w:color="auto"/>
        <w:left w:val="single" w:sz="8" w:space="0" w:color="auto"/>
        <w:bottom w:val="single" w:sz="8" w:space="0" w:color="auto"/>
        <w:right w:val="single" w:sz="8" w:space="0" w:color="auto"/>
      </w:pBdr>
      <w:shd w:val="clear" w:color="000000" w:fill="00008B"/>
      <w:spacing w:before="100" w:beforeAutospacing="1" w:after="100" w:afterAutospacing="1" w:line="240" w:lineRule="auto"/>
    </w:pPr>
    <w:rPr>
      <w:rFonts w:eastAsia="Times New Roman" w:cs="Times New Roman"/>
      <w:b/>
      <w:bCs/>
      <w:color w:val="FFFFFF"/>
      <w:szCs w:val="24"/>
    </w:rPr>
  </w:style>
  <w:style w:type="paragraph" w:customStyle="1" w:styleId="xl163">
    <w:name w:val="xl163"/>
    <w:basedOn w:val="Normal"/>
    <w:rsid w:val="00723916"/>
    <w:pPr>
      <w:pBdr>
        <w:top w:val="single" w:sz="8" w:space="0" w:color="auto"/>
        <w:left w:val="single" w:sz="8" w:space="0" w:color="auto"/>
        <w:bottom w:val="single" w:sz="8" w:space="0" w:color="auto"/>
      </w:pBdr>
      <w:spacing w:before="100" w:beforeAutospacing="1" w:after="100" w:afterAutospacing="1" w:line="240" w:lineRule="auto"/>
    </w:pPr>
    <w:rPr>
      <w:rFonts w:eastAsia="Times New Roman" w:cs="Times New Roman"/>
      <w:b/>
      <w:bCs/>
      <w:szCs w:val="24"/>
    </w:rPr>
  </w:style>
  <w:style w:type="paragraph" w:customStyle="1" w:styleId="xl164">
    <w:name w:val="xl164"/>
    <w:basedOn w:val="Normal"/>
    <w:rsid w:val="00723916"/>
    <w:pPr>
      <w:pBdr>
        <w:top w:val="single" w:sz="8" w:space="0" w:color="auto"/>
        <w:bottom w:val="single" w:sz="8" w:space="0" w:color="auto"/>
      </w:pBdr>
      <w:spacing w:before="100" w:beforeAutospacing="1" w:after="100" w:afterAutospacing="1" w:line="240" w:lineRule="auto"/>
    </w:pPr>
    <w:rPr>
      <w:rFonts w:eastAsia="Times New Roman" w:cs="Times New Roman"/>
      <w:b/>
      <w:bCs/>
      <w:szCs w:val="24"/>
    </w:rPr>
  </w:style>
  <w:style w:type="paragraph" w:customStyle="1" w:styleId="xl165">
    <w:name w:val="xl165"/>
    <w:basedOn w:val="Normal"/>
    <w:rsid w:val="00723916"/>
    <w:pPr>
      <w:pBdr>
        <w:top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TableParagraph">
    <w:name w:val="Table Paragraph"/>
    <w:basedOn w:val="Normal"/>
    <w:uiPriority w:val="1"/>
    <w:qFormat/>
    <w:rsid w:val="00723916"/>
    <w:pPr>
      <w:widowControl w:val="0"/>
      <w:autoSpaceDE w:val="0"/>
      <w:autoSpaceDN w:val="0"/>
      <w:spacing w:after="0" w:line="240" w:lineRule="auto"/>
    </w:pPr>
    <w:rPr>
      <w:rFonts w:ascii="Tahoma" w:eastAsia="Tahoma" w:hAnsi="Tahoma" w:cs="Tahoma"/>
      <w:sz w:val="22"/>
      <w:lang w:val="es-ES" w:eastAsia="en-US"/>
    </w:rPr>
  </w:style>
  <w:style w:type="character" w:customStyle="1" w:styleId="Ttulo1Car1">
    <w:name w:val="Título 1 Car1"/>
    <w:basedOn w:val="Fuentedeprrafopredeter"/>
    <w:uiPriority w:val="9"/>
    <w:rsid w:val="00723916"/>
    <w:rPr>
      <w:rFonts w:asciiTheme="majorHAnsi" w:eastAsiaTheme="majorEastAsia" w:hAnsiTheme="majorHAnsi" w:cstheme="majorBidi"/>
      <w:b/>
      <w:bCs/>
      <w:color w:val="365F91" w:themeColor="accent1" w:themeShade="BF"/>
      <w:sz w:val="28"/>
      <w:szCs w:val="28"/>
      <w:lang w:eastAsia="es-MX"/>
    </w:rPr>
  </w:style>
  <w:style w:type="character" w:customStyle="1" w:styleId="Ttulo2Car1">
    <w:name w:val="Título 2 Car1"/>
    <w:basedOn w:val="Fuentedeprrafopredeter"/>
    <w:uiPriority w:val="9"/>
    <w:semiHidden/>
    <w:rsid w:val="00723916"/>
    <w:rPr>
      <w:rFonts w:asciiTheme="majorHAnsi" w:eastAsiaTheme="majorEastAsia" w:hAnsiTheme="majorHAnsi" w:cstheme="majorBidi"/>
      <w:b/>
      <w:bCs/>
      <w:color w:val="4F81BD" w:themeColor="accent1"/>
      <w:sz w:val="26"/>
      <w:szCs w:val="26"/>
      <w:lang w:eastAsia="es-MX"/>
    </w:rPr>
  </w:style>
  <w:style w:type="paragraph" w:styleId="Revisin">
    <w:name w:val="Revision"/>
    <w:hidden/>
    <w:uiPriority w:val="99"/>
    <w:semiHidden/>
    <w:rsid w:val="000870C6"/>
    <w:pPr>
      <w:spacing w:after="0" w:line="240" w:lineRule="auto"/>
    </w:pPr>
    <w:rPr>
      <w:rFonts w:eastAsiaTheme="minorEastAsia"/>
      <w:lang w:eastAsia="es-MX"/>
    </w:rPr>
  </w:style>
  <w:style w:type="paragraph" w:customStyle="1" w:styleId="Texto">
    <w:name w:val="Texto"/>
    <w:aliases w:val="independiente,independiente Car Car Car"/>
    <w:basedOn w:val="Normal"/>
    <w:link w:val="TextoCar"/>
    <w:qFormat/>
    <w:rsid w:val="00EB140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140A"/>
    <w:rPr>
      <w:rFonts w:ascii="Arial" w:eastAsia="Times New Roman" w:hAnsi="Arial" w:cs="Arial"/>
      <w:sz w:val="18"/>
      <w:szCs w:val="20"/>
      <w:lang w:val="es-ES" w:eastAsia="es-ES"/>
    </w:rPr>
  </w:style>
  <w:style w:type="paragraph" w:styleId="Textosinformato">
    <w:name w:val="Plain Text"/>
    <w:basedOn w:val="Normal"/>
    <w:link w:val="TextosinformatoCar"/>
    <w:rsid w:val="00EB140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B140A"/>
    <w:rPr>
      <w:rFonts w:ascii="Courier New" w:eastAsia="Times New Roman" w:hAnsi="Courier New" w:cs="Courier New"/>
      <w:sz w:val="20"/>
      <w:szCs w:val="20"/>
      <w:lang w:val="es-ES" w:eastAsia="es-ES"/>
    </w:rPr>
  </w:style>
  <w:style w:type="character" w:customStyle="1" w:styleId="superscript">
    <w:name w:val="superscript"/>
    <w:basedOn w:val="Fuentedeprrafopredeter"/>
    <w:rsid w:val="00201CF4"/>
  </w:style>
  <w:style w:type="table" w:customStyle="1" w:styleId="TableNormal1">
    <w:name w:val="Table Normal1"/>
    <w:uiPriority w:val="2"/>
    <w:semiHidden/>
    <w:unhideWhenUsed/>
    <w:qFormat/>
    <w:rsid w:val="00F66433"/>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64480F"/>
    <w:rPr>
      <w:b/>
      <w:bCs/>
    </w:rPr>
  </w:style>
  <w:style w:type="paragraph" w:styleId="Textoindependiente">
    <w:name w:val="Body Text"/>
    <w:basedOn w:val="Normal"/>
    <w:link w:val="TextoindependienteCar"/>
    <w:uiPriority w:val="99"/>
    <w:semiHidden/>
    <w:unhideWhenUsed/>
    <w:rsid w:val="00FC41DD"/>
    <w:pPr>
      <w:spacing w:after="120"/>
    </w:pPr>
  </w:style>
  <w:style w:type="character" w:customStyle="1" w:styleId="TextoindependienteCar">
    <w:name w:val="Texto independiente Car"/>
    <w:basedOn w:val="Fuentedeprrafopredeter"/>
    <w:link w:val="Textoindependiente"/>
    <w:uiPriority w:val="99"/>
    <w:semiHidden/>
    <w:rsid w:val="00FC41D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8">
      <w:bodyDiv w:val="1"/>
      <w:marLeft w:val="0"/>
      <w:marRight w:val="0"/>
      <w:marTop w:val="0"/>
      <w:marBottom w:val="0"/>
      <w:divBdr>
        <w:top w:val="none" w:sz="0" w:space="0" w:color="auto"/>
        <w:left w:val="none" w:sz="0" w:space="0" w:color="auto"/>
        <w:bottom w:val="none" w:sz="0" w:space="0" w:color="auto"/>
        <w:right w:val="none" w:sz="0" w:space="0" w:color="auto"/>
      </w:divBdr>
    </w:div>
    <w:div w:id="55858043">
      <w:bodyDiv w:val="1"/>
      <w:marLeft w:val="0"/>
      <w:marRight w:val="0"/>
      <w:marTop w:val="0"/>
      <w:marBottom w:val="0"/>
      <w:divBdr>
        <w:top w:val="none" w:sz="0" w:space="0" w:color="auto"/>
        <w:left w:val="none" w:sz="0" w:space="0" w:color="auto"/>
        <w:bottom w:val="none" w:sz="0" w:space="0" w:color="auto"/>
        <w:right w:val="none" w:sz="0" w:space="0" w:color="auto"/>
      </w:divBdr>
    </w:div>
    <w:div w:id="145585556">
      <w:bodyDiv w:val="1"/>
      <w:marLeft w:val="0"/>
      <w:marRight w:val="0"/>
      <w:marTop w:val="0"/>
      <w:marBottom w:val="0"/>
      <w:divBdr>
        <w:top w:val="none" w:sz="0" w:space="0" w:color="auto"/>
        <w:left w:val="none" w:sz="0" w:space="0" w:color="auto"/>
        <w:bottom w:val="none" w:sz="0" w:space="0" w:color="auto"/>
        <w:right w:val="none" w:sz="0" w:space="0" w:color="auto"/>
      </w:divBdr>
    </w:div>
    <w:div w:id="165555424">
      <w:bodyDiv w:val="1"/>
      <w:marLeft w:val="0"/>
      <w:marRight w:val="0"/>
      <w:marTop w:val="0"/>
      <w:marBottom w:val="0"/>
      <w:divBdr>
        <w:top w:val="none" w:sz="0" w:space="0" w:color="auto"/>
        <w:left w:val="none" w:sz="0" w:space="0" w:color="auto"/>
        <w:bottom w:val="none" w:sz="0" w:space="0" w:color="auto"/>
        <w:right w:val="none" w:sz="0" w:space="0" w:color="auto"/>
      </w:divBdr>
    </w:div>
    <w:div w:id="166480945">
      <w:bodyDiv w:val="1"/>
      <w:marLeft w:val="0"/>
      <w:marRight w:val="0"/>
      <w:marTop w:val="0"/>
      <w:marBottom w:val="0"/>
      <w:divBdr>
        <w:top w:val="none" w:sz="0" w:space="0" w:color="auto"/>
        <w:left w:val="none" w:sz="0" w:space="0" w:color="auto"/>
        <w:bottom w:val="none" w:sz="0" w:space="0" w:color="auto"/>
        <w:right w:val="none" w:sz="0" w:space="0" w:color="auto"/>
      </w:divBdr>
    </w:div>
    <w:div w:id="184176518">
      <w:bodyDiv w:val="1"/>
      <w:marLeft w:val="0"/>
      <w:marRight w:val="0"/>
      <w:marTop w:val="0"/>
      <w:marBottom w:val="0"/>
      <w:divBdr>
        <w:top w:val="none" w:sz="0" w:space="0" w:color="auto"/>
        <w:left w:val="none" w:sz="0" w:space="0" w:color="auto"/>
        <w:bottom w:val="none" w:sz="0" w:space="0" w:color="auto"/>
        <w:right w:val="none" w:sz="0" w:space="0" w:color="auto"/>
      </w:divBdr>
    </w:div>
    <w:div w:id="199320882">
      <w:bodyDiv w:val="1"/>
      <w:marLeft w:val="0"/>
      <w:marRight w:val="0"/>
      <w:marTop w:val="0"/>
      <w:marBottom w:val="0"/>
      <w:divBdr>
        <w:top w:val="none" w:sz="0" w:space="0" w:color="auto"/>
        <w:left w:val="none" w:sz="0" w:space="0" w:color="auto"/>
        <w:bottom w:val="none" w:sz="0" w:space="0" w:color="auto"/>
        <w:right w:val="none" w:sz="0" w:space="0" w:color="auto"/>
      </w:divBdr>
    </w:div>
    <w:div w:id="233899451">
      <w:bodyDiv w:val="1"/>
      <w:marLeft w:val="0"/>
      <w:marRight w:val="0"/>
      <w:marTop w:val="0"/>
      <w:marBottom w:val="0"/>
      <w:divBdr>
        <w:top w:val="none" w:sz="0" w:space="0" w:color="auto"/>
        <w:left w:val="none" w:sz="0" w:space="0" w:color="auto"/>
        <w:bottom w:val="none" w:sz="0" w:space="0" w:color="auto"/>
        <w:right w:val="none" w:sz="0" w:space="0" w:color="auto"/>
      </w:divBdr>
    </w:div>
    <w:div w:id="261109699">
      <w:bodyDiv w:val="1"/>
      <w:marLeft w:val="0"/>
      <w:marRight w:val="0"/>
      <w:marTop w:val="0"/>
      <w:marBottom w:val="0"/>
      <w:divBdr>
        <w:top w:val="none" w:sz="0" w:space="0" w:color="auto"/>
        <w:left w:val="none" w:sz="0" w:space="0" w:color="auto"/>
        <w:bottom w:val="none" w:sz="0" w:space="0" w:color="auto"/>
        <w:right w:val="none" w:sz="0" w:space="0" w:color="auto"/>
      </w:divBdr>
    </w:div>
    <w:div w:id="273290551">
      <w:bodyDiv w:val="1"/>
      <w:marLeft w:val="0"/>
      <w:marRight w:val="0"/>
      <w:marTop w:val="0"/>
      <w:marBottom w:val="0"/>
      <w:divBdr>
        <w:top w:val="none" w:sz="0" w:space="0" w:color="auto"/>
        <w:left w:val="none" w:sz="0" w:space="0" w:color="auto"/>
        <w:bottom w:val="none" w:sz="0" w:space="0" w:color="auto"/>
        <w:right w:val="none" w:sz="0" w:space="0" w:color="auto"/>
      </w:divBdr>
    </w:div>
    <w:div w:id="339359835">
      <w:bodyDiv w:val="1"/>
      <w:marLeft w:val="0"/>
      <w:marRight w:val="0"/>
      <w:marTop w:val="0"/>
      <w:marBottom w:val="0"/>
      <w:divBdr>
        <w:top w:val="none" w:sz="0" w:space="0" w:color="auto"/>
        <w:left w:val="none" w:sz="0" w:space="0" w:color="auto"/>
        <w:bottom w:val="none" w:sz="0" w:space="0" w:color="auto"/>
        <w:right w:val="none" w:sz="0" w:space="0" w:color="auto"/>
      </w:divBdr>
    </w:div>
    <w:div w:id="354309618">
      <w:bodyDiv w:val="1"/>
      <w:marLeft w:val="0"/>
      <w:marRight w:val="0"/>
      <w:marTop w:val="0"/>
      <w:marBottom w:val="0"/>
      <w:divBdr>
        <w:top w:val="none" w:sz="0" w:space="0" w:color="auto"/>
        <w:left w:val="none" w:sz="0" w:space="0" w:color="auto"/>
        <w:bottom w:val="none" w:sz="0" w:space="0" w:color="auto"/>
        <w:right w:val="none" w:sz="0" w:space="0" w:color="auto"/>
      </w:divBdr>
    </w:div>
    <w:div w:id="398983651">
      <w:bodyDiv w:val="1"/>
      <w:marLeft w:val="0"/>
      <w:marRight w:val="0"/>
      <w:marTop w:val="0"/>
      <w:marBottom w:val="0"/>
      <w:divBdr>
        <w:top w:val="none" w:sz="0" w:space="0" w:color="auto"/>
        <w:left w:val="none" w:sz="0" w:space="0" w:color="auto"/>
        <w:bottom w:val="none" w:sz="0" w:space="0" w:color="auto"/>
        <w:right w:val="none" w:sz="0" w:space="0" w:color="auto"/>
      </w:divBdr>
    </w:div>
    <w:div w:id="406535568">
      <w:bodyDiv w:val="1"/>
      <w:marLeft w:val="0"/>
      <w:marRight w:val="0"/>
      <w:marTop w:val="0"/>
      <w:marBottom w:val="0"/>
      <w:divBdr>
        <w:top w:val="none" w:sz="0" w:space="0" w:color="auto"/>
        <w:left w:val="none" w:sz="0" w:space="0" w:color="auto"/>
        <w:bottom w:val="none" w:sz="0" w:space="0" w:color="auto"/>
        <w:right w:val="none" w:sz="0" w:space="0" w:color="auto"/>
      </w:divBdr>
    </w:div>
    <w:div w:id="406921528">
      <w:bodyDiv w:val="1"/>
      <w:marLeft w:val="0"/>
      <w:marRight w:val="0"/>
      <w:marTop w:val="0"/>
      <w:marBottom w:val="0"/>
      <w:divBdr>
        <w:top w:val="none" w:sz="0" w:space="0" w:color="auto"/>
        <w:left w:val="none" w:sz="0" w:space="0" w:color="auto"/>
        <w:bottom w:val="none" w:sz="0" w:space="0" w:color="auto"/>
        <w:right w:val="none" w:sz="0" w:space="0" w:color="auto"/>
      </w:divBdr>
    </w:div>
    <w:div w:id="429666461">
      <w:bodyDiv w:val="1"/>
      <w:marLeft w:val="0"/>
      <w:marRight w:val="0"/>
      <w:marTop w:val="0"/>
      <w:marBottom w:val="0"/>
      <w:divBdr>
        <w:top w:val="none" w:sz="0" w:space="0" w:color="auto"/>
        <w:left w:val="none" w:sz="0" w:space="0" w:color="auto"/>
        <w:bottom w:val="none" w:sz="0" w:space="0" w:color="auto"/>
        <w:right w:val="none" w:sz="0" w:space="0" w:color="auto"/>
      </w:divBdr>
    </w:div>
    <w:div w:id="474225721">
      <w:bodyDiv w:val="1"/>
      <w:marLeft w:val="0"/>
      <w:marRight w:val="0"/>
      <w:marTop w:val="0"/>
      <w:marBottom w:val="0"/>
      <w:divBdr>
        <w:top w:val="none" w:sz="0" w:space="0" w:color="auto"/>
        <w:left w:val="none" w:sz="0" w:space="0" w:color="auto"/>
        <w:bottom w:val="none" w:sz="0" w:space="0" w:color="auto"/>
        <w:right w:val="none" w:sz="0" w:space="0" w:color="auto"/>
      </w:divBdr>
    </w:div>
    <w:div w:id="558059999">
      <w:bodyDiv w:val="1"/>
      <w:marLeft w:val="0"/>
      <w:marRight w:val="0"/>
      <w:marTop w:val="0"/>
      <w:marBottom w:val="0"/>
      <w:divBdr>
        <w:top w:val="none" w:sz="0" w:space="0" w:color="auto"/>
        <w:left w:val="none" w:sz="0" w:space="0" w:color="auto"/>
        <w:bottom w:val="none" w:sz="0" w:space="0" w:color="auto"/>
        <w:right w:val="none" w:sz="0" w:space="0" w:color="auto"/>
      </w:divBdr>
    </w:div>
    <w:div w:id="584725066">
      <w:bodyDiv w:val="1"/>
      <w:marLeft w:val="0"/>
      <w:marRight w:val="0"/>
      <w:marTop w:val="0"/>
      <w:marBottom w:val="0"/>
      <w:divBdr>
        <w:top w:val="none" w:sz="0" w:space="0" w:color="auto"/>
        <w:left w:val="none" w:sz="0" w:space="0" w:color="auto"/>
        <w:bottom w:val="none" w:sz="0" w:space="0" w:color="auto"/>
        <w:right w:val="none" w:sz="0" w:space="0" w:color="auto"/>
      </w:divBdr>
    </w:div>
    <w:div w:id="595329185">
      <w:bodyDiv w:val="1"/>
      <w:marLeft w:val="0"/>
      <w:marRight w:val="0"/>
      <w:marTop w:val="0"/>
      <w:marBottom w:val="0"/>
      <w:divBdr>
        <w:top w:val="none" w:sz="0" w:space="0" w:color="auto"/>
        <w:left w:val="none" w:sz="0" w:space="0" w:color="auto"/>
        <w:bottom w:val="none" w:sz="0" w:space="0" w:color="auto"/>
        <w:right w:val="none" w:sz="0" w:space="0" w:color="auto"/>
      </w:divBdr>
    </w:div>
    <w:div w:id="639655626">
      <w:bodyDiv w:val="1"/>
      <w:marLeft w:val="0"/>
      <w:marRight w:val="0"/>
      <w:marTop w:val="0"/>
      <w:marBottom w:val="0"/>
      <w:divBdr>
        <w:top w:val="none" w:sz="0" w:space="0" w:color="auto"/>
        <w:left w:val="none" w:sz="0" w:space="0" w:color="auto"/>
        <w:bottom w:val="none" w:sz="0" w:space="0" w:color="auto"/>
        <w:right w:val="none" w:sz="0" w:space="0" w:color="auto"/>
      </w:divBdr>
    </w:div>
    <w:div w:id="689454026">
      <w:bodyDiv w:val="1"/>
      <w:marLeft w:val="0"/>
      <w:marRight w:val="0"/>
      <w:marTop w:val="0"/>
      <w:marBottom w:val="0"/>
      <w:divBdr>
        <w:top w:val="none" w:sz="0" w:space="0" w:color="auto"/>
        <w:left w:val="none" w:sz="0" w:space="0" w:color="auto"/>
        <w:bottom w:val="none" w:sz="0" w:space="0" w:color="auto"/>
        <w:right w:val="none" w:sz="0" w:space="0" w:color="auto"/>
      </w:divBdr>
    </w:div>
    <w:div w:id="774137217">
      <w:bodyDiv w:val="1"/>
      <w:marLeft w:val="0"/>
      <w:marRight w:val="0"/>
      <w:marTop w:val="0"/>
      <w:marBottom w:val="0"/>
      <w:divBdr>
        <w:top w:val="none" w:sz="0" w:space="0" w:color="auto"/>
        <w:left w:val="none" w:sz="0" w:space="0" w:color="auto"/>
        <w:bottom w:val="none" w:sz="0" w:space="0" w:color="auto"/>
        <w:right w:val="none" w:sz="0" w:space="0" w:color="auto"/>
      </w:divBdr>
    </w:div>
    <w:div w:id="837037979">
      <w:bodyDiv w:val="1"/>
      <w:marLeft w:val="0"/>
      <w:marRight w:val="0"/>
      <w:marTop w:val="0"/>
      <w:marBottom w:val="0"/>
      <w:divBdr>
        <w:top w:val="none" w:sz="0" w:space="0" w:color="auto"/>
        <w:left w:val="none" w:sz="0" w:space="0" w:color="auto"/>
        <w:bottom w:val="none" w:sz="0" w:space="0" w:color="auto"/>
        <w:right w:val="none" w:sz="0" w:space="0" w:color="auto"/>
      </w:divBdr>
    </w:div>
    <w:div w:id="857037073">
      <w:bodyDiv w:val="1"/>
      <w:marLeft w:val="0"/>
      <w:marRight w:val="0"/>
      <w:marTop w:val="0"/>
      <w:marBottom w:val="0"/>
      <w:divBdr>
        <w:top w:val="none" w:sz="0" w:space="0" w:color="auto"/>
        <w:left w:val="none" w:sz="0" w:space="0" w:color="auto"/>
        <w:bottom w:val="none" w:sz="0" w:space="0" w:color="auto"/>
        <w:right w:val="none" w:sz="0" w:space="0" w:color="auto"/>
      </w:divBdr>
    </w:div>
    <w:div w:id="862406067">
      <w:bodyDiv w:val="1"/>
      <w:marLeft w:val="0"/>
      <w:marRight w:val="0"/>
      <w:marTop w:val="0"/>
      <w:marBottom w:val="0"/>
      <w:divBdr>
        <w:top w:val="none" w:sz="0" w:space="0" w:color="auto"/>
        <w:left w:val="none" w:sz="0" w:space="0" w:color="auto"/>
        <w:bottom w:val="none" w:sz="0" w:space="0" w:color="auto"/>
        <w:right w:val="none" w:sz="0" w:space="0" w:color="auto"/>
      </w:divBdr>
    </w:div>
    <w:div w:id="869996283">
      <w:bodyDiv w:val="1"/>
      <w:marLeft w:val="0"/>
      <w:marRight w:val="0"/>
      <w:marTop w:val="0"/>
      <w:marBottom w:val="0"/>
      <w:divBdr>
        <w:top w:val="none" w:sz="0" w:space="0" w:color="auto"/>
        <w:left w:val="none" w:sz="0" w:space="0" w:color="auto"/>
        <w:bottom w:val="none" w:sz="0" w:space="0" w:color="auto"/>
        <w:right w:val="none" w:sz="0" w:space="0" w:color="auto"/>
      </w:divBdr>
    </w:div>
    <w:div w:id="884218514">
      <w:bodyDiv w:val="1"/>
      <w:marLeft w:val="0"/>
      <w:marRight w:val="0"/>
      <w:marTop w:val="0"/>
      <w:marBottom w:val="0"/>
      <w:divBdr>
        <w:top w:val="none" w:sz="0" w:space="0" w:color="auto"/>
        <w:left w:val="none" w:sz="0" w:space="0" w:color="auto"/>
        <w:bottom w:val="none" w:sz="0" w:space="0" w:color="auto"/>
        <w:right w:val="none" w:sz="0" w:space="0" w:color="auto"/>
      </w:divBdr>
    </w:div>
    <w:div w:id="927933149">
      <w:bodyDiv w:val="1"/>
      <w:marLeft w:val="0"/>
      <w:marRight w:val="0"/>
      <w:marTop w:val="0"/>
      <w:marBottom w:val="0"/>
      <w:divBdr>
        <w:top w:val="none" w:sz="0" w:space="0" w:color="auto"/>
        <w:left w:val="none" w:sz="0" w:space="0" w:color="auto"/>
        <w:bottom w:val="none" w:sz="0" w:space="0" w:color="auto"/>
        <w:right w:val="none" w:sz="0" w:space="0" w:color="auto"/>
      </w:divBdr>
    </w:div>
    <w:div w:id="1019239790">
      <w:bodyDiv w:val="1"/>
      <w:marLeft w:val="0"/>
      <w:marRight w:val="0"/>
      <w:marTop w:val="0"/>
      <w:marBottom w:val="0"/>
      <w:divBdr>
        <w:top w:val="none" w:sz="0" w:space="0" w:color="auto"/>
        <w:left w:val="none" w:sz="0" w:space="0" w:color="auto"/>
        <w:bottom w:val="none" w:sz="0" w:space="0" w:color="auto"/>
        <w:right w:val="none" w:sz="0" w:space="0" w:color="auto"/>
      </w:divBdr>
      <w:divsChild>
        <w:div w:id="803352634">
          <w:marLeft w:val="446"/>
          <w:marRight w:val="0"/>
          <w:marTop w:val="0"/>
          <w:marBottom w:val="0"/>
          <w:divBdr>
            <w:top w:val="none" w:sz="0" w:space="0" w:color="auto"/>
            <w:left w:val="none" w:sz="0" w:space="0" w:color="auto"/>
            <w:bottom w:val="none" w:sz="0" w:space="0" w:color="auto"/>
            <w:right w:val="none" w:sz="0" w:space="0" w:color="auto"/>
          </w:divBdr>
        </w:div>
      </w:divsChild>
    </w:div>
    <w:div w:id="1114985235">
      <w:bodyDiv w:val="1"/>
      <w:marLeft w:val="0"/>
      <w:marRight w:val="0"/>
      <w:marTop w:val="0"/>
      <w:marBottom w:val="0"/>
      <w:divBdr>
        <w:top w:val="none" w:sz="0" w:space="0" w:color="auto"/>
        <w:left w:val="none" w:sz="0" w:space="0" w:color="auto"/>
        <w:bottom w:val="none" w:sz="0" w:space="0" w:color="auto"/>
        <w:right w:val="none" w:sz="0" w:space="0" w:color="auto"/>
      </w:divBdr>
      <w:divsChild>
        <w:div w:id="627591021">
          <w:marLeft w:val="0"/>
          <w:marRight w:val="0"/>
          <w:marTop w:val="0"/>
          <w:marBottom w:val="0"/>
          <w:divBdr>
            <w:top w:val="none" w:sz="0" w:space="0" w:color="auto"/>
            <w:left w:val="none" w:sz="0" w:space="0" w:color="auto"/>
            <w:bottom w:val="none" w:sz="0" w:space="0" w:color="auto"/>
            <w:right w:val="none" w:sz="0" w:space="0" w:color="auto"/>
          </w:divBdr>
        </w:div>
        <w:div w:id="725228284">
          <w:marLeft w:val="0"/>
          <w:marRight w:val="0"/>
          <w:marTop w:val="0"/>
          <w:marBottom w:val="0"/>
          <w:divBdr>
            <w:top w:val="none" w:sz="0" w:space="0" w:color="auto"/>
            <w:left w:val="none" w:sz="0" w:space="0" w:color="auto"/>
            <w:bottom w:val="none" w:sz="0" w:space="0" w:color="auto"/>
            <w:right w:val="none" w:sz="0" w:space="0" w:color="auto"/>
          </w:divBdr>
        </w:div>
        <w:div w:id="1058557095">
          <w:marLeft w:val="0"/>
          <w:marRight w:val="0"/>
          <w:marTop w:val="0"/>
          <w:marBottom w:val="0"/>
          <w:divBdr>
            <w:top w:val="none" w:sz="0" w:space="0" w:color="auto"/>
            <w:left w:val="none" w:sz="0" w:space="0" w:color="auto"/>
            <w:bottom w:val="none" w:sz="0" w:space="0" w:color="auto"/>
            <w:right w:val="none" w:sz="0" w:space="0" w:color="auto"/>
          </w:divBdr>
        </w:div>
        <w:div w:id="1150637333">
          <w:marLeft w:val="0"/>
          <w:marRight w:val="0"/>
          <w:marTop w:val="0"/>
          <w:marBottom w:val="0"/>
          <w:divBdr>
            <w:top w:val="none" w:sz="0" w:space="0" w:color="auto"/>
            <w:left w:val="none" w:sz="0" w:space="0" w:color="auto"/>
            <w:bottom w:val="none" w:sz="0" w:space="0" w:color="auto"/>
            <w:right w:val="none" w:sz="0" w:space="0" w:color="auto"/>
          </w:divBdr>
        </w:div>
        <w:div w:id="1803309577">
          <w:marLeft w:val="0"/>
          <w:marRight w:val="0"/>
          <w:marTop w:val="0"/>
          <w:marBottom w:val="0"/>
          <w:divBdr>
            <w:top w:val="none" w:sz="0" w:space="0" w:color="auto"/>
            <w:left w:val="none" w:sz="0" w:space="0" w:color="auto"/>
            <w:bottom w:val="none" w:sz="0" w:space="0" w:color="auto"/>
            <w:right w:val="none" w:sz="0" w:space="0" w:color="auto"/>
          </w:divBdr>
        </w:div>
      </w:divsChild>
    </w:div>
    <w:div w:id="1150443767">
      <w:bodyDiv w:val="1"/>
      <w:marLeft w:val="0"/>
      <w:marRight w:val="0"/>
      <w:marTop w:val="0"/>
      <w:marBottom w:val="0"/>
      <w:divBdr>
        <w:top w:val="none" w:sz="0" w:space="0" w:color="auto"/>
        <w:left w:val="none" w:sz="0" w:space="0" w:color="auto"/>
        <w:bottom w:val="none" w:sz="0" w:space="0" w:color="auto"/>
        <w:right w:val="none" w:sz="0" w:space="0" w:color="auto"/>
      </w:divBdr>
    </w:div>
    <w:div w:id="1218325033">
      <w:bodyDiv w:val="1"/>
      <w:marLeft w:val="0"/>
      <w:marRight w:val="0"/>
      <w:marTop w:val="0"/>
      <w:marBottom w:val="0"/>
      <w:divBdr>
        <w:top w:val="none" w:sz="0" w:space="0" w:color="auto"/>
        <w:left w:val="none" w:sz="0" w:space="0" w:color="auto"/>
        <w:bottom w:val="none" w:sz="0" w:space="0" w:color="auto"/>
        <w:right w:val="none" w:sz="0" w:space="0" w:color="auto"/>
      </w:divBdr>
    </w:div>
    <w:div w:id="1245335770">
      <w:bodyDiv w:val="1"/>
      <w:marLeft w:val="0"/>
      <w:marRight w:val="0"/>
      <w:marTop w:val="0"/>
      <w:marBottom w:val="0"/>
      <w:divBdr>
        <w:top w:val="none" w:sz="0" w:space="0" w:color="auto"/>
        <w:left w:val="none" w:sz="0" w:space="0" w:color="auto"/>
        <w:bottom w:val="none" w:sz="0" w:space="0" w:color="auto"/>
        <w:right w:val="none" w:sz="0" w:space="0" w:color="auto"/>
      </w:divBdr>
    </w:div>
    <w:div w:id="1246111758">
      <w:bodyDiv w:val="1"/>
      <w:marLeft w:val="0"/>
      <w:marRight w:val="0"/>
      <w:marTop w:val="0"/>
      <w:marBottom w:val="0"/>
      <w:divBdr>
        <w:top w:val="none" w:sz="0" w:space="0" w:color="auto"/>
        <w:left w:val="none" w:sz="0" w:space="0" w:color="auto"/>
        <w:bottom w:val="none" w:sz="0" w:space="0" w:color="auto"/>
        <w:right w:val="none" w:sz="0" w:space="0" w:color="auto"/>
      </w:divBdr>
    </w:div>
    <w:div w:id="1349522460">
      <w:bodyDiv w:val="1"/>
      <w:marLeft w:val="0"/>
      <w:marRight w:val="0"/>
      <w:marTop w:val="0"/>
      <w:marBottom w:val="0"/>
      <w:divBdr>
        <w:top w:val="none" w:sz="0" w:space="0" w:color="auto"/>
        <w:left w:val="none" w:sz="0" w:space="0" w:color="auto"/>
        <w:bottom w:val="none" w:sz="0" w:space="0" w:color="auto"/>
        <w:right w:val="none" w:sz="0" w:space="0" w:color="auto"/>
      </w:divBdr>
    </w:div>
    <w:div w:id="1473984488">
      <w:bodyDiv w:val="1"/>
      <w:marLeft w:val="0"/>
      <w:marRight w:val="0"/>
      <w:marTop w:val="0"/>
      <w:marBottom w:val="0"/>
      <w:divBdr>
        <w:top w:val="none" w:sz="0" w:space="0" w:color="auto"/>
        <w:left w:val="none" w:sz="0" w:space="0" w:color="auto"/>
        <w:bottom w:val="none" w:sz="0" w:space="0" w:color="auto"/>
        <w:right w:val="none" w:sz="0" w:space="0" w:color="auto"/>
      </w:divBdr>
    </w:div>
    <w:div w:id="1536043046">
      <w:bodyDiv w:val="1"/>
      <w:marLeft w:val="0"/>
      <w:marRight w:val="0"/>
      <w:marTop w:val="0"/>
      <w:marBottom w:val="0"/>
      <w:divBdr>
        <w:top w:val="none" w:sz="0" w:space="0" w:color="auto"/>
        <w:left w:val="none" w:sz="0" w:space="0" w:color="auto"/>
        <w:bottom w:val="none" w:sz="0" w:space="0" w:color="auto"/>
        <w:right w:val="none" w:sz="0" w:space="0" w:color="auto"/>
      </w:divBdr>
    </w:div>
    <w:div w:id="1610619229">
      <w:bodyDiv w:val="1"/>
      <w:marLeft w:val="0"/>
      <w:marRight w:val="0"/>
      <w:marTop w:val="0"/>
      <w:marBottom w:val="0"/>
      <w:divBdr>
        <w:top w:val="none" w:sz="0" w:space="0" w:color="auto"/>
        <w:left w:val="none" w:sz="0" w:space="0" w:color="auto"/>
        <w:bottom w:val="none" w:sz="0" w:space="0" w:color="auto"/>
        <w:right w:val="none" w:sz="0" w:space="0" w:color="auto"/>
      </w:divBdr>
    </w:div>
    <w:div w:id="1665353289">
      <w:bodyDiv w:val="1"/>
      <w:marLeft w:val="0"/>
      <w:marRight w:val="0"/>
      <w:marTop w:val="0"/>
      <w:marBottom w:val="0"/>
      <w:divBdr>
        <w:top w:val="none" w:sz="0" w:space="0" w:color="auto"/>
        <w:left w:val="none" w:sz="0" w:space="0" w:color="auto"/>
        <w:bottom w:val="none" w:sz="0" w:space="0" w:color="auto"/>
        <w:right w:val="none" w:sz="0" w:space="0" w:color="auto"/>
      </w:divBdr>
    </w:div>
    <w:div w:id="1739403333">
      <w:bodyDiv w:val="1"/>
      <w:marLeft w:val="0"/>
      <w:marRight w:val="0"/>
      <w:marTop w:val="0"/>
      <w:marBottom w:val="0"/>
      <w:divBdr>
        <w:top w:val="none" w:sz="0" w:space="0" w:color="auto"/>
        <w:left w:val="none" w:sz="0" w:space="0" w:color="auto"/>
        <w:bottom w:val="none" w:sz="0" w:space="0" w:color="auto"/>
        <w:right w:val="none" w:sz="0" w:space="0" w:color="auto"/>
      </w:divBdr>
    </w:div>
    <w:div w:id="1755123724">
      <w:bodyDiv w:val="1"/>
      <w:marLeft w:val="0"/>
      <w:marRight w:val="0"/>
      <w:marTop w:val="0"/>
      <w:marBottom w:val="0"/>
      <w:divBdr>
        <w:top w:val="none" w:sz="0" w:space="0" w:color="auto"/>
        <w:left w:val="none" w:sz="0" w:space="0" w:color="auto"/>
        <w:bottom w:val="none" w:sz="0" w:space="0" w:color="auto"/>
        <w:right w:val="none" w:sz="0" w:space="0" w:color="auto"/>
      </w:divBdr>
    </w:div>
    <w:div w:id="1770856185">
      <w:bodyDiv w:val="1"/>
      <w:marLeft w:val="0"/>
      <w:marRight w:val="0"/>
      <w:marTop w:val="0"/>
      <w:marBottom w:val="0"/>
      <w:divBdr>
        <w:top w:val="none" w:sz="0" w:space="0" w:color="auto"/>
        <w:left w:val="none" w:sz="0" w:space="0" w:color="auto"/>
        <w:bottom w:val="none" w:sz="0" w:space="0" w:color="auto"/>
        <w:right w:val="none" w:sz="0" w:space="0" w:color="auto"/>
      </w:divBdr>
    </w:div>
    <w:div w:id="1815104197">
      <w:bodyDiv w:val="1"/>
      <w:marLeft w:val="0"/>
      <w:marRight w:val="0"/>
      <w:marTop w:val="0"/>
      <w:marBottom w:val="0"/>
      <w:divBdr>
        <w:top w:val="none" w:sz="0" w:space="0" w:color="auto"/>
        <w:left w:val="none" w:sz="0" w:space="0" w:color="auto"/>
        <w:bottom w:val="none" w:sz="0" w:space="0" w:color="auto"/>
        <w:right w:val="none" w:sz="0" w:space="0" w:color="auto"/>
      </w:divBdr>
    </w:div>
    <w:div w:id="1834178781">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
    <w:div w:id="1893535302">
      <w:bodyDiv w:val="1"/>
      <w:marLeft w:val="0"/>
      <w:marRight w:val="0"/>
      <w:marTop w:val="0"/>
      <w:marBottom w:val="0"/>
      <w:divBdr>
        <w:top w:val="none" w:sz="0" w:space="0" w:color="auto"/>
        <w:left w:val="none" w:sz="0" w:space="0" w:color="auto"/>
        <w:bottom w:val="none" w:sz="0" w:space="0" w:color="auto"/>
        <w:right w:val="none" w:sz="0" w:space="0" w:color="auto"/>
      </w:divBdr>
    </w:div>
    <w:div w:id="1906840310">
      <w:bodyDiv w:val="1"/>
      <w:marLeft w:val="0"/>
      <w:marRight w:val="0"/>
      <w:marTop w:val="0"/>
      <w:marBottom w:val="0"/>
      <w:divBdr>
        <w:top w:val="none" w:sz="0" w:space="0" w:color="auto"/>
        <w:left w:val="none" w:sz="0" w:space="0" w:color="auto"/>
        <w:bottom w:val="none" w:sz="0" w:space="0" w:color="auto"/>
        <w:right w:val="none" w:sz="0" w:space="0" w:color="auto"/>
      </w:divBdr>
    </w:div>
    <w:div w:id="2083944209">
      <w:bodyDiv w:val="1"/>
      <w:marLeft w:val="0"/>
      <w:marRight w:val="0"/>
      <w:marTop w:val="0"/>
      <w:marBottom w:val="0"/>
      <w:divBdr>
        <w:top w:val="none" w:sz="0" w:space="0" w:color="auto"/>
        <w:left w:val="none" w:sz="0" w:space="0" w:color="auto"/>
        <w:bottom w:val="none" w:sz="0" w:space="0" w:color="auto"/>
        <w:right w:val="none" w:sz="0" w:space="0" w:color="auto"/>
      </w:divBdr>
    </w:div>
    <w:div w:id="2120024793">
      <w:bodyDiv w:val="1"/>
      <w:marLeft w:val="0"/>
      <w:marRight w:val="0"/>
      <w:marTop w:val="0"/>
      <w:marBottom w:val="0"/>
      <w:divBdr>
        <w:top w:val="none" w:sz="0" w:space="0" w:color="auto"/>
        <w:left w:val="none" w:sz="0" w:space="0" w:color="auto"/>
        <w:bottom w:val="none" w:sz="0" w:space="0" w:color="auto"/>
        <w:right w:val="none" w:sz="0" w:space="0" w:color="auto"/>
      </w:divBdr>
    </w:div>
    <w:div w:id="21468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E1557-1B8B-44F7-907A-9224A805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45</Pages>
  <Words>14391</Words>
  <Characters>79155</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Mem717</dc:creator>
  <cp:keywords/>
  <dc:description/>
  <cp:lastModifiedBy>Ruben Moises Canul Alcocer</cp:lastModifiedBy>
  <cp:revision>8</cp:revision>
  <cp:lastPrinted>2024-12-19T18:23:00Z</cp:lastPrinted>
  <dcterms:created xsi:type="dcterms:W3CDTF">2024-12-19T07:15:00Z</dcterms:created>
  <dcterms:modified xsi:type="dcterms:W3CDTF">2024-12-30T15:57:00Z</dcterms:modified>
</cp:coreProperties>
</file>