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85AE" w14:textId="77777777" w:rsidR="00772CA1" w:rsidRDefault="00772CA1" w:rsidP="00772CA1">
      <w:pPr>
        <w:spacing w:line="360" w:lineRule="auto"/>
        <w:jc w:val="center"/>
        <w:rPr>
          <w:rFonts w:ascii="Lato" w:hAnsi="Lato" w:cs="Arial"/>
          <w:b/>
        </w:rPr>
      </w:pPr>
      <w:r>
        <w:rPr>
          <w:rFonts w:ascii="Lato" w:hAnsi="Lato" w:cs="Arial"/>
          <w:b/>
        </w:rPr>
        <w:t xml:space="preserve">    Indicadores de Resultado</w:t>
      </w:r>
    </w:p>
    <w:p w14:paraId="16DA3F2D" w14:textId="049BA759" w:rsidR="00772CA1" w:rsidRDefault="00772CA1" w:rsidP="00772CA1">
      <w:pPr>
        <w:spacing w:line="360" w:lineRule="auto"/>
        <w:jc w:val="center"/>
        <w:rPr>
          <w:rFonts w:ascii="Lato" w:hAnsi="Lato" w:cs="Arial"/>
          <w:b/>
        </w:rPr>
      </w:pPr>
      <w:r>
        <w:rPr>
          <w:rFonts w:ascii="Lato" w:hAnsi="Lato" w:cs="Arial"/>
          <w:b/>
        </w:rPr>
        <w:t xml:space="preserve">   Al 31 de marzo de 2026</w:t>
      </w:r>
    </w:p>
    <w:p w14:paraId="69D21270" w14:textId="7432E6F4" w:rsidR="00772CA1" w:rsidRDefault="00772CA1" w:rsidP="00772CA1">
      <w:pPr>
        <w:spacing w:line="360" w:lineRule="auto"/>
        <w:jc w:val="center"/>
        <w:rPr>
          <w:rFonts w:ascii="Lato" w:hAnsi="Lato" w:cs="Arial"/>
          <w:b/>
        </w:rPr>
      </w:pPr>
      <w:r>
        <w:rPr>
          <w:rFonts w:ascii="Lato" w:hAnsi="Lato" w:cs="Arial"/>
          <w:b/>
        </w:rPr>
        <w:t xml:space="preserve">   (Cifras en Pesos)</w:t>
      </w:r>
    </w:p>
    <w:p w14:paraId="3B1A4CE5" w14:textId="77777777" w:rsidR="00772CA1" w:rsidRDefault="00772CA1" w:rsidP="00772CA1">
      <w:pPr>
        <w:jc w:val="center"/>
        <w:rPr>
          <w:rFonts w:ascii="Lato" w:hAnsi="Lato" w:cs="Arial"/>
          <w:b/>
        </w:rPr>
      </w:pPr>
    </w:p>
    <w:p w14:paraId="7B04D0D8" w14:textId="77777777" w:rsidR="00772CA1" w:rsidRDefault="00772CA1" w:rsidP="00772CA1">
      <w:pPr>
        <w:rPr>
          <w:rFonts w:ascii="Lato" w:hAnsi="Lato" w:cs="Arial"/>
          <w:b/>
        </w:rPr>
      </w:pPr>
      <w:r>
        <w:rPr>
          <w:rFonts w:ascii="Lato" w:hAnsi="Lato" w:cs="Arial"/>
          <w:b/>
        </w:rPr>
        <w:t>Ente Público:  UNIVERSIDAD POLITÉCNICA DE YUCATÁN</w:t>
      </w:r>
      <w:bookmarkStart w:id="0" w:name="_GoBack"/>
      <w:bookmarkEnd w:id="0"/>
    </w:p>
    <w:p w14:paraId="3597534E" w14:textId="55FD91D0" w:rsidR="009B00B2" w:rsidRDefault="009B00B2">
      <w:pPr>
        <w:rPr>
          <w:rFonts w:ascii="Lato" w:hAnsi="Lato"/>
          <w:b/>
        </w:rPr>
      </w:pPr>
    </w:p>
    <w:tbl>
      <w:tblPr>
        <w:tblpPr w:leftFromText="141" w:rightFromText="141" w:vertAnchor="text" w:tblpXSpec="center" w:tblpY="1"/>
        <w:tblOverlap w:val="never"/>
        <w:tblW w:w="5189" w:type="pct"/>
        <w:tblLayout w:type="fixed"/>
        <w:tblCellMar>
          <w:left w:w="70" w:type="dxa"/>
          <w:right w:w="70" w:type="dxa"/>
        </w:tblCellMar>
        <w:tblLook w:val="04A0" w:firstRow="1" w:lastRow="0" w:firstColumn="1" w:lastColumn="0" w:noHBand="0" w:noVBand="1"/>
      </w:tblPr>
      <w:tblGrid>
        <w:gridCol w:w="1181"/>
        <w:gridCol w:w="1773"/>
        <w:gridCol w:w="1384"/>
        <w:gridCol w:w="1577"/>
        <w:gridCol w:w="3350"/>
        <w:gridCol w:w="983"/>
        <w:gridCol w:w="2170"/>
        <w:gridCol w:w="1380"/>
        <w:gridCol w:w="1184"/>
        <w:gridCol w:w="1180"/>
        <w:gridCol w:w="790"/>
        <w:gridCol w:w="1380"/>
        <w:gridCol w:w="219"/>
      </w:tblGrid>
      <w:tr w:rsidR="00772CA1" w:rsidRPr="00772CA1" w14:paraId="35D33A17" w14:textId="77777777" w:rsidTr="00772CA1">
        <w:trPr>
          <w:gridAfter w:val="1"/>
          <w:wAfter w:w="59" w:type="pct"/>
          <w:trHeight w:val="585"/>
        </w:trPr>
        <w:tc>
          <w:tcPr>
            <w:tcW w:w="318"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7BB48624" w14:textId="66A90585"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Ejercicio</w:t>
            </w:r>
          </w:p>
        </w:tc>
        <w:tc>
          <w:tcPr>
            <w:tcW w:w="478"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578AFE86"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Programa Presupuestario</w:t>
            </w:r>
          </w:p>
        </w:tc>
        <w:tc>
          <w:tcPr>
            <w:tcW w:w="373"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0A5346CE"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No. De Indicador</w:t>
            </w:r>
          </w:p>
        </w:tc>
        <w:tc>
          <w:tcPr>
            <w:tcW w:w="425"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37D0046F"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Nombre de Indicador</w:t>
            </w:r>
          </w:p>
        </w:tc>
        <w:tc>
          <w:tcPr>
            <w:tcW w:w="903"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4246E79F"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Descripción del indicador</w:t>
            </w:r>
          </w:p>
        </w:tc>
        <w:tc>
          <w:tcPr>
            <w:tcW w:w="265"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35309BAC"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Formula</w:t>
            </w:r>
          </w:p>
        </w:tc>
        <w:tc>
          <w:tcPr>
            <w:tcW w:w="585"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24D0F851"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Variables</w:t>
            </w:r>
          </w:p>
        </w:tc>
        <w:tc>
          <w:tcPr>
            <w:tcW w:w="372"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7FD3054D"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Línea base o de referencia</w:t>
            </w:r>
          </w:p>
        </w:tc>
        <w:tc>
          <w:tcPr>
            <w:tcW w:w="319"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5D7F5EEB" w14:textId="7D45BAF2"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Avance trimestral T1</w:t>
            </w:r>
          </w:p>
        </w:tc>
        <w:tc>
          <w:tcPr>
            <w:tcW w:w="318"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7A6958A0"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Resultado  Anual 2026</w:t>
            </w:r>
          </w:p>
        </w:tc>
        <w:tc>
          <w:tcPr>
            <w:tcW w:w="213"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3679EA9C"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Meta 2026</w:t>
            </w:r>
          </w:p>
        </w:tc>
        <w:tc>
          <w:tcPr>
            <w:tcW w:w="372" w:type="pct"/>
            <w:vMerge w:val="restart"/>
            <w:tcBorders>
              <w:top w:val="single" w:sz="8" w:space="0" w:color="auto"/>
              <w:left w:val="single" w:sz="8" w:space="0" w:color="auto"/>
              <w:bottom w:val="single" w:sz="8" w:space="0" w:color="000000"/>
              <w:right w:val="single" w:sz="8" w:space="0" w:color="auto"/>
            </w:tcBorders>
            <w:shd w:val="clear" w:color="000000" w:fill="990000"/>
            <w:vAlign w:val="center"/>
            <w:hideMark/>
          </w:tcPr>
          <w:p w14:paraId="7E2A3F81" w14:textId="77777777" w:rsidR="0038673E" w:rsidRPr="00772CA1" w:rsidRDefault="0038673E" w:rsidP="008617EB">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Periodicidad</w:t>
            </w:r>
          </w:p>
        </w:tc>
      </w:tr>
      <w:tr w:rsidR="00772CA1" w:rsidRPr="00772CA1" w14:paraId="77CFB459" w14:textId="77777777" w:rsidTr="00772CA1">
        <w:trPr>
          <w:trHeight w:val="76"/>
        </w:trPr>
        <w:tc>
          <w:tcPr>
            <w:tcW w:w="318" w:type="pct"/>
            <w:vMerge/>
            <w:tcBorders>
              <w:top w:val="single" w:sz="8" w:space="0" w:color="auto"/>
              <w:left w:val="single" w:sz="8" w:space="0" w:color="auto"/>
              <w:bottom w:val="single" w:sz="8" w:space="0" w:color="000000"/>
              <w:right w:val="single" w:sz="8" w:space="0" w:color="auto"/>
            </w:tcBorders>
            <w:vAlign w:val="center"/>
            <w:hideMark/>
          </w:tcPr>
          <w:p w14:paraId="03685282"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478" w:type="pct"/>
            <w:vMerge/>
            <w:tcBorders>
              <w:top w:val="single" w:sz="8" w:space="0" w:color="auto"/>
              <w:left w:val="single" w:sz="8" w:space="0" w:color="auto"/>
              <w:bottom w:val="single" w:sz="8" w:space="0" w:color="000000"/>
              <w:right w:val="single" w:sz="8" w:space="0" w:color="auto"/>
            </w:tcBorders>
            <w:vAlign w:val="center"/>
            <w:hideMark/>
          </w:tcPr>
          <w:p w14:paraId="54320A03"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14:paraId="1EB6E531"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425" w:type="pct"/>
            <w:vMerge/>
            <w:tcBorders>
              <w:top w:val="single" w:sz="8" w:space="0" w:color="auto"/>
              <w:left w:val="single" w:sz="8" w:space="0" w:color="auto"/>
              <w:bottom w:val="single" w:sz="8" w:space="0" w:color="000000"/>
              <w:right w:val="single" w:sz="8" w:space="0" w:color="auto"/>
            </w:tcBorders>
            <w:vAlign w:val="center"/>
            <w:hideMark/>
          </w:tcPr>
          <w:p w14:paraId="698342F1"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903" w:type="pct"/>
            <w:vMerge/>
            <w:tcBorders>
              <w:top w:val="single" w:sz="8" w:space="0" w:color="auto"/>
              <w:left w:val="single" w:sz="8" w:space="0" w:color="auto"/>
              <w:bottom w:val="single" w:sz="8" w:space="0" w:color="000000"/>
              <w:right w:val="single" w:sz="8" w:space="0" w:color="auto"/>
            </w:tcBorders>
            <w:vAlign w:val="center"/>
            <w:hideMark/>
          </w:tcPr>
          <w:p w14:paraId="6BAC15F4"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265" w:type="pct"/>
            <w:vMerge/>
            <w:tcBorders>
              <w:top w:val="single" w:sz="8" w:space="0" w:color="auto"/>
              <w:left w:val="single" w:sz="8" w:space="0" w:color="auto"/>
              <w:bottom w:val="single" w:sz="8" w:space="0" w:color="000000"/>
              <w:right w:val="single" w:sz="8" w:space="0" w:color="auto"/>
            </w:tcBorders>
            <w:vAlign w:val="center"/>
            <w:hideMark/>
          </w:tcPr>
          <w:p w14:paraId="43D31BE4"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14:paraId="14E1C330"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72" w:type="pct"/>
            <w:vMerge/>
            <w:tcBorders>
              <w:top w:val="single" w:sz="8" w:space="0" w:color="auto"/>
              <w:left w:val="single" w:sz="8" w:space="0" w:color="auto"/>
              <w:bottom w:val="single" w:sz="8" w:space="0" w:color="000000"/>
              <w:right w:val="single" w:sz="8" w:space="0" w:color="auto"/>
            </w:tcBorders>
            <w:vAlign w:val="center"/>
            <w:hideMark/>
          </w:tcPr>
          <w:p w14:paraId="3409B53F"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737AFD30"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18" w:type="pct"/>
            <w:vMerge/>
            <w:tcBorders>
              <w:top w:val="single" w:sz="8" w:space="0" w:color="auto"/>
              <w:left w:val="single" w:sz="8" w:space="0" w:color="auto"/>
              <w:bottom w:val="single" w:sz="8" w:space="0" w:color="000000"/>
              <w:right w:val="single" w:sz="8" w:space="0" w:color="auto"/>
            </w:tcBorders>
            <w:vAlign w:val="center"/>
            <w:hideMark/>
          </w:tcPr>
          <w:p w14:paraId="50500955"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213" w:type="pct"/>
            <w:vMerge/>
            <w:tcBorders>
              <w:top w:val="single" w:sz="8" w:space="0" w:color="auto"/>
              <w:left w:val="single" w:sz="8" w:space="0" w:color="auto"/>
              <w:bottom w:val="single" w:sz="8" w:space="0" w:color="000000"/>
              <w:right w:val="single" w:sz="8" w:space="0" w:color="auto"/>
            </w:tcBorders>
            <w:vAlign w:val="center"/>
            <w:hideMark/>
          </w:tcPr>
          <w:p w14:paraId="2982D520"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72" w:type="pct"/>
            <w:vMerge/>
            <w:tcBorders>
              <w:top w:val="single" w:sz="8" w:space="0" w:color="auto"/>
              <w:left w:val="single" w:sz="8" w:space="0" w:color="auto"/>
              <w:bottom w:val="single" w:sz="8" w:space="0" w:color="000000"/>
              <w:right w:val="single" w:sz="8" w:space="0" w:color="auto"/>
            </w:tcBorders>
            <w:vAlign w:val="center"/>
            <w:hideMark/>
          </w:tcPr>
          <w:p w14:paraId="1B36FEE6"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59" w:type="pct"/>
            <w:tcBorders>
              <w:top w:val="nil"/>
              <w:left w:val="nil"/>
              <w:bottom w:val="nil"/>
              <w:right w:val="nil"/>
            </w:tcBorders>
            <w:noWrap/>
            <w:vAlign w:val="bottom"/>
            <w:hideMark/>
          </w:tcPr>
          <w:p w14:paraId="27DD81F7"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r>
      <w:tr w:rsidR="00772CA1" w:rsidRPr="00772CA1" w14:paraId="4454154C" w14:textId="77777777" w:rsidTr="00772CA1">
        <w:trPr>
          <w:trHeight w:val="45"/>
        </w:trPr>
        <w:tc>
          <w:tcPr>
            <w:tcW w:w="318" w:type="pct"/>
            <w:vMerge/>
            <w:tcBorders>
              <w:top w:val="single" w:sz="8" w:space="0" w:color="auto"/>
              <w:left w:val="single" w:sz="8" w:space="0" w:color="auto"/>
              <w:bottom w:val="single" w:sz="8" w:space="0" w:color="000000"/>
              <w:right w:val="single" w:sz="8" w:space="0" w:color="auto"/>
            </w:tcBorders>
            <w:vAlign w:val="center"/>
            <w:hideMark/>
          </w:tcPr>
          <w:p w14:paraId="7646AF71"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478" w:type="pct"/>
            <w:vMerge/>
            <w:tcBorders>
              <w:top w:val="single" w:sz="8" w:space="0" w:color="auto"/>
              <w:left w:val="single" w:sz="8" w:space="0" w:color="auto"/>
              <w:bottom w:val="single" w:sz="8" w:space="0" w:color="000000"/>
              <w:right w:val="single" w:sz="8" w:space="0" w:color="auto"/>
            </w:tcBorders>
            <w:vAlign w:val="center"/>
            <w:hideMark/>
          </w:tcPr>
          <w:p w14:paraId="10C57EA9"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73" w:type="pct"/>
            <w:vMerge/>
            <w:tcBorders>
              <w:top w:val="single" w:sz="8" w:space="0" w:color="auto"/>
              <w:left w:val="single" w:sz="8" w:space="0" w:color="auto"/>
              <w:bottom w:val="single" w:sz="8" w:space="0" w:color="000000"/>
              <w:right w:val="single" w:sz="8" w:space="0" w:color="auto"/>
            </w:tcBorders>
            <w:vAlign w:val="center"/>
            <w:hideMark/>
          </w:tcPr>
          <w:p w14:paraId="0398CF92"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425" w:type="pct"/>
            <w:vMerge/>
            <w:tcBorders>
              <w:top w:val="single" w:sz="8" w:space="0" w:color="auto"/>
              <w:left w:val="single" w:sz="8" w:space="0" w:color="auto"/>
              <w:bottom w:val="single" w:sz="8" w:space="0" w:color="000000"/>
              <w:right w:val="single" w:sz="8" w:space="0" w:color="auto"/>
            </w:tcBorders>
            <w:vAlign w:val="center"/>
            <w:hideMark/>
          </w:tcPr>
          <w:p w14:paraId="185FD408"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903" w:type="pct"/>
            <w:vMerge/>
            <w:tcBorders>
              <w:top w:val="single" w:sz="8" w:space="0" w:color="auto"/>
              <w:left w:val="single" w:sz="8" w:space="0" w:color="auto"/>
              <w:bottom w:val="single" w:sz="8" w:space="0" w:color="000000"/>
              <w:right w:val="single" w:sz="8" w:space="0" w:color="auto"/>
            </w:tcBorders>
            <w:vAlign w:val="center"/>
            <w:hideMark/>
          </w:tcPr>
          <w:p w14:paraId="2F55EF07"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265" w:type="pct"/>
            <w:vMerge/>
            <w:tcBorders>
              <w:top w:val="single" w:sz="8" w:space="0" w:color="auto"/>
              <w:left w:val="single" w:sz="8" w:space="0" w:color="auto"/>
              <w:bottom w:val="single" w:sz="8" w:space="0" w:color="000000"/>
              <w:right w:val="single" w:sz="8" w:space="0" w:color="auto"/>
            </w:tcBorders>
            <w:vAlign w:val="center"/>
            <w:hideMark/>
          </w:tcPr>
          <w:p w14:paraId="0EBFBB42"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14:paraId="6C7F930A"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72" w:type="pct"/>
            <w:vMerge/>
            <w:tcBorders>
              <w:top w:val="single" w:sz="8" w:space="0" w:color="auto"/>
              <w:left w:val="single" w:sz="8" w:space="0" w:color="auto"/>
              <w:bottom w:val="single" w:sz="8" w:space="0" w:color="000000"/>
              <w:right w:val="single" w:sz="8" w:space="0" w:color="auto"/>
            </w:tcBorders>
            <w:vAlign w:val="center"/>
            <w:hideMark/>
          </w:tcPr>
          <w:p w14:paraId="7538CC15"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1EFA3FBC"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18" w:type="pct"/>
            <w:vMerge/>
            <w:tcBorders>
              <w:top w:val="single" w:sz="8" w:space="0" w:color="auto"/>
              <w:left w:val="single" w:sz="8" w:space="0" w:color="auto"/>
              <w:bottom w:val="single" w:sz="8" w:space="0" w:color="000000"/>
              <w:right w:val="single" w:sz="8" w:space="0" w:color="auto"/>
            </w:tcBorders>
            <w:vAlign w:val="center"/>
            <w:hideMark/>
          </w:tcPr>
          <w:p w14:paraId="016BDDC0"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213" w:type="pct"/>
            <w:vMerge/>
            <w:tcBorders>
              <w:top w:val="single" w:sz="8" w:space="0" w:color="auto"/>
              <w:left w:val="single" w:sz="8" w:space="0" w:color="auto"/>
              <w:bottom w:val="single" w:sz="8" w:space="0" w:color="000000"/>
              <w:right w:val="single" w:sz="8" w:space="0" w:color="auto"/>
            </w:tcBorders>
            <w:vAlign w:val="center"/>
            <w:hideMark/>
          </w:tcPr>
          <w:p w14:paraId="2226C90C"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372" w:type="pct"/>
            <w:vMerge/>
            <w:tcBorders>
              <w:top w:val="single" w:sz="8" w:space="0" w:color="auto"/>
              <w:left w:val="single" w:sz="8" w:space="0" w:color="auto"/>
              <w:bottom w:val="single" w:sz="8" w:space="0" w:color="000000"/>
              <w:right w:val="single" w:sz="8" w:space="0" w:color="auto"/>
            </w:tcBorders>
            <w:vAlign w:val="center"/>
            <w:hideMark/>
          </w:tcPr>
          <w:p w14:paraId="44FB90FA" w14:textId="77777777" w:rsidR="0038673E" w:rsidRPr="00772CA1" w:rsidRDefault="0038673E" w:rsidP="008617EB">
            <w:pPr>
              <w:spacing w:after="0" w:line="240" w:lineRule="auto"/>
              <w:rPr>
                <w:rFonts w:ascii="Lato" w:eastAsia="Times New Roman" w:hAnsi="Lato" w:cs="Times New Roman"/>
                <w:b/>
                <w:bCs/>
                <w:color w:val="FFFFFF"/>
                <w:sz w:val="20"/>
                <w:szCs w:val="20"/>
                <w:lang w:eastAsia="es-MX"/>
              </w:rPr>
            </w:pPr>
          </w:p>
        </w:tc>
        <w:tc>
          <w:tcPr>
            <w:tcW w:w="59" w:type="pct"/>
            <w:tcBorders>
              <w:top w:val="nil"/>
              <w:left w:val="nil"/>
              <w:bottom w:val="nil"/>
              <w:right w:val="nil"/>
            </w:tcBorders>
            <w:noWrap/>
            <w:vAlign w:val="bottom"/>
            <w:hideMark/>
          </w:tcPr>
          <w:p w14:paraId="01F58DF8" w14:textId="77777777" w:rsidR="0038673E" w:rsidRPr="00772CA1" w:rsidRDefault="0038673E" w:rsidP="008617EB">
            <w:pPr>
              <w:spacing w:after="0" w:line="240" w:lineRule="auto"/>
              <w:rPr>
                <w:rFonts w:ascii="Lato" w:eastAsia="Times New Roman" w:hAnsi="Lato" w:cs="Times New Roman"/>
                <w:sz w:val="20"/>
                <w:szCs w:val="20"/>
                <w:lang w:eastAsia="es-MX"/>
              </w:rPr>
            </w:pPr>
          </w:p>
        </w:tc>
      </w:tr>
    </w:tbl>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3"/>
        <w:gridCol w:w="1758"/>
        <w:gridCol w:w="1369"/>
        <w:gridCol w:w="1562"/>
        <w:gridCol w:w="3319"/>
        <w:gridCol w:w="977"/>
        <w:gridCol w:w="2146"/>
        <w:gridCol w:w="1365"/>
        <w:gridCol w:w="1173"/>
        <w:gridCol w:w="1169"/>
        <w:gridCol w:w="781"/>
        <w:gridCol w:w="1365"/>
      </w:tblGrid>
      <w:tr w:rsidR="00D71BFA" w:rsidRPr="00772CA1" w14:paraId="00477FAE" w14:textId="77777777" w:rsidTr="00772CA1">
        <w:trPr>
          <w:trHeight w:val="46"/>
          <w:jc w:val="center"/>
        </w:trPr>
        <w:tc>
          <w:tcPr>
            <w:tcW w:w="323" w:type="pct"/>
            <w:vMerge w:val="restart"/>
            <w:vAlign w:val="center"/>
            <w:hideMark/>
          </w:tcPr>
          <w:p w14:paraId="54096BD7" w14:textId="77777777" w:rsidR="0064385F" w:rsidRPr="00772CA1" w:rsidRDefault="0064385F" w:rsidP="0064385F">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087B0481"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726883D4" w14:textId="77777777" w:rsidR="0064385F" w:rsidRPr="00772CA1" w:rsidRDefault="0064385F" w:rsidP="0064385F">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25698</w:t>
            </w:r>
          </w:p>
        </w:tc>
        <w:tc>
          <w:tcPr>
            <w:tcW w:w="430" w:type="pct"/>
            <w:vMerge w:val="restart"/>
            <w:vAlign w:val="center"/>
            <w:hideMark/>
          </w:tcPr>
          <w:p w14:paraId="2E965A59"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personal administrativo con desempeño satisfactorio</w:t>
            </w:r>
          </w:p>
        </w:tc>
        <w:tc>
          <w:tcPr>
            <w:tcW w:w="914" w:type="pct"/>
            <w:vMerge w:val="restart"/>
            <w:vAlign w:val="center"/>
            <w:hideMark/>
          </w:tcPr>
          <w:p w14:paraId="5914C56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en términos porcentuales, del personal administrativo de las Instituciones de Educación Superior que obtienen el resultado de satisfactorio en la evaluación de desempeño administrativo. Se entiende por resultado satisfactorio el alcance del mínimo aprobatorio. Los indicadores a evaluar, parámetros de evaluación y el mínimo aprobatorio son estipulados por </w:t>
            </w:r>
            <w:r w:rsidRPr="00772CA1">
              <w:rPr>
                <w:rFonts w:ascii="Lato" w:eastAsia="Times New Roman" w:hAnsi="Lato" w:cs="Times New Roman"/>
                <w:color w:val="000000"/>
                <w:sz w:val="20"/>
                <w:szCs w:val="20"/>
                <w:lang w:eastAsia="es-MX"/>
              </w:rPr>
              <w:lastRenderedPageBreak/>
              <w:t>cada institución de educación superior.</w:t>
            </w:r>
          </w:p>
        </w:tc>
        <w:tc>
          <w:tcPr>
            <w:tcW w:w="269" w:type="pct"/>
            <w:vMerge w:val="restart"/>
            <w:vAlign w:val="center"/>
            <w:hideMark/>
          </w:tcPr>
          <w:p w14:paraId="0CE5B552"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591" w:type="pct"/>
            <w:vAlign w:val="center"/>
            <w:hideMark/>
          </w:tcPr>
          <w:p w14:paraId="6369C767"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personal administrativo con desempeño satisfactorio</w:t>
            </w:r>
          </w:p>
        </w:tc>
        <w:tc>
          <w:tcPr>
            <w:tcW w:w="376" w:type="pct"/>
            <w:vAlign w:val="center"/>
            <w:hideMark/>
          </w:tcPr>
          <w:p w14:paraId="6C13B898"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4B9D9AED"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84D4BBD"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485F831A"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89%</w:t>
            </w:r>
          </w:p>
        </w:tc>
        <w:tc>
          <w:tcPr>
            <w:tcW w:w="376" w:type="pct"/>
            <w:vMerge w:val="restart"/>
            <w:vAlign w:val="center"/>
            <w:hideMark/>
          </w:tcPr>
          <w:p w14:paraId="13355696" w14:textId="77777777" w:rsidR="0064385F" w:rsidRPr="00772CA1" w:rsidRDefault="0064385F" w:rsidP="0064385F">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D71BFA" w:rsidRPr="00772CA1" w14:paraId="255D57AC" w14:textId="77777777" w:rsidTr="00772CA1">
        <w:trPr>
          <w:trHeight w:val="978"/>
          <w:jc w:val="center"/>
        </w:trPr>
        <w:tc>
          <w:tcPr>
            <w:tcW w:w="323" w:type="pct"/>
            <w:vMerge/>
            <w:vAlign w:val="center"/>
            <w:hideMark/>
          </w:tcPr>
          <w:p w14:paraId="51F9D8C1"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8FD33D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4BA8B29"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3796575"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033610E0"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269" w:type="pct"/>
            <w:vMerge/>
            <w:vAlign w:val="center"/>
            <w:hideMark/>
          </w:tcPr>
          <w:p w14:paraId="4C320CE8"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591" w:type="pct"/>
            <w:vAlign w:val="center"/>
            <w:hideMark/>
          </w:tcPr>
          <w:p w14:paraId="37260E94"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personal administrativo de educación superior con nivel satisfactorio en la evaluación de desempeño administrativo</w:t>
            </w:r>
          </w:p>
        </w:tc>
        <w:tc>
          <w:tcPr>
            <w:tcW w:w="376" w:type="pct"/>
            <w:vAlign w:val="center"/>
            <w:hideMark/>
          </w:tcPr>
          <w:p w14:paraId="4A0A1CA1"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00F936AA"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3B2D9FE"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2F61D4FE"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17</w:t>
            </w:r>
          </w:p>
        </w:tc>
        <w:tc>
          <w:tcPr>
            <w:tcW w:w="376" w:type="pct"/>
            <w:vMerge/>
            <w:vAlign w:val="center"/>
            <w:hideMark/>
          </w:tcPr>
          <w:p w14:paraId="5734F30E" w14:textId="77777777" w:rsidR="0064385F" w:rsidRPr="00772CA1" w:rsidRDefault="0064385F" w:rsidP="0064385F">
            <w:pPr>
              <w:spacing w:after="0" w:line="240" w:lineRule="auto"/>
              <w:rPr>
                <w:rFonts w:ascii="Lato" w:eastAsia="Times New Roman" w:hAnsi="Lato" w:cs="Times New Roman"/>
                <w:b/>
                <w:bCs/>
                <w:color w:val="000000"/>
                <w:sz w:val="20"/>
                <w:szCs w:val="20"/>
                <w:lang w:eastAsia="es-MX"/>
              </w:rPr>
            </w:pPr>
          </w:p>
        </w:tc>
      </w:tr>
      <w:tr w:rsidR="00D71BFA" w:rsidRPr="00772CA1" w14:paraId="46EACA4F" w14:textId="77777777" w:rsidTr="00772CA1">
        <w:trPr>
          <w:trHeight w:val="122"/>
          <w:jc w:val="center"/>
        </w:trPr>
        <w:tc>
          <w:tcPr>
            <w:tcW w:w="323" w:type="pct"/>
            <w:vMerge/>
            <w:vAlign w:val="center"/>
            <w:hideMark/>
          </w:tcPr>
          <w:p w14:paraId="08F9376E"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BD0378C"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5DEFE5BA"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574CF1AD"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DE0634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269" w:type="pct"/>
            <w:vMerge/>
            <w:vAlign w:val="center"/>
            <w:hideMark/>
          </w:tcPr>
          <w:p w14:paraId="644D3DB5"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591" w:type="pct"/>
            <w:vAlign w:val="center"/>
            <w:hideMark/>
          </w:tcPr>
          <w:p w14:paraId="02453B53"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personal administrativo de educación superior</w:t>
            </w:r>
          </w:p>
        </w:tc>
        <w:tc>
          <w:tcPr>
            <w:tcW w:w="376" w:type="pct"/>
            <w:vAlign w:val="center"/>
            <w:hideMark/>
          </w:tcPr>
          <w:p w14:paraId="35018837"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w:t>
            </w:r>
          </w:p>
        </w:tc>
        <w:tc>
          <w:tcPr>
            <w:tcW w:w="323" w:type="pct"/>
            <w:vAlign w:val="center"/>
            <w:hideMark/>
          </w:tcPr>
          <w:p w14:paraId="16D36E24"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835227C"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3978CCDC"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w:t>
            </w:r>
          </w:p>
        </w:tc>
        <w:tc>
          <w:tcPr>
            <w:tcW w:w="376" w:type="pct"/>
            <w:vMerge/>
            <w:vAlign w:val="center"/>
            <w:hideMark/>
          </w:tcPr>
          <w:p w14:paraId="6A57D748" w14:textId="77777777" w:rsidR="0064385F" w:rsidRPr="00772CA1" w:rsidRDefault="0064385F" w:rsidP="0064385F">
            <w:pPr>
              <w:spacing w:after="0" w:line="240" w:lineRule="auto"/>
              <w:rPr>
                <w:rFonts w:ascii="Lato" w:eastAsia="Times New Roman" w:hAnsi="Lato" w:cs="Times New Roman"/>
                <w:b/>
                <w:bCs/>
                <w:color w:val="000000"/>
                <w:sz w:val="20"/>
                <w:szCs w:val="20"/>
                <w:lang w:eastAsia="es-MX"/>
              </w:rPr>
            </w:pPr>
          </w:p>
        </w:tc>
      </w:tr>
      <w:tr w:rsidR="00D71BFA" w:rsidRPr="00772CA1" w14:paraId="100B758D" w14:textId="77777777" w:rsidTr="00772CA1">
        <w:trPr>
          <w:trHeight w:val="952"/>
          <w:jc w:val="center"/>
        </w:trPr>
        <w:tc>
          <w:tcPr>
            <w:tcW w:w="323" w:type="pct"/>
            <w:vMerge w:val="restart"/>
            <w:vAlign w:val="center"/>
            <w:hideMark/>
          </w:tcPr>
          <w:p w14:paraId="38601AC8" w14:textId="77777777" w:rsidR="0064385F" w:rsidRPr="00772CA1" w:rsidRDefault="0064385F" w:rsidP="0064385F">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59F03B94"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702A7D32" w14:textId="77777777" w:rsidR="0064385F" w:rsidRPr="00772CA1" w:rsidRDefault="0064385F" w:rsidP="0064385F">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25981</w:t>
            </w:r>
          </w:p>
        </w:tc>
        <w:tc>
          <w:tcPr>
            <w:tcW w:w="430" w:type="pct"/>
            <w:vMerge w:val="restart"/>
            <w:vAlign w:val="center"/>
            <w:hideMark/>
          </w:tcPr>
          <w:p w14:paraId="2911DE9A"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avance de la elaboración del marco metodológico para la evaluación de desempeño</w:t>
            </w:r>
          </w:p>
        </w:tc>
        <w:tc>
          <w:tcPr>
            <w:tcW w:w="914" w:type="pct"/>
            <w:vMerge w:val="restart"/>
            <w:vAlign w:val="center"/>
            <w:hideMark/>
          </w:tcPr>
          <w:p w14:paraId="2D95821A"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del avance de la elaboración del marco metodológico para la evaluación de desempeño del personal administrativo de las Instituciones de Educación Superior </w:t>
            </w:r>
          </w:p>
        </w:tc>
        <w:tc>
          <w:tcPr>
            <w:tcW w:w="269" w:type="pct"/>
            <w:vMerge w:val="restart"/>
            <w:vAlign w:val="center"/>
            <w:hideMark/>
          </w:tcPr>
          <w:p w14:paraId="5BACF63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1" w:type="pct"/>
            <w:vAlign w:val="center"/>
            <w:hideMark/>
          </w:tcPr>
          <w:p w14:paraId="156E5C7F"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avance de la elaboración del marco metodológico para la evaluación de desempeño</w:t>
            </w:r>
          </w:p>
        </w:tc>
        <w:tc>
          <w:tcPr>
            <w:tcW w:w="376" w:type="pct"/>
            <w:vAlign w:val="center"/>
            <w:hideMark/>
          </w:tcPr>
          <w:p w14:paraId="45DF36AC"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1F4149B7"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6B5B42B"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23CDA26D"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22DCEA0B" w14:textId="77777777" w:rsidR="0064385F" w:rsidRPr="00772CA1" w:rsidRDefault="0064385F" w:rsidP="0064385F">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D71BFA" w:rsidRPr="00772CA1" w14:paraId="0C019FDB" w14:textId="77777777" w:rsidTr="00772CA1">
        <w:trPr>
          <w:trHeight w:val="46"/>
          <w:jc w:val="center"/>
        </w:trPr>
        <w:tc>
          <w:tcPr>
            <w:tcW w:w="323" w:type="pct"/>
            <w:vMerge/>
            <w:vAlign w:val="center"/>
            <w:hideMark/>
          </w:tcPr>
          <w:p w14:paraId="22A955A0"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546A5D4"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12549387"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51AC6FE5"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5F4D7377"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269" w:type="pct"/>
            <w:vMerge/>
            <w:vAlign w:val="center"/>
            <w:hideMark/>
          </w:tcPr>
          <w:p w14:paraId="39537CD0"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591" w:type="pct"/>
            <w:vAlign w:val="center"/>
            <w:hideMark/>
          </w:tcPr>
          <w:p w14:paraId="52E81692"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Instituciones de Educación Superior que cuentan con marco metodológico para la evaluación de desempeño del personal administrativo</w:t>
            </w:r>
          </w:p>
        </w:tc>
        <w:tc>
          <w:tcPr>
            <w:tcW w:w="376" w:type="pct"/>
            <w:vAlign w:val="center"/>
            <w:hideMark/>
          </w:tcPr>
          <w:p w14:paraId="2CB6C52B"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7AB6CC33"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1C4A89A"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00850154"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76" w:type="pct"/>
            <w:vMerge/>
            <w:vAlign w:val="center"/>
            <w:hideMark/>
          </w:tcPr>
          <w:p w14:paraId="09909DC7" w14:textId="77777777" w:rsidR="0064385F" w:rsidRPr="00772CA1" w:rsidRDefault="0064385F" w:rsidP="0064385F">
            <w:pPr>
              <w:spacing w:after="0" w:line="240" w:lineRule="auto"/>
              <w:rPr>
                <w:rFonts w:ascii="Lato" w:eastAsia="Times New Roman" w:hAnsi="Lato" w:cs="Times New Roman"/>
                <w:b/>
                <w:bCs/>
                <w:color w:val="000000"/>
                <w:sz w:val="20"/>
                <w:szCs w:val="20"/>
                <w:lang w:eastAsia="es-MX"/>
              </w:rPr>
            </w:pPr>
          </w:p>
        </w:tc>
      </w:tr>
      <w:tr w:rsidR="00D71BFA" w:rsidRPr="00772CA1" w14:paraId="6721704E" w14:textId="77777777" w:rsidTr="00772CA1">
        <w:trPr>
          <w:trHeight w:val="46"/>
          <w:jc w:val="center"/>
        </w:trPr>
        <w:tc>
          <w:tcPr>
            <w:tcW w:w="323" w:type="pct"/>
            <w:vMerge/>
            <w:vAlign w:val="center"/>
            <w:hideMark/>
          </w:tcPr>
          <w:p w14:paraId="355E5B41"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FDFA1C4"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14DD9E5"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62AD07D2"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2311F721"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269" w:type="pct"/>
            <w:vMerge/>
            <w:vAlign w:val="center"/>
            <w:hideMark/>
          </w:tcPr>
          <w:p w14:paraId="03427FCA"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591" w:type="pct"/>
            <w:vAlign w:val="center"/>
            <w:hideMark/>
          </w:tcPr>
          <w:p w14:paraId="292D10D9"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Instituciones de Educación Superior Descentralizadas</w:t>
            </w:r>
          </w:p>
        </w:tc>
        <w:tc>
          <w:tcPr>
            <w:tcW w:w="376" w:type="pct"/>
            <w:vAlign w:val="center"/>
            <w:hideMark/>
          </w:tcPr>
          <w:p w14:paraId="40EC0B9B"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23" w:type="pct"/>
            <w:vAlign w:val="center"/>
            <w:hideMark/>
          </w:tcPr>
          <w:p w14:paraId="3A8621AF"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6C71163"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5DF2E27F"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76" w:type="pct"/>
            <w:vMerge/>
            <w:vAlign w:val="center"/>
            <w:hideMark/>
          </w:tcPr>
          <w:p w14:paraId="49E812AE" w14:textId="77777777" w:rsidR="0064385F" w:rsidRPr="00772CA1" w:rsidRDefault="0064385F" w:rsidP="0064385F">
            <w:pPr>
              <w:spacing w:after="0" w:line="240" w:lineRule="auto"/>
              <w:rPr>
                <w:rFonts w:ascii="Lato" w:eastAsia="Times New Roman" w:hAnsi="Lato" w:cs="Times New Roman"/>
                <w:b/>
                <w:bCs/>
                <w:color w:val="000000"/>
                <w:sz w:val="20"/>
                <w:szCs w:val="20"/>
                <w:lang w:eastAsia="es-MX"/>
              </w:rPr>
            </w:pPr>
          </w:p>
        </w:tc>
      </w:tr>
      <w:tr w:rsidR="00D71BFA" w:rsidRPr="00772CA1" w14:paraId="77DABD8E" w14:textId="77777777" w:rsidTr="00772CA1">
        <w:trPr>
          <w:trHeight w:val="586"/>
          <w:jc w:val="center"/>
        </w:trPr>
        <w:tc>
          <w:tcPr>
            <w:tcW w:w="323" w:type="pct"/>
            <w:vMerge w:val="restart"/>
            <w:vAlign w:val="center"/>
            <w:hideMark/>
          </w:tcPr>
          <w:p w14:paraId="08DE4B0A" w14:textId="77777777" w:rsidR="0064385F" w:rsidRPr="00772CA1" w:rsidRDefault="0064385F" w:rsidP="0064385F">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52F164EC"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11B9849C" w14:textId="77777777" w:rsidR="0064385F" w:rsidRPr="00772CA1" w:rsidRDefault="0064385F" w:rsidP="0064385F">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25982</w:t>
            </w:r>
          </w:p>
        </w:tc>
        <w:tc>
          <w:tcPr>
            <w:tcW w:w="430" w:type="pct"/>
            <w:vMerge w:val="restart"/>
            <w:vAlign w:val="center"/>
            <w:hideMark/>
          </w:tcPr>
          <w:p w14:paraId="1521041B"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trabajadores que acreditan satisfactoriamente los cursos de capacitación.</w:t>
            </w:r>
          </w:p>
        </w:tc>
        <w:tc>
          <w:tcPr>
            <w:tcW w:w="914" w:type="pct"/>
            <w:vMerge w:val="restart"/>
            <w:vAlign w:val="center"/>
            <w:hideMark/>
          </w:tcPr>
          <w:p w14:paraId="2EA7327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personal administrativo de las Instituciones de Educación Superior que participa en cursos de capacitación. Se entiende por personal administrativo, desde la alta dirección hasta el personal operativo y servicios generales</w:t>
            </w:r>
          </w:p>
        </w:tc>
        <w:tc>
          <w:tcPr>
            <w:tcW w:w="269" w:type="pct"/>
            <w:vMerge w:val="restart"/>
            <w:vAlign w:val="center"/>
            <w:hideMark/>
          </w:tcPr>
          <w:p w14:paraId="5F47AA9D"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1" w:type="pct"/>
            <w:vAlign w:val="center"/>
            <w:hideMark/>
          </w:tcPr>
          <w:p w14:paraId="5B692964"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trabajadores que acreditan satisfactoriamente los cursos de capacitación.</w:t>
            </w:r>
          </w:p>
        </w:tc>
        <w:tc>
          <w:tcPr>
            <w:tcW w:w="376" w:type="pct"/>
            <w:vAlign w:val="center"/>
            <w:hideMark/>
          </w:tcPr>
          <w:p w14:paraId="6C65D1CB"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68%</w:t>
            </w:r>
          </w:p>
        </w:tc>
        <w:tc>
          <w:tcPr>
            <w:tcW w:w="323" w:type="pct"/>
            <w:vAlign w:val="center"/>
            <w:hideMark/>
          </w:tcPr>
          <w:p w14:paraId="192E4B3D" w14:textId="7576D8E6" w:rsidR="0064385F" w:rsidRPr="00772CA1" w:rsidRDefault="00307503"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-999</w:t>
            </w:r>
            <w:r w:rsidR="0064385F" w:rsidRPr="00772CA1">
              <w:rPr>
                <w:rFonts w:ascii="Lato" w:eastAsia="Times New Roman" w:hAnsi="Lato" w:cs="Times New Roman"/>
                <w:color w:val="000000"/>
                <w:sz w:val="20"/>
                <w:szCs w:val="20"/>
                <w:lang w:eastAsia="es-MX"/>
              </w:rPr>
              <w:t> </w:t>
            </w:r>
          </w:p>
        </w:tc>
        <w:tc>
          <w:tcPr>
            <w:tcW w:w="322" w:type="pct"/>
            <w:vAlign w:val="center"/>
            <w:hideMark/>
          </w:tcPr>
          <w:p w14:paraId="20092B9E"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1ADB18AE"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w:t>
            </w:r>
          </w:p>
        </w:tc>
        <w:tc>
          <w:tcPr>
            <w:tcW w:w="376" w:type="pct"/>
            <w:vMerge w:val="restart"/>
            <w:vAlign w:val="center"/>
            <w:hideMark/>
          </w:tcPr>
          <w:p w14:paraId="624E7B3D" w14:textId="77777777" w:rsidR="0064385F" w:rsidRPr="00772CA1" w:rsidRDefault="0064385F" w:rsidP="0064385F">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D71BFA" w:rsidRPr="00772CA1" w14:paraId="624739BF" w14:textId="77777777" w:rsidTr="00772CA1">
        <w:trPr>
          <w:trHeight w:val="389"/>
          <w:jc w:val="center"/>
        </w:trPr>
        <w:tc>
          <w:tcPr>
            <w:tcW w:w="323" w:type="pct"/>
            <w:vMerge/>
            <w:vAlign w:val="center"/>
            <w:hideMark/>
          </w:tcPr>
          <w:p w14:paraId="1DA6EE18"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808CBC9"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747EB948"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3C96E223"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036E309C"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269" w:type="pct"/>
            <w:vMerge/>
            <w:vAlign w:val="center"/>
            <w:hideMark/>
          </w:tcPr>
          <w:p w14:paraId="354B869F"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591" w:type="pct"/>
            <w:vAlign w:val="center"/>
            <w:hideMark/>
          </w:tcPr>
          <w:p w14:paraId="2D78533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personal administrativo de educación superior que participa en cursos de capacitación</w:t>
            </w:r>
          </w:p>
        </w:tc>
        <w:tc>
          <w:tcPr>
            <w:tcW w:w="376" w:type="pct"/>
            <w:vAlign w:val="center"/>
            <w:hideMark/>
          </w:tcPr>
          <w:p w14:paraId="7C1D0319"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13</w:t>
            </w:r>
          </w:p>
        </w:tc>
        <w:tc>
          <w:tcPr>
            <w:tcW w:w="323" w:type="pct"/>
            <w:vAlign w:val="center"/>
            <w:hideMark/>
          </w:tcPr>
          <w:p w14:paraId="000CD70A" w14:textId="73C89332"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r w:rsidR="007E3FA0" w:rsidRPr="00772CA1">
              <w:rPr>
                <w:rFonts w:ascii="Lato" w:eastAsia="Times New Roman" w:hAnsi="Lato" w:cs="Times New Roman"/>
                <w:color w:val="000000"/>
                <w:sz w:val="20"/>
                <w:szCs w:val="20"/>
                <w:lang w:eastAsia="es-MX"/>
              </w:rPr>
              <w:t>-999</w:t>
            </w:r>
          </w:p>
        </w:tc>
        <w:tc>
          <w:tcPr>
            <w:tcW w:w="322" w:type="pct"/>
            <w:vAlign w:val="center"/>
            <w:hideMark/>
          </w:tcPr>
          <w:p w14:paraId="07A23EFA"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7656B3F7"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15</w:t>
            </w:r>
          </w:p>
        </w:tc>
        <w:tc>
          <w:tcPr>
            <w:tcW w:w="376" w:type="pct"/>
            <w:vMerge/>
            <w:vAlign w:val="center"/>
            <w:hideMark/>
          </w:tcPr>
          <w:p w14:paraId="77430C99" w14:textId="77777777" w:rsidR="0064385F" w:rsidRPr="00772CA1" w:rsidRDefault="0064385F" w:rsidP="0064385F">
            <w:pPr>
              <w:spacing w:after="0" w:line="240" w:lineRule="auto"/>
              <w:rPr>
                <w:rFonts w:ascii="Lato" w:eastAsia="Times New Roman" w:hAnsi="Lato" w:cs="Times New Roman"/>
                <w:b/>
                <w:bCs/>
                <w:color w:val="000000"/>
                <w:sz w:val="20"/>
                <w:szCs w:val="20"/>
                <w:lang w:eastAsia="es-MX"/>
              </w:rPr>
            </w:pPr>
          </w:p>
        </w:tc>
      </w:tr>
      <w:tr w:rsidR="00D71BFA" w:rsidRPr="00772CA1" w14:paraId="43366A53" w14:textId="77777777" w:rsidTr="00772CA1">
        <w:trPr>
          <w:trHeight w:val="66"/>
          <w:jc w:val="center"/>
        </w:trPr>
        <w:tc>
          <w:tcPr>
            <w:tcW w:w="323" w:type="pct"/>
            <w:vMerge/>
            <w:vAlign w:val="center"/>
            <w:hideMark/>
          </w:tcPr>
          <w:p w14:paraId="617F5171"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C643BF5"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5C5D130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9AFB21B"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6450A959"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269" w:type="pct"/>
            <w:vMerge/>
            <w:vAlign w:val="center"/>
            <w:hideMark/>
          </w:tcPr>
          <w:p w14:paraId="057D98C6"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p>
        </w:tc>
        <w:tc>
          <w:tcPr>
            <w:tcW w:w="591" w:type="pct"/>
            <w:vAlign w:val="center"/>
            <w:hideMark/>
          </w:tcPr>
          <w:p w14:paraId="3E5A8473" w14:textId="77777777" w:rsidR="0064385F" w:rsidRPr="00772CA1" w:rsidRDefault="0064385F" w:rsidP="0064385F">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personal administrativo de educación superior</w:t>
            </w:r>
          </w:p>
        </w:tc>
        <w:tc>
          <w:tcPr>
            <w:tcW w:w="376" w:type="pct"/>
            <w:vAlign w:val="center"/>
            <w:hideMark/>
          </w:tcPr>
          <w:p w14:paraId="3198032C"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w:t>
            </w:r>
          </w:p>
        </w:tc>
        <w:tc>
          <w:tcPr>
            <w:tcW w:w="323" w:type="pct"/>
            <w:vAlign w:val="center"/>
            <w:hideMark/>
          </w:tcPr>
          <w:p w14:paraId="2FBE8F32" w14:textId="2672F738"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r w:rsidR="007E3FA0" w:rsidRPr="00772CA1">
              <w:rPr>
                <w:rFonts w:ascii="Lato" w:eastAsia="Times New Roman" w:hAnsi="Lato" w:cs="Times New Roman"/>
                <w:color w:val="000000"/>
                <w:sz w:val="20"/>
                <w:szCs w:val="20"/>
                <w:lang w:eastAsia="es-MX"/>
              </w:rPr>
              <w:t>19</w:t>
            </w:r>
          </w:p>
        </w:tc>
        <w:tc>
          <w:tcPr>
            <w:tcW w:w="322" w:type="pct"/>
            <w:vAlign w:val="center"/>
            <w:hideMark/>
          </w:tcPr>
          <w:p w14:paraId="3C882D55"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5" w:type="pct"/>
            <w:vAlign w:val="center"/>
            <w:hideMark/>
          </w:tcPr>
          <w:p w14:paraId="4F3FEA3F" w14:textId="77777777" w:rsidR="0064385F" w:rsidRPr="00772CA1" w:rsidRDefault="0064385F" w:rsidP="0064385F">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w:t>
            </w:r>
          </w:p>
        </w:tc>
        <w:tc>
          <w:tcPr>
            <w:tcW w:w="376" w:type="pct"/>
            <w:vMerge/>
            <w:vAlign w:val="center"/>
            <w:hideMark/>
          </w:tcPr>
          <w:p w14:paraId="620A60F4" w14:textId="77777777" w:rsidR="0064385F" w:rsidRPr="00772CA1" w:rsidRDefault="0064385F" w:rsidP="0064385F">
            <w:pPr>
              <w:spacing w:after="0" w:line="240" w:lineRule="auto"/>
              <w:rPr>
                <w:rFonts w:ascii="Lato" w:eastAsia="Times New Roman" w:hAnsi="Lato" w:cs="Times New Roman"/>
                <w:b/>
                <w:bCs/>
                <w:color w:val="000000"/>
                <w:sz w:val="20"/>
                <w:szCs w:val="20"/>
                <w:lang w:eastAsia="es-MX"/>
              </w:rPr>
            </w:pPr>
          </w:p>
        </w:tc>
      </w:tr>
    </w:tbl>
    <w:p w14:paraId="346E2A6A" w14:textId="4D57939B" w:rsidR="00953040" w:rsidRDefault="008617EB" w:rsidP="00953040">
      <w:pPr>
        <w:rPr>
          <w:rFonts w:ascii="Lato" w:hAnsi="Lato"/>
          <w:b/>
        </w:rPr>
      </w:pPr>
      <w:r>
        <w:rPr>
          <w:rFonts w:ascii="Lato" w:hAnsi="Lato"/>
          <w:b/>
          <w:sz w:val="16"/>
          <w:szCs w:val="16"/>
        </w:rPr>
        <w:lastRenderedPageBreak/>
        <w:br w:type="textWrapping" w:clear="all"/>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4"/>
        <w:gridCol w:w="1759"/>
        <w:gridCol w:w="1290"/>
        <w:gridCol w:w="1631"/>
        <w:gridCol w:w="3306"/>
        <w:gridCol w:w="1000"/>
        <w:gridCol w:w="2242"/>
        <w:gridCol w:w="1187"/>
        <w:gridCol w:w="1144"/>
        <w:gridCol w:w="1169"/>
        <w:gridCol w:w="755"/>
        <w:gridCol w:w="1500"/>
      </w:tblGrid>
      <w:tr w:rsidR="00772CA1" w:rsidRPr="00772CA1" w14:paraId="521B349B" w14:textId="77777777" w:rsidTr="00772CA1">
        <w:trPr>
          <w:trHeight w:val="510"/>
          <w:jc w:val="center"/>
        </w:trPr>
        <w:tc>
          <w:tcPr>
            <w:tcW w:w="323" w:type="pct"/>
            <w:vMerge w:val="restart"/>
            <w:shd w:val="clear" w:color="000000" w:fill="990000"/>
            <w:vAlign w:val="center"/>
            <w:hideMark/>
          </w:tcPr>
          <w:p w14:paraId="015DFDFA"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Ejercicio</w:t>
            </w:r>
          </w:p>
        </w:tc>
        <w:tc>
          <w:tcPr>
            <w:tcW w:w="484" w:type="pct"/>
            <w:vMerge w:val="restart"/>
            <w:shd w:val="clear" w:color="000000" w:fill="990000"/>
            <w:vAlign w:val="center"/>
            <w:hideMark/>
          </w:tcPr>
          <w:p w14:paraId="0DE50EA7"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Programa Presupuestario</w:t>
            </w:r>
          </w:p>
        </w:tc>
        <w:tc>
          <w:tcPr>
            <w:tcW w:w="355" w:type="pct"/>
            <w:vMerge w:val="restart"/>
            <w:shd w:val="clear" w:color="000000" w:fill="990000"/>
            <w:vAlign w:val="center"/>
            <w:hideMark/>
          </w:tcPr>
          <w:p w14:paraId="276FE44D"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No. De Indicador</w:t>
            </w:r>
          </w:p>
        </w:tc>
        <w:tc>
          <w:tcPr>
            <w:tcW w:w="449" w:type="pct"/>
            <w:vMerge w:val="restart"/>
            <w:shd w:val="clear" w:color="000000" w:fill="990000"/>
            <w:vAlign w:val="center"/>
            <w:hideMark/>
          </w:tcPr>
          <w:p w14:paraId="0A9635D4"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Nombre de Indicador</w:t>
            </w:r>
          </w:p>
        </w:tc>
        <w:tc>
          <w:tcPr>
            <w:tcW w:w="910" w:type="pct"/>
            <w:vMerge w:val="restart"/>
            <w:shd w:val="clear" w:color="000000" w:fill="990000"/>
            <w:vAlign w:val="center"/>
            <w:hideMark/>
          </w:tcPr>
          <w:p w14:paraId="3F9BCBA9"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Descripción del indicador</w:t>
            </w:r>
          </w:p>
        </w:tc>
        <w:tc>
          <w:tcPr>
            <w:tcW w:w="275" w:type="pct"/>
            <w:vMerge w:val="restart"/>
            <w:shd w:val="clear" w:color="000000" w:fill="990000"/>
            <w:vAlign w:val="center"/>
            <w:hideMark/>
          </w:tcPr>
          <w:p w14:paraId="56E0F915"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Formula</w:t>
            </w:r>
          </w:p>
        </w:tc>
        <w:tc>
          <w:tcPr>
            <w:tcW w:w="617" w:type="pct"/>
            <w:vMerge w:val="restart"/>
            <w:shd w:val="clear" w:color="000000" w:fill="990000"/>
            <w:vAlign w:val="center"/>
            <w:hideMark/>
          </w:tcPr>
          <w:p w14:paraId="0FC08554"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Variables</w:t>
            </w:r>
          </w:p>
        </w:tc>
        <w:tc>
          <w:tcPr>
            <w:tcW w:w="327" w:type="pct"/>
            <w:vMerge w:val="restart"/>
            <w:shd w:val="clear" w:color="000000" w:fill="990000"/>
            <w:vAlign w:val="center"/>
            <w:hideMark/>
          </w:tcPr>
          <w:p w14:paraId="67C7B42A"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Línea base o de referencia</w:t>
            </w:r>
          </w:p>
        </w:tc>
        <w:tc>
          <w:tcPr>
            <w:tcW w:w="315" w:type="pct"/>
            <w:vMerge w:val="restart"/>
            <w:shd w:val="clear" w:color="000000" w:fill="990000"/>
            <w:vAlign w:val="center"/>
            <w:hideMark/>
          </w:tcPr>
          <w:p w14:paraId="7357A87D"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Avance trimestral T1</w:t>
            </w:r>
          </w:p>
        </w:tc>
        <w:tc>
          <w:tcPr>
            <w:tcW w:w="322" w:type="pct"/>
            <w:vMerge w:val="restart"/>
            <w:shd w:val="clear" w:color="000000" w:fill="990000"/>
            <w:vAlign w:val="center"/>
            <w:hideMark/>
          </w:tcPr>
          <w:p w14:paraId="04E7BF92"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Resultado  Anual 2026</w:t>
            </w:r>
          </w:p>
        </w:tc>
        <w:tc>
          <w:tcPr>
            <w:tcW w:w="208" w:type="pct"/>
            <w:vMerge w:val="restart"/>
            <w:shd w:val="clear" w:color="000000" w:fill="990000"/>
            <w:vAlign w:val="center"/>
            <w:hideMark/>
          </w:tcPr>
          <w:p w14:paraId="49ACF6C4"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Meta 2026</w:t>
            </w:r>
          </w:p>
        </w:tc>
        <w:tc>
          <w:tcPr>
            <w:tcW w:w="413" w:type="pct"/>
            <w:vMerge w:val="restart"/>
            <w:shd w:val="clear" w:color="000000" w:fill="990000"/>
            <w:vAlign w:val="center"/>
            <w:hideMark/>
          </w:tcPr>
          <w:p w14:paraId="0B8395EC"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Periodicidad</w:t>
            </w:r>
          </w:p>
        </w:tc>
      </w:tr>
      <w:tr w:rsidR="00772CA1" w:rsidRPr="00772CA1" w14:paraId="3F89AC9E" w14:textId="77777777" w:rsidTr="00772CA1">
        <w:trPr>
          <w:trHeight w:val="300"/>
          <w:jc w:val="center"/>
        </w:trPr>
        <w:tc>
          <w:tcPr>
            <w:tcW w:w="323" w:type="pct"/>
            <w:vMerge/>
            <w:vAlign w:val="center"/>
            <w:hideMark/>
          </w:tcPr>
          <w:p w14:paraId="78BE0F26"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84" w:type="pct"/>
            <w:vMerge/>
            <w:vAlign w:val="center"/>
            <w:hideMark/>
          </w:tcPr>
          <w:p w14:paraId="2E5813C6"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55" w:type="pct"/>
            <w:vMerge/>
            <w:vAlign w:val="center"/>
            <w:hideMark/>
          </w:tcPr>
          <w:p w14:paraId="03FB6D39"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49" w:type="pct"/>
            <w:vMerge/>
            <w:vAlign w:val="center"/>
            <w:hideMark/>
          </w:tcPr>
          <w:p w14:paraId="5F99D276"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910" w:type="pct"/>
            <w:vMerge/>
            <w:vAlign w:val="center"/>
            <w:hideMark/>
          </w:tcPr>
          <w:p w14:paraId="2B2BDFE5"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75" w:type="pct"/>
            <w:vMerge/>
            <w:vAlign w:val="center"/>
            <w:hideMark/>
          </w:tcPr>
          <w:p w14:paraId="4D3924AA"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617" w:type="pct"/>
            <w:vMerge/>
            <w:vAlign w:val="center"/>
            <w:hideMark/>
          </w:tcPr>
          <w:p w14:paraId="24406ABF"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7" w:type="pct"/>
            <w:vMerge/>
            <w:vAlign w:val="center"/>
            <w:hideMark/>
          </w:tcPr>
          <w:p w14:paraId="564BE4D2"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15" w:type="pct"/>
            <w:vMerge/>
            <w:vAlign w:val="center"/>
            <w:hideMark/>
          </w:tcPr>
          <w:p w14:paraId="38963869"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2" w:type="pct"/>
            <w:vMerge/>
            <w:vAlign w:val="center"/>
            <w:hideMark/>
          </w:tcPr>
          <w:p w14:paraId="75FEF21A"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08" w:type="pct"/>
            <w:vMerge/>
            <w:vAlign w:val="center"/>
            <w:hideMark/>
          </w:tcPr>
          <w:p w14:paraId="509AC71B"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13" w:type="pct"/>
            <w:vMerge/>
            <w:vAlign w:val="center"/>
            <w:hideMark/>
          </w:tcPr>
          <w:p w14:paraId="5CD533CB"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r>
      <w:tr w:rsidR="00772CA1" w:rsidRPr="00772CA1" w14:paraId="3597CC3F" w14:textId="77777777" w:rsidTr="00772CA1">
        <w:trPr>
          <w:trHeight w:val="240"/>
          <w:jc w:val="center"/>
        </w:trPr>
        <w:tc>
          <w:tcPr>
            <w:tcW w:w="323" w:type="pct"/>
            <w:vMerge/>
            <w:vAlign w:val="center"/>
            <w:hideMark/>
          </w:tcPr>
          <w:p w14:paraId="1FB00770"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84" w:type="pct"/>
            <w:vMerge/>
            <w:vAlign w:val="center"/>
            <w:hideMark/>
          </w:tcPr>
          <w:p w14:paraId="3F1A0597"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55" w:type="pct"/>
            <w:vMerge/>
            <w:vAlign w:val="center"/>
            <w:hideMark/>
          </w:tcPr>
          <w:p w14:paraId="64554AA5"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49" w:type="pct"/>
            <w:vMerge/>
            <w:vAlign w:val="center"/>
            <w:hideMark/>
          </w:tcPr>
          <w:p w14:paraId="371D7F26"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910" w:type="pct"/>
            <w:vMerge/>
            <w:vAlign w:val="center"/>
            <w:hideMark/>
          </w:tcPr>
          <w:p w14:paraId="01A39B2B"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75" w:type="pct"/>
            <w:vMerge/>
            <w:vAlign w:val="center"/>
            <w:hideMark/>
          </w:tcPr>
          <w:p w14:paraId="7C84633C"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617" w:type="pct"/>
            <w:vMerge/>
            <w:vAlign w:val="center"/>
            <w:hideMark/>
          </w:tcPr>
          <w:p w14:paraId="7DDFF1DA"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7" w:type="pct"/>
            <w:vMerge/>
            <w:vAlign w:val="center"/>
            <w:hideMark/>
          </w:tcPr>
          <w:p w14:paraId="134E23B8"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15" w:type="pct"/>
            <w:vMerge/>
            <w:vAlign w:val="center"/>
            <w:hideMark/>
          </w:tcPr>
          <w:p w14:paraId="37BD167F"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2" w:type="pct"/>
            <w:vMerge/>
            <w:vAlign w:val="center"/>
            <w:hideMark/>
          </w:tcPr>
          <w:p w14:paraId="6C14D901"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08" w:type="pct"/>
            <w:vMerge/>
            <w:vAlign w:val="center"/>
            <w:hideMark/>
          </w:tcPr>
          <w:p w14:paraId="76D5F784"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13" w:type="pct"/>
            <w:vMerge/>
            <w:vAlign w:val="center"/>
            <w:hideMark/>
          </w:tcPr>
          <w:p w14:paraId="09858269"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r>
      <w:tr w:rsidR="00772CA1" w:rsidRPr="00772CA1" w14:paraId="37C83B18" w14:textId="77777777" w:rsidTr="00772CA1">
        <w:trPr>
          <w:trHeight w:val="320"/>
          <w:jc w:val="center"/>
        </w:trPr>
        <w:tc>
          <w:tcPr>
            <w:tcW w:w="323" w:type="pct"/>
            <w:vMerge w:val="restart"/>
            <w:vAlign w:val="center"/>
            <w:hideMark/>
          </w:tcPr>
          <w:p w14:paraId="1B83533F"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81D60D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3A19FB5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25516</w:t>
            </w:r>
          </w:p>
        </w:tc>
        <w:tc>
          <w:tcPr>
            <w:tcW w:w="449" w:type="pct"/>
            <w:vMerge w:val="restart"/>
            <w:vAlign w:val="center"/>
            <w:hideMark/>
          </w:tcPr>
          <w:p w14:paraId="11CC188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reciben servicio de apoyo y permanecen</w:t>
            </w:r>
          </w:p>
        </w:tc>
        <w:tc>
          <w:tcPr>
            <w:tcW w:w="910" w:type="pct"/>
            <w:vMerge w:val="restart"/>
            <w:vAlign w:val="center"/>
            <w:hideMark/>
          </w:tcPr>
          <w:p w14:paraId="5DD5469C"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Es la proporción de alumnos de educación superior que reciben el servicio de apoyo y permanecen en el programa educativo en el que están matriculados. Estos servicios se refieren a tutorías individuales, asesorías académicas y actividades extracurriculares (deportivas y culturales). Son estrategias de apoyo educativo que buscan mejorar el rendimiento académico de los estudiantes. La tutoría individual se centra en un acompañamiento personalizado al estudiante, mientras que la asesoría académica se enfoca en la resolución de dudas específicas sobre materias o temas particulares. Al mejorar el rendimiento académico del estudiante se reduce el abandono </w:t>
            </w:r>
            <w:r w:rsidRPr="00772CA1">
              <w:rPr>
                <w:rFonts w:ascii="Lato" w:eastAsia="Times New Roman" w:hAnsi="Lato" w:cs="Times New Roman"/>
                <w:color w:val="000000"/>
                <w:sz w:val="20"/>
                <w:szCs w:val="20"/>
                <w:lang w:eastAsia="es-MX"/>
              </w:rPr>
              <w:lastRenderedPageBreak/>
              <w:t>escolar y se mejora la eficiencia terminal.</w:t>
            </w:r>
          </w:p>
        </w:tc>
        <w:tc>
          <w:tcPr>
            <w:tcW w:w="275" w:type="pct"/>
            <w:vMerge w:val="restart"/>
            <w:vAlign w:val="center"/>
            <w:hideMark/>
          </w:tcPr>
          <w:p w14:paraId="5A02B3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34AE084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reciben servicio de apoyo y permanecen</w:t>
            </w:r>
          </w:p>
        </w:tc>
        <w:tc>
          <w:tcPr>
            <w:tcW w:w="327" w:type="pct"/>
            <w:vAlign w:val="center"/>
            <w:hideMark/>
          </w:tcPr>
          <w:p w14:paraId="137F60A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64%</w:t>
            </w:r>
          </w:p>
        </w:tc>
        <w:tc>
          <w:tcPr>
            <w:tcW w:w="315" w:type="pct"/>
            <w:vAlign w:val="center"/>
            <w:hideMark/>
          </w:tcPr>
          <w:p w14:paraId="18ABEBF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68841E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454958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74%</w:t>
            </w:r>
          </w:p>
        </w:tc>
        <w:tc>
          <w:tcPr>
            <w:tcW w:w="413" w:type="pct"/>
            <w:vMerge w:val="restart"/>
            <w:vAlign w:val="center"/>
            <w:hideMark/>
          </w:tcPr>
          <w:p w14:paraId="3BF943BF"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097014A3" w14:textId="77777777" w:rsidTr="00772CA1">
        <w:trPr>
          <w:trHeight w:val="1424"/>
          <w:jc w:val="center"/>
        </w:trPr>
        <w:tc>
          <w:tcPr>
            <w:tcW w:w="323" w:type="pct"/>
            <w:vMerge/>
            <w:vAlign w:val="center"/>
            <w:hideMark/>
          </w:tcPr>
          <w:p w14:paraId="178FCE8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2F2DD7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3A2728E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B59C7E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E5664B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2362E07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349946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reciben el servicio de apoyo para mejorar la eficiencia terminal y permanecen en el programa educativo en que están matriculados</w:t>
            </w:r>
          </w:p>
        </w:tc>
        <w:tc>
          <w:tcPr>
            <w:tcW w:w="327" w:type="pct"/>
            <w:vAlign w:val="center"/>
            <w:hideMark/>
          </w:tcPr>
          <w:p w14:paraId="58CF6AE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514</w:t>
            </w:r>
          </w:p>
        </w:tc>
        <w:tc>
          <w:tcPr>
            <w:tcW w:w="315" w:type="pct"/>
            <w:vAlign w:val="center"/>
            <w:hideMark/>
          </w:tcPr>
          <w:p w14:paraId="28458CF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F3EBB0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499AB5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630</w:t>
            </w:r>
          </w:p>
        </w:tc>
        <w:tc>
          <w:tcPr>
            <w:tcW w:w="413" w:type="pct"/>
            <w:vMerge/>
            <w:vAlign w:val="center"/>
            <w:hideMark/>
          </w:tcPr>
          <w:p w14:paraId="464F4AD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7057B3E" w14:textId="77777777" w:rsidTr="00772CA1">
        <w:trPr>
          <w:trHeight w:val="592"/>
          <w:jc w:val="center"/>
        </w:trPr>
        <w:tc>
          <w:tcPr>
            <w:tcW w:w="323" w:type="pct"/>
            <w:vMerge/>
            <w:vAlign w:val="center"/>
            <w:hideMark/>
          </w:tcPr>
          <w:p w14:paraId="2BD4659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E4A2A6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E4A3F8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11743D7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367D2A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31084BB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64EAF6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27" w:type="pct"/>
            <w:vAlign w:val="center"/>
            <w:hideMark/>
          </w:tcPr>
          <w:p w14:paraId="33AB2A0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4877355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0452CC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8D4C68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35D043B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776D198" w14:textId="77777777" w:rsidTr="00772CA1">
        <w:trPr>
          <w:trHeight w:val="40"/>
          <w:jc w:val="center"/>
        </w:trPr>
        <w:tc>
          <w:tcPr>
            <w:tcW w:w="323" w:type="pct"/>
            <w:vMerge w:val="restart"/>
            <w:vAlign w:val="center"/>
            <w:hideMark/>
          </w:tcPr>
          <w:p w14:paraId="4855A4C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189E78E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1290E1E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25078</w:t>
            </w:r>
          </w:p>
        </w:tc>
        <w:tc>
          <w:tcPr>
            <w:tcW w:w="449" w:type="pct"/>
            <w:vMerge w:val="restart"/>
            <w:vAlign w:val="center"/>
            <w:hideMark/>
          </w:tcPr>
          <w:p w14:paraId="5B37264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en riesgo de reprobación y abandono escolar detectados</w:t>
            </w:r>
          </w:p>
        </w:tc>
        <w:tc>
          <w:tcPr>
            <w:tcW w:w="910" w:type="pct"/>
            <w:vMerge w:val="restart"/>
            <w:vAlign w:val="center"/>
            <w:hideMark/>
          </w:tcPr>
          <w:p w14:paraId="6DC5011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Es la proporción de estudiantes de educación superior que son detectados como posibles desertores y que para su retención es necesario realizar estrategias como lo son las tutorías y asesorías académicas. La detección de alumnos en riesgo de reprobación y abandono escolar se refiere al proceso de identificar estudiantes que enfrentan obstáculos académicos o personales que podrían llevarlos a no completar sus estudios o a abandonar la escuela antes de tiempo. Bajo rendimiento (reprobación de materias) y ausencias frecuentes puede señalar un riesgo elevado de que el estudiante abandone la escuela.</w:t>
            </w:r>
          </w:p>
        </w:tc>
        <w:tc>
          <w:tcPr>
            <w:tcW w:w="275" w:type="pct"/>
            <w:vMerge w:val="restart"/>
            <w:vAlign w:val="center"/>
            <w:hideMark/>
          </w:tcPr>
          <w:p w14:paraId="39C85E4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56D65C4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en riesgo de reprobación y abandono escolar detectados</w:t>
            </w:r>
          </w:p>
        </w:tc>
        <w:tc>
          <w:tcPr>
            <w:tcW w:w="327" w:type="pct"/>
            <w:vAlign w:val="center"/>
            <w:hideMark/>
          </w:tcPr>
          <w:p w14:paraId="789E10D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w:t>
            </w:r>
          </w:p>
        </w:tc>
        <w:tc>
          <w:tcPr>
            <w:tcW w:w="315" w:type="pct"/>
            <w:vAlign w:val="center"/>
            <w:hideMark/>
          </w:tcPr>
          <w:p w14:paraId="62F9D3A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539F17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AF0E10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w:t>
            </w:r>
          </w:p>
        </w:tc>
        <w:tc>
          <w:tcPr>
            <w:tcW w:w="413" w:type="pct"/>
            <w:vMerge w:val="restart"/>
            <w:vAlign w:val="center"/>
            <w:hideMark/>
          </w:tcPr>
          <w:p w14:paraId="45F5CD57"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57250D01" w14:textId="77777777" w:rsidTr="00772CA1">
        <w:trPr>
          <w:trHeight w:val="175"/>
          <w:jc w:val="center"/>
        </w:trPr>
        <w:tc>
          <w:tcPr>
            <w:tcW w:w="323" w:type="pct"/>
            <w:vMerge/>
            <w:vAlign w:val="center"/>
            <w:hideMark/>
          </w:tcPr>
          <w:p w14:paraId="14536E1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FB2555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78102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B4EEFC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E5045A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188C2A2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5438D22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en riesgo de reprobación y abandono escolar detectados</w:t>
            </w:r>
          </w:p>
        </w:tc>
        <w:tc>
          <w:tcPr>
            <w:tcW w:w="327" w:type="pct"/>
            <w:vAlign w:val="center"/>
            <w:hideMark/>
          </w:tcPr>
          <w:p w14:paraId="22E436A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65</w:t>
            </w:r>
          </w:p>
        </w:tc>
        <w:tc>
          <w:tcPr>
            <w:tcW w:w="315" w:type="pct"/>
            <w:vAlign w:val="center"/>
            <w:hideMark/>
          </w:tcPr>
          <w:p w14:paraId="2810AB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28ABF5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FDB3B0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65</w:t>
            </w:r>
          </w:p>
        </w:tc>
        <w:tc>
          <w:tcPr>
            <w:tcW w:w="413" w:type="pct"/>
            <w:vMerge/>
            <w:vAlign w:val="center"/>
            <w:hideMark/>
          </w:tcPr>
          <w:p w14:paraId="587568B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ED3125C" w14:textId="77777777" w:rsidTr="00772CA1">
        <w:trPr>
          <w:trHeight w:val="1309"/>
          <w:jc w:val="center"/>
        </w:trPr>
        <w:tc>
          <w:tcPr>
            <w:tcW w:w="323" w:type="pct"/>
            <w:vMerge/>
            <w:vAlign w:val="center"/>
            <w:hideMark/>
          </w:tcPr>
          <w:p w14:paraId="4370CFA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9DC2A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E6171E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B5B767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EDBD0D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01E8021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CA48CD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27" w:type="pct"/>
            <w:vAlign w:val="center"/>
            <w:hideMark/>
          </w:tcPr>
          <w:p w14:paraId="0FBACF5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0CB1544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9FA5A6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46A962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6810331B"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22F0CCD" w14:textId="77777777" w:rsidTr="00772CA1">
        <w:trPr>
          <w:trHeight w:val="978"/>
          <w:jc w:val="center"/>
        </w:trPr>
        <w:tc>
          <w:tcPr>
            <w:tcW w:w="323" w:type="pct"/>
            <w:vMerge w:val="restart"/>
            <w:vAlign w:val="center"/>
            <w:hideMark/>
          </w:tcPr>
          <w:p w14:paraId="727418CD"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6AE8785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735CA166"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25285</w:t>
            </w:r>
          </w:p>
        </w:tc>
        <w:tc>
          <w:tcPr>
            <w:tcW w:w="449" w:type="pct"/>
            <w:vMerge w:val="restart"/>
            <w:vAlign w:val="center"/>
            <w:hideMark/>
          </w:tcPr>
          <w:p w14:paraId="43A8CE8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reciben servicios de apoyo de asesoramiento o tutorías proporcionados</w:t>
            </w:r>
          </w:p>
        </w:tc>
        <w:tc>
          <w:tcPr>
            <w:tcW w:w="910" w:type="pct"/>
            <w:vMerge w:val="restart"/>
            <w:vAlign w:val="center"/>
            <w:hideMark/>
          </w:tcPr>
          <w:p w14:paraId="3E06D57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estudiantes de educación superior que son atendidos con los servicios de apoyo de asesoramiento, tutorías o actividades extracurriculares (deportivas y culturales), Los servicios de apoyo de asesoramiento y tutoría son proporcionados por tutores, que pueden ser docentes, </w:t>
            </w:r>
            <w:r w:rsidRPr="00772CA1">
              <w:rPr>
                <w:rFonts w:ascii="Lato" w:eastAsia="Times New Roman" w:hAnsi="Lato" w:cs="Times New Roman"/>
                <w:color w:val="000000"/>
                <w:sz w:val="20"/>
                <w:szCs w:val="20"/>
                <w:lang w:eastAsia="es-MX"/>
              </w:rPr>
              <w:lastRenderedPageBreak/>
              <w:t>psicopedagogos o profesionales capacitados, quienes brindan orientación académica, personal y profesional a los estudiantes.</w:t>
            </w:r>
          </w:p>
        </w:tc>
        <w:tc>
          <w:tcPr>
            <w:tcW w:w="275" w:type="pct"/>
            <w:vMerge w:val="restart"/>
            <w:vAlign w:val="center"/>
            <w:hideMark/>
          </w:tcPr>
          <w:p w14:paraId="2739508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5CD38B1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reciben servicios de apoyo de asesoramiento o tutorías proporcionados</w:t>
            </w:r>
          </w:p>
        </w:tc>
        <w:tc>
          <w:tcPr>
            <w:tcW w:w="327" w:type="pct"/>
            <w:vAlign w:val="center"/>
            <w:hideMark/>
          </w:tcPr>
          <w:p w14:paraId="3A8B936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90%</w:t>
            </w:r>
          </w:p>
        </w:tc>
        <w:tc>
          <w:tcPr>
            <w:tcW w:w="315" w:type="pct"/>
            <w:vAlign w:val="center"/>
            <w:hideMark/>
          </w:tcPr>
          <w:p w14:paraId="17A18F3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BFED89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AC7DC8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51%</w:t>
            </w:r>
          </w:p>
        </w:tc>
        <w:tc>
          <w:tcPr>
            <w:tcW w:w="413" w:type="pct"/>
            <w:vMerge w:val="restart"/>
            <w:vAlign w:val="center"/>
            <w:hideMark/>
          </w:tcPr>
          <w:p w14:paraId="10638E9F"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7EADF61D" w14:textId="77777777" w:rsidTr="00772CA1">
        <w:trPr>
          <w:trHeight w:val="791"/>
          <w:jc w:val="center"/>
        </w:trPr>
        <w:tc>
          <w:tcPr>
            <w:tcW w:w="323" w:type="pct"/>
            <w:vMerge/>
            <w:vAlign w:val="center"/>
            <w:hideMark/>
          </w:tcPr>
          <w:p w14:paraId="520ADE9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6099FE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3A47DCA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71E8989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33262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3EFA72C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9128D7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estudiantes que requieren servicios de apoyo de </w:t>
            </w:r>
            <w:r w:rsidRPr="00772CA1">
              <w:rPr>
                <w:rFonts w:ascii="Lato" w:eastAsia="Times New Roman" w:hAnsi="Lato" w:cs="Times New Roman"/>
                <w:color w:val="000000"/>
                <w:sz w:val="20"/>
                <w:szCs w:val="20"/>
                <w:lang w:eastAsia="es-MX"/>
              </w:rPr>
              <w:lastRenderedPageBreak/>
              <w:t>asesoramiento o tutorías atendidos</w:t>
            </w:r>
          </w:p>
        </w:tc>
        <w:tc>
          <w:tcPr>
            <w:tcW w:w="327" w:type="pct"/>
            <w:vAlign w:val="center"/>
            <w:hideMark/>
          </w:tcPr>
          <w:p w14:paraId="47CB110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514</w:t>
            </w:r>
          </w:p>
        </w:tc>
        <w:tc>
          <w:tcPr>
            <w:tcW w:w="315" w:type="pct"/>
            <w:vAlign w:val="center"/>
            <w:hideMark/>
          </w:tcPr>
          <w:p w14:paraId="54586BB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F2849B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7A0678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360</w:t>
            </w:r>
          </w:p>
        </w:tc>
        <w:tc>
          <w:tcPr>
            <w:tcW w:w="413" w:type="pct"/>
            <w:vMerge/>
            <w:vAlign w:val="center"/>
            <w:hideMark/>
          </w:tcPr>
          <w:p w14:paraId="4FB006B9"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8C69ED4" w14:textId="77777777" w:rsidTr="00772CA1">
        <w:trPr>
          <w:trHeight w:val="70"/>
          <w:jc w:val="center"/>
        </w:trPr>
        <w:tc>
          <w:tcPr>
            <w:tcW w:w="323" w:type="pct"/>
            <w:vMerge/>
            <w:vAlign w:val="center"/>
            <w:hideMark/>
          </w:tcPr>
          <w:p w14:paraId="72C7B32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230489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15E957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498B56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5173C24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60EFF3E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06DD3C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en riesgo de reprobación y abandono escolar detectados</w:t>
            </w:r>
          </w:p>
        </w:tc>
        <w:tc>
          <w:tcPr>
            <w:tcW w:w="327" w:type="pct"/>
            <w:vAlign w:val="center"/>
            <w:hideMark/>
          </w:tcPr>
          <w:p w14:paraId="4061EC0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570</w:t>
            </w:r>
          </w:p>
        </w:tc>
        <w:tc>
          <w:tcPr>
            <w:tcW w:w="315" w:type="pct"/>
            <w:vAlign w:val="center"/>
            <w:hideMark/>
          </w:tcPr>
          <w:p w14:paraId="07A8C30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04FA2E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A28BE2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704</w:t>
            </w:r>
          </w:p>
        </w:tc>
        <w:tc>
          <w:tcPr>
            <w:tcW w:w="413" w:type="pct"/>
            <w:vMerge/>
            <w:vAlign w:val="center"/>
            <w:hideMark/>
          </w:tcPr>
          <w:p w14:paraId="48138FF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5E89092" w14:textId="77777777" w:rsidTr="00772CA1">
        <w:trPr>
          <w:trHeight w:val="1115"/>
          <w:jc w:val="center"/>
        </w:trPr>
        <w:tc>
          <w:tcPr>
            <w:tcW w:w="323" w:type="pct"/>
            <w:vMerge w:val="restart"/>
            <w:vAlign w:val="center"/>
            <w:hideMark/>
          </w:tcPr>
          <w:p w14:paraId="06C8175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4535174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20CB36D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25071</w:t>
            </w:r>
          </w:p>
        </w:tc>
        <w:tc>
          <w:tcPr>
            <w:tcW w:w="449" w:type="pct"/>
            <w:vMerge w:val="restart"/>
            <w:vAlign w:val="center"/>
            <w:hideMark/>
          </w:tcPr>
          <w:p w14:paraId="2F02CDF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de apoyo psicopedagógicos a estudiantes de educación superior otorgados</w:t>
            </w:r>
          </w:p>
        </w:tc>
        <w:tc>
          <w:tcPr>
            <w:tcW w:w="910" w:type="pct"/>
            <w:vMerge w:val="restart"/>
            <w:vAlign w:val="center"/>
            <w:hideMark/>
          </w:tcPr>
          <w:p w14:paraId="19A42EA3"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el número de estudiantes de educación superior que se benefician de los servicios de apoyo psicopedagógico, expresado en porcentaje. Los servicios de apoyo psicopedagógico son un conjunto de estrategias y recursos diseñados para ayudar a los estudiantes a superar dificultades en su aprendizaje y desarrollo personal.</w:t>
            </w:r>
          </w:p>
        </w:tc>
        <w:tc>
          <w:tcPr>
            <w:tcW w:w="275" w:type="pct"/>
            <w:vMerge w:val="restart"/>
            <w:vAlign w:val="center"/>
            <w:hideMark/>
          </w:tcPr>
          <w:p w14:paraId="4A9DD5A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2419D7C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de apoyo psicopedagógicos a estudiantes de educación superior otorgados</w:t>
            </w:r>
          </w:p>
        </w:tc>
        <w:tc>
          <w:tcPr>
            <w:tcW w:w="327" w:type="pct"/>
            <w:vAlign w:val="center"/>
            <w:hideMark/>
          </w:tcPr>
          <w:p w14:paraId="0E78006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23%</w:t>
            </w:r>
          </w:p>
        </w:tc>
        <w:tc>
          <w:tcPr>
            <w:tcW w:w="315" w:type="pct"/>
            <w:vAlign w:val="center"/>
            <w:hideMark/>
          </w:tcPr>
          <w:p w14:paraId="2CB3523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666050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2DC0A2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413" w:type="pct"/>
            <w:vMerge w:val="restart"/>
            <w:vAlign w:val="center"/>
            <w:hideMark/>
          </w:tcPr>
          <w:p w14:paraId="0E7F4D5F"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22FC7C25" w14:textId="77777777" w:rsidTr="00772CA1">
        <w:trPr>
          <w:trHeight w:val="40"/>
          <w:jc w:val="center"/>
        </w:trPr>
        <w:tc>
          <w:tcPr>
            <w:tcW w:w="323" w:type="pct"/>
            <w:vMerge/>
            <w:vAlign w:val="center"/>
            <w:hideMark/>
          </w:tcPr>
          <w:p w14:paraId="05FF127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5737E5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AC2FB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536DE7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2501AFA9"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4CBCA8D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CA6B7D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se benefician de los servicios de apoyo psicopedagógico</w:t>
            </w:r>
          </w:p>
        </w:tc>
        <w:tc>
          <w:tcPr>
            <w:tcW w:w="327" w:type="pct"/>
            <w:vAlign w:val="center"/>
            <w:hideMark/>
          </w:tcPr>
          <w:p w14:paraId="22E6BA1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185</w:t>
            </w:r>
          </w:p>
        </w:tc>
        <w:tc>
          <w:tcPr>
            <w:tcW w:w="315" w:type="pct"/>
            <w:vAlign w:val="center"/>
            <w:hideMark/>
          </w:tcPr>
          <w:p w14:paraId="087E1D9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941C86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BB2DBA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205</w:t>
            </w:r>
          </w:p>
        </w:tc>
        <w:tc>
          <w:tcPr>
            <w:tcW w:w="413" w:type="pct"/>
            <w:vMerge/>
            <w:vAlign w:val="center"/>
            <w:hideMark/>
          </w:tcPr>
          <w:p w14:paraId="37A0AE1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495B5A7" w14:textId="77777777" w:rsidTr="00772CA1">
        <w:trPr>
          <w:trHeight w:val="40"/>
          <w:jc w:val="center"/>
        </w:trPr>
        <w:tc>
          <w:tcPr>
            <w:tcW w:w="323" w:type="pct"/>
            <w:vMerge/>
            <w:vAlign w:val="center"/>
            <w:hideMark/>
          </w:tcPr>
          <w:p w14:paraId="4B335DC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CA24A7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90F1AD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3853D4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98D068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0240C0F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0938701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27" w:type="pct"/>
            <w:vAlign w:val="center"/>
            <w:hideMark/>
          </w:tcPr>
          <w:p w14:paraId="5532104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7CA8764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5CDD58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484CF1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160990A8"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0A06235" w14:textId="77777777" w:rsidTr="00772CA1">
        <w:trPr>
          <w:trHeight w:val="1002"/>
          <w:jc w:val="center"/>
        </w:trPr>
        <w:tc>
          <w:tcPr>
            <w:tcW w:w="323" w:type="pct"/>
            <w:vMerge w:val="restart"/>
            <w:vAlign w:val="center"/>
            <w:hideMark/>
          </w:tcPr>
          <w:p w14:paraId="5E66C6D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27E6497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489E537F"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25332</w:t>
            </w:r>
          </w:p>
        </w:tc>
        <w:tc>
          <w:tcPr>
            <w:tcW w:w="449" w:type="pct"/>
            <w:vMerge w:val="restart"/>
            <w:vAlign w:val="center"/>
            <w:hideMark/>
          </w:tcPr>
          <w:p w14:paraId="7CF5F81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acciones de atención psicopedagógica en educación </w:t>
            </w:r>
            <w:r w:rsidRPr="00772CA1">
              <w:rPr>
                <w:rFonts w:ascii="Lato" w:eastAsia="Times New Roman" w:hAnsi="Lato" w:cs="Times New Roman"/>
                <w:color w:val="000000"/>
                <w:sz w:val="20"/>
                <w:szCs w:val="20"/>
                <w:lang w:eastAsia="es-MX"/>
              </w:rPr>
              <w:lastRenderedPageBreak/>
              <w:t>superior implementadas.</w:t>
            </w:r>
          </w:p>
        </w:tc>
        <w:tc>
          <w:tcPr>
            <w:tcW w:w="910" w:type="pct"/>
            <w:vMerge w:val="restart"/>
            <w:vAlign w:val="center"/>
            <w:hideMark/>
          </w:tcPr>
          <w:p w14:paraId="033C6D9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de acciones de atención psicopedagógica implementadas por las Instituciones de Educación Superior para la atención de sus estudiantes. La </w:t>
            </w:r>
            <w:r w:rsidRPr="00772CA1">
              <w:rPr>
                <w:rFonts w:ascii="Lato" w:eastAsia="Times New Roman" w:hAnsi="Lato" w:cs="Times New Roman"/>
                <w:color w:val="000000"/>
                <w:sz w:val="20"/>
                <w:szCs w:val="20"/>
                <w:lang w:eastAsia="es-MX"/>
              </w:rPr>
              <w:lastRenderedPageBreak/>
              <w:t>intervención psicopedagógica son un conjunto de acciones preventivas y continuadas cuyo objetivo es potenciar el aprendizaje y mejorar la enseñanza además de influir directamente en el desarrollo integral del estudiante.</w:t>
            </w:r>
          </w:p>
        </w:tc>
        <w:tc>
          <w:tcPr>
            <w:tcW w:w="275" w:type="pct"/>
            <w:vMerge w:val="restart"/>
            <w:vAlign w:val="center"/>
            <w:hideMark/>
          </w:tcPr>
          <w:p w14:paraId="404519D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35FD1A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acciones de atención psicopedagógica en educación superior implementadas.</w:t>
            </w:r>
          </w:p>
        </w:tc>
        <w:tc>
          <w:tcPr>
            <w:tcW w:w="327" w:type="pct"/>
            <w:vAlign w:val="center"/>
            <w:hideMark/>
          </w:tcPr>
          <w:p w14:paraId="49F76FA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15" w:type="pct"/>
            <w:vAlign w:val="center"/>
            <w:hideMark/>
          </w:tcPr>
          <w:p w14:paraId="3483D70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0DBF9B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207855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413" w:type="pct"/>
            <w:vMerge w:val="restart"/>
            <w:vAlign w:val="center"/>
            <w:hideMark/>
          </w:tcPr>
          <w:p w14:paraId="05946794"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07DBB24C" w14:textId="77777777" w:rsidTr="00772CA1">
        <w:trPr>
          <w:trHeight w:val="909"/>
          <w:jc w:val="center"/>
        </w:trPr>
        <w:tc>
          <w:tcPr>
            <w:tcW w:w="323" w:type="pct"/>
            <w:vMerge/>
            <w:vAlign w:val="center"/>
            <w:hideMark/>
          </w:tcPr>
          <w:p w14:paraId="53E480F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0346B5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760763E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1490EA6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167CD33A"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4DC003D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5A5FB8D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Instituciones y Escuelas con acciones de atención psicopedagógica implementadas.</w:t>
            </w:r>
          </w:p>
        </w:tc>
        <w:tc>
          <w:tcPr>
            <w:tcW w:w="327" w:type="pct"/>
            <w:vAlign w:val="center"/>
            <w:hideMark/>
          </w:tcPr>
          <w:p w14:paraId="25435F0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15" w:type="pct"/>
            <w:vAlign w:val="center"/>
            <w:hideMark/>
          </w:tcPr>
          <w:p w14:paraId="24A2907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B8C68F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4A48A4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413" w:type="pct"/>
            <w:vMerge/>
            <w:vAlign w:val="center"/>
            <w:hideMark/>
          </w:tcPr>
          <w:p w14:paraId="57589902"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B32E709" w14:textId="77777777" w:rsidTr="00772CA1">
        <w:trPr>
          <w:trHeight w:val="515"/>
          <w:jc w:val="center"/>
        </w:trPr>
        <w:tc>
          <w:tcPr>
            <w:tcW w:w="323" w:type="pct"/>
            <w:vMerge/>
            <w:vAlign w:val="center"/>
            <w:hideMark/>
          </w:tcPr>
          <w:p w14:paraId="1253D31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4D51BA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E91AAE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55661B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DEEB43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098497E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EC4E87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Instituciones de Educación Superior Descentralizadas y Escuelas Normales</w:t>
            </w:r>
          </w:p>
        </w:tc>
        <w:tc>
          <w:tcPr>
            <w:tcW w:w="327" w:type="pct"/>
            <w:vAlign w:val="center"/>
            <w:hideMark/>
          </w:tcPr>
          <w:p w14:paraId="2316EBC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15" w:type="pct"/>
            <w:vAlign w:val="center"/>
            <w:hideMark/>
          </w:tcPr>
          <w:p w14:paraId="415F32B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C2A5E8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078D05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413" w:type="pct"/>
            <w:vMerge/>
            <w:vAlign w:val="center"/>
            <w:hideMark/>
          </w:tcPr>
          <w:p w14:paraId="35DD39C0"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7B16F02" w14:textId="77777777" w:rsidTr="00772CA1">
        <w:trPr>
          <w:trHeight w:val="40"/>
          <w:jc w:val="center"/>
        </w:trPr>
        <w:tc>
          <w:tcPr>
            <w:tcW w:w="323" w:type="pct"/>
            <w:vMerge w:val="restart"/>
            <w:vAlign w:val="center"/>
            <w:hideMark/>
          </w:tcPr>
          <w:p w14:paraId="7AD61CE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032002E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7E1CB6FA"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25333</w:t>
            </w:r>
          </w:p>
        </w:tc>
        <w:tc>
          <w:tcPr>
            <w:tcW w:w="449" w:type="pct"/>
            <w:vMerge w:val="restart"/>
            <w:vAlign w:val="center"/>
            <w:hideMark/>
          </w:tcPr>
          <w:p w14:paraId="2EA48B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acciones de atención psicopedagógica en educación superior implementadas.</w:t>
            </w:r>
          </w:p>
        </w:tc>
        <w:tc>
          <w:tcPr>
            <w:tcW w:w="910" w:type="pct"/>
            <w:vMerge w:val="restart"/>
            <w:vAlign w:val="center"/>
            <w:hideMark/>
          </w:tcPr>
          <w:p w14:paraId="797D60DE"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acciones de atención psicopedagógica implementadas por las Instituciones de Educación Superior para la atención de sus estudiantes. La intervención psicopedagógica son un conjunto de acciones preventivas y continuadas cuyo objetivo es potenciar el aprendizaje y mejorar la enseñanza además de influir directamente en el desarrollo integral del estudiante.</w:t>
            </w:r>
          </w:p>
        </w:tc>
        <w:tc>
          <w:tcPr>
            <w:tcW w:w="275" w:type="pct"/>
            <w:vMerge w:val="restart"/>
            <w:vAlign w:val="center"/>
            <w:hideMark/>
          </w:tcPr>
          <w:p w14:paraId="59FA251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6C6D30A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con necesidades psicopedagógicas</w:t>
            </w:r>
          </w:p>
        </w:tc>
        <w:tc>
          <w:tcPr>
            <w:tcW w:w="327" w:type="pct"/>
            <w:vAlign w:val="center"/>
            <w:hideMark/>
          </w:tcPr>
          <w:p w14:paraId="33EF6B7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23%</w:t>
            </w:r>
          </w:p>
        </w:tc>
        <w:tc>
          <w:tcPr>
            <w:tcW w:w="315" w:type="pct"/>
            <w:vAlign w:val="center"/>
            <w:hideMark/>
          </w:tcPr>
          <w:p w14:paraId="02FA086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D2100E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62D761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413" w:type="pct"/>
            <w:vMerge w:val="restart"/>
            <w:vAlign w:val="center"/>
            <w:hideMark/>
          </w:tcPr>
          <w:p w14:paraId="19173F39"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370BA99E" w14:textId="77777777" w:rsidTr="00772CA1">
        <w:trPr>
          <w:trHeight w:val="668"/>
          <w:jc w:val="center"/>
        </w:trPr>
        <w:tc>
          <w:tcPr>
            <w:tcW w:w="323" w:type="pct"/>
            <w:vMerge/>
            <w:vAlign w:val="center"/>
            <w:hideMark/>
          </w:tcPr>
          <w:p w14:paraId="6CFCA2B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2FA9A5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30022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4742C29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7312C8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486C81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1B6A39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con necesidades psicopedagógicas detectados</w:t>
            </w:r>
          </w:p>
        </w:tc>
        <w:tc>
          <w:tcPr>
            <w:tcW w:w="327" w:type="pct"/>
            <w:vAlign w:val="center"/>
            <w:hideMark/>
          </w:tcPr>
          <w:p w14:paraId="76ADFEF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185</w:t>
            </w:r>
          </w:p>
        </w:tc>
        <w:tc>
          <w:tcPr>
            <w:tcW w:w="315" w:type="pct"/>
            <w:vAlign w:val="center"/>
            <w:hideMark/>
          </w:tcPr>
          <w:p w14:paraId="0C1C1FC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DFBF67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62B705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205</w:t>
            </w:r>
          </w:p>
        </w:tc>
        <w:tc>
          <w:tcPr>
            <w:tcW w:w="413" w:type="pct"/>
            <w:vMerge/>
            <w:vAlign w:val="center"/>
            <w:hideMark/>
          </w:tcPr>
          <w:p w14:paraId="3B81F1DB"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0078693" w14:textId="77777777" w:rsidTr="00772CA1">
        <w:trPr>
          <w:trHeight w:val="857"/>
          <w:jc w:val="center"/>
        </w:trPr>
        <w:tc>
          <w:tcPr>
            <w:tcW w:w="323" w:type="pct"/>
            <w:vMerge/>
            <w:vAlign w:val="center"/>
            <w:hideMark/>
          </w:tcPr>
          <w:p w14:paraId="5576EC5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E54A8B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0D8F3F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3E13CD6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18BCBD1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1BAFFEA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49C9A6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27" w:type="pct"/>
            <w:vAlign w:val="center"/>
            <w:hideMark/>
          </w:tcPr>
          <w:p w14:paraId="580A7DC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258713F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A1646D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3A9A5D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2E4AFD5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C90EC5C" w14:textId="77777777" w:rsidTr="00772CA1">
        <w:trPr>
          <w:trHeight w:val="410"/>
          <w:jc w:val="center"/>
        </w:trPr>
        <w:tc>
          <w:tcPr>
            <w:tcW w:w="323" w:type="pct"/>
            <w:vMerge w:val="restart"/>
            <w:vAlign w:val="center"/>
            <w:hideMark/>
          </w:tcPr>
          <w:p w14:paraId="6BC2A67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2579272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33E0E49B"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25074</w:t>
            </w:r>
          </w:p>
        </w:tc>
        <w:tc>
          <w:tcPr>
            <w:tcW w:w="449" w:type="pct"/>
            <w:vMerge w:val="restart"/>
            <w:vAlign w:val="center"/>
            <w:hideMark/>
          </w:tcPr>
          <w:p w14:paraId="55AEE06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programas educativos de educación superior actualizados</w:t>
            </w:r>
          </w:p>
        </w:tc>
        <w:tc>
          <w:tcPr>
            <w:tcW w:w="910" w:type="pct"/>
            <w:vMerge w:val="restart"/>
            <w:vAlign w:val="center"/>
            <w:hideMark/>
          </w:tcPr>
          <w:p w14:paraId="30E4B8CC"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Proporción de programas educativos (PE) que se encuentran actualizados según los períodos establecidos por cada Institución de Educación Superior (superior y posgrado) con respecto al total de programas ofertados. Este indicador </w:t>
            </w:r>
            <w:r w:rsidRPr="00772CA1">
              <w:rPr>
                <w:rFonts w:ascii="Lato" w:eastAsia="Times New Roman" w:hAnsi="Lato" w:cs="Times New Roman"/>
                <w:color w:val="000000"/>
                <w:sz w:val="20"/>
                <w:szCs w:val="20"/>
                <w:lang w:eastAsia="es-MX"/>
              </w:rPr>
              <w:lastRenderedPageBreak/>
              <w:t>permite medir si los programas están al día con las necesidades y demandas actuales del mercado laboral y la sociedad, asegurando que la formación impartida sea relevante y de calidad.</w:t>
            </w:r>
          </w:p>
        </w:tc>
        <w:tc>
          <w:tcPr>
            <w:tcW w:w="275" w:type="pct"/>
            <w:vMerge w:val="restart"/>
            <w:vAlign w:val="center"/>
            <w:hideMark/>
          </w:tcPr>
          <w:p w14:paraId="519245F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73932F7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programas educativos de educación superior actualizados</w:t>
            </w:r>
          </w:p>
        </w:tc>
        <w:tc>
          <w:tcPr>
            <w:tcW w:w="327" w:type="pct"/>
            <w:vAlign w:val="center"/>
            <w:hideMark/>
          </w:tcPr>
          <w:p w14:paraId="709078B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15" w:type="pct"/>
            <w:vAlign w:val="center"/>
            <w:hideMark/>
          </w:tcPr>
          <w:p w14:paraId="7173DCD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4EB442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0A13F6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413" w:type="pct"/>
            <w:vMerge w:val="restart"/>
            <w:vAlign w:val="center"/>
            <w:hideMark/>
          </w:tcPr>
          <w:p w14:paraId="5509A8E8"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16CDE58D" w14:textId="77777777" w:rsidTr="00772CA1">
        <w:trPr>
          <w:trHeight w:val="134"/>
          <w:jc w:val="center"/>
        </w:trPr>
        <w:tc>
          <w:tcPr>
            <w:tcW w:w="323" w:type="pct"/>
            <w:vMerge/>
            <w:vAlign w:val="center"/>
            <w:hideMark/>
          </w:tcPr>
          <w:p w14:paraId="6EC8757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B4E38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2E33F4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2FEEBA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8A3E26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123156C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09D9B9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programas educativos (PE) de educación superior que </w:t>
            </w:r>
            <w:r w:rsidRPr="00772CA1">
              <w:rPr>
                <w:rFonts w:ascii="Lato" w:eastAsia="Times New Roman" w:hAnsi="Lato" w:cs="Times New Roman"/>
                <w:color w:val="000000"/>
                <w:sz w:val="20"/>
                <w:szCs w:val="20"/>
                <w:lang w:eastAsia="es-MX"/>
              </w:rPr>
              <w:lastRenderedPageBreak/>
              <w:t>se encuentran actualizados</w:t>
            </w:r>
          </w:p>
        </w:tc>
        <w:tc>
          <w:tcPr>
            <w:tcW w:w="327" w:type="pct"/>
            <w:vAlign w:val="center"/>
            <w:hideMark/>
          </w:tcPr>
          <w:p w14:paraId="00A43E4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4</w:t>
            </w:r>
          </w:p>
        </w:tc>
        <w:tc>
          <w:tcPr>
            <w:tcW w:w="315" w:type="pct"/>
            <w:vAlign w:val="center"/>
            <w:hideMark/>
          </w:tcPr>
          <w:p w14:paraId="37F5F53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1CCD86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A976C9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413" w:type="pct"/>
            <w:vMerge/>
            <w:vAlign w:val="center"/>
            <w:hideMark/>
          </w:tcPr>
          <w:p w14:paraId="7E2ECB0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0BB3660" w14:textId="77777777" w:rsidTr="00772CA1">
        <w:trPr>
          <w:trHeight w:val="410"/>
          <w:jc w:val="center"/>
        </w:trPr>
        <w:tc>
          <w:tcPr>
            <w:tcW w:w="323" w:type="pct"/>
            <w:vMerge/>
            <w:vAlign w:val="center"/>
            <w:hideMark/>
          </w:tcPr>
          <w:p w14:paraId="73EC089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11390A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6A14F3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156947E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2F7341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097314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34A242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programas educativos (PE) de educación superior ofertados por las Instituciones de Educación Superior Descentralizadas y Escuelas Normales.</w:t>
            </w:r>
          </w:p>
        </w:tc>
        <w:tc>
          <w:tcPr>
            <w:tcW w:w="327" w:type="pct"/>
            <w:vAlign w:val="center"/>
            <w:hideMark/>
          </w:tcPr>
          <w:p w14:paraId="6E5893F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315" w:type="pct"/>
            <w:vAlign w:val="center"/>
            <w:hideMark/>
          </w:tcPr>
          <w:p w14:paraId="57329C9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BAD352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EDBED4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413" w:type="pct"/>
            <w:vMerge/>
            <w:vAlign w:val="center"/>
            <w:hideMark/>
          </w:tcPr>
          <w:p w14:paraId="662AC922"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37BD26C" w14:textId="77777777" w:rsidTr="00772CA1">
        <w:trPr>
          <w:trHeight w:val="429"/>
          <w:jc w:val="center"/>
        </w:trPr>
        <w:tc>
          <w:tcPr>
            <w:tcW w:w="323" w:type="pct"/>
            <w:vMerge w:val="restart"/>
            <w:vAlign w:val="center"/>
            <w:hideMark/>
          </w:tcPr>
          <w:p w14:paraId="0921E56F"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746B7DA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5AC087EC"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25284</w:t>
            </w:r>
          </w:p>
        </w:tc>
        <w:tc>
          <w:tcPr>
            <w:tcW w:w="449" w:type="pct"/>
            <w:vMerge w:val="restart"/>
            <w:vAlign w:val="center"/>
            <w:hideMark/>
          </w:tcPr>
          <w:p w14:paraId="272B462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Variación porcentual de titulados de Educación Superior</w:t>
            </w:r>
          </w:p>
        </w:tc>
        <w:tc>
          <w:tcPr>
            <w:tcW w:w="910" w:type="pct"/>
            <w:vMerge w:val="restart"/>
            <w:vAlign w:val="center"/>
            <w:hideMark/>
          </w:tcPr>
          <w:p w14:paraId="422FCCDE"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Expresa el cambio de titulados en Licenciatura y Posgrado (ya sea un aumento o una disminución) respecto a un valor inicial o de referencia. Este indicador permite entender de forma clara cuánto ha crecido o decrecido un valor en relación con su punto de partida, facilitando la comparación de diferentes valores a lo largo del tiempo o entre sí.</w:t>
            </w:r>
          </w:p>
        </w:tc>
        <w:tc>
          <w:tcPr>
            <w:tcW w:w="275" w:type="pct"/>
            <w:vMerge w:val="restart"/>
            <w:vAlign w:val="center"/>
            <w:hideMark/>
          </w:tcPr>
          <w:p w14:paraId="3ED3340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((B-C)/C) * 100</w:t>
            </w:r>
          </w:p>
        </w:tc>
        <w:tc>
          <w:tcPr>
            <w:tcW w:w="617" w:type="pct"/>
            <w:vAlign w:val="center"/>
            <w:hideMark/>
          </w:tcPr>
          <w:p w14:paraId="47806A3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Variación porcentual de titulados de Educación Superior</w:t>
            </w:r>
          </w:p>
        </w:tc>
        <w:tc>
          <w:tcPr>
            <w:tcW w:w="327" w:type="pct"/>
            <w:vAlign w:val="center"/>
            <w:hideMark/>
          </w:tcPr>
          <w:p w14:paraId="24772F6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15" w:type="pct"/>
            <w:vAlign w:val="center"/>
            <w:hideMark/>
          </w:tcPr>
          <w:p w14:paraId="0B63169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367000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1786CC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40%</w:t>
            </w:r>
          </w:p>
        </w:tc>
        <w:tc>
          <w:tcPr>
            <w:tcW w:w="413" w:type="pct"/>
            <w:vMerge w:val="restart"/>
            <w:vAlign w:val="center"/>
            <w:hideMark/>
          </w:tcPr>
          <w:p w14:paraId="13F1C12C"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79328A7D" w14:textId="77777777" w:rsidTr="00772CA1">
        <w:trPr>
          <w:trHeight w:val="364"/>
          <w:jc w:val="center"/>
        </w:trPr>
        <w:tc>
          <w:tcPr>
            <w:tcW w:w="323" w:type="pct"/>
            <w:vMerge/>
            <w:vAlign w:val="center"/>
            <w:hideMark/>
          </w:tcPr>
          <w:p w14:paraId="70446AD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BC3089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42CED3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5A94E31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1CD9E013"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D75FB2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2305D6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Número de titulados año actual</w:t>
            </w:r>
          </w:p>
        </w:tc>
        <w:tc>
          <w:tcPr>
            <w:tcW w:w="327" w:type="pct"/>
            <w:vAlign w:val="center"/>
            <w:hideMark/>
          </w:tcPr>
          <w:p w14:paraId="747D3E9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98</w:t>
            </w:r>
          </w:p>
        </w:tc>
        <w:tc>
          <w:tcPr>
            <w:tcW w:w="315" w:type="pct"/>
            <w:vAlign w:val="center"/>
            <w:hideMark/>
          </w:tcPr>
          <w:p w14:paraId="03D6395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C61769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210935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137</w:t>
            </w:r>
          </w:p>
        </w:tc>
        <w:tc>
          <w:tcPr>
            <w:tcW w:w="413" w:type="pct"/>
            <w:vMerge/>
            <w:vAlign w:val="center"/>
            <w:hideMark/>
          </w:tcPr>
          <w:p w14:paraId="60F0774B"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499070E" w14:textId="77777777" w:rsidTr="00772CA1">
        <w:trPr>
          <w:trHeight w:val="188"/>
          <w:jc w:val="center"/>
        </w:trPr>
        <w:tc>
          <w:tcPr>
            <w:tcW w:w="323" w:type="pct"/>
            <w:vMerge/>
            <w:vAlign w:val="center"/>
            <w:hideMark/>
          </w:tcPr>
          <w:p w14:paraId="22F7E46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B03361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53ED9E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373B8DE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2BF95DD"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0AE4E29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09D5107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Número de titulados año anterior</w:t>
            </w:r>
          </w:p>
        </w:tc>
        <w:tc>
          <w:tcPr>
            <w:tcW w:w="327" w:type="pct"/>
            <w:vAlign w:val="center"/>
            <w:hideMark/>
          </w:tcPr>
          <w:p w14:paraId="4DE4DD9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w:t>
            </w:r>
          </w:p>
        </w:tc>
        <w:tc>
          <w:tcPr>
            <w:tcW w:w="315" w:type="pct"/>
            <w:vAlign w:val="center"/>
            <w:hideMark/>
          </w:tcPr>
          <w:p w14:paraId="6015C1E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DBD6C6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6F473F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98</w:t>
            </w:r>
          </w:p>
        </w:tc>
        <w:tc>
          <w:tcPr>
            <w:tcW w:w="413" w:type="pct"/>
            <w:vMerge/>
            <w:vAlign w:val="center"/>
            <w:hideMark/>
          </w:tcPr>
          <w:p w14:paraId="0B11048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4062F29" w14:textId="77777777" w:rsidTr="00772CA1">
        <w:trPr>
          <w:trHeight w:val="439"/>
          <w:jc w:val="center"/>
        </w:trPr>
        <w:tc>
          <w:tcPr>
            <w:tcW w:w="323" w:type="pct"/>
            <w:vMerge w:val="restart"/>
            <w:vAlign w:val="center"/>
            <w:hideMark/>
          </w:tcPr>
          <w:p w14:paraId="4DB0515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002D6BB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698A480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25342</w:t>
            </w:r>
          </w:p>
        </w:tc>
        <w:tc>
          <w:tcPr>
            <w:tcW w:w="449" w:type="pct"/>
            <w:vMerge w:val="restart"/>
            <w:vAlign w:val="center"/>
            <w:hideMark/>
          </w:tcPr>
          <w:p w14:paraId="78F9709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egresados de educación superior titulados.</w:t>
            </w:r>
          </w:p>
        </w:tc>
        <w:tc>
          <w:tcPr>
            <w:tcW w:w="910" w:type="pct"/>
            <w:vMerge w:val="restart"/>
            <w:vAlign w:val="center"/>
            <w:hideMark/>
          </w:tcPr>
          <w:p w14:paraId="1460F606"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Proporción de estudiantes que, habiendo completado satisfactoriamente todos los requisitos académicos y administrativos de un programa de estudios, han obtenido su título o grado académico correspondiente. Este indicador mide la capacidad de la institución para formar profesionales y graduarlos en </w:t>
            </w:r>
            <w:r w:rsidRPr="00772CA1">
              <w:rPr>
                <w:rFonts w:ascii="Lato" w:eastAsia="Times New Roman" w:hAnsi="Lato" w:cs="Times New Roman"/>
                <w:color w:val="000000"/>
                <w:sz w:val="20"/>
                <w:szCs w:val="20"/>
                <w:lang w:eastAsia="es-MX"/>
              </w:rPr>
              <w:lastRenderedPageBreak/>
              <w:t>tiempo y forma. La cohorte se refiere a un grupo específico de estudiantes que comenzaron la licenciatura en un año académico particular.</w:t>
            </w:r>
          </w:p>
        </w:tc>
        <w:tc>
          <w:tcPr>
            <w:tcW w:w="275" w:type="pct"/>
            <w:vMerge w:val="restart"/>
            <w:vAlign w:val="center"/>
            <w:hideMark/>
          </w:tcPr>
          <w:p w14:paraId="66CAFB4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1415B38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egresados de educación superior titulados.</w:t>
            </w:r>
          </w:p>
        </w:tc>
        <w:tc>
          <w:tcPr>
            <w:tcW w:w="327" w:type="pct"/>
            <w:vAlign w:val="center"/>
            <w:hideMark/>
          </w:tcPr>
          <w:p w14:paraId="1F93E28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07665B9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CD5789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47F270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restart"/>
            <w:vAlign w:val="center"/>
            <w:hideMark/>
          </w:tcPr>
          <w:p w14:paraId="3D09BF37"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5252AAD7" w14:textId="77777777" w:rsidTr="00772CA1">
        <w:trPr>
          <w:trHeight w:val="1021"/>
          <w:jc w:val="center"/>
        </w:trPr>
        <w:tc>
          <w:tcPr>
            <w:tcW w:w="323" w:type="pct"/>
            <w:vMerge/>
            <w:vAlign w:val="center"/>
            <w:hideMark/>
          </w:tcPr>
          <w:p w14:paraId="6C4BF8E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999B5C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8DF5BB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BCFA10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7615FF0"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2DAA3E3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721E7D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Número de estudiantes egresados de educación superior que obtuvieron su título en tiempo y forma</w:t>
            </w:r>
          </w:p>
        </w:tc>
        <w:tc>
          <w:tcPr>
            <w:tcW w:w="327" w:type="pct"/>
            <w:vAlign w:val="center"/>
            <w:hideMark/>
          </w:tcPr>
          <w:p w14:paraId="6AC8532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98</w:t>
            </w:r>
          </w:p>
        </w:tc>
        <w:tc>
          <w:tcPr>
            <w:tcW w:w="315" w:type="pct"/>
            <w:vAlign w:val="center"/>
            <w:hideMark/>
          </w:tcPr>
          <w:p w14:paraId="222C2CE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3C2A8D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DD4895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137</w:t>
            </w:r>
          </w:p>
        </w:tc>
        <w:tc>
          <w:tcPr>
            <w:tcW w:w="413" w:type="pct"/>
            <w:vMerge/>
            <w:vAlign w:val="center"/>
            <w:hideMark/>
          </w:tcPr>
          <w:p w14:paraId="4DA68A4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3E02963" w14:textId="77777777" w:rsidTr="00772CA1">
        <w:trPr>
          <w:trHeight w:val="447"/>
          <w:jc w:val="center"/>
        </w:trPr>
        <w:tc>
          <w:tcPr>
            <w:tcW w:w="323" w:type="pct"/>
            <w:vMerge/>
            <w:vAlign w:val="center"/>
            <w:hideMark/>
          </w:tcPr>
          <w:p w14:paraId="4870D8F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C4053E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3AE0568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4B656CE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D1012F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3CB566C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1634A53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Número total de estudiantes de </w:t>
            </w:r>
            <w:r w:rsidRPr="00772CA1">
              <w:rPr>
                <w:rFonts w:ascii="Lato" w:eastAsia="Times New Roman" w:hAnsi="Lato" w:cs="Times New Roman"/>
                <w:color w:val="000000"/>
                <w:sz w:val="20"/>
                <w:szCs w:val="20"/>
                <w:lang w:eastAsia="es-MX"/>
              </w:rPr>
              <w:lastRenderedPageBreak/>
              <w:t>educación superior de la cohorte</w:t>
            </w:r>
          </w:p>
        </w:tc>
        <w:tc>
          <w:tcPr>
            <w:tcW w:w="327" w:type="pct"/>
            <w:vAlign w:val="center"/>
            <w:hideMark/>
          </w:tcPr>
          <w:p w14:paraId="7CB3801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98</w:t>
            </w:r>
          </w:p>
        </w:tc>
        <w:tc>
          <w:tcPr>
            <w:tcW w:w="315" w:type="pct"/>
            <w:vAlign w:val="center"/>
            <w:hideMark/>
          </w:tcPr>
          <w:p w14:paraId="0D46641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07A05D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43EFA3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137</w:t>
            </w:r>
          </w:p>
        </w:tc>
        <w:tc>
          <w:tcPr>
            <w:tcW w:w="413" w:type="pct"/>
            <w:vMerge/>
            <w:vAlign w:val="center"/>
            <w:hideMark/>
          </w:tcPr>
          <w:p w14:paraId="3F13275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5072A69" w14:textId="77777777" w:rsidTr="00772CA1">
        <w:trPr>
          <w:trHeight w:val="672"/>
          <w:jc w:val="center"/>
        </w:trPr>
        <w:tc>
          <w:tcPr>
            <w:tcW w:w="323" w:type="pct"/>
            <w:vMerge w:val="restart"/>
            <w:vAlign w:val="center"/>
            <w:hideMark/>
          </w:tcPr>
          <w:p w14:paraId="39A0980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60F50E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344B41EA"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25343</w:t>
            </w:r>
          </w:p>
        </w:tc>
        <w:tc>
          <w:tcPr>
            <w:tcW w:w="449" w:type="pct"/>
            <w:vMerge w:val="restart"/>
            <w:vAlign w:val="center"/>
            <w:hideMark/>
          </w:tcPr>
          <w:p w14:paraId="462C8C5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cursan y aprueban los cursos de formación de competencias.</w:t>
            </w:r>
          </w:p>
        </w:tc>
        <w:tc>
          <w:tcPr>
            <w:tcW w:w="910" w:type="pct"/>
            <w:vMerge w:val="restart"/>
            <w:vAlign w:val="center"/>
            <w:hideMark/>
          </w:tcPr>
          <w:p w14:paraId="3610D9B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Proporción de estudiantes que cursan y aprueban los cursos para la certificación de competencias. Los cursos para la certificación de competencias son programas de formación diseñados para preparar a los estudiantes para obtener una certificación oficial que valida sus habilidades y conocimientos en un área específica.</w:t>
            </w:r>
          </w:p>
        </w:tc>
        <w:tc>
          <w:tcPr>
            <w:tcW w:w="275" w:type="pct"/>
            <w:vMerge w:val="restart"/>
            <w:vAlign w:val="center"/>
            <w:hideMark/>
          </w:tcPr>
          <w:p w14:paraId="3F7E3CB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68EB370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cursan y aprueban los cursos de formación de competencias.</w:t>
            </w:r>
          </w:p>
        </w:tc>
        <w:tc>
          <w:tcPr>
            <w:tcW w:w="327" w:type="pct"/>
            <w:vAlign w:val="center"/>
            <w:hideMark/>
          </w:tcPr>
          <w:p w14:paraId="22AA000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6ECEC34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D26A5B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EAFD0A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restart"/>
            <w:vAlign w:val="center"/>
            <w:hideMark/>
          </w:tcPr>
          <w:p w14:paraId="59E507A3"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5AD4080C" w14:textId="77777777" w:rsidTr="00772CA1">
        <w:trPr>
          <w:trHeight w:val="435"/>
          <w:jc w:val="center"/>
        </w:trPr>
        <w:tc>
          <w:tcPr>
            <w:tcW w:w="323" w:type="pct"/>
            <w:vMerge/>
            <w:vAlign w:val="center"/>
            <w:hideMark/>
          </w:tcPr>
          <w:p w14:paraId="5EF2E71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799561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088BBA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58939C7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1E6F7F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04C3C46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5527F0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cursan y aprueban los cursos de formación de competencias.</w:t>
            </w:r>
          </w:p>
        </w:tc>
        <w:tc>
          <w:tcPr>
            <w:tcW w:w="327" w:type="pct"/>
            <w:vAlign w:val="center"/>
            <w:hideMark/>
          </w:tcPr>
          <w:p w14:paraId="28E11B8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5EEA8D1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732C2C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166507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ign w:val="center"/>
            <w:hideMark/>
          </w:tcPr>
          <w:p w14:paraId="6D28A8DC"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5DD2966" w14:textId="77777777" w:rsidTr="00772CA1">
        <w:trPr>
          <w:trHeight w:val="1067"/>
          <w:jc w:val="center"/>
        </w:trPr>
        <w:tc>
          <w:tcPr>
            <w:tcW w:w="323" w:type="pct"/>
            <w:vMerge/>
            <w:vAlign w:val="center"/>
            <w:hideMark/>
          </w:tcPr>
          <w:p w14:paraId="1345A5F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1FC433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75AAF94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3B292B0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5645B20"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6089B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337567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los cursos para la certificación de competencias</w:t>
            </w:r>
          </w:p>
        </w:tc>
        <w:tc>
          <w:tcPr>
            <w:tcW w:w="327" w:type="pct"/>
            <w:vAlign w:val="center"/>
            <w:hideMark/>
          </w:tcPr>
          <w:p w14:paraId="2CFDB42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1BF5259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6B0018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93657B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ign w:val="center"/>
            <w:hideMark/>
          </w:tcPr>
          <w:p w14:paraId="44CF63D1"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7EEC5A4" w14:textId="77777777" w:rsidTr="00772CA1">
        <w:trPr>
          <w:trHeight w:val="123"/>
          <w:jc w:val="center"/>
        </w:trPr>
        <w:tc>
          <w:tcPr>
            <w:tcW w:w="323" w:type="pct"/>
            <w:vMerge w:val="restart"/>
            <w:vAlign w:val="center"/>
            <w:hideMark/>
          </w:tcPr>
          <w:p w14:paraId="1089EE9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692199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55" w:type="pct"/>
            <w:vMerge w:val="restart"/>
            <w:vAlign w:val="center"/>
            <w:hideMark/>
          </w:tcPr>
          <w:p w14:paraId="7DEC01A1"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25344</w:t>
            </w:r>
          </w:p>
        </w:tc>
        <w:tc>
          <w:tcPr>
            <w:tcW w:w="449" w:type="pct"/>
            <w:vMerge w:val="restart"/>
            <w:vAlign w:val="center"/>
            <w:hideMark/>
          </w:tcPr>
          <w:p w14:paraId="6207668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certifican sus competencias profesionales</w:t>
            </w:r>
          </w:p>
        </w:tc>
        <w:tc>
          <w:tcPr>
            <w:tcW w:w="910" w:type="pct"/>
            <w:vMerge w:val="restart"/>
            <w:vAlign w:val="center"/>
            <w:hideMark/>
          </w:tcPr>
          <w:p w14:paraId="50F58915"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estudiantes de educación superior que certifican sus competencias profesionales en el periodo. La certificación de competencias profesionales para estudiantes universitarios es un proceso que valida sus conocimientos y habilidades para un desempeño laboral específico, busca demostrar su competencia y forma </w:t>
            </w:r>
            <w:r w:rsidRPr="00772CA1">
              <w:rPr>
                <w:rFonts w:ascii="Lato" w:eastAsia="Times New Roman" w:hAnsi="Lato" w:cs="Times New Roman"/>
                <w:color w:val="000000"/>
                <w:sz w:val="20"/>
                <w:szCs w:val="20"/>
                <w:lang w:eastAsia="es-MX"/>
              </w:rPr>
              <w:lastRenderedPageBreak/>
              <w:t>parte de los requisitos para el logro de la titulación.</w:t>
            </w:r>
          </w:p>
        </w:tc>
        <w:tc>
          <w:tcPr>
            <w:tcW w:w="275" w:type="pct"/>
            <w:vMerge w:val="restart"/>
            <w:vAlign w:val="center"/>
            <w:hideMark/>
          </w:tcPr>
          <w:p w14:paraId="7698D95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60D7FD2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certifican sus competencias profesionales</w:t>
            </w:r>
          </w:p>
        </w:tc>
        <w:tc>
          <w:tcPr>
            <w:tcW w:w="327" w:type="pct"/>
            <w:vAlign w:val="center"/>
            <w:hideMark/>
          </w:tcPr>
          <w:p w14:paraId="5918CEA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27BD1A6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CAA1E8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561333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restart"/>
            <w:vAlign w:val="center"/>
            <w:hideMark/>
          </w:tcPr>
          <w:p w14:paraId="3CF5FA6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3062A93D" w14:textId="77777777" w:rsidTr="00772CA1">
        <w:trPr>
          <w:trHeight w:val="569"/>
          <w:jc w:val="center"/>
        </w:trPr>
        <w:tc>
          <w:tcPr>
            <w:tcW w:w="323" w:type="pct"/>
            <w:vMerge/>
            <w:vAlign w:val="center"/>
            <w:hideMark/>
          </w:tcPr>
          <w:p w14:paraId="2E2108D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45CAE9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32A1CCB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43657E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3D6015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33FE660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419E262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certifican sus competencias profesionales</w:t>
            </w:r>
          </w:p>
        </w:tc>
        <w:tc>
          <w:tcPr>
            <w:tcW w:w="327" w:type="pct"/>
            <w:vAlign w:val="center"/>
            <w:hideMark/>
          </w:tcPr>
          <w:p w14:paraId="6B2AF57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6A18D39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57B1D2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F1A495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ign w:val="center"/>
            <w:hideMark/>
          </w:tcPr>
          <w:p w14:paraId="5E7B94B2"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D77FC81" w14:textId="77777777" w:rsidTr="00772CA1">
        <w:trPr>
          <w:trHeight w:val="126"/>
          <w:jc w:val="center"/>
        </w:trPr>
        <w:tc>
          <w:tcPr>
            <w:tcW w:w="323" w:type="pct"/>
            <w:vMerge/>
            <w:vAlign w:val="center"/>
            <w:hideMark/>
          </w:tcPr>
          <w:p w14:paraId="540362B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0EE493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707AA04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B64E9C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5969C43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4999906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344B2A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y Escuelas Normales (incluye posgrados)</w:t>
            </w:r>
          </w:p>
        </w:tc>
        <w:tc>
          <w:tcPr>
            <w:tcW w:w="327" w:type="pct"/>
            <w:vAlign w:val="center"/>
            <w:hideMark/>
          </w:tcPr>
          <w:p w14:paraId="1D8598B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2940703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81E79C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43281D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413" w:type="pct"/>
            <w:vMerge/>
            <w:vAlign w:val="center"/>
            <w:hideMark/>
          </w:tcPr>
          <w:p w14:paraId="10AADD16"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C5FDF2A" w14:textId="77777777" w:rsidTr="00772CA1">
        <w:trPr>
          <w:trHeight w:val="126"/>
          <w:jc w:val="center"/>
        </w:trPr>
        <w:tc>
          <w:tcPr>
            <w:tcW w:w="323" w:type="pct"/>
            <w:vMerge w:val="restart"/>
            <w:vAlign w:val="center"/>
            <w:hideMark/>
          </w:tcPr>
          <w:p w14:paraId="2F1EE13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4EB2DAA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3E7B83E0"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25950</w:t>
            </w:r>
          </w:p>
        </w:tc>
        <w:tc>
          <w:tcPr>
            <w:tcW w:w="449" w:type="pct"/>
            <w:vMerge w:val="restart"/>
            <w:vAlign w:val="center"/>
            <w:hideMark/>
          </w:tcPr>
          <w:p w14:paraId="237EF33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Variación porcentual de egresados de educación superior.</w:t>
            </w:r>
          </w:p>
        </w:tc>
        <w:tc>
          <w:tcPr>
            <w:tcW w:w="910" w:type="pct"/>
            <w:vMerge w:val="restart"/>
            <w:vAlign w:val="center"/>
            <w:hideMark/>
          </w:tcPr>
          <w:p w14:paraId="5845E384"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el cambio relativo del número de estudiantes que concluyen su trayectoria educativa. Un resultado positivo indica un aumento, mientras que uno negativo muestra una disminución.</w:t>
            </w:r>
          </w:p>
        </w:tc>
        <w:tc>
          <w:tcPr>
            <w:tcW w:w="275" w:type="pct"/>
            <w:vMerge w:val="restart"/>
            <w:vAlign w:val="center"/>
            <w:hideMark/>
          </w:tcPr>
          <w:p w14:paraId="0C362AE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((B-C)/C) * 100</w:t>
            </w:r>
          </w:p>
        </w:tc>
        <w:tc>
          <w:tcPr>
            <w:tcW w:w="617" w:type="pct"/>
            <w:vAlign w:val="center"/>
            <w:hideMark/>
          </w:tcPr>
          <w:p w14:paraId="1519962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Variación porcentual de egresados de educación superior.</w:t>
            </w:r>
          </w:p>
        </w:tc>
        <w:tc>
          <w:tcPr>
            <w:tcW w:w="327" w:type="pct"/>
            <w:vAlign w:val="center"/>
            <w:hideMark/>
          </w:tcPr>
          <w:p w14:paraId="11A0FCC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15" w:type="pct"/>
            <w:vAlign w:val="center"/>
            <w:hideMark/>
          </w:tcPr>
          <w:p w14:paraId="680F20A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763D0B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B4B3C4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40%</w:t>
            </w:r>
          </w:p>
        </w:tc>
        <w:tc>
          <w:tcPr>
            <w:tcW w:w="413" w:type="pct"/>
            <w:vMerge w:val="restart"/>
            <w:vAlign w:val="center"/>
            <w:hideMark/>
          </w:tcPr>
          <w:p w14:paraId="50550973"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2E77EBD9" w14:textId="77777777" w:rsidTr="00772CA1">
        <w:trPr>
          <w:trHeight w:val="438"/>
          <w:jc w:val="center"/>
        </w:trPr>
        <w:tc>
          <w:tcPr>
            <w:tcW w:w="323" w:type="pct"/>
            <w:vMerge/>
            <w:vAlign w:val="center"/>
            <w:hideMark/>
          </w:tcPr>
          <w:p w14:paraId="050142D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C6E4A9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E30287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88D647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535470D7"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979BDB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E7139D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concluyen su trayectoria educativa en el ciclo escolar actual</w:t>
            </w:r>
          </w:p>
        </w:tc>
        <w:tc>
          <w:tcPr>
            <w:tcW w:w="327" w:type="pct"/>
            <w:vAlign w:val="center"/>
            <w:hideMark/>
          </w:tcPr>
          <w:p w14:paraId="58C4540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98</w:t>
            </w:r>
          </w:p>
        </w:tc>
        <w:tc>
          <w:tcPr>
            <w:tcW w:w="315" w:type="pct"/>
            <w:vAlign w:val="center"/>
            <w:hideMark/>
          </w:tcPr>
          <w:p w14:paraId="7ED78A0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DD7C67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9E6012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137</w:t>
            </w:r>
          </w:p>
        </w:tc>
        <w:tc>
          <w:tcPr>
            <w:tcW w:w="413" w:type="pct"/>
            <w:vMerge/>
            <w:vAlign w:val="center"/>
            <w:hideMark/>
          </w:tcPr>
          <w:p w14:paraId="17C7E06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E85A352" w14:textId="77777777" w:rsidTr="00772CA1">
        <w:trPr>
          <w:trHeight w:val="1241"/>
          <w:jc w:val="center"/>
        </w:trPr>
        <w:tc>
          <w:tcPr>
            <w:tcW w:w="323" w:type="pct"/>
            <w:vMerge/>
            <w:vAlign w:val="center"/>
            <w:hideMark/>
          </w:tcPr>
          <w:p w14:paraId="499FBD5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030C1A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3982CD5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A0D0F2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120AFEA6"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4AD7D19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54914D6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concluyen su trayectoria educativa en el ciclo escolar anterior</w:t>
            </w:r>
          </w:p>
        </w:tc>
        <w:tc>
          <w:tcPr>
            <w:tcW w:w="327" w:type="pct"/>
            <w:vAlign w:val="center"/>
            <w:hideMark/>
          </w:tcPr>
          <w:p w14:paraId="65541CD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w:t>
            </w:r>
          </w:p>
        </w:tc>
        <w:tc>
          <w:tcPr>
            <w:tcW w:w="315" w:type="pct"/>
            <w:vAlign w:val="center"/>
            <w:hideMark/>
          </w:tcPr>
          <w:p w14:paraId="66E2966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DB0DFC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584F6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98</w:t>
            </w:r>
          </w:p>
        </w:tc>
        <w:tc>
          <w:tcPr>
            <w:tcW w:w="413" w:type="pct"/>
            <w:vMerge/>
            <w:vAlign w:val="center"/>
            <w:hideMark/>
          </w:tcPr>
          <w:p w14:paraId="78EBFBF0"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FC6EAC3" w14:textId="77777777" w:rsidTr="00772CA1">
        <w:trPr>
          <w:trHeight w:val="1827"/>
          <w:jc w:val="center"/>
        </w:trPr>
        <w:tc>
          <w:tcPr>
            <w:tcW w:w="323" w:type="pct"/>
            <w:vMerge w:val="restart"/>
            <w:vAlign w:val="center"/>
            <w:hideMark/>
          </w:tcPr>
          <w:p w14:paraId="57D73B6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770DFA1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6E4015E0"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25521</w:t>
            </w:r>
          </w:p>
        </w:tc>
        <w:tc>
          <w:tcPr>
            <w:tcW w:w="449" w:type="pct"/>
            <w:vMerge w:val="restart"/>
            <w:vAlign w:val="center"/>
            <w:hideMark/>
          </w:tcPr>
          <w:p w14:paraId="2B94243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participan en las actividades para el desarrollo de habilidades </w:t>
            </w:r>
            <w:r w:rsidRPr="00772CA1">
              <w:rPr>
                <w:rFonts w:ascii="Lato" w:eastAsia="Times New Roman" w:hAnsi="Lato" w:cs="Times New Roman"/>
                <w:color w:val="000000"/>
                <w:sz w:val="20"/>
                <w:szCs w:val="20"/>
                <w:lang w:eastAsia="es-MX"/>
              </w:rPr>
              <w:lastRenderedPageBreak/>
              <w:t>digitales y blandas</w:t>
            </w:r>
          </w:p>
        </w:tc>
        <w:tc>
          <w:tcPr>
            <w:tcW w:w="910" w:type="pct"/>
            <w:vMerge w:val="restart"/>
            <w:vAlign w:val="center"/>
            <w:hideMark/>
          </w:tcPr>
          <w:p w14:paraId="6D3D4257"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de estudiantes inscritos en las Instituciones de Educación Superior Descentralizadas que participan en las actividades de habilidades digitales y blandas desarrolladas en relación a la matrícula inscrita en el periodo. Estas actividades pueden </w:t>
            </w:r>
            <w:r w:rsidRPr="00772CA1">
              <w:rPr>
                <w:rFonts w:ascii="Lato" w:eastAsia="Times New Roman" w:hAnsi="Lato" w:cs="Times New Roman"/>
                <w:color w:val="000000"/>
                <w:sz w:val="20"/>
                <w:szCs w:val="20"/>
                <w:lang w:eastAsia="es-MX"/>
              </w:rPr>
              <w:lastRenderedPageBreak/>
              <w:t xml:space="preserve">ser gestión de la información, comunicación digital, ofimática, proyectos utilizando herramientas colaborativas como Google </w:t>
            </w:r>
            <w:proofErr w:type="spellStart"/>
            <w:r w:rsidRPr="00772CA1">
              <w:rPr>
                <w:rFonts w:ascii="Lato" w:eastAsia="Times New Roman" w:hAnsi="Lato" w:cs="Times New Roman"/>
                <w:color w:val="000000"/>
                <w:sz w:val="20"/>
                <w:szCs w:val="20"/>
                <w:lang w:eastAsia="es-MX"/>
              </w:rPr>
              <w:t>Workspace</w:t>
            </w:r>
            <w:proofErr w:type="spellEnd"/>
            <w:r w:rsidRPr="00772CA1">
              <w:rPr>
                <w:rFonts w:ascii="Lato" w:eastAsia="Times New Roman" w:hAnsi="Lato" w:cs="Times New Roman"/>
                <w:color w:val="000000"/>
                <w:sz w:val="20"/>
                <w:szCs w:val="20"/>
                <w:lang w:eastAsia="es-MX"/>
              </w:rPr>
              <w:t xml:space="preserve">, Microsoft </w:t>
            </w:r>
            <w:proofErr w:type="spellStart"/>
            <w:r w:rsidRPr="00772CA1">
              <w:rPr>
                <w:rFonts w:ascii="Lato" w:eastAsia="Times New Roman" w:hAnsi="Lato" w:cs="Times New Roman"/>
                <w:color w:val="000000"/>
                <w:sz w:val="20"/>
                <w:szCs w:val="20"/>
                <w:lang w:eastAsia="es-MX"/>
              </w:rPr>
              <w:t>Teams</w:t>
            </w:r>
            <w:proofErr w:type="spellEnd"/>
            <w:r w:rsidRPr="00772CA1">
              <w:rPr>
                <w:rFonts w:ascii="Lato" w:eastAsia="Times New Roman" w:hAnsi="Lato" w:cs="Times New Roman"/>
                <w:color w:val="000000"/>
                <w:sz w:val="20"/>
                <w:szCs w:val="20"/>
                <w:lang w:eastAsia="es-MX"/>
              </w:rPr>
              <w:t xml:space="preserve"> o plataformas de gestión de proyectos, talleres y cursos que se centren en el desarrollo de habilidades digitales y blandas, entre otros.</w:t>
            </w:r>
          </w:p>
        </w:tc>
        <w:tc>
          <w:tcPr>
            <w:tcW w:w="275" w:type="pct"/>
            <w:vMerge w:val="restart"/>
            <w:vAlign w:val="center"/>
            <w:hideMark/>
          </w:tcPr>
          <w:p w14:paraId="6226FBF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0C9C1B9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las actividades para el desarrollo de habilidades digitales y blandas</w:t>
            </w:r>
          </w:p>
        </w:tc>
        <w:tc>
          <w:tcPr>
            <w:tcW w:w="327" w:type="pct"/>
            <w:vAlign w:val="center"/>
            <w:hideMark/>
          </w:tcPr>
          <w:p w14:paraId="5BDBAE9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62%</w:t>
            </w:r>
          </w:p>
        </w:tc>
        <w:tc>
          <w:tcPr>
            <w:tcW w:w="315" w:type="pct"/>
            <w:vAlign w:val="center"/>
            <w:hideMark/>
          </w:tcPr>
          <w:p w14:paraId="15C6F52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CB6FE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348BD3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76%</w:t>
            </w:r>
          </w:p>
        </w:tc>
        <w:tc>
          <w:tcPr>
            <w:tcW w:w="413" w:type="pct"/>
            <w:vMerge w:val="restart"/>
            <w:vAlign w:val="center"/>
            <w:hideMark/>
          </w:tcPr>
          <w:p w14:paraId="788F4D0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3CE193A5" w14:textId="77777777" w:rsidTr="00772CA1">
        <w:trPr>
          <w:trHeight w:val="517"/>
          <w:jc w:val="center"/>
        </w:trPr>
        <w:tc>
          <w:tcPr>
            <w:tcW w:w="323" w:type="pct"/>
            <w:vMerge/>
            <w:vAlign w:val="center"/>
            <w:hideMark/>
          </w:tcPr>
          <w:p w14:paraId="5D28E64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517D8F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7EEA352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7A06A57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C07716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7496FA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5F26177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las actividades de habilidades digitales y blandas desarrolladas</w:t>
            </w:r>
          </w:p>
        </w:tc>
        <w:tc>
          <w:tcPr>
            <w:tcW w:w="327" w:type="pct"/>
            <w:vAlign w:val="center"/>
            <w:hideMark/>
          </w:tcPr>
          <w:p w14:paraId="535F0C5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490</w:t>
            </w:r>
          </w:p>
        </w:tc>
        <w:tc>
          <w:tcPr>
            <w:tcW w:w="315" w:type="pct"/>
            <w:vAlign w:val="center"/>
            <w:hideMark/>
          </w:tcPr>
          <w:p w14:paraId="0068625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F9127B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EADE40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650</w:t>
            </w:r>
          </w:p>
        </w:tc>
        <w:tc>
          <w:tcPr>
            <w:tcW w:w="413" w:type="pct"/>
            <w:vMerge/>
            <w:vAlign w:val="center"/>
            <w:hideMark/>
          </w:tcPr>
          <w:p w14:paraId="301210DA"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6EE1BAC" w14:textId="77777777" w:rsidTr="00772CA1">
        <w:trPr>
          <w:trHeight w:val="673"/>
          <w:jc w:val="center"/>
        </w:trPr>
        <w:tc>
          <w:tcPr>
            <w:tcW w:w="323" w:type="pct"/>
            <w:vMerge/>
            <w:vAlign w:val="center"/>
            <w:hideMark/>
          </w:tcPr>
          <w:p w14:paraId="34E9F98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F15BE8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03B13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5720E1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39236B6"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1B498EC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FF6432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Públicas Descentralizadas (incluye posgrados)</w:t>
            </w:r>
          </w:p>
        </w:tc>
        <w:tc>
          <w:tcPr>
            <w:tcW w:w="327" w:type="pct"/>
            <w:vAlign w:val="center"/>
            <w:hideMark/>
          </w:tcPr>
          <w:p w14:paraId="557AFC1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6A26F9B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446D41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C447FA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4AE2142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90B31B9" w14:textId="77777777" w:rsidTr="00772CA1">
        <w:trPr>
          <w:trHeight w:val="693"/>
          <w:jc w:val="center"/>
        </w:trPr>
        <w:tc>
          <w:tcPr>
            <w:tcW w:w="323" w:type="pct"/>
            <w:vMerge w:val="restart"/>
            <w:vAlign w:val="center"/>
            <w:hideMark/>
          </w:tcPr>
          <w:p w14:paraId="37A86A2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52FD3DB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5836B196"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25275</w:t>
            </w:r>
          </w:p>
        </w:tc>
        <w:tc>
          <w:tcPr>
            <w:tcW w:w="449" w:type="pct"/>
            <w:vMerge w:val="restart"/>
            <w:vAlign w:val="center"/>
            <w:hideMark/>
          </w:tcPr>
          <w:p w14:paraId="4547A23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contenido y recursos educativos creados por los estudiantes de educación superior.</w:t>
            </w:r>
          </w:p>
        </w:tc>
        <w:tc>
          <w:tcPr>
            <w:tcW w:w="910" w:type="pct"/>
            <w:vMerge w:val="restart"/>
            <w:vAlign w:val="center"/>
            <w:hideMark/>
          </w:tcPr>
          <w:p w14:paraId="682789F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contenido y recursos educativos creados por los estudiantes, a partir de las actividades que se realizan para las habilidades digitales y blandas desarrolladas en la Institución de Educación Superior. Los contenidos y recursos educativos son el resultado de la gestión de la información, comunicación digital, ofimática, proyectos utilizando herramientas colaborativas como Google </w:t>
            </w:r>
            <w:proofErr w:type="spellStart"/>
            <w:r w:rsidRPr="00772CA1">
              <w:rPr>
                <w:rFonts w:ascii="Lato" w:eastAsia="Times New Roman" w:hAnsi="Lato" w:cs="Times New Roman"/>
                <w:color w:val="000000"/>
                <w:sz w:val="20"/>
                <w:szCs w:val="20"/>
                <w:lang w:eastAsia="es-MX"/>
              </w:rPr>
              <w:t>Workspace</w:t>
            </w:r>
            <w:proofErr w:type="spellEnd"/>
            <w:r w:rsidRPr="00772CA1">
              <w:rPr>
                <w:rFonts w:ascii="Lato" w:eastAsia="Times New Roman" w:hAnsi="Lato" w:cs="Times New Roman"/>
                <w:color w:val="000000"/>
                <w:sz w:val="20"/>
                <w:szCs w:val="20"/>
                <w:lang w:eastAsia="es-MX"/>
              </w:rPr>
              <w:t xml:space="preserve">, Microsoft </w:t>
            </w:r>
            <w:proofErr w:type="spellStart"/>
            <w:r w:rsidRPr="00772CA1">
              <w:rPr>
                <w:rFonts w:ascii="Lato" w:eastAsia="Times New Roman" w:hAnsi="Lato" w:cs="Times New Roman"/>
                <w:color w:val="000000"/>
                <w:sz w:val="20"/>
                <w:szCs w:val="20"/>
                <w:lang w:eastAsia="es-MX"/>
              </w:rPr>
              <w:t>Teams</w:t>
            </w:r>
            <w:proofErr w:type="spellEnd"/>
            <w:r w:rsidRPr="00772CA1">
              <w:rPr>
                <w:rFonts w:ascii="Lato" w:eastAsia="Times New Roman" w:hAnsi="Lato" w:cs="Times New Roman"/>
                <w:color w:val="000000"/>
                <w:sz w:val="20"/>
                <w:szCs w:val="20"/>
                <w:lang w:eastAsia="es-MX"/>
              </w:rPr>
              <w:t xml:space="preserve"> o plataformas de gestión de proyectos, talleres, entre otros.</w:t>
            </w:r>
          </w:p>
        </w:tc>
        <w:tc>
          <w:tcPr>
            <w:tcW w:w="275" w:type="pct"/>
            <w:vMerge w:val="restart"/>
            <w:vAlign w:val="center"/>
            <w:hideMark/>
          </w:tcPr>
          <w:p w14:paraId="4FE5F0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43408CB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contenido y recursos educativos creados por los estudiantes de educación superior.</w:t>
            </w:r>
          </w:p>
        </w:tc>
        <w:tc>
          <w:tcPr>
            <w:tcW w:w="327" w:type="pct"/>
            <w:vAlign w:val="center"/>
            <w:hideMark/>
          </w:tcPr>
          <w:p w14:paraId="1E62508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3CB7DF9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53%</w:t>
            </w:r>
          </w:p>
        </w:tc>
        <w:tc>
          <w:tcPr>
            <w:tcW w:w="322" w:type="pct"/>
            <w:vAlign w:val="center"/>
            <w:hideMark/>
          </w:tcPr>
          <w:p w14:paraId="7508DB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FD5BF7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413" w:type="pct"/>
            <w:vMerge w:val="restart"/>
            <w:vAlign w:val="center"/>
            <w:hideMark/>
          </w:tcPr>
          <w:p w14:paraId="761EB874"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78B8419E" w14:textId="77777777" w:rsidTr="00772CA1">
        <w:trPr>
          <w:trHeight w:val="308"/>
          <w:jc w:val="center"/>
        </w:trPr>
        <w:tc>
          <w:tcPr>
            <w:tcW w:w="323" w:type="pct"/>
            <w:vMerge/>
            <w:vAlign w:val="center"/>
            <w:hideMark/>
          </w:tcPr>
          <w:p w14:paraId="2D7F3D3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55BDA2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FCD7B2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78F9CD8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224F59EA"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593928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00DDE15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contenido y recursos educativos creados por los estudiantes.</w:t>
            </w:r>
          </w:p>
        </w:tc>
        <w:tc>
          <w:tcPr>
            <w:tcW w:w="327" w:type="pct"/>
            <w:vAlign w:val="center"/>
            <w:hideMark/>
          </w:tcPr>
          <w:p w14:paraId="5B1A7CE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2237846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8</w:t>
            </w:r>
          </w:p>
        </w:tc>
        <w:tc>
          <w:tcPr>
            <w:tcW w:w="322" w:type="pct"/>
            <w:vAlign w:val="center"/>
            <w:hideMark/>
          </w:tcPr>
          <w:p w14:paraId="46DEABA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76CB9E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15</w:t>
            </w:r>
          </w:p>
        </w:tc>
        <w:tc>
          <w:tcPr>
            <w:tcW w:w="413" w:type="pct"/>
            <w:vMerge/>
            <w:vAlign w:val="center"/>
            <w:hideMark/>
          </w:tcPr>
          <w:p w14:paraId="5125AE2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E146CD0" w14:textId="77777777" w:rsidTr="00772CA1">
        <w:trPr>
          <w:trHeight w:val="560"/>
          <w:jc w:val="center"/>
        </w:trPr>
        <w:tc>
          <w:tcPr>
            <w:tcW w:w="323" w:type="pct"/>
            <w:vMerge/>
            <w:vAlign w:val="center"/>
            <w:hideMark/>
          </w:tcPr>
          <w:p w14:paraId="4FBA53E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A3137A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0D30FC1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B4443A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74E3CE61"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2715D5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216C76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contenidos y recursos educativos planeados para ser creados por los estudiantes.</w:t>
            </w:r>
          </w:p>
        </w:tc>
        <w:tc>
          <w:tcPr>
            <w:tcW w:w="327" w:type="pct"/>
            <w:vAlign w:val="center"/>
            <w:hideMark/>
          </w:tcPr>
          <w:p w14:paraId="2EED348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5D05050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15</w:t>
            </w:r>
          </w:p>
        </w:tc>
        <w:tc>
          <w:tcPr>
            <w:tcW w:w="322" w:type="pct"/>
            <w:vAlign w:val="center"/>
            <w:hideMark/>
          </w:tcPr>
          <w:p w14:paraId="249E72D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DA7D29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15</w:t>
            </w:r>
          </w:p>
        </w:tc>
        <w:tc>
          <w:tcPr>
            <w:tcW w:w="413" w:type="pct"/>
            <w:vMerge/>
            <w:vAlign w:val="center"/>
            <w:hideMark/>
          </w:tcPr>
          <w:p w14:paraId="5A4768DC"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4B0E62F" w14:textId="77777777" w:rsidTr="00772CA1">
        <w:trPr>
          <w:trHeight w:val="40"/>
          <w:jc w:val="center"/>
        </w:trPr>
        <w:tc>
          <w:tcPr>
            <w:tcW w:w="323" w:type="pct"/>
            <w:vMerge w:val="restart"/>
            <w:vAlign w:val="center"/>
            <w:hideMark/>
          </w:tcPr>
          <w:p w14:paraId="709F631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2DAA6F8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674. Promoción de la innovación y sostenibilidad en </w:t>
            </w:r>
            <w:r w:rsidRPr="00772CA1">
              <w:rPr>
                <w:rFonts w:ascii="Lato" w:eastAsia="Times New Roman" w:hAnsi="Lato" w:cs="Times New Roman"/>
                <w:color w:val="000000"/>
                <w:sz w:val="20"/>
                <w:szCs w:val="20"/>
                <w:lang w:eastAsia="es-MX"/>
              </w:rPr>
              <w:lastRenderedPageBreak/>
              <w:t>la Educación Superior</w:t>
            </w:r>
          </w:p>
        </w:tc>
        <w:tc>
          <w:tcPr>
            <w:tcW w:w="355" w:type="pct"/>
            <w:vMerge w:val="restart"/>
            <w:vAlign w:val="center"/>
            <w:hideMark/>
          </w:tcPr>
          <w:p w14:paraId="7E84A09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25276</w:t>
            </w:r>
          </w:p>
        </w:tc>
        <w:tc>
          <w:tcPr>
            <w:tcW w:w="449" w:type="pct"/>
            <w:vMerge w:val="restart"/>
            <w:vAlign w:val="center"/>
            <w:hideMark/>
          </w:tcPr>
          <w:p w14:paraId="4110F2C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w:t>
            </w:r>
            <w:r w:rsidRPr="00772CA1">
              <w:rPr>
                <w:rFonts w:ascii="Lato" w:eastAsia="Times New Roman" w:hAnsi="Lato" w:cs="Times New Roman"/>
                <w:color w:val="000000"/>
                <w:sz w:val="20"/>
                <w:szCs w:val="20"/>
                <w:lang w:eastAsia="es-MX"/>
              </w:rPr>
              <w:lastRenderedPageBreak/>
              <w:t>superior que participan en las actividades grupales, proyectos colaborativos y entornos virtuales de aprendizaje realizadas</w:t>
            </w:r>
          </w:p>
        </w:tc>
        <w:tc>
          <w:tcPr>
            <w:tcW w:w="910" w:type="pct"/>
            <w:vMerge w:val="restart"/>
            <w:vAlign w:val="center"/>
            <w:hideMark/>
          </w:tcPr>
          <w:p w14:paraId="423EB24E"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de estudiantes que participan en las actividades grupales, proyectos colaborativos y </w:t>
            </w:r>
            <w:r w:rsidRPr="00772CA1">
              <w:rPr>
                <w:rFonts w:ascii="Lato" w:eastAsia="Times New Roman" w:hAnsi="Lato" w:cs="Times New Roman"/>
                <w:color w:val="000000"/>
                <w:sz w:val="20"/>
                <w:szCs w:val="20"/>
                <w:lang w:eastAsia="es-MX"/>
              </w:rPr>
              <w:lastRenderedPageBreak/>
              <w:t xml:space="preserve">entornos virtuales de aprendizaje realizadas por las Instituciones de Educación Superior, para el desarrollo de las habilidades digitales y blandas. Las habilidades blandas, también conocidas como </w:t>
            </w:r>
            <w:proofErr w:type="spellStart"/>
            <w:r w:rsidRPr="00772CA1">
              <w:rPr>
                <w:rFonts w:ascii="Lato" w:eastAsia="Times New Roman" w:hAnsi="Lato" w:cs="Times New Roman"/>
                <w:color w:val="000000"/>
                <w:sz w:val="20"/>
                <w:szCs w:val="20"/>
                <w:lang w:eastAsia="es-MX"/>
              </w:rPr>
              <w:t>soft</w:t>
            </w:r>
            <w:proofErr w:type="spellEnd"/>
            <w:r w:rsidRPr="00772CA1">
              <w:rPr>
                <w:rFonts w:ascii="Lato" w:eastAsia="Times New Roman" w:hAnsi="Lato" w:cs="Times New Roman"/>
                <w:color w:val="000000"/>
                <w:sz w:val="20"/>
                <w:szCs w:val="20"/>
                <w:lang w:eastAsia="es-MX"/>
              </w:rPr>
              <w:t xml:space="preserve"> </w:t>
            </w:r>
            <w:proofErr w:type="spellStart"/>
            <w:r w:rsidRPr="00772CA1">
              <w:rPr>
                <w:rFonts w:ascii="Lato" w:eastAsia="Times New Roman" w:hAnsi="Lato" w:cs="Times New Roman"/>
                <w:color w:val="000000"/>
                <w:sz w:val="20"/>
                <w:szCs w:val="20"/>
                <w:lang w:eastAsia="es-MX"/>
              </w:rPr>
              <w:t>skills</w:t>
            </w:r>
            <w:proofErr w:type="spellEnd"/>
            <w:r w:rsidRPr="00772CA1">
              <w:rPr>
                <w:rFonts w:ascii="Lato" w:eastAsia="Times New Roman" w:hAnsi="Lato" w:cs="Times New Roman"/>
                <w:color w:val="000000"/>
                <w:sz w:val="20"/>
                <w:szCs w:val="20"/>
                <w:lang w:eastAsia="es-MX"/>
              </w:rPr>
              <w:t>, son competencias interpersonales y sociales que facilitan la interacción y la colaboración efectiva con otros. Las habilidades digitales son el conjunto de conocimientos, capacidades, destrezas y actitudes que permiten a una persona utilizar de manera eficiente y segura las herramientas digitales y el internet.</w:t>
            </w:r>
          </w:p>
        </w:tc>
        <w:tc>
          <w:tcPr>
            <w:tcW w:w="275" w:type="pct"/>
            <w:vMerge w:val="restart"/>
            <w:vAlign w:val="center"/>
            <w:hideMark/>
          </w:tcPr>
          <w:p w14:paraId="7A4B376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32990E7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w:t>
            </w:r>
            <w:r w:rsidRPr="00772CA1">
              <w:rPr>
                <w:rFonts w:ascii="Lato" w:eastAsia="Times New Roman" w:hAnsi="Lato" w:cs="Times New Roman"/>
                <w:color w:val="000000"/>
                <w:sz w:val="20"/>
                <w:szCs w:val="20"/>
                <w:lang w:eastAsia="es-MX"/>
              </w:rPr>
              <w:lastRenderedPageBreak/>
              <w:t>participan en las actividades grupales, proyectos colaborativos y entornos virtuales de aprendizaje realizadas</w:t>
            </w:r>
          </w:p>
        </w:tc>
        <w:tc>
          <w:tcPr>
            <w:tcW w:w="327" w:type="pct"/>
            <w:vAlign w:val="center"/>
            <w:hideMark/>
          </w:tcPr>
          <w:p w14:paraId="34CC869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25%</w:t>
            </w:r>
          </w:p>
        </w:tc>
        <w:tc>
          <w:tcPr>
            <w:tcW w:w="315" w:type="pct"/>
            <w:vAlign w:val="center"/>
            <w:hideMark/>
          </w:tcPr>
          <w:p w14:paraId="2553C11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6.9%</w:t>
            </w:r>
          </w:p>
        </w:tc>
        <w:tc>
          <w:tcPr>
            <w:tcW w:w="322" w:type="pct"/>
            <w:vAlign w:val="center"/>
            <w:hideMark/>
          </w:tcPr>
          <w:p w14:paraId="1922993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F5BDBD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35%</w:t>
            </w:r>
          </w:p>
        </w:tc>
        <w:tc>
          <w:tcPr>
            <w:tcW w:w="413" w:type="pct"/>
            <w:vMerge w:val="restart"/>
            <w:vAlign w:val="center"/>
            <w:hideMark/>
          </w:tcPr>
          <w:p w14:paraId="620DCEA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06D6B065" w14:textId="77777777" w:rsidTr="00772CA1">
        <w:trPr>
          <w:trHeight w:val="1336"/>
          <w:jc w:val="center"/>
        </w:trPr>
        <w:tc>
          <w:tcPr>
            <w:tcW w:w="323" w:type="pct"/>
            <w:vMerge/>
            <w:vAlign w:val="center"/>
            <w:hideMark/>
          </w:tcPr>
          <w:p w14:paraId="417B8C0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BB7418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0058D9B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BA511E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6ABBAC2"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75287A6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CED41D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las actividades grupales, proyectos colaborativos y entornos virtuales de aprendizaje realizadas</w:t>
            </w:r>
          </w:p>
        </w:tc>
        <w:tc>
          <w:tcPr>
            <w:tcW w:w="327" w:type="pct"/>
            <w:vAlign w:val="center"/>
            <w:hideMark/>
          </w:tcPr>
          <w:p w14:paraId="2503054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200</w:t>
            </w:r>
          </w:p>
        </w:tc>
        <w:tc>
          <w:tcPr>
            <w:tcW w:w="315" w:type="pct"/>
            <w:vAlign w:val="center"/>
            <w:hideMark/>
          </w:tcPr>
          <w:p w14:paraId="7FEF706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59 </w:t>
            </w:r>
          </w:p>
        </w:tc>
        <w:tc>
          <w:tcPr>
            <w:tcW w:w="322" w:type="pct"/>
            <w:vAlign w:val="center"/>
            <w:hideMark/>
          </w:tcPr>
          <w:p w14:paraId="1FB71A6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E7D6B5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300</w:t>
            </w:r>
          </w:p>
        </w:tc>
        <w:tc>
          <w:tcPr>
            <w:tcW w:w="413" w:type="pct"/>
            <w:vMerge/>
            <w:vAlign w:val="center"/>
            <w:hideMark/>
          </w:tcPr>
          <w:p w14:paraId="3C8BB4BC"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3EB8387" w14:textId="77777777" w:rsidTr="00772CA1">
        <w:trPr>
          <w:trHeight w:val="40"/>
          <w:jc w:val="center"/>
        </w:trPr>
        <w:tc>
          <w:tcPr>
            <w:tcW w:w="323" w:type="pct"/>
            <w:vMerge/>
            <w:vAlign w:val="center"/>
            <w:hideMark/>
          </w:tcPr>
          <w:p w14:paraId="7539C2B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3EFF7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7ECDCA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4DA491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4533B1D4"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B39F91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A16CB5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27" w:type="pct"/>
            <w:vAlign w:val="center"/>
            <w:hideMark/>
          </w:tcPr>
          <w:p w14:paraId="4783A18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1FD942A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850</w:t>
            </w:r>
          </w:p>
        </w:tc>
        <w:tc>
          <w:tcPr>
            <w:tcW w:w="322" w:type="pct"/>
            <w:vAlign w:val="center"/>
            <w:hideMark/>
          </w:tcPr>
          <w:p w14:paraId="6CDE4BB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70AB56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60DDB35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CCC1E25" w14:textId="77777777" w:rsidTr="00772CA1">
        <w:trPr>
          <w:trHeight w:val="1260"/>
          <w:jc w:val="center"/>
        </w:trPr>
        <w:tc>
          <w:tcPr>
            <w:tcW w:w="323" w:type="pct"/>
            <w:vMerge w:val="restart"/>
            <w:vAlign w:val="center"/>
            <w:hideMark/>
          </w:tcPr>
          <w:p w14:paraId="4D2193A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C2B588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45F0C0A3"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25277</w:t>
            </w:r>
          </w:p>
        </w:tc>
        <w:tc>
          <w:tcPr>
            <w:tcW w:w="449" w:type="pct"/>
            <w:vMerge w:val="restart"/>
            <w:vAlign w:val="center"/>
            <w:hideMark/>
          </w:tcPr>
          <w:p w14:paraId="401AF58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los cursos, talleres y seminarios con enfoque a las habilidades digitales y blandas realizados</w:t>
            </w:r>
          </w:p>
        </w:tc>
        <w:tc>
          <w:tcPr>
            <w:tcW w:w="910" w:type="pct"/>
            <w:vMerge w:val="restart"/>
            <w:vAlign w:val="center"/>
            <w:hideMark/>
          </w:tcPr>
          <w:p w14:paraId="6549D405"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estudiantes que participan en cursos, talleres y seminarios impartidos por las Instituciones de Educación Superior. Estos cursos talleres y seminario tienen enfoque a las habilidades digitales y blandas. Las habilidades digitales son las competencias técnicas para manejar herramientas tecnológicas. Las habilidades blandas son las capacidades personales e interpersonales, como la comunicación, la empatía y el </w:t>
            </w:r>
            <w:r w:rsidRPr="00772CA1">
              <w:rPr>
                <w:rFonts w:ascii="Lato" w:eastAsia="Times New Roman" w:hAnsi="Lato" w:cs="Times New Roman"/>
                <w:color w:val="000000"/>
                <w:sz w:val="20"/>
                <w:szCs w:val="20"/>
                <w:lang w:eastAsia="es-MX"/>
              </w:rPr>
              <w:lastRenderedPageBreak/>
              <w:t>trabajo en equipo, que facilitan la interacción humana y la adaptabilidad en el entorno profesional.</w:t>
            </w:r>
          </w:p>
        </w:tc>
        <w:tc>
          <w:tcPr>
            <w:tcW w:w="275" w:type="pct"/>
            <w:vMerge w:val="restart"/>
            <w:vAlign w:val="center"/>
            <w:hideMark/>
          </w:tcPr>
          <w:p w14:paraId="5C57A27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28FFFF6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los cursos, talleres y seminarios con enfoque a las habilidades digitales y blandas realizados</w:t>
            </w:r>
          </w:p>
        </w:tc>
        <w:tc>
          <w:tcPr>
            <w:tcW w:w="327" w:type="pct"/>
            <w:vAlign w:val="center"/>
            <w:hideMark/>
          </w:tcPr>
          <w:p w14:paraId="7FF6D6C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w:t>
            </w:r>
          </w:p>
        </w:tc>
        <w:tc>
          <w:tcPr>
            <w:tcW w:w="315" w:type="pct"/>
            <w:vAlign w:val="center"/>
            <w:hideMark/>
          </w:tcPr>
          <w:p w14:paraId="3B9A9CD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1%</w:t>
            </w:r>
          </w:p>
        </w:tc>
        <w:tc>
          <w:tcPr>
            <w:tcW w:w="322" w:type="pct"/>
            <w:vAlign w:val="center"/>
            <w:hideMark/>
          </w:tcPr>
          <w:p w14:paraId="3580747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C01038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34%</w:t>
            </w:r>
          </w:p>
        </w:tc>
        <w:tc>
          <w:tcPr>
            <w:tcW w:w="413" w:type="pct"/>
            <w:vMerge w:val="restart"/>
            <w:vAlign w:val="center"/>
            <w:hideMark/>
          </w:tcPr>
          <w:p w14:paraId="6DF1F789"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4D4FADBE" w14:textId="77777777" w:rsidTr="00772CA1">
        <w:trPr>
          <w:trHeight w:val="797"/>
          <w:jc w:val="center"/>
        </w:trPr>
        <w:tc>
          <w:tcPr>
            <w:tcW w:w="323" w:type="pct"/>
            <w:vMerge/>
            <w:vAlign w:val="center"/>
            <w:hideMark/>
          </w:tcPr>
          <w:p w14:paraId="2DAD2E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7D28D0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137852D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A0E655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552514F"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22061EF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5FDEA65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estudiantes de educación superior que participan en los cursos, talleres y seminarios con enfoque a las </w:t>
            </w:r>
            <w:r w:rsidRPr="00772CA1">
              <w:rPr>
                <w:rFonts w:ascii="Lato" w:eastAsia="Times New Roman" w:hAnsi="Lato" w:cs="Times New Roman"/>
                <w:color w:val="000000"/>
                <w:sz w:val="20"/>
                <w:szCs w:val="20"/>
                <w:lang w:eastAsia="es-MX"/>
              </w:rPr>
              <w:lastRenderedPageBreak/>
              <w:t>habilidades digitales y blandas realizados</w:t>
            </w:r>
          </w:p>
        </w:tc>
        <w:tc>
          <w:tcPr>
            <w:tcW w:w="327" w:type="pct"/>
            <w:vAlign w:val="center"/>
            <w:hideMark/>
          </w:tcPr>
          <w:p w14:paraId="7BA07C2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200</w:t>
            </w:r>
          </w:p>
        </w:tc>
        <w:tc>
          <w:tcPr>
            <w:tcW w:w="315" w:type="pct"/>
            <w:vAlign w:val="center"/>
            <w:hideMark/>
          </w:tcPr>
          <w:p w14:paraId="56C7932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4</w:t>
            </w:r>
          </w:p>
        </w:tc>
        <w:tc>
          <w:tcPr>
            <w:tcW w:w="322" w:type="pct"/>
            <w:vAlign w:val="center"/>
            <w:hideMark/>
          </w:tcPr>
          <w:p w14:paraId="4164EE7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81C7CD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300</w:t>
            </w:r>
          </w:p>
        </w:tc>
        <w:tc>
          <w:tcPr>
            <w:tcW w:w="413" w:type="pct"/>
            <w:vMerge/>
            <w:vAlign w:val="center"/>
            <w:hideMark/>
          </w:tcPr>
          <w:p w14:paraId="57EEB78C"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6AACA90" w14:textId="77777777" w:rsidTr="00772CA1">
        <w:trPr>
          <w:trHeight w:val="123"/>
          <w:jc w:val="center"/>
        </w:trPr>
        <w:tc>
          <w:tcPr>
            <w:tcW w:w="323" w:type="pct"/>
            <w:vMerge/>
            <w:vAlign w:val="center"/>
            <w:hideMark/>
          </w:tcPr>
          <w:p w14:paraId="04C9211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306A19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071962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4099A1B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0DDE3FD"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3B803A1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4140CA9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27" w:type="pct"/>
            <w:vAlign w:val="center"/>
            <w:hideMark/>
          </w:tcPr>
          <w:p w14:paraId="6DA8B49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7C258F8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850</w:t>
            </w:r>
          </w:p>
        </w:tc>
        <w:tc>
          <w:tcPr>
            <w:tcW w:w="322" w:type="pct"/>
            <w:vAlign w:val="center"/>
            <w:hideMark/>
          </w:tcPr>
          <w:p w14:paraId="47FFF33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121DE8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4B634D5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3BAC91B" w14:textId="77777777" w:rsidTr="00772CA1">
        <w:trPr>
          <w:trHeight w:val="977"/>
          <w:jc w:val="center"/>
        </w:trPr>
        <w:tc>
          <w:tcPr>
            <w:tcW w:w="323" w:type="pct"/>
            <w:vMerge w:val="restart"/>
            <w:vAlign w:val="center"/>
            <w:hideMark/>
          </w:tcPr>
          <w:p w14:paraId="4129EE6C"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00AC859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758DE25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26120</w:t>
            </w:r>
          </w:p>
        </w:tc>
        <w:tc>
          <w:tcPr>
            <w:tcW w:w="449" w:type="pct"/>
            <w:vMerge w:val="restart"/>
            <w:vAlign w:val="center"/>
            <w:hideMark/>
          </w:tcPr>
          <w:p w14:paraId="5F30564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Apoyos para carreras Ciencia, Tecnología, Ingeniería y Matemáticas (STEM) entregados</w:t>
            </w:r>
          </w:p>
        </w:tc>
        <w:tc>
          <w:tcPr>
            <w:tcW w:w="910" w:type="pct"/>
            <w:vMerge w:val="restart"/>
            <w:vAlign w:val="center"/>
            <w:hideMark/>
          </w:tcPr>
          <w:p w14:paraId="5C6ADC26"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mujeres que son apoyadas en programas de estudio con enfoque en Ciencia, Tecnología, Ingeniería y Matemáticas (STEM). Los apoyos consisten en la exención del pago de inscripción, reinscripción y colegiatura en las instituciones de educación superior públicas a aquellas mujeres que cursan programas de estudio con enfoque en Ciencia, Tecnología, Ingeniería y Matemáticas (STEM)</w:t>
            </w:r>
          </w:p>
        </w:tc>
        <w:tc>
          <w:tcPr>
            <w:tcW w:w="275" w:type="pct"/>
            <w:vMerge w:val="restart"/>
            <w:vAlign w:val="center"/>
            <w:hideMark/>
          </w:tcPr>
          <w:p w14:paraId="0A8C8F6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4D65FD9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Apoyos para carreras Ciencia, Tecnología, Ingeniería y Matemáticas (STEM) entregados</w:t>
            </w:r>
          </w:p>
        </w:tc>
        <w:tc>
          <w:tcPr>
            <w:tcW w:w="327" w:type="pct"/>
            <w:vAlign w:val="center"/>
            <w:hideMark/>
          </w:tcPr>
          <w:p w14:paraId="5CBF6DC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w:t>
            </w:r>
          </w:p>
        </w:tc>
        <w:tc>
          <w:tcPr>
            <w:tcW w:w="315" w:type="pct"/>
            <w:vAlign w:val="center"/>
            <w:hideMark/>
          </w:tcPr>
          <w:p w14:paraId="36E2CA1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5700F6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70ABE1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w:t>
            </w:r>
          </w:p>
        </w:tc>
        <w:tc>
          <w:tcPr>
            <w:tcW w:w="413" w:type="pct"/>
            <w:vMerge w:val="restart"/>
            <w:vAlign w:val="center"/>
            <w:hideMark/>
          </w:tcPr>
          <w:p w14:paraId="622BB852"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1C4C04F9" w14:textId="77777777" w:rsidTr="00772CA1">
        <w:trPr>
          <w:trHeight w:val="325"/>
          <w:jc w:val="center"/>
        </w:trPr>
        <w:tc>
          <w:tcPr>
            <w:tcW w:w="323" w:type="pct"/>
            <w:vMerge/>
            <w:vAlign w:val="center"/>
            <w:hideMark/>
          </w:tcPr>
          <w:p w14:paraId="3FC1EAF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D5F337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1845FEC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504BC1A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55107B3"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10A1245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10FAD31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mujeres de educación superior beneficiadas con apoyo para carreras STEM</w:t>
            </w:r>
          </w:p>
        </w:tc>
        <w:tc>
          <w:tcPr>
            <w:tcW w:w="327" w:type="pct"/>
            <w:vAlign w:val="center"/>
            <w:hideMark/>
          </w:tcPr>
          <w:p w14:paraId="01805AB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147</w:t>
            </w:r>
          </w:p>
        </w:tc>
        <w:tc>
          <w:tcPr>
            <w:tcW w:w="315" w:type="pct"/>
            <w:vAlign w:val="center"/>
            <w:hideMark/>
          </w:tcPr>
          <w:p w14:paraId="3424FE0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A31A9A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E458A7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220</w:t>
            </w:r>
          </w:p>
        </w:tc>
        <w:tc>
          <w:tcPr>
            <w:tcW w:w="413" w:type="pct"/>
            <w:vMerge/>
            <w:vAlign w:val="center"/>
            <w:hideMark/>
          </w:tcPr>
          <w:p w14:paraId="3CDD30C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EEF95B7" w14:textId="77777777" w:rsidTr="00772CA1">
        <w:trPr>
          <w:trHeight w:val="475"/>
          <w:jc w:val="center"/>
        </w:trPr>
        <w:tc>
          <w:tcPr>
            <w:tcW w:w="323" w:type="pct"/>
            <w:vMerge/>
            <w:vAlign w:val="center"/>
            <w:hideMark/>
          </w:tcPr>
          <w:p w14:paraId="2B67871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DB5835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777DB87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D19943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49585281"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5C620C1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877619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instituciones de nivel superior (incluye posgrados)</w:t>
            </w:r>
          </w:p>
        </w:tc>
        <w:tc>
          <w:tcPr>
            <w:tcW w:w="327" w:type="pct"/>
            <w:vAlign w:val="center"/>
            <w:hideMark/>
          </w:tcPr>
          <w:p w14:paraId="56E6D7E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70F4DBA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C9AAA3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481149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76FEB9A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94C5F78" w14:textId="77777777" w:rsidTr="00772CA1">
        <w:trPr>
          <w:trHeight w:val="693"/>
          <w:jc w:val="center"/>
        </w:trPr>
        <w:tc>
          <w:tcPr>
            <w:tcW w:w="323" w:type="pct"/>
            <w:vMerge w:val="restart"/>
            <w:vAlign w:val="center"/>
            <w:hideMark/>
          </w:tcPr>
          <w:p w14:paraId="184F426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33B2663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5E084A2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25281</w:t>
            </w:r>
          </w:p>
        </w:tc>
        <w:tc>
          <w:tcPr>
            <w:tcW w:w="449" w:type="pct"/>
            <w:vMerge w:val="restart"/>
            <w:vAlign w:val="center"/>
            <w:hideMark/>
          </w:tcPr>
          <w:p w14:paraId="7F11DC3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matrícula de mujeres en carreras de Ciencia, Tecnología, Ingeniería y </w:t>
            </w:r>
            <w:r w:rsidRPr="00772CA1">
              <w:rPr>
                <w:rFonts w:ascii="Lato" w:eastAsia="Times New Roman" w:hAnsi="Lato" w:cs="Times New Roman"/>
                <w:color w:val="000000"/>
                <w:sz w:val="20"/>
                <w:szCs w:val="20"/>
                <w:lang w:eastAsia="es-MX"/>
              </w:rPr>
              <w:lastRenderedPageBreak/>
              <w:t>Matemáticas (STEM)</w:t>
            </w:r>
          </w:p>
        </w:tc>
        <w:tc>
          <w:tcPr>
            <w:tcW w:w="910" w:type="pct"/>
            <w:vMerge w:val="restart"/>
            <w:vAlign w:val="center"/>
            <w:hideMark/>
          </w:tcPr>
          <w:p w14:paraId="6B3AE5BA"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Mide la cantidad de estudiantes mujeres inscritas en Instituciones de Educación Superior Públicas que cursan programas de estudio con enfoque en Ciencia, Tecnología, Ingeniería y Matemáticas (STEM).</w:t>
            </w:r>
          </w:p>
        </w:tc>
        <w:tc>
          <w:tcPr>
            <w:tcW w:w="275" w:type="pct"/>
            <w:vMerge w:val="restart"/>
            <w:vAlign w:val="center"/>
            <w:hideMark/>
          </w:tcPr>
          <w:p w14:paraId="4D8BFB3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0E3072E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matrícula de mujeres en carreras de Ciencia, Tecnología, Ingeniería y Matemáticas (STEM)</w:t>
            </w:r>
          </w:p>
        </w:tc>
        <w:tc>
          <w:tcPr>
            <w:tcW w:w="327" w:type="pct"/>
            <w:vAlign w:val="center"/>
            <w:hideMark/>
          </w:tcPr>
          <w:p w14:paraId="73B5A5B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15" w:type="pct"/>
            <w:vAlign w:val="center"/>
            <w:hideMark/>
          </w:tcPr>
          <w:p w14:paraId="1AA26EF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487B05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485567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413" w:type="pct"/>
            <w:vMerge w:val="restart"/>
            <w:vAlign w:val="center"/>
            <w:hideMark/>
          </w:tcPr>
          <w:p w14:paraId="4A540BE5"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0444A07B" w14:textId="77777777" w:rsidTr="00772CA1">
        <w:trPr>
          <w:trHeight w:val="268"/>
          <w:jc w:val="center"/>
        </w:trPr>
        <w:tc>
          <w:tcPr>
            <w:tcW w:w="323" w:type="pct"/>
            <w:vMerge/>
            <w:vAlign w:val="center"/>
            <w:hideMark/>
          </w:tcPr>
          <w:p w14:paraId="21F7352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3BE88E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5F971C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432E1E4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5B4BEB85"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0A973ED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752525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mujeres inscritas en </w:t>
            </w:r>
            <w:r w:rsidRPr="00772CA1">
              <w:rPr>
                <w:rFonts w:ascii="Lato" w:eastAsia="Times New Roman" w:hAnsi="Lato" w:cs="Times New Roman"/>
                <w:color w:val="000000"/>
                <w:sz w:val="20"/>
                <w:szCs w:val="20"/>
                <w:lang w:eastAsia="es-MX"/>
              </w:rPr>
              <w:lastRenderedPageBreak/>
              <w:t>Instituciones de Educación Superior Públicas que cursan programas de estudio con enfoque en Ciencia, Tecnología, Ingeniería y Matemáticas (STEM)</w:t>
            </w:r>
          </w:p>
        </w:tc>
        <w:tc>
          <w:tcPr>
            <w:tcW w:w="327" w:type="pct"/>
            <w:vAlign w:val="center"/>
            <w:hideMark/>
          </w:tcPr>
          <w:p w14:paraId="5C2D88B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147</w:t>
            </w:r>
          </w:p>
        </w:tc>
        <w:tc>
          <w:tcPr>
            <w:tcW w:w="315" w:type="pct"/>
            <w:vAlign w:val="center"/>
            <w:hideMark/>
          </w:tcPr>
          <w:p w14:paraId="59E33F7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E0636F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F772B7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220</w:t>
            </w:r>
          </w:p>
        </w:tc>
        <w:tc>
          <w:tcPr>
            <w:tcW w:w="413" w:type="pct"/>
            <w:vMerge/>
            <w:vAlign w:val="center"/>
            <w:hideMark/>
          </w:tcPr>
          <w:p w14:paraId="29CB8C1D"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2EFD45A" w14:textId="77777777" w:rsidTr="00772CA1">
        <w:trPr>
          <w:trHeight w:val="40"/>
          <w:jc w:val="center"/>
        </w:trPr>
        <w:tc>
          <w:tcPr>
            <w:tcW w:w="323" w:type="pct"/>
            <w:vMerge/>
            <w:vAlign w:val="center"/>
            <w:hideMark/>
          </w:tcPr>
          <w:p w14:paraId="57CD39D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730EA6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A9DE86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6E8C57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2AEBC26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318E3D1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8CA7A5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mujeres inscritas en instituciones de nivel superior (incluye posgrados)</w:t>
            </w:r>
          </w:p>
        </w:tc>
        <w:tc>
          <w:tcPr>
            <w:tcW w:w="327" w:type="pct"/>
            <w:vAlign w:val="center"/>
            <w:hideMark/>
          </w:tcPr>
          <w:p w14:paraId="4AC527E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147</w:t>
            </w:r>
          </w:p>
        </w:tc>
        <w:tc>
          <w:tcPr>
            <w:tcW w:w="315" w:type="pct"/>
            <w:vAlign w:val="center"/>
            <w:hideMark/>
          </w:tcPr>
          <w:p w14:paraId="0899059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178339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B5F26F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220</w:t>
            </w:r>
          </w:p>
        </w:tc>
        <w:tc>
          <w:tcPr>
            <w:tcW w:w="413" w:type="pct"/>
            <w:vMerge/>
            <w:vAlign w:val="center"/>
            <w:hideMark/>
          </w:tcPr>
          <w:p w14:paraId="7C6734D6"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4BC6D16" w14:textId="77777777" w:rsidTr="00772CA1">
        <w:trPr>
          <w:trHeight w:val="1592"/>
          <w:jc w:val="center"/>
        </w:trPr>
        <w:tc>
          <w:tcPr>
            <w:tcW w:w="323" w:type="pct"/>
            <w:vMerge w:val="restart"/>
            <w:vAlign w:val="center"/>
            <w:hideMark/>
          </w:tcPr>
          <w:p w14:paraId="55B258A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36002EA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55" w:type="pct"/>
            <w:vMerge w:val="restart"/>
            <w:vAlign w:val="center"/>
            <w:hideMark/>
          </w:tcPr>
          <w:p w14:paraId="400B702D"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25282</w:t>
            </w:r>
          </w:p>
        </w:tc>
        <w:tc>
          <w:tcPr>
            <w:tcW w:w="449" w:type="pct"/>
            <w:vMerge w:val="restart"/>
            <w:vAlign w:val="center"/>
            <w:hideMark/>
          </w:tcPr>
          <w:p w14:paraId="11DB33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Instituciones de Educación Superior Públicas que otorgan apoyos a mujeres en carreras Ciencia, Tecnología, Ingeniería y Matemáticas (STEM)</w:t>
            </w:r>
          </w:p>
        </w:tc>
        <w:tc>
          <w:tcPr>
            <w:tcW w:w="910" w:type="pct"/>
            <w:vMerge w:val="restart"/>
            <w:vAlign w:val="center"/>
            <w:hideMark/>
          </w:tcPr>
          <w:p w14:paraId="21484F53"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el número de Instituciones de Educación Superior Públicas que otorgan apoyos a mujeres que cursan programas de estudio con enfoque en Ciencia, Tecnología, Ingeniería y Matemáticas (STEM).</w:t>
            </w:r>
          </w:p>
        </w:tc>
        <w:tc>
          <w:tcPr>
            <w:tcW w:w="275" w:type="pct"/>
            <w:vMerge w:val="restart"/>
            <w:vAlign w:val="center"/>
            <w:hideMark/>
          </w:tcPr>
          <w:p w14:paraId="6E17D92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23F36BC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Instituciones de Educación Superior Públicas que otorgan apoyos a mujeres en carreras Ciencia, Tecnología, Ingeniería y Matemáticas (STEM)</w:t>
            </w:r>
          </w:p>
        </w:tc>
        <w:tc>
          <w:tcPr>
            <w:tcW w:w="327" w:type="pct"/>
            <w:vAlign w:val="center"/>
            <w:hideMark/>
          </w:tcPr>
          <w:p w14:paraId="4C79FE9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15" w:type="pct"/>
            <w:vAlign w:val="center"/>
            <w:hideMark/>
          </w:tcPr>
          <w:p w14:paraId="7F27DBA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721E9B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B0EC6F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413" w:type="pct"/>
            <w:vMerge w:val="restart"/>
            <w:vAlign w:val="center"/>
            <w:hideMark/>
          </w:tcPr>
          <w:p w14:paraId="70F3331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1D6FF19D" w14:textId="77777777" w:rsidTr="00772CA1">
        <w:trPr>
          <w:trHeight w:val="675"/>
          <w:jc w:val="center"/>
        </w:trPr>
        <w:tc>
          <w:tcPr>
            <w:tcW w:w="323" w:type="pct"/>
            <w:vMerge/>
            <w:vAlign w:val="center"/>
            <w:hideMark/>
          </w:tcPr>
          <w:p w14:paraId="6BB198B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73BA4E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63118D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0492C66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DD300A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72CD550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4A4383C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Instituciones de Educación Superior Públicas que otorgan apoyos a mujeres que cursan programas de estudio con enfoque en Ciencia, Tecnología, Ingeniería y Matemáticas (STEM)</w:t>
            </w:r>
          </w:p>
        </w:tc>
        <w:tc>
          <w:tcPr>
            <w:tcW w:w="327" w:type="pct"/>
            <w:vAlign w:val="center"/>
            <w:hideMark/>
          </w:tcPr>
          <w:p w14:paraId="1B24010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15" w:type="pct"/>
            <w:vAlign w:val="center"/>
            <w:hideMark/>
          </w:tcPr>
          <w:p w14:paraId="4F47395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A6E838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CB7FD1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413" w:type="pct"/>
            <w:vMerge/>
            <w:vAlign w:val="center"/>
            <w:hideMark/>
          </w:tcPr>
          <w:p w14:paraId="39749CA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F473787" w14:textId="77777777" w:rsidTr="00772CA1">
        <w:trPr>
          <w:trHeight w:val="40"/>
          <w:jc w:val="center"/>
        </w:trPr>
        <w:tc>
          <w:tcPr>
            <w:tcW w:w="323" w:type="pct"/>
            <w:vMerge/>
            <w:vAlign w:val="center"/>
            <w:hideMark/>
          </w:tcPr>
          <w:p w14:paraId="6A94E2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CC74F7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353FA62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5D5E2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5964511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7887E3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1027FC2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Instituciones de Educación Superior Públicas Descentralizadas y Escuelas Normales</w:t>
            </w:r>
          </w:p>
        </w:tc>
        <w:tc>
          <w:tcPr>
            <w:tcW w:w="327" w:type="pct"/>
            <w:vAlign w:val="center"/>
            <w:hideMark/>
          </w:tcPr>
          <w:p w14:paraId="690155A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15" w:type="pct"/>
            <w:vAlign w:val="center"/>
            <w:hideMark/>
          </w:tcPr>
          <w:p w14:paraId="7340FB8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EFE6BE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17E01C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413" w:type="pct"/>
            <w:vMerge/>
            <w:vAlign w:val="center"/>
            <w:hideMark/>
          </w:tcPr>
          <w:p w14:paraId="7A1774CD"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E6E5EC8" w14:textId="77777777" w:rsidTr="00772CA1">
        <w:trPr>
          <w:trHeight w:val="693"/>
          <w:jc w:val="center"/>
        </w:trPr>
        <w:tc>
          <w:tcPr>
            <w:tcW w:w="323" w:type="pct"/>
            <w:vMerge w:val="restart"/>
            <w:vAlign w:val="center"/>
            <w:hideMark/>
          </w:tcPr>
          <w:p w14:paraId="5A2A0C95"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1A31A87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7E18AC20"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25267</w:t>
            </w:r>
          </w:p>
        </w:tc>
        <w:tc>
          <w:tcPr>
            <w:tcW w:w="449" w:type="pct"/>
            <w:vMerge w:val="restart"/>
            <w:vAlign w:val="center"/>
            <w:hideMark/>
          </w:tcPr>
          <w:p w14:paraId="1390521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aspirantes admitidos a la Educación Superior en el periodo.</w:t>
            </w:r>
          </w:p>
        </w:tc>
        <w:tc>
          <w:tcPr>
            <w:tcW w:w="910" w:type="pct"/>
            <w:vMerge w:val="restart"/>
            <w:vAlign w:val="center"/>
            <w:hideMark/>
          </w:tcPr>
          <w:p w14:paraId="22AA2FF9"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aspirantes que son admitidos al programa educativo que oferta la Institución de Educación Superior después de haber aplicado una evaluación diagnóstica.  Para poder ser admitido deberá de haber aprobado la evaluación diagnóstico y cumplir con los requisitos solicitados por la Institución de Educación Superior.</w:t>
            </w:r>
          </w:p>
        </w:tc>
        <w:tc>
          <w:tcPr>
            <w:tcW w:w="275" w:type="pct"/>
            <w:vMerge w:val="restart"/>
            <w:vAlign w:val="center"/>
            <w:hideMark/>
          </w:tcPr>
          <w:p w14:paraId="75FF215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57AF2E8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aspirantes admitidos a la Educación Superior en el periodo.</w:t>
            </w:r>
          </w:p>
        </w:tc>
        <w:tc>
          <w:tcPr>
            <w:tcW w:w="327" w:type="pct"/>
            <w:vAlign w:val="center"/>
            <w:hideMark/>
          </w:tcPr>
          <w:p w14:paraId="769880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86%</w:t>
            </w:r>
          </w:p>
        </w:tc>
        <w:tc>
          <w:tcPr>
            <w:tcW w:w="315" w:type="pct"/>
            <w:vAlign w:val="center"/>
            <w:hideMark/>
          </w:tcPr>
          <w:p w14:paraId="5382D25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CCB8B0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7A0587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86%</w:t>
            </w:r>
          </w:p>
        </w:tc>
        <w:tc>
          <w:tcPr>
            <w:tcW w:w="413" w:type="pct"/>
            <w:vMerge w:val="restart"/>
            <w:vAlign w:val="center"/>
            <w:hideMark/>
          </w:tcPr>
          <w:p w14:paraId="2D6EA26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6C0B7FC5" w14:textId="77777777" w:rsidTr="00772CA1">
        <w:trPr>
          <w:trHeight w:val="316"/>
          <w:jc w:val="center"/>
        </w:trPr>
        <w:tc>
          <w:tcPr>
            <w:tcW w:w="323" w:type="pct"/>
            <w:vMerge/>
            <w:vAlign w:val="center"/>
            <w:hideMark/>
          </w:tcPr>
          <w:p w14:paraId="6B37226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D2EC9A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6FB644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3543231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BA598F2"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4AE95E3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5D0702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aspirantes en proceso de admisión a la Educación Superior admitidos</w:t>
            </w:r>
          </w:p>
        </w:tc>
        <w:tc>
          <w:tcPr>
            <w:tcW w:w="327" w:type="pct"/>
            <w:vAlign w:val="center"/>
            <w:hideMark/>
          </w:tcPr>
          <w:p w14:paraId="586C1C0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319</w:t>
            </w:r>
          </w:p>
        </w:tc>
        <w:tc>
          <w:tcPr>
            <w:tcW w:w="315" w:type="pct"/>
            <w:vAlign w:val="center"/>
            <w:hideMark/>
          </w:tcPr>
          <w:p w14:paraId="467D176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7F8C8B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E3870E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319</w:t>
            </w:r>
          </w:p>
        </w:tc>
        <w:tc>
          <w:tcPr>
            <w:tcW w:w="413" w:type="pct"/>
            <w:vMerge/>
            <w:vAlign w:val="center"/>
            <w:hideMark/>
          </w:tcPr>
          <w:p w14:paraId="464FA9F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B552D31" w14:textId="77777777" w:rsidTr="00772CA1">
        <w:trPr>
          <w:trHeight w:val="40"/>
          <w:jc w:val="center"/>
        </w:trPr>
        <w:tc>
          <w:tcPr>
            <w:tcW w:w="323" w:type="pct"/>
            <w:vMerge/>
            <w:vAlign w:val="center"/>
            <w:hideMark/>
          </w:tcPr>
          <w:p w14:paraId="10318E1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8250D5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07E1F5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185512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12872B60"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697AC0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3B09F6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aspirantes en proceso de admisión a la Educación Superior en el periodo</w:t>
            </w:r>
          </w:p>
        </w:tc>
        <w:tc>
          <w:tcPr>
            <w:tcW w:w="327" w:type="pct"/>
            <w:vAlign w:val="center"/>
            <w:hideMark/>
          </w:tcPr>
          <w:p w14:paraId="09E0181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372</w:t>
            </w:r>
          </w:p>
        </w:tc>
        <w:tc>
          <w:tcPr>
            <w:tcW w:w="315" w:type="pct"/>
            <w:vAlign w:val="center"/>
            <w:hideMark/>
          </w:tcPr>
          <w:p w14:paraId="75093D3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E7E416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CA0890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372</w:t>
            </w:r>
          </w:p>
        </w:tc>
        <w:tc>
          <w:tcPr>
            <w:tcW w:w="413" w:type="pct"/>
            <w:vMerge/>
            <w:vAlign w:val="center"/>
            <w:hideMark/>
          </w:tcPr>
          <w:p w14:paraId="45B4AAD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4B9184B" w14:textId="77777777" w:rsidTr="00772CA1">
        <w:trPr>
          <w:trHeight w:val="86"/>
          <w:jc w:val="center"/>
        </w:trPr>
        <w:tc>
          <w:tcPr>
            <w:tcW w:w="323" w:type="pct"/>
            <w:vMerge w:val="restart"/>
            <w:vAlign w:val="center"/>
            <w:hideMark/>
          </w:tcPr>
          <w:p w14:paraId="5DB36E3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4799184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5744B714"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25155</w:t>
            </w:r>
          </w:p>
        </w:tc>
        <w:tc>
          <w:tcPr>
            <w:tcW w:w="449" w:type="pct"/>
            <w:vMerge w:val="restart"/>
            <w:vAlign w:val="center"/>
            <w:hideMark/>
          </w:tcPr>
          <w:p w14:paraId="023053F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beneficiados con becas</w:t>
            </w:r>
          </w:p>
        </w:tc>
        <w:tc>
          <w:tcPr>
            <w:tcW w:w="910" w:type="pct"/>
            <w:vMerge w:val="restart"/>
            <w:vAlign w:val="center"/>
            <w:hideMark/>
          </w:tcPr>
          <w:p w14:paraId="1311A1BE"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alumnos de educación superior, que fueron beneficiados con una beca. Estas becas se refieren a las del programa becas de Educación Superior para Hijos de Policías, becas de Excelencia Académica, Artística y Deportiva, becas del Programa Jóvenes Renacimiento, así como del fortalecimiento de las Artes.</w:t>
            </w:r>
          </w:p>
        </w:tc>
        <w:tc>
          <w:tcPr>
            <w:tcW w:w="275" w:type="pct"/>
            <w:vMerge w:val="restart"/>
            <w:vAlign w:val="center"/>
            <w:hideMark/>
          </w:tcPr>
          <w:p w14:paraId="2676B14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327C6EB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beneficiados con becas</w:t>
            </w:r>
          </w:p>
        </w:tc>
        <w:tc>
          <w:tcPr>
            <w:tcW w:w="327" w:type="pct"/>
            <w:vAlign w:val="center"/>
            <w:hideMark/>
          </w:tcPr>
          <w:p w14:paraId="6AB09F4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15" w:type="pct"/>
            <w:vAlign w:val="center"/>
            <w:hideMark/>
          </w:tcPr>
          <w:p w14:paraId="14DC1CA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B42DCD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F1E550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31%</w:t>
            </w:r>
          </w:p>
        </w:tc>
        <w:tc>
          <w:tcPr>
            <w:tcW w:w="413" w:type="pct"/>
            <w:vMerge w:val="restart"/>
            <w:vAlign w:val="center"/>
            <w:hideMark/>
          </w:tcPr>
          <w:p w14:paraId="39B1E21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519467B7" w14:textId="77777777" w:rsidTr="00772CA1">
        <w:trPr>
          <w:trHeight w:val="281"/>
          <w:jc w:val="center"/>
        </w:trPr>
        <w:tc>
          <w:tcPr>
            <w:tcW w:w="323" w:type="pct"/>
            <w:vMerge/>
            <w:vAlign w:val="center"/>
            <w:hideMark/>
          </w:tcPr>
          <w:p w14:paraId="1BE5BDB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7AB6EA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6C16C8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56CC7F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59410C0D"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2F78321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125FD9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de educación superior beneficiados con becas</w:t>
            </w:r>
          </w:p>
        </w:tc>
        <w:tc>
          <w:tcPr>
            <w:tcW w:w="327" w:type="pct"/>
            <w:vAlign w:val="center"/>
            <w:hideMark/>
          </w:tcPr>
          <w:p w14:paraId="197D3E0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191</w:t>
            </w:r>
          </w:p>
        </w:tc>
        <w:tc>
          <w:tcPr>
            <w:tcW w:w="315" w:type="pct"/>
            <w:vAlign w:val="center"/>
            <w:hideMark/>
          </w:tcPr>
          <w:p w14:paraId="74C2502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D8A341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9FE739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264</w:t>
            </w:r>
          </w:p>
        </w:tc>
        <w:tc>
          <w:tcPr>
            <w:tcW w:w="413" w:type="pct"/>
            <w:vMerge/>
            <w:vAlign w:val="center"/>
            <w:hideMark/>
          </w:tcPr>
          <w:p w14:paraId="51A511AA"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07656EB" w14:textId="77777777" w:rsidTr="00772CA1">
        <w:trPr>
          <w:trHeight w:val="437"/>
          <w:jc w:val="center"/>
        </w:trPr>
        <w:tc>
          <w:tcPr>
            <w:tcW w:w="323" w:type="pct"/>
            <w:vMerge/>
            <w:vAlign w:val="center"/>
            <w:hideMark/>
          </w:tcPr>
          <w:p w14:paraId="455BC21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C324B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086F7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34DBEFB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7487632A"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08F44AD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1EE86C2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matriculados en instituciones de nivel superior (incluye posgrados)</w:t>
            </w:r>
          </w:p>
        </w:tc>
        <w:tc>
          <w:tcPr>
            <w:tcW w:w="327" w:type="pct"/>
            <w:vAlign w:val="center"/>
            <w:hideMark/>
          </w:tcPr>
          <w:p w14:paraId="55890D2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05CA388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9E6949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5DDE412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3275B9FA"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7A36547" w14:textId="77777777" w:rsidTr="00772CA1">
        <w:trPr>
          <w:trHeight w:val="123"/>
          <w:jc w:val="center"/>
        </w:trPr>
        <w:tc>
          <w:tcPr>
            <w:tcW w:w="323" w:type="pct"/>
            <w:vMerge w:val="restart"/>
            <w:vAlign w:val="center"/>
            <w:hideMark/>
          </w:tcPr>
          <w:p w14:paraId="56F13356"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7E4B4C6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678. Impulso al acceso inclusivo y equitativo a la </w:t>
            </w:r>
            <w:r w:rsidRPr="00772CA1">
              <w:rPr>
                <w:rFonts w:ascii="Lato" w:eastAsia="Times New Roman" w:hAnsi="Lato" w:cs="Times New Roman"/>
                <w:color w:val="000000"/>
                <w:sz w:val="20"/>
                <w:szCs w:val="20"/>
                <w:lang w:eastAsia="es-MX"/>
              </w:rPr>
              <w:lastRenderedPageBreak/>
              <w:t>Educación Superior.</w:t>
            </w:r>
          </w:p>
        </w:tc>
        <w:tc>
          <w:tcPr>
            <w:tcW w:w="355" w:type="pct"/>
            <w:vMerge w:val="restart"/>
            <w:vAlign w:val="center"/>
            <w:hideMark/>
          </w:tcPr>
          <w:p w14:paraId="29BEC86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25970</w:t>
            </w:r>
          </w:p>
        </w:tc>
        <w:tc>
          <w:tcPr>
            <w:tcW w:w="449" w:type="pct"/>
            <w:vMerge w:val="restart"/>
            <w:vAlign w:val="center"/>
            <w:hideMark/>
          </w:tcPr>
          <w:p w14:paraId="171B389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alumnos de educación superior que </w:t>
            </w:r>
            <w:r w:rsidRPr="00772CA1">
              <w:rPr>
                <w:rFonts w:ascii="Lato" w:eastAsia="Times New Roman" w:hAnsi="Lato" w:cs="Times New Roman"/>
                <w:color w:val="000000"/>
                <w:sz w:val="20"/>
                <w:szCs w:val="20"/>
                <w:lang w:eastAsia="es-MX"/>
              </w:rPr>
              <w:lastRenderedPageBreak/>
              <w:t>participan en la convocatoria</w:t>
            </w:r>
          </w:p>
        </w:tc>
        <w:tc>
          <w:tcPr>
            <w:tcW w:w="910" w:type="pct"/>
            <w:vMerge w:val="restart"/>
            <w:vAlign w:val="center"/>
            <w:hideMark/>
          </w:tcPr>
          <w:p w14:paraId="0A56C789"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cantidad de alumnos de educación superior que participan en </w:t>
            </w:r>
            <w:proofErr w:type="gramStart"/>
            <w:r w:rsidRPr="00772CA1">
              <w:rPr>
                <w:rFonts w:ascii="Lato" w:eastAsia="Times New Roman" w:hAnsi="Lato" w:cs="Times New Roman"/>
                <w:color w:val="000000"/>
                <w:sz w:val="20"/>
                <w:szCs w:val="20"/>
                <w:lang w:eastAsia="es-MX"/>
              </w:rPr>
              <w:t>la convocatorias</w:t>
            </w:r>
            <w:proofErr w:type="gramEnd"/>
            <w:r w:rsidRPr="00772CA1">
              <w:rPr>
                <w:rFonts w:ascii="Lato" w:eastAsia="Times New Roman" w:hAnsi="Lato" w:cs="Times New Roman"/>
                <w:color w:val="000000"/>
                <w:sz w:val="20"/>
                <w:szCs w:val="20"/>
                <w:lang w:eastAsia="es-MX"/>
              </w:rPr>
              <w:t xml:space="preserve"> del programa becas de Educación Superior. Este </w:t>
            </w:r>
            <w:r w:rsidRPr="00772CA1">
              <w:rPr>
                <w:rFonts w:ascii="Lato" w:eastAsia="Times New Roman" w:hAnsi="Lato" w:cs="Times New Roman"/>
                <w:color w:val="000000"/>
                <w:sz w:val="20"/>
                <w:szCs w:val="20"/>
                <w:lang w:eastAsia="es-MX"/>
              </w:rPr>
              <w:lastRenderedPageBreak/>
              <w:t>programa de becas abarca: becas para Hijos de Policías, becas de Excelencia Académica, Artística y Deportiva, becas Jóvenes Renacimiento así como del fortalecimiento a las artes.</w:t>
            </w:r>
          </w:p>
        </w:tc>
        <w:tc>
          <w:tcPr>
            <w:tcW w:w="275" w:type="pct"/>
            <w:vMerge w:val="restart"/>
            <w:vAlign w:val="center"/>
            <w:hideMark/>
          </w:tcPr>
          <w:p w14:paraId="3E317B9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0B5FC2E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de educación superior que participan en la convocatoria</w:t>
            </w:r>
          </w:p>
        </w:tc>
        <w:tc>
          <w:tcPr>
            <w:tcW w:w="327" w:type="pct"/>
            <w:vAlign w:val="center"/>
            <w:hideMark/>
          </w:tcPr>
          <w:p w14:paraId="73C5BAD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15" w:type="pct"/>
            <w:vAlign w:val="center"/>
            <w:hideMark/>
          </w:tcPr>
          <w:p w14:paraId="039E960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5EECAE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64EA245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31%</w:t>
            </w:r>
          </w:p>
        </w:tc>
        <w:tc>
          <w:tcPr>
            <w:tcW w:w="413" w:type="pct"/>
            <w:vMerge w:val="restart"/>
            <w:vAlign w:val="center"/>
            <w:hideMark/>
          </w:tcPr>
          <w:p w14:paraId="0581926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6D03C6C2" w14:textId="77777777" w:rsidTr="00772CA1">
        <w:trPr>
          <w:trHeight w:val="1015"/>
          <w:jc w:val="center"/>
        </w:trPr>
        <w:tc>
          <w:tcPr>
            <w:tcW w:w="323" w:type="pct"/>
            <w:vMerge/>
            <w:vAlign w:val="center"/>
            <w:hideMark/>
          </w:tcPr>
          <w:p w14:paraId="2271042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4B8F7D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7093C1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85211C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F818CBC"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5800E90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35F89E9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de educación superior que participan en la convocatoria de becas para Hijos de Policías, Excelencia Académica, Artística y Deportiva y Jóvenes Renacimiento</w:t>
            </w:r>
          </w:p>
        </w:tc>
        <w:tc>
          <w:tcPr>
            <w:tcW w:w="327" w:type="pct"/>
            <w:vAlign w:val="center"/>
            <w:hideMark/>
          </w:tcPr>
          <w:p w14:paraId="1DE7DF2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191</w:t>
            </w:r>
          </w:p>
        </w:tc>
        <w:tc>
          <w:tcPr>
            <w:tcW w:w="315" w:type="pct"/>
            <w:vAlign w:val="center"/>
            <w:hideMark/>
          </w:tcPr>
          <w:p w14:paraId="63693AD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702B86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E69E62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264</w:t>
            </w:r>
          </w:p>
        </w:tc>
        <w:tc>
          <w:tcPr>
            <w:tcW w:w="413" w:type="pct"/>
            <w:vMerge/>
            <w:vAlign w:val="center"/>
            <w:hideMark/>
          </w:tcPr>
          <w:p w14:paraId="5FAFDEC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390AD69" w14:textId="77777777" w:rsidTr="00772CA1">
        <w:trPr>
          <w:trHeight w:val="60"/>
          <w:jc w:val="center"/>
        </w:trPr>
        <w:tc>
          <w:tcPr>
            <w:tcW w:w="323" w:type="pct"/>
            <w:vMerge/>
            <w:vAlign w:val="center"/>
            <w:hideMark/>
          </w:tcPr>
          <w:p w14:paraId="44ECE9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FBF0D4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F6E5D7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7804D99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D1DB3E7"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278B8A9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2F50D5C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matriculados en instituciones de nivel superior (incluye posgrados)</w:t>
            </w:r>
          </w:p>
        </w:tc>
        <w:tc>
          <w:tcPr>
            <w:tcW w:w="327" w:type="pct"/>
            <w:vAlign w:val="center"/>
            <w:hideMark/>
          </w:tcPr>
          <w:p w14:paraId="4B2687C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20342F5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D08159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A30E93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116EE481"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5DCAD2A" w14:textId="77777777" w:rsidTr="00772CA1">
        <w:trPr>
          <w:trHeight w:val="161"/>
          <w:jc w:val="center"/>
        </w:trPr>
        <w:tc>
          <w:tcPr>
            <w:tcW w:w="323" w:type="pct"/>
            <w:vMerge w:val="restart"/>
            <w:vAlign w:val="center"/>
            <w:hideMark/>
          </w:tcPr>
          <w:p w14:paraId="40598251"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44E929D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3FF77486"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25977</w:t>
            </w:r>
          </w:p>
        </w:tc>
        <w:tc>
          <w:tcPr>
            <w:tcW w:w="449" w:type="pct"/>
            <w:vMerge w:val="restart"/>
            <w:vAlign w:val="center"/>
            <w:hideMark/>
          </w:tcPr>
          <w:p w14:paraId="133E1AD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docentes con resultado satisfactorio en la evaluación de desempeño</w:t>
            </w:r>
          </w:p>
        </w:tc>
        <w:tc>
          <w:tcPr>
            <w:tcW w:w="910" w:type="pct"/>
            <w:vMerge w:val="restart"/>
            <w:vAlign w:val="center"/>
            <w:hideMark/>
          </w:tcPr>
          <w:p w14:paraId="50985BA2"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docentes que obtienen el resultado satisfactorio en la evaluación de desempeño docente. Se entiende por resultado satisfactorio, los docentes que cumplen con el mínimo aprobatorio</w:t>
            </w:r>
          </w:p>
        </w:tc>
        <w:tc>
          <w:tcPr>
            <w:tcW w:w="275" w:type="pct"/>
            <w:vMerge w:val="restart"/>
            <w:vAlign w:val="center"/>
            <w:hideMark/>
          </w:tcPr>
          <w:p w14:paraId="0000322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229146B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docentes con resultado satisfactorio en la evaluación de desempeño</w:t>
            </w:r>
          </w:p>
        </w:tc>
        <w:tc>
          <w:tcPr>
            <w:tcW w:w="327" w:type="pct"/>
            <w:vAlign w:val="center"/>
            <w:hideMark/>
          </w:tcPr>
          <w:p w14:paraId="3A52523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90%</w:t>
            </w:r>
          </w:p>
        </w:tc>
        <w:tc>
          <w:tcPr>
            <w:tcW w:w="315" w:type="pct"/>
            <w:vAlign w:val="center"/>
            <w:hideMark/>
          </w:tcPr>
          <w:p w14:paraId="0329D68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718209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3A6D3A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92%</w:t>
            </w:r>
          </w:p>
        </w:tc>
        <w:tc>
          <w:tcPr>
            <w:tcW w:w="413" w:type="pct"/>
            <w:vMerge w:val="restart"/>
            <w:vAlign w:val="center"/>
            <w:hideMark/>
          </w:tcPr>
          <w:p w14:paraId="621301F0"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1AB46AC1" w14:textId="77777777" w:rsidTr="00772CA1">
        <w:trPr>
          <w:trHeight w:val="121"/>
          <w:jc w:val="center"/>
        </w:trPr>
        <w:tc>
          <w:tcPr>
            <w:tcW w:w="323" w:type="pct"/>
            <w:vMerge/>
            <w:vAlign w:val="center"/>
            <w:hideMark/>
          </w:tcPr>
          <w:p w14:paraId="7DEBC65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92536F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03BAC50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F2462F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21F5B95C"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6AD4BC2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E43648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docentes de educación superior con desempeño satisfactorio</w:t>
            </w:r>
          </w:p>
        </w:tc>
        <w:tc>
          <w:tcPr>
            <w:tcW w:w="327" w:type="pct"/>
            <w:vAlign w:val="center"/>
            <w:hideMark/>
          </w:tcPr>
          <w:p w14:paraId="7A73B38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56</w:t>
            </w:r>
          </w:p>
        </w:tc>
        <w:tc>
          <w:tcPr>
            <w:tcW w:w="315" w:type="pct"/>
            <w:vAlign w:val="center"/>
            <w:hideMark/>
          </w:tcPr>
          <w:p w14:paraId="43BC30D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5A9A0D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78CF71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60</w:t>
            </w:r>
          </w:p>
        </w:tc>
        <w:tc>
          <w:tcPr>
            <w:tcW w:w="413" w:type="pct"/>
            <w:vMerge/>
            <w:vAlign w:val="center"/>
            <w:hideMark/>
          </w:tcPr>
          <w:p w14:paraId="75EFAE5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9306A8B" w14:textId="77777777" w:rsidTr="00772CA1">
        <w:trPr>
          <w:trHeight w:val="224"/>
          <w:jc w:val="center"/>
        </w:trPr>
        <w:tc>
          <w:tcPr>
            <w:tcW w:w="323" w:type="pct"/>
            <w:vMerge/>
            <w:vAlign w:val="center"/>
            <w:hideMark/>
          </w:tcPr>
          <w:p w14:paraId="167028D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7DC42F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080286D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3FB3F3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8B516C5"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16374BB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260CEF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docentes de educación superior</w:t>
            </w:r>
          </w:p>
        </w:tc>
        <w:tc>
          <w:tcPr>
            <w:tcW w:w="327" w:type="pct"/>
            <w:vAlign w:val="center"/>
            <w:hideMark/>
          </w:tcPr>
          <w:p w14:paraId="36F10D5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62</w:t>
            </w:r>
          </w:p>
        </w:tc>
        <w:tc>
          <w:tcPr>
            <w:tcW w:w="315" w:type="pct"/>
            <w:vAlign w:val="center"/>
            <w:hideMark/>
          </w:tcPr>
          <w:p w14:paraId="58995EC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ED5DD8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3DA0205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65</w:t>
            </w:r>
          </w:p>
        </w:tc>
        <w:tc>
          <w:tcPr>
            <w:tcW w:w="413" w:type="pct"/>
            <w:vMerge/>
            <w:vAlign w:val="center"/>
            <w:hideMark/>
          </w:tcPr>
          <w:p w14:paraId="430682F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FAFCBCF" w14:textId="77777777" w:rsidTr="00772CA1">
        <w:trPr>
          <w:trHeight w:val="40"/>
          <w:jc w:val="center"/>
        </w:trPr>
        <w:tc>
          <w:tcPr>
            <w:tcW w:w="323" w:type="pct"/>
            <w:vMerge w:val="restart"/>
            <w:vAlign w:val="center"/>
            <w:hideMark/>
          </w:tcPr>
          <w:p w14:paraId="1174305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316F24E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0FE7FE6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25978</w:t>
            </w:r>
          </w:p>
        </w:tc>
        <w:tc>
          <w:tcPr>
            <w:tcW w:w="449" w:type="pct"/>
            <w:vMerge w:val="restart"/>
            <w:vAlign w:val="center"/>
            <w:hideMark/>
          </w:tcPr>
          <w:p w14:paraId="52175D4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profesores que participan en cursos de formación y </w:t>
            </w:r>
            <w:r w:rsidRPr="00772CA1">
              <w:rPr>
                <w:rFonts w:ascii="Lato" w:eastAsia="Times New Roman" w:hAnsi="Lato" w:cs="Times New Roman"/>
                <w:color w:val="000000"/>
                <w:sz w:val="20"/>
                <w:szCs w:val="20"/>
                <w:lang w:eastAsia="es-MX"/>
              </w:rPr>
              <w:lastRenderedPageBreak/>
              <w:t>actualización docente</w:t>
            </w:r>
          </w:p>
        </w:tc>
        <w:tc>
          <w:tcPr>
            <w:tcW w:w="910" w:type="pct"/>
            <w:vMerge w:val="restart"/>
            <w:vAlign w:val="center"/>
            <w:hideMark/>
          </w:tcPr>
          <w:p w14:paraId="65625EE8"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en términos porcentuales, de docentes que participan en cursos de formación y actualización docente ofertados por </w:t>
            </w:r>
            <w:r w:rsidRPr="00772CA1">
              <w:rPr>
                <w:rFonts w:ascii="Lato" w:eastAsia="Times New Roman" w:hAnsi="Lato" w:cs="Times New Roman"/>
                <w:color w:val="000000"/>
                <w:sz w:val="20"/>
                <w:szCs w:val="20"/>
                <w:lang w:eastAsia="es-MX"/>
              </w:rPr>
              <w:lastRenderedPageBreak/>
              <w:t xml:space="preserve">las Instituciones de Educación Superior </w:t>
            </w:r>
          </w:p>
        </w:tc>
        <w:tc>
          <w:tcPr>
            <w:tcW w:w="275" w:type="pct"/>
            <w:vMerge w:val="restart"/>
            <w:vAlign w:val="center"/>
            <w:hideMark/>
          </w:tcPr>
          <w:p w14:paraId="09DFDCA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617" w:type="pct"/>
            <w:vAlign w:val="center"/>
            <w:hideMark/>
          </w:tcPr>
          <w:p w14:paraId="6C1FA0A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profesores que participan en cursos de formación y actualización docente</w:t>
            </w:r>
          </w:p>
        </w:tc>
        <w:tc>
          <w:tcPr>
            <w:tcW w:w="327" w:type="pct"/>
            <w:vAlign w:val="center"/>
            <w:hideMark/>
          </w:tcPr>
          <w:p w14:paraId="1462AE7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34%</w:t>
            </w:r>
          </w:p>
        </w:tc>
        <w:tc>
          <w:tcPr>
            <w:tcW w:w="315" w:type="pct"/>
            <w:vAlign w:val="center"/>
            <w:hideMark/>
          </w:tcPr>
          <w:p w14:paraId="28CBBA8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w:t>
            </w:r>
          </w:p>
        </w:tc>
        <w:tc>
          <w:tcPr>
            <w:tcW w:w="322" w:type="pct"/>
            <w:vAlign w:val="center"/>
            <w:hideMark/>
          </w:tcPr>
          <w:p w14:paraId="2ABEFEA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C3CC01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77%</w:t>
            </w:r>
          </w:p>
        </w:tc>
        <w:tc>
          <w:tcPr>
            <w:tcW w:w="413" w:type="pct"/>
            <w:vMerge w:val="restart"/>
            <w:vAlign w:val="center"/>
            <w:hideMark/>
          </w:tcPr>
          <w:p w14:paraId="41A2D1C8"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338FF120" w14:textId="77777777" w:rsidTr="00772CA1">
        <w:trPr>
          <w:trHeight w:val="1167"/>
          <w:jc w:val="center"/>
        </w:trPr>
        <w:tc>
          <w:tcPr>
            <w:tcW w:w="323" w:type="pct"/>
            <w:vMerge/>
            <w:vAlign w:val="center"/>
            <w:hideMark/>
          </w:tcPr>
          <w:p w14:paraId="162AAF4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E92D9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2B4077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F8E9A5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0CC329F0"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362C901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6A17DA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docentes de educación superior que participan en cursos de formación y actualización docente</w:t>
            </w:r>
          </w:p>
        </w:tc>
        <w:tc>
          <w:tcPr>
            <w:tcW w:w="327" w:type="pct"/>
            <w:vAlign w:val="center"/>
            <w:hideMark/>
          </w:tcPr>
          <w:p w14:paraId="5C5E56B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21</w:t>
            </w:r>
          </w:p>
        </w:tc>
        <w:tc>
          <w:tcPr>
            <w:tcW w:w="315" w:type="pct"/>
            <w:vAlign w:val="center"/>
            <w:hideMark/>
          </w:tcPr>
          <w:p w14:paraId="2A30BB2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7 </w:t>
            </w:r>
          </w:p>
        </w:tc>
        <w:tc>
          <w:tcPr>
            <w:tcW w:w="322" w:type="pct"/>
            <w:vAlign w:val="center"/>
            <w:hideMark/>
          </w:tcPr>
          <w:p w14:paraId="2A880AB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00F5ED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50</w:t>
            </w:r>
          </w:p>
        </w:tc>
        <w:tc>
          <w:tcPr>
            <w:tcW w:w="413" w:type="pct"/>
            <w:vMerge/>
            <w:vAlign w:val="center"/>
            <w:hideMark/>
          </w:tcPr>
          <w:p w14:paraId="28B5B0C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B576F06" w14:textId="77777777" w:rsidTr="00772CA1">
        <w:trPr>
          <w:trHeight w:val="113"/>
          <w:jc w:val="center"/>
        </w:trPr>
        <w:tc>
          <w:tcPr>
            <w:tcW w:w="323" w:type="pct"/>
            <w:vMerge/>
            <w:vAlign w:val="center"/>
            <w:hideMark/>
          </w:tcPr>
          <w:p w14:paraId="3422358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F6CAB9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6FFFCD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4593083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34AFE0FB"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5A56C85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4E506C3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docentes de educación superior</w:t>
            </w:r>
          </w:p>
        </w:tc>
        <w:tc>
          <w:tcPr>
            <w:tcW w:w="327" w:type="pct"/>
            <w:vAlign w:val="center"/>
            <w:hideMark/>
          </w:tcPr>
          <w:p w14:paraId="7E53BC0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62</w:t>
            </w:r>
          </w:p>
        </w:tc>
        <w:tc>
          <w:tcPr>
            <w:tcW w:w="315" w:type="pct"/>
            <w:vAlign w:val="center"/>
            <w:hideMark/>
          </w:tcPr>
          <w:p w14:paraId="6D60B6F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65 </w:t>
            </w:r>
          </w:p>
        </w:tc>
        <w:tc>
          <w:tcPr>
            <w:tcW w:w="322" w:type="pct"/>
            <w:vAlign w:val="center"/>
            <w:hideMark/>
          </w:tcPr>
          <w:p w14:paraId="3258604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37233F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65</w:t>
            </w:r>
          </w:p>
        </w:tc>
        <w:tc>
          <w:tcPr>
            <w:tcW w:w="413" w:type="pct"/>
            <w:vMerge/>
            <w:vAlign w:val="center"/>
            <w:hideMark/>
          </w:tcPr>
          <w:p w14:paraId="4F40A96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6580207" w14:textId="77777777" w:rsidTr="00772CA1">
        <w:trPr>
          <w:trHeight w:val="891"/>
          <w:jc w:val="center"/>
        </w:trPr>
        <w:tc>
          <w:tcPr>
            <w:tcW w:w="323" w:type="pct"/>
            <w:vMerge w:val="restart"/>
            <w:vAlign w:val="center"/>
            <w:hideMark/>
          </w:tcPr>
          <w:p w14:paraId="444B2CCB"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3024C0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5A2A7730"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25980</w:t>
            </w:r>
          </w:p>
        </w:tc>
        <w:tc>
          <w:tcPr>
            <w:tcW w:w="449" w:type="pct"/>
            <w:vMerge w:val="restart"/>
            <w:vAlign w:val="center"/>
            <w:hideMark/>
          </w:tcPr>
          <w:p w14:paraId="2A2B487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docentes que participan en convocatorias para la investigación y perfil deseable</w:t>
            </w:r>
          </w:p>
        </w:tc>
        <w:tc>
          <w:tcPr>
            <w:tcW w:w="910" w:type="pct"/>
            <w:vMerge w:val="restart"/>
            <w:vAlign w:val="center"/>
            <w:hideMark/>
          </w:tcPr>
          <w:p w14:paraId="59873FB7"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docentes que aplican a las convocatorias para el desarrollo de proyectos de investigación o el reconocimiento del perfil deseable en las Instituciones de Educación Superior. Se entiende por perfil deseable, los docentes que se apegan a las reglas de operación del Programa de Desarrollo Profesional Docente. </w:t>
            </w:r>
          </w:p>
        </w:tc>
        <w:tc>
          <w:tcPr>
            <w:tcW w:w="275" w:type="pct"/>
            <w:vMerge w:val="restart"/>
            <w:vAlign w:val="center"/>
            <w:hideMark/>
          </w:tcPr>
          <w:p w14:paraId="34A4247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181728D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docentes que participan en convocatorias para la investigación y perfil deseable</w:t>
            </w:r>
          </w:p>
        </w:tc>
        <w:tc>
          <w:tcPr>
            <w:tcW w:w="327" w:type="pct"/>
            <w:vAlign w:val="center"/>
            <w:hideMark/>
          </w:tcPr>
          <w:p w14:paraId="4B87A55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2DDFBD0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B6359A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D73710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29%</w:t>
            </w:r>
          </w:p>
        </w:tc>
        <w:tc>
          <w:tcPr>
            <w:tcW w:w="413" w:type="pct"/>
            <w:vMerge w:val="restart"/>
            <w:vAlign w:val="center"/>
            <w:hideMark/>
          </w:tcPr>
          <w:p w14:paraId="40C2E74A"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00E16A44" w14:textId="77777777" w:rsidTr="00772CA1">
        <w:trPr>
          <w:trHeight w:val="1094"/>
          <w:jc w:val="center"/>
        </w:trPr>
        <w:tc>
          <w:tcPr>
            <w:tcW w:w="323" w:type="pct"/>
            <w:vMerge/>
            <w:vAlign w:val="center"/>
            <w:hideMark/>
          </w:tcPr>
          <w:p w14:paraId="4952970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078517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22D91F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7E99C42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6C078F15"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7908F89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8366C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docentes de tiempo completo que aplican a convocatorias para la investigación o el reconocimiento del perfil deseable</w:t>
            </w:r>
          </w:p>
        </w:tc>
        <w:tc>
          <w:tcPr>
            <w:tcW w:w="327" w:type="pct"/>
            <w:vAlign w:val="center"/>
            <w:hideMark/>
          </w:tcPr>
          <w:p w14:paraId="0AF6501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15" w:type="pct"/>
            <w:vAlign w:val="center"/>
            <w:hideMark/>
          </w:tcPr>
          <w:p w14:paraId="266AB25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648410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CF323F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413" w:type="pct"/>
            <w:vMerge/>
            <w:vAlign w:val="center"/>
            <w:hideMark/>
          </w:tcPr>
          <w:p w14:paraId="16B8DCE8"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4B62C6E" w14:textId="77777777" w:rsidTr="00772CA1">
        <w:trPr>
          <w:trHeight w:val="40"/>
          <w:jc w:val="center"/>
        </w:trPr>
        <w:tc>
          <w:tcPr>
            <w:tcW w:w="323" w:type="pct"/>
            <w:vMerge/>
            <w:vAlign w:val="center"/>
            <w:hideMark/>
          </w:tcPr>
          <w:p w14:paraId="62B674D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CAE2B0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10B5DB0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2BA05E7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425469D9"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p>
        </w:tc>
        <w:tc>
          <w:tcPr>
            <w:tcW w:w="275" w:type="pct"/>
            <w:vMerge/>
            <w:vAlign w:val="center"/>
            <w:hideMark/>
          </w:tcPr>
          <w:p w14:paraId="3B6D7E4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7292387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docentes de tiempo completo</w:t>
            </w:r>
          </w:p>
        </w:tc>
        <w:tc>
          <w:tcPr>
            <w:tcW w:w="327" w:type="pct"/>
            <w:vAlign w:val="center"/>
            <w:hideMark/>
          </w:tcPr>
          <w:p w14:paraId="6E8D22C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w:t>
            </w:r>
          </w:p>
        </w:tc>
        <w:tc>
          <w:tcPr>
            <w:tcW w:w="315" w:type="pct"/>
            <w:vAlign w:val="center"/>
            <w:hideMark/>
          </w:tcPr>
          <w:p w14:paraId="377C9F7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2FD4F7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ADFA3B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w:t>
            </w:r>
          </w:p>
        </w:tc>
        <w:tc>
          <w:tcPr>
            <w:tcW w:w="413" w:type="pct"/>
            <w:vMerge/>
            <w:vAlign w:val="center"/>
            <w:hideMark/>
          </w:tcPr>
          <w:p w14:paraId="4099530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D98CD06" w14:textId="77777777" w:rsidTr="00772CA1">
        <w:trPr>
          <w:trHeight w:val="410"/>
          <w:jc w:val="center"/>
        </w:trPr>
        <w:tc>
          <w:tcPr>
            <w:tcW w:w="323" w:type="pct"/>
            <w:vMerge w:val="restart"/>
            <w:vAlign w:val="center"/>
            <w:hideMark/>
          </w:tcPr>
          <w:p w14:paraId="1BD3407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25DF50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398D931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25157</w:t>
            </w:r>
          </w:p>
        </w:tc>
        <w:tc>
          <w:tcPr>
            <w:tcW w:w="449" w:type="pct"/>
            <w:vMerge w:val="restart"/>
            <w:vAlign w:val="center"/>
            <w:hideMark/>
          </w:tcPr>
          <w:p w14:paraId="07509D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matriculados en programas educativos en modalidades flexibles</w:t>
            </w:r>
          </w:p>
        </w:tc>
        <w:tc>
          <w:tcPr>
            <w:tcW w:w="910" w:type="pct"/>
            <w:vMerge w:val="restart"/>
            <w:vAlign w:val="center"/>
            <w:hideMark/>
          </w:tcPr>
          <w:p w14:paraId="3AC13BD3"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Es la proporción de alumnos matriculados en Instituciones de Educación Superior en programas educativos con modalidad flexible. Por flexible se entiende, educación en línea, mixta, despresurizada, dual y en alternancia.</w:t>
            </w:r>
          </w:p>
        </w:tc>
        <w:tc>
          <w:tcPr>
            <w:tcW w:w="275" w:type="pct"/>
            <w:vMerge w:val="restart"/>
            <w:vAlign w:val="center"/>
            <w:hideMark/>
          </w:tcPr>
          <w:p w14:paraId="2220DC6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61B4319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alumnos matriculados en programas educativos en modalidades flexibles</w:t>
            </w:r>
          </w:p>
        </w:tc>
        <w:tc>
          <w:tcPr>
            <w:tcW w:w="327" w:type="pct"/>
            <w:vAlign w:val="center"/>
            <w:hideMark/>
          </w:tcPr>
          <w:p w14:paraId="58DF1CF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315" w:type="pct"/>
            <w:vAlign w:val="center"/>
            <w:hideMark/>
          </w:tcPr>
          <w:p w14:paraId="0267D30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4187BF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1A581E8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12%</w:t>
            </w:r>
          </w:p>
        </w:tc>
        <w:tc>
          <w:tcPr>
            <w:tcW w:w="413" w:type="pct"/>
            <w:vMerge w:val="restart"/>
            <w:vAlign w:val="center"/>
            <w:hideMark/>
          </w:tcPr>
          <w:p w14:paraId="419703B2"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31B8FA4C" w14:textId="77777777" w:rsidTr="00772CA1">
        <w:trPr>
          <w:trHeight w:val="621"/>
          <w:jc w:val="center"/>
        </w:trPr>
        <w:tc>
          <w:tcPr>
            <w:tcW w:w="323" w:type="pct"/>
            <w:vMerge/>
            <w:vAlign w:val="center"/>
            <w:hideMark/>
          </w:tcPr>
          <w:p w14:paraId="39FE251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5E1A8E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1D18FBE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6283EA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79D216A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0BBAE5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1C0400A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matriculados en programas educativos en modalidades flexibles de educación superior</w:t>
            </w:r>
          </w:p>
        </w:tc>
        <w:tc>
          <w:tcPr>
            <w:tcW w:w="327" w:type="pct"/>
            <w:vAlign w:val="center"/>
            <w:hideMark/>
          </w:tcPr>
          <w:p w14:paraId="6099B84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30</w:t>
            </w:r>
          </w:p>
        </w:tc>
        <w:tc>
          <w:tcPr>
            <w:tcW w:w="315" w:type="pct"/>
            <w:vAlign w:val="center"/>
            <w:hideMark/>
          </w:tcPr>
          <w:p w14:paraId="043F125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2AFADA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28A5F14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413" w:type="pct"/>
            <w:vMerge/>
            <w:vAlign w:val="center"/>
            <w:hideMark/>
          </w:tcPr>
          <w:p w14:paraId="012521B0"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6E5940F" w14:textId="77777777" w:rsidTr="00772CA1">
        <w:trPr>
          <w:trHeight w:val="40"/>
          <w:jc w:val="center"/>
        </w:trPr>
        <w:tc>
          <w:tcPr>
            <w:tcW w:w="323" w:type="pct"/>
            <w:vMerge/>
            <w:vAlign w:val="center"/>
            <w:hideMark/>
          </w:tcPr>
          <w:p w14:paraId="206702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AD0072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09AEFD5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193A654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704B8B5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1D2CD86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5C763F7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alumnos matriculados en instituciones de nivel superior públicas (incluye posgrados)</w:t>
            </w:r>
          </w:p>
        </w:tc>
        <w:tc>
          <w:tcPr>
            <w:tcW w:w="327" w:type="pct"/>
            <w:vAlign w:val="center"/>
            <w:hideMark/>
          </w:tcPr>
          <w:p w14:paraId="3F6E32A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15" w:type="pct"/>
            <w:vAlign w:val="center"/>
            <w:hideMark/>
          </w:tcPr>
          <w:p w14:paraId="0199991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C91F2B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0618887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413" w:type="pct"/>
            <w:vMerge/>
            <w:vAlign w:val="center"/>
            <w:hideMark/>
          </w:tcPr>
          <w:p w14:paraId="7638B8C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C85DE19" w14:textId="77777777" w:rsidTr="00772CA1">
        <w:trPr>
          <w:trHeight w:val="299"/>
          <w:jc w:val="center"/>
        </w:trPr>
        <w:tc>
          <w:tcPr>
            <w:tcW w:w="323" w:type="pct"/>
            <w:vMerge w:val="restart"/>
            <w:vAlign w:val="center"/>
            <w:hideMark/>
          </w:tcPr>
          <w:p w14:paraId="206DD49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3081C08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55" w:type="pct"/>
            <w:vMerge w:val="restart"/>
            <w:vAlign w:val="center"/>
            <w:hideMark/>
          </w:tcPr>
          <w:p w14:paraId="7CC4F2A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25985</w:t>
            </w:r>
          </w:p>
        </w:tc>
        <w:tc>
          <w:tcPr>
            <w:tcW w:w="449" w:type="pct"/>
            <w:vMerge w:val="restart"/>
            <w:vAlign w:val="center"/>
            <w:hideMark/>
          </w:tcPr>
          <w:p w14:paraId="2A9E068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programas educativos flexibles implementados</w:t>
            </w:r>
          </w:p>
        </w:tc>
        <w:tc>
          <w:tcPr>
            <w:tcW w:w="910" w:type="pct"/>
            <w:vMerge w:val="restart"/>
            <w:vAlign w:val="center"/>
            <w:hideMark/>
          </w:tcPr>
          <w:p w14:paraId="0B6D2750" w14:textId="77777777" w:rsidR="00772CA1" w:rsidRPr="00772CA1" w:rsidRDefault="00772CA1" w:rsidP="00455B6C">
            <w:pPr>
              <w:spacing w:after="0" w:line="240" w:lineRule="auto"/>
              <w:jc w:val="both"/>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Es la proporción de los programas educativos de educación superior que se ofertan en modalidades flexibles además de la modalidad presencial. Por programa educativo en modalidad flexible se entiende, educación en línea, mixta, despresurizada, dual y en alternancia. Los programas educativos flexibles son estrategias pedagógicas y metodológicas que adaptan el tiempo, espacio, recursos y contenido para atender a estudiantes que requieren de trabajar y estudiar, para ello se formalizan convenios con el sector empresarial. </w:t>
            </w:r>
          </w:p>
        </w:tc>
        <w:tc>
          <w:tcPr>
            <w:tcW w:w="275" w:type="pct"/>
            <w:vMerge w:val="restart"/>
            <w:vAlign w:val="center"/>
            <w:hideMark/>
          </w:tcPr>
          <w:p w14:paraId="7589D95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617" w:type="pct"/>
            <w:vAlign w:val="center"/>
            <w:hideMark/>
          </w:tcPr>
          <w:p w14:paraId="4464B28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programas educativos flexibles implementados</w:t>
            </w:r>
          </w:p>
        </w:tc>
        <w:tc>
          <w:tcPr>
            <w:tcW w:w="327" w:type="pct"/>
            <w:vAlign w:val="center"/>
            <w:hideMark/>
          </w:tcPr>
          <w:p w14:paraId="6622CF7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13%</w:t>
            </w:r>
          </w:p>
        </w:tc>
        <w:tc>
          <w:tcPr>
            <w:tcW w:w="315" w:type="pct"/>
            <w:vAlign w:val="center"/>
            <w:hideMark/>
          </w:tcPr>
          <w:p w14:paraId="607E1F4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183148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CB847A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w:t>
            </w:r>
          </w:p>
        </w:tc>
        <w:tc>
          <w:tcPr>
            <w:tcW w:w="413" w:type="pct"/>
            <w:vMerge w:val="restart"/>
            <w:vAlign w:val="center"/>
            <w:hideMark/>
          </w:tcPr>
          <w:p w14:paraId="44A2AB9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Anual</w:t>
            </w:r>
          </w:p>
        </w:tc>
      </w:tr>
      <w:tr w:rsidR="00772CA1" w:rsidRPr="00772CA1" w14:paraId="5ED3107B" w14:textId="77777777" w:rsidTr="00772CA1">
        <w:trPr>
          <w:trHeight w:val="597"/>
          <w:jc w:val="center"/>
        </w:trPr>
        <w:tc>
          <w:tcPr>
            <w:tcW w:w="323" w:type="pct"/>
            <w:vMerge/>
            <w:vAlign w:val="center"/>
            <w:hideMark/>
          </w:tcPr>
          <w:p w14:paraId="66A6641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85A755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615439C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773AA4A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1FCC389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78A3FE7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46657CC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programas educativos flexibles implementados en Educación Superior</w:t>
            </w:r>
          </w:p>
        </w:tc>
        <w:tc>
          <w:tcPr>
            <w:tcW w:w="327" w:type="pct"/>
            <w:vAlign w:val="center"/>
            <w:hideMark/>
          </w:tcPr>
          <w:p w14:paraId="3E71F4E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15" w:type="pct"/>
            <w:vAlign w:val="center"/>
            <w:hideMark/>
          </w:tcPr>
          <w:p w14:paraId="34CE1F3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291134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729DFD8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413" w:type="pct"/>
            <w:vMerge/>
            <w:vAlign w:val="center"/>
            <w:hideMark/>
          </w:tcPr>
          <w:p w14:paraId="32154492"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B607619" w14:textId="77777777" w:rsidTr="00772CA1">
        <w:trPr>
          <w:trHeight w:val="1930"/>
          <w:jc w:val="center"/>
        </w:trPr>
        <w:tc>
          <w:tcPr>
            <w:tcW w:w="323" w:type="pct"/>
            <w:vMerge/>
            <w:vAlign w:val="center"/>
            <w:hideMark/>
          </w:tcPr>
          <w:p w14:paraId="622C1F1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1B292F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55" w:type="pct"/>
            <w:vMerge/>
            <w:vAlign w:val="center"/>
            <w:hideMark/>
          </w:tcPr>
          <w:p w14:paraId="4ABD227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49" w:type="pct"/>
            <w:vMerge/>
            <w:vAlign w:val="center"/>
            <w:hideMark/>
          </w:tcPr>
          <w:p w14:paraId="54DFF80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0" w:type="pct"/>
            <w:vMerge/>
            <w:vAlign w:val="center"/>
            <w:hideMark/>
          </w:tcPr>
          <w:p w14:paraId="2F3C469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75" w:type="pct"/>
            <w:vMerge/>
            <w:vAlign w:val="center"/>
            <w:hideMark/>
          </w:tcPr>
          <w:p w14:paraId="366C10D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617" w:type="pct"/>
            <w:vAlign w:val="center"/>
            <w:hideMark/>
          </w:tcPr>
          <w:p w14:paraId="6ACE5AE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programas educativos en las Instituciones de Educación Superior públicas</w:t>
            </w:r>
          </w:p>
        </w:tc>
        <w:tc>
          <w:tcPr>
            <w:tcW w:w="327" w:type="pct"/>
            <w:vAlign w:val="center"/>
            <w:hideMark/>
          </w:tcPr>
          <w:p w14:paraId="0982FBA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w:t>
            </w:r>
          </w:p>
        </w:tc>
        <w:tc>
          <w:tcPr>
            <w:tcW w:w="315" w:type="pct"/>
            <w:vAlign w:val="center"/>
            <w:hideMark/>
          </w:tcPr>
          <w:p w14:paraId="00FC3EE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80627F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08" w:type="pct"/>
            <w:vAlign w:val="center"/>
            <w:hideMark/>
          </w:tcPr>
          <w:p w14:paraId="4F37245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w:t>
            </w:r>
          </w:p>
        </w:tc>
        <w:tc>
          <w:tcPr>
            <w:tcW w:w="413" w:type="pct"/>
            <w:vMerge/>
            <w:vAlign w:val="center"/>
            <w:hideMark/>
          </w:tcPr>
          <w:p w14:paraId="1179F01B"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bl>
    <w:p w14:paraId="7E9F6CF4" w14:textId="77777777" w:rsidR="00953040" w:rsidRDefault="00953040" w:rsidP="00953040">
      <w:pPr>
        <w:rPr>
          <w:rFonts w:ascii="Lato" w:hAnsi="Lato"/>
          <w:b/>
          <w:sz w:val="16"/>
          <w:szCs w:val="16"/>
        </w:rPr>
      </w:pPr>
    </w:p>
    <w:tbl>
      <w:tblPr>
        <w:tblpPr w:leftFromText="141" w:rightFromText="141" w:vertAnchor="text" w:tblpXSpec="center"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9"/>
        <w:gridCol w:w="1757"/>
        <w:gridCol w:w="1369"/>
        <w:gridCol w:w="1562"/>
        <w:gridCol w:w="3320"/>
        <w:gridCol w:w="973"/>
        <w:gridCol w:w="2150"/>
        <w:gridCol w:w="1366"/>
        <w:gridCol w:w="1173"/>
        <w:gridCol w:w="1170"/>
        <w:gridCol w:w="785"/>
        <w:gridCol w:w="1366"/>
      </w:tblGrid>
      <w:tr w:rsidR="00772CA1" w:rsidRPr="00772CA1" w14:paraId="619CF181" w14:textId="77777777" w:rsidTr="00772CA1">
        <w:trPr>
          <w:trHeight w:val="510"/>
        </w:trPr>
        <w:tc>
          <w:tcPr>
            <w:tcW w:w="322" w:type="pct"/>
            <w:vMerge w:val="restart"/>
            <w:shd w:val="clear" w:color="000000" w:fill="990000"/>
            <w:vAlign w:val="center"/>
            <w:hideMark/>
          </w:tcPr>
          <w:p w14:paraId="6A4A520A"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Ejercicio</w:t>
            </w:r>
          </w:p>
        </w:tc>
        <w:tc>
          <w:tcPr>
            <w:tcW w:w="484" w:type="pct"/>
            <w:vMerge w:val="restart"/>
            <w:shd w:val="clear" w:color="000000" w:fill="990000"/>
            <w:vAlign w:val="center"/>
            <w:hideMark/>
          </w:tcPr>
          <w:p w14:paraId="403A4291"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Programa Presupuestario</w:t>
            </w:r>
          </w:p>
        </w:tc>
        <w:tc>
          <w:tcPr>
            <w:tcW w:w="377" w:type="pct"/>
            <w:vMerge w:val="restart"/>
            <w:shd w:val="clear" w:color="000000" w:fill="990000"/>
            <w:vAlign w:val="center"/>
            <w:hideMark/>
          </w:tcPr>
          <w:p w14:paraId="161894F6"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No. De Indicador</w:t>
            </w:r>
          </w:p>
        </w:tc>
        <w:tc>
          <w:tcPr>
            <w:tcW w:w="430" w:type="pct"/>
            <w:vMerge w:val="restart"/>
            <w:shd w:val="clear" w:color="000000" w:fill="990000"/>
            <w:vAlign w:val="center"/>
            <w:hideMark/>
          </w:tcPr>
          <w:p w14:paraId="48176481"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Nombre de Indicador</w:t>
            </w:r>
          </w:p>
        </w:tc>
        <w:tc>
          <w:tcPr>
            <w:tcW w:w="914" w:type="pct"/>
            <w:vMerge w:val="restart"/>
            <w:shd w:val="clear" w:color="000000" w:fill="990000"/>
            <w:vAlign w:val="center"/>
            <w:hideMark/>
          </w:tcPr>
          <w:p w14:paraId="4477791D"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Descripción del indicador</w:t>
            </w:r>
          </w:p>
        </w:tc>
        <w:tc>
          <w:tcPr>
            <w:tcW w:w="268" w:type="pct"/>
            <w:vMerge w:val="restart"/>
            <w:shd w:val="clear" w:color="000000" w:fill="990000"/>
            <w:vAlign w:val="center"/>
            <w:hideMark/>
          </w:tcPr>
          <w:p w14:paraId="366E159E"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Formula</w:t>
            </w:r>
          </w:p>
        </w:tc>
        <w:tc>
          <w:tcPr>
            <w:tcW w:w="592" w:type="pct"/>
            <w:vMerge w:val="restart"/>
            <w:shd w:val="clear" w:color="000000" w:fill="990000"/>
            <w:vAlign w:val="center"/>
            <w:hideMark/>
          </w:tcPr>
          <w:p w14:paraId="38401E33"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Variables</w:t>
            </w:r>
          </w:p>
        </w:tc>
        <w:tc>
          <w:tcPr>
            <w:tcW w:w="376" w:type="pct"/>
            <w:vMerge w:val="restart"/>
            <w:shd w:val="clear" w:color="000000" w:fill="990000"/>
            <w:vAlign w:val="center"/>
            <w:hideMark/>
          </w:tcPr>
          <w:p w14:paraId="0ED34F2A"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Línea base o de referencia</w:t>
            </w:r>
          </w:p>
        </w:tc>
        <w:tc>
          <w:tcPr>
            <w:tcW w:w="323" w:type="pct"/>
            <w:vMerge w:val="restart"/>
            <w:shd w:val="clear" w:color="000000" w:fill="990000"/>
            <w:vAlign w:val="center"/>
            <w:hideMark/>
          </w:tcPr>
          <w:p w14:paraId="5B90C06B"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Avance trimestral T1</w:t>
            </w:r>
          </w:p>
        </w:tc>
        <w:tc>
          <w:tcPr>
            <w:tcW w:w="322" w:type="pct"/>
            <w:vMerge w:val="restart"/>
            <w:shd w:val="clear" w:color="000000" w:fill="990000"/>
            <w:vAlign w:val="center"/>
            <w:hideMark/>
          </w:tcPr>
          <w:p w14:paraId="5B32B19F"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Resultado  Anual 2026</w:t>
            </w:r>
          </w:p>
        </w:tc>
        <w:tc>
          <w:tcPr>
            <w:tcW w:w="216" w:type="pct"/>
            <w:vMerge w:val="restart"/>
            <w:shd w:val="clear" w:color="000000" w:fill="990000"/>
            <w:vAlign w:val="center"/>
            <w:hideMark/>
          </w:tcPr>
          <w:p w14:paraId="42D4F80E"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Meta 2026</w:t>
            </w:r>
          </w:p>
        </w:tc>
        <w:tc>
          <w:tcPr>
            <w:tcW w:w="376" w:type="pct"/>
            <w:vMerge w:val="restart"/>
            <w:shd w:val="clear" w:color="000000" w:fill="990000"/>
            <w:vAlign w:val="center"/>
            <w:hideMark/>
          </w:tcPr>
          <w:p w14:paraId="7F3CFC03" w14:textId="77777777" w:rsidR="00772CA1" w:rsidRPr="00772CA1" w:rsidRDefault="00772CA1" w:rsidP="00455B6C">
            <w:pPr>
              <w:spacing w:after="0" w:line="240" w:lineRule="auto"/>
              <w:jc w:val="center"/>
              <w:rPr>
                <w:rFonts w:ascii="Lato" w:eastAsia="Times New Roman" w:hAnsi="Lato" w:cs="Times New Roman"/>
                <w:b/>
                <w:bCs/>
                <w:color w:val="FFFFFF"/>
                <w:sz w:val="20"/>
                <w:szCs w:val="20"/>
                <w:lang w:eastAsia="es-MX"/>
              </w:rPr>
            </w:pPr>
            <w:r w:rsidRPr="00772CA1">
              <w:rPr>
                <w:rFonts w:ascii="Lato" w:eastAsia="Times New Roman" w:hAnsi="Lato" w:cs="Times New Roman"/>
                <w:b/>
                <w:bCs/>
                <w:color w:val="FFFFFF"/>
                <w:sz w:val="20"/>
                <w:szCs w:val="20"/>
                <w:lang w:eastAsia="es-MX"/>
              </w:rPr>
              <w:t>Periodicidad</w:t>
            </w:r>
          </w:p>
        </w:tc>
      </w:tr>
      <w:tr w:rsidR="00772CA1" w:rsidRPr="00772CA1" w14:paraId="1AFA89E8" w14:textId="77777777" w:rsidTr="00772CA1">
        <w:trPr>
          <w:trHeight w:val="240"/>
        </w:trPr>
        <w:tc>
          <w:tcPr>
            <w:tcW w:w="322" w:type="pct"/>
            <w:vMerge/>
            <w:vAlign w:val="center"/>
            <w:hideMark/>
          </w:tcPr>
          <w:p w14:paraId="5CE9C9CA"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84" w:type="pct"/>
            <w:vMerge/>
            <w:vAlign w:val="center"/>
            <w:hideMark/>
          </w:tcPr>
          <w:p w14:paraId="0FEF21C1"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77" w:type="pct"/>
            <w:vMerge/>
            <w:vAlign w:val="center"/>
            <w:hideMark/>
          </w:tcPr>
          <w:p w14:paraId="63EE94A5"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30" w:type="pct"/>
            <w:vMerge/>
            <w:vAlign w:val="center"/>
            <w:hideMark/>
          </w:tcPr>
          <w:p w14:paraId="52C96C3C"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914" w:type="pct"/>
            <w:vMerge/>
            <w:vAlign w:val="center"/>
            <w:hideMark/>
          </w:tcPr>
          <w:p w14:paraId="144A2206"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68" w:type="pct"/>
            <w:vMerge/>
            <w:vAlign w:val="center"/>
            <w:hideMark/>
          </w:tcPr>
          <w:p w14:paraId="7B080D0E"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592" w:type="pct"/>
            <w:vMerge/>
            <w:vAlign w:val="center"/>
            <w:hideMark/>
          </w:tcPr>
          <w:p w14:paraId="7EE9B9DC"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76" w:type="pct"/>
            <w:vMerge/>
            <w:vAlign w:val="center"/>
            <w:hideMark/>
          </w:tcPr>
          <w:p w14:paraId="678C1CCA"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3" w:type="pct"/>
            <w:vMerge/>
            <w:vAlign w:val="center"/>
            <w:hideMark/>
          </w:tcPr>
          <w:p w14:paraId="05395292"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2" w:type="pct"/>
            <w:vMerge/>
            <w:vAlign w:val="center"/>
            <w:hideMark/>
          </w:tcPr>
          <w:p w14:paraId="03214EB5"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16" w:type="pct"/>
            <w:vMerge/>
            <w:vAlign w:val="center"/>
            <w:hideMark/>
          </w:tcPr>
          <w:p w14:paraId="2FD53AEA"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76" w:type="pct"/>
            <w:vMerge/>
            <w:vAlign w:val="center"/>
            <w:hideMark/>
          </w:tcPr>
          <w:p w14:paraId="2241EF97"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r>
      <w:tr w:rsidR="00772CA1" w:rsidRPr="00772CA1" w14:paraId="5289A30F" w14:textId="77777777" w:rsidTr="00772CA1">
        <w:trPr>
          <w:trHeight w:val="240"/>
        </w:trPr>
        <w:tc>
          <w:tcPr>
            <w:tcW w:w="322" w:type="pct"/>
            <w:vMerge/>
            <w:vAlign w:val="center"/>
            <w:hideMark/>
          </w:tcPr>
          <w:p w14:paraId="18893C63"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84" w:type="pct"/>
            <w:vMerge/>
            <w:vAlign w:val="center"/>
            <w:hideMark/>
          </w:tcPr>
          <w:p w14:paraId="63DE50CB"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77" w:type="pct"/>
            <w:vMerge/>
            <w:vAlign w:val="center"/>
            <w:hideMark/>
          </w:tcPr>
          <w:p w14:paraId="62CE69BD"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430" w:type="pct"/>
            <w:vMerge/>
            <w:vAlign w:val="center"/>
            <w:hideMark/>
          </w:tcPr>
          <w:p w14:paraId="23BB6A61"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914" w:type="pct"/>
            <w:vMerge/>
            <w:vAlign w:val="center"/>
            <w:hideMark/>
          </w:tcPr>
          <w:p w14:paraId="67ECC23C"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68" w:type="pct"/>
            <w:vMerge/>
            <w:vAlign w:val="center"/>
            <w:hideMark/>
          </w:tcPr>
          <w:p w14:paraId="00E45E14"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592" w:type="pct"/>
            <w:vMerge/>
            <w:vAlign w:val="center"/>
            <w:hideMark/>
          </w:tcPr>
          <w:p w14:paraId="53F9D66B"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76" w:type="pct"/>
            <w:vMerge/>
            <w:vAlign w:val="center"/>
            <w:hideMark/>
          </w:tcPr>
          <w:p w14:paraId="32A3A6B5"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3" w:type="pct"/>
            <w:vMerge/>
            <w:vAlign w:val="center"/>
            <w:hideMark/>
          </w:tcPr>
          <w:p w14:paraId="4B3F38E8"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22" w:type="pct"/>
            <w:vMerge/>
            <w:vAlign w:val="center"/>
            <w:hideMark/>
          </w:tcPr>
          <w:p w14:paraId="5376FD3D"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216" w:type="pct"/>
            <w:vMerge/>
            <w:vAlign w:val="center"/>
            <w:hideMark/>
          </w:tcPr>
          <w:p w14:paraId="16DDE8A7"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c>
          <w:tcPr>
            <w:tcW w:w="376" w:type="pct"/>
            <w:vMerge/>
            <w:vAlign w:val="center"/>
            <w:hideMark/>
          </w:tcPr>
          <w:p w14:paraId="5A32F9D3" w14:textId="77777777" w:rsidR="00772CA1" w:rsidRPr="00772CA1" w:rsidRDefault="00772CA1" w:rsidP="00455B6C">
            <w:pPr>
              <w:spacing w:after="0" w:line="240" w:lineRule="auto"/>
              <w:rPr>
                <w:rFonts w:ascii="Lato" w:eastAsia="Times New Roman" w:hAnsi="Lato" w:cs="Times New Roman"/>
                <w:b/>
                <w:bCs/>
                <w:color w:val="FFFFFF"/>
                <w:sz w:val="20"/>
                <w:szCs w:val="20"/>
                <w:lang w:eastAsia="es-MX"/>
              </w:rPr>
            </w:pPr>
          </w:p>
        </w:tc>
      </w:tr>
      <w:tr w:rsidR="00772CA1" w:rsidRPr="00772CA1" w14:paraId="56A1B6CF" w14:textId="77777777" w:rsidTr="00772CA1">
        <w:trPr>
          <w:trHeight w:val="40"/>
        </w:trPr>
        <w:tc>
          <w:tcPr>
            <w:tcW w:w="322" w:type="pct"/>
            <w:vMerge w:val="restart"/>
            <w:vAlign w:val="center"/>
            <w:hideMark/>
          </w:tcPr>
          <w:p w14:paraId="054167F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393E4FB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672. Expansión de la Educación Superior </w:t>
            </w:r>
            <w:r w:rsidRPr="00772CA1">
              <w:rPr>
                <w:rFonts w:ascii="Lato" w:eastAsia="Times New Roman" w:hAnsi="Lato" w:cs="Times New Roman"/>
                <w:color w:val="000000"/>
                <w:sz w:val="20"/>
                <w:szCs w:val="20"/>
                <w:lang w:eastAsia="es-MX"/>
              </w:rPr>
              <w:lastRenderedPageBreak/>
              <w:t>pertinente y de excelencia</w:t>
            </w:r>
          </w:p>
        </w:tc>
        <w:tc>
          <w:tcPr>
            <w:tcW w:w="377" w:type="pct"/>
            <w:vMerge w:val="restart"/>
            <w:vAlign w:val="center"/>
            <w:hideMark/>
          </w:tcPr>
          <w:p w14:paraId="2683EE6D"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25338</w:t>
            </w:r>
          </w:p>
        </w:tc>
        <w:tc>
          <w:tcPr>
            <w:tcW w:w="430" w:type="pct"/>
            <w:vMerge w:val="restart"/>
            <w:vAlign w:val="center"/>
            <w:hideMark/>
          </w:tcPr>
          <w:p w14:paraId="2E5E9D1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actividades con el mercado </w:t>
            </w:r>
            <w:r w:rsidRPr="00772CA1">
              <w:rPr>
                <w:rFonts w:ascii="Lato" w:eastAsia="Times New Roman" w:hAnsi="Lato" w:cs="Times New Roman"/>
                <w:color w:val="000000"/>
                <w:sz w:val="20"/>
                <w:szCs w:val="20"/>
                <w:lang w:eastAsia="es-MX"/>
              </w:rPr>
              <w:lastRenderedPageBreak/>
              <w:t>laboral documentadas</w:t>
            </w:r>
          </w:p>
        </w:tc>
        <w:tc>
          <w:tcPr>
            <w:tcW w:w="914" w:type="pct"/>
            <w:vMerge w:val="restart"/>
            <w:vAlign w:val="center"/>
            <w:hideMark/>
          </w:tcPr>
          <w:p w14:paraId="7EBE79B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Proporción de actividades documentadas como resultado de las reuniones de trabajo realizadas entre las Instituciones de Educación </w:t>
            </w:r>
            <w:r w:rsidRPr="00772CA1">
              <w:rPr>
                <w:rFonts w:ascii="Lato" w:eastAsia="Times New Roman" w:hAnsi="Lato" w:cs="Times New Roman"/>
                <w:color w:val="000000"/>
                <w:sz w:val="20"/>
                <w:szCs w:val="20"/>
                <w:lang w:eastAsia="es-MX"/>
              </w:rPr>
              <w:lastRenderedPageBreak/>
              <w:t xml:space="preserve">Superior y el mercado laboral. La finalidad de estas reuniones de trabajo es planear y programar actividades para asegurar que los programas educativos estén alineados con las necesidades del entorno, promoviendo la empleabilidad de los estudiantes y fomentando la innovación y el desarrollo tecnológico. </w:t>
            </w:r>
          </w:p>
        </w:tc>
        <w:tc>
          <w:tcPr>
            <w:tcW w:w="268" w:type="pct"/>
            <w:vMerge w:val="restart"/>
            <w:vAlign w:val="center"/>
            <w:hideMark/>
          </w:tcPr>
          <w:p w14:paraId="6C5037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592" w:type="pct"/>
            <w:vAlign w:val="center"/>
            <w:hideMark/>
          </w:tcPr>
          <w:p w14:paraId="5C7F306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actividades con el mercado laboral documentadas</w:t>
            </w:r>
          </w:p>
        </w:tc>
        <w:tc>
          <w:tcPr>
            <w:tcW w:w="376" w:type="pct"/>
            <w:vAlign w:val="center"/>
            <w:hideMark/>
          </w:tcPr>
          <w:p w14:paraId="1671CCF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26D20EB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38BE95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9835413" w14:textId="77777777" w:rsidR="00772CA1" w:rsidRPr="00772CA1" w:rsidRDefault="00772CA1" w:rsidP="00455B6C">
            <w:pPr>
              <w:spacing w:after="0" w:line="240" w:lineRule="auto"/>
              <w:ind w:left="-71" w:firstLine="71"/>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0E3D097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Semestre </w:t>
            </w:r>
          </w:p>
        </w:tc>
      </w:tr>
      <w:tr w:rsidR="00772CA1" w:rsidRPr="00772CA1" w14:paraId="44E9EF36" w14:textId="77777777" w:rsidTr="00772CA1">
        <w:trPr>
          <w:trHeight w:val="241"/>
        </w:trPr>
        <w:tc>
          <w:tcPr>
            <w:tcW w:w="322" w:type="pct"/>
            <w:vMerge/>
            <w:vAlign w:val="center"/>
            <w:hideMark/>
          </w:tcPr>
          <w:p w14:paraId="14EEF81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EB082D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4984EF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2194F6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4008638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1CDE4F7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79A540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documentos que registran las actividades con el mercado laboral realizadas</w:t>
            </w:r>
          </w:p>
        </w:tc>
        <w:tc>
          <w:tcPr>
            <w:tcW w:w="376" w:type="pct"/>
            <w:vAlign w:val="center"/>
            <w:hideMark/>
          </w:tcPr>
          <w:p w14:paraId="1696704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245F190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F511B2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158C9F8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4ED10CE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62CF6A5" w14:textId="77777777" w:rsidTr="00772CA1">
        <w:trPr>
          <w:trHeight w:val="910"/>
        </w:trPr>
        <w:tc>
          <w:tcPr>
            <w:tcW w:w="322" w:type="pct"/>
            <w:vMerge/>
            <w:vAlign w:val="center"/>
            <w:hideMark/>
          </w:tcPr>
          <w:p w14:paraId="5D8AC1E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F3DD29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71C41D7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0BAAD2F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36D2AD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7E109E3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5E93963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documentos de minutas de trabajo realizadas con el mercado laboral para la planeación de actividades</w:t>
            </w:r>
          </w:p>
        </w:tc>
        <w:tc>
          <w:tcPr>
            <w:tcW w:w="376" w:type="pct"/>
            <w:vAlign w:val="center"/>
            <w:hideMark/>
          </w:tcPr>
          <w:p w14:paraId="5EF60F1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20AE137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12E815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024EC2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23837BB1"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A919DBD" w14:textId="77777777" w:rsidTr="00772CA1">
        <w:trPr>
          <w:trHeight w:val="850"/>
        </w:trPr>
        <w:tc>
          <w:tcPr>
            <w:tcW w:w="322" w:type="pct"/>
            <w:vMerge w:val="restart"/>
            <w:vAlign w:val="center"/>
            <w:hideMark/>
          </w:tcPr>
          <w:p w14:paraId="05FEC26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975A91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672. Expansión de la Educación Superior pertinente y de excelencia</w:t>
            </w:r>
          </w:p>
        </w:tc>
        <w:tc>
          <w:tcPr>
            <w:tcW w:w="377" w:type="pct"/>
            <w:vMerge w:val="restart"/>
            <w:vAlign w:val="center"/>
            <w:hideMark/>
          </w:tcPr>
          <w:p w14:paraId="51E3A001"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25073</w:t>
            </w:r>
          </w:p>
        </w:tc>
        <w:tc>
          <w:tcPr>
            <w:tcW w:w="430" w:type="pct"/>
            <w:vMerge w:val="restart"/>
            <w:vAlign w:val="center"/>
            <w:hideMark/>
          </w:tcPr>
          <w:p w14:paraId="247E345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en intercambios académicos, movilidad nacional o internacional realizados</w:t>
            </w:r>
          </w:p>
        </w:tc>
        <w:tc>
          <w:tcPr>
            <w:tcW w:w="914" w:type="pct"/>
            <w:vMerge w:val="restart"/>
            <w:vAlign w:val="center"/>
            <w:hideMark/>
          </w:tcPr>
          <w:p w14:paraId="18AB79C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Proporción de estudiantes de educación superior que son beneficiados con intercambios académicos y de movilidad nacional o internacional. Intercambio académico y Movilidad es un desplazamiento temporal de estudiantes a una institución educativa diferente, ya sea dentro de su propio país o en otro con la finalidad de mejorar la formación académica y profesional, conocer otras culturas, mejorar el dominio de idiomas y crear redes de colaboración entre instituciones.</w:t>
            </w:r>
          </w:p>
        </w:tc>
        <w:tc>
          <w:tcPr>
            <w:tcW w:w="268" w:type="pct"/>
            <w:vMerge w:val="restart"/>
            <w:vAlign w:val="center"/>
            <w:hideMark/>
          </w:tcPr>
          <w:p w14:paraId="056B7E4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07D8C32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en intercambios académicos, movilidad nacional o internacional realizados</w:t>
            </w:r>
          </w:p>
        </w:tc>
        <w:tc>
          <w:tcPr>
            <w:tcW w:w="376" w:type="pct"/>
            <w:vAlign w:val="center"/>
            <w:hideMark/>
          </w:tcPr>
          <w:p w14:paraId="21C3D36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w:t>
            </w:r>
          </w:p>
        </w:tc>
        <w:tc>
          <w:tcPr>
            <w:tcW w:w="323" w:type="pct"/>
            <w:vAlign w:val="center"/>
            <w:hideMark/>
          </w:tcPr>
          <w:p w14:paraId="709242F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62056E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11B1922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restart"/>
            <w:vAlign w:val="center"/>
            <w:hideMark/>
          </w:tcPr>
          <w:p w14:paraId="64401C7C"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49D70C74" w14:textId="77777777" w:rsidTr="00772CA1">
        <w:trPr>
          <w:trHeight w:val="40"/>
        </w:trPr>
        <w:tc>
          <w:tcPr>
            <w:tcW w:w="322" w:type="pct"/>
            <w:vMerge/>
            <w:vAlign w:val="center"/>
            <w:hideMark/>
          </w:tcPr>
          <w:p w14:paraId="0F5D033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E5177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167381B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68450F3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C64BB5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7F73F21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E1A3A8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en movilidad</w:t>
            </w:r>
          </w:p>
        </w:tc>
        <w:tc>
          <w:tcPr>
            <w:tcW w:w="376" w:type="pct"/>
            <w:vAlign w:val="center"/>
            <w:hideMark/>
          </w:tcPr>
          <w:p w14:paraId="6F43803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23" w:type="pct"/>
            <w:vAlign w:val="center"/>
            <w:hideMark/>
          </w:tcPr>
          <w:p w14:paraId="0B9B9D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BF201A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E358AC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76" w:type="pct"/>
            <w:vMerge/>
            <w:vAlign w:val="center"/>
            <w:hideMark/>
          </w:tcPr>
          <w:p w14:paraId="271ACA7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B16E81E" w14:textId="77777777" w:rsidTr="00772CA1">
        <w:trPr>
          <w:trHeight w:val="40"/>
        </w:trPr>
        <w:tc>
          <w:tcPr>
            <w:tcW w:w="322" w:type="pct"/>
            <w:vMerge/>
            <w:vAlign w:val="center"/>
            <w:hideMark/>
          </w:tcPr>
          <w:p w14:paraId="5A059F5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4BDFD2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7A6B93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421CFF6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6D7DD1C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EE599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9335EE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76" w:type="pct"/>
            <w:vAlign w:val="center"/>
            <w:hideMark/>
          </w:tcPr>
          <w:p w14:paraId="62CC4C7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529E197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643D8D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3E1F46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4E695CB8"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28D69B2" w14:textId="77777777" w:rsidTr="00772CA1">
        <w:trPr>
          <w:trHeight w:val="40"/>
        </w:trPr>
        <w:tc>
          <w:tcPr>
            <w:tcW w:w="322" w:type="pct"/>
            <w:vMerge w:val="restart"/>
            <w:vAlign w:val="center"/>
            <w:hideMark/>
          </w:tcPr>
          <w:p w14:paraId="78D3A89A"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6AF816C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672. Expansión de la Educación Superior </w:t>
            </w:r>
            <w:r w:rsidRPr="00772CA1">
              <w:rPr>
                <w:rFonts w:ascii="Lato" w:eastAsia="Times New Roman" w:hAnsi="Lato" w:cs="Times New Roman"/>
                <w:color w:val="000000"/>
                <w:sz w:val="20"/>
                <w:szCs w:val="20"/>
                <w:lang w:eastAsia="es-MX"/>
              </w:rPr>
              <w:lastRenderedPageBreak/>
              <w:t>pertinente y de excelencia</w:t>
            </w:r>
          </w:p>
        </w:tc>
        <w:tc>
          <w:tcPr>
            <w:tcW w:w="377" w:type="pct"/>
            <w:vMerge w:val="restart"/>
            <w:vAlign w:val="center"/>
            <w:hideMark/>
          </w:tcPr>
          <w:p w14:paraId="4A8DB8DD"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25341</w:t>
            </w:r>
          </w:p>
        </w:tc>
        <w:tc>
          <w:tcPr>
            <w:tcW w:w="430" w:type="pct"/>
            <w:vMerge w:val="restart"/>
            <w:vAlign w:val="center"/>
            <w:hideMark/>
          </w:tcPr>
          <w:p w14:paraId="39F9CC8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w:t>
            </w:r>
            <w:r w:rsidRPr="00772CA1">
              <w:rPr>
                <w:rFonts w:ascii="Lato" w:eastAsia="Times New Roman" w:hAnsi="Lato" w:cs="Times New Roman"/>
                <w:color w:val="000000"/>
                <w:sz w:val="20"/>
                <w:szCs w:val="20"/>
                <w:lang w:eastAsia="es-MX"/>
              </w:rPr>
              <w:lastRenderedPageBreak/>
              <w:t>participan en las convocatorias de Intercambios académicos, movilidad nacional o internacional</w:t>
            </w:r>
          </w:p>
        </w:tc>
        <w:tc>
          <w:tcPr>
            <w:tcW w:w="914" w:type="pct"/>
            <w:vMerge w:val="restart"/>
            <w:vAlign w:val="center"/>
            <w:hideMark/>
          </w:tcPr>
          <w:p w14:paraId="3F28338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de estudiantes que participan en las convocatorias para intercambios académicos, movilidad nacional o internacional </w:t>
            </w:r>
            <w:r w:rsidRPr="00772CA1">
              <w:rPr>
                <w:rFonts w:ascii="Lato" w:eastAsia="Times New Roman" w:hAnsi="Lato" w:cs="Times New Roman"/>
                <w:color w:val="000000"/>
                <w:sz w:val="20"/>
                <w:szCs w:val="20"/>
                <w:lang w:eastAsia="es-MX"/>
              </w:rPr>
              <w:lastRenderedPageBreak/>
              <w:t>respecto al total de la matrícula inscrita en el periodo. Un intercambio académico es un programa que permite a estudiantes pasar un tiempo estudiando en una institución educativa diferente, generalmente en otro país, para ampliar sus horizontes académicos, culturales y personales. La movilidad nacional e internacional, se refiere a la posibilidad de que estudiantes se desplacen temporalmente a otras instituciones, ya sea dentro de su propio país (nacional) o en el extranjero (internacional), para participar en programas académicos, investigaciones o prácticas.</w:t>
            </w:r>
          </w:p>
        </w:tc>
        <w:tc>
          <w:tcPr>
            <w:tcW w:w="268" w:type="pct"/>
            <w:vMerge w:val="restart"/>
            <w:vAlign w:val="center"/>
            <w:hideMark/>
          </w:tcPr>
          <w:p w14:paraId="044CBB4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592" w:type="pct"/>
            <w:vAlign w:val="center"/>
            <w:hideMark/>
          </w:tcPr>
          <w:p w14:paraId="0EB8427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participan en las </w:t>
            </w:r>
            <w:r w:rsidRPr="00772CA1">
              <w:rPr>
                <w:rFonts w:ascii="Lato" w:eastAsia="Times New Roman" w:hAnsi="Lato" w:cs="Times New Roman"/>
                <w:color w:val="000000"/>
                <w:sz w:val="20"/>
                <w:szCs w:val="20"/>
                <w:lang w:eastAsia="es-MX"/>
              </w:rPr>
              <w:lastRenderedPageBreak/>
              <w:t>convocatorias de Intercambios académicos, movilidad nacional o internacional</w:t>
            </w:r>
          </w:p>
        </w:tc>
        <w:tc>
          <w:tcPr>
            <w:tcW w:w="376" w:type="pct"/>
            <w:vAlign w:val="center"/>
            <w:hideMark/>
          </w:tcPr>
          <w:p w14:paraId="4DDBB71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3%</w:t>
            </w:r>
          </w:p>
        </w:tc>
        <w:tc>
          <w:tcPr>
            <w:tcW w:w="323" w:type="pct"/>
            <w:vAlign w:val="center"/>
            <w:hideMark/>
          </w:tcPr>
          <w:p w14:paraId="010C972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B0E53F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FB7B3B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w:t>
            </w:r>
          </w:p>
        </w:tc>
        <w:tc>
          <w:tcPr>
            <w:tcW w:w="376" w:type="pct"/>
            <w:vMerge w:val="restart"/>
            <w:vAlign w:val="center"/>
            <w:hideMark/>
          </w:tcPr>
          <w:p w14:paraId="55769DB7"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1D42AC4A" w14:textId="77777777" w:rsidTr="00772CA1">
        <w:trPr>
          <w:trHeight w:val="574"/>
        </w:trPr>
        <w:tc>
          <w:tcPr>
            <w:tcW w:w="322" w:type="pct"/>
            <w:vMerge/>
            <w:vAlign w:val="center"/>
            <w:hideMark/>
          </w:tcPr>
          <w:p w14:paraId="461CA0F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356F7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A6C1F9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3104308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08C69AF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46349D9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6B8FC21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las convocatorias de Intercambios académicos, movilidad nacional o internacional</w:t>
            </w:r>
          </w:p>
        </w:tc>
        <w:tc>
          <w:tcPr>
            <w:tcW w:w="376" w:type="pct"/>
            <w:vAlign w:val="center"/>
            <w:hideMark/>
          </w:tcPr>
          <w:p w14:paraId="0514CFD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23" w:type="pct"/>
            <w:vAlign w:val="center"/>
            <w:hideMark/>
          </w:tcPr>
          <w:p w14:paraId="0A75E72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830EB8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7C779C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24</w:t>
            </w:r>
          </w:p>
        </w:tc>
        <w:tc>
          <w:tcPr>
            <w:tcW w:w="376" w:type="pct"/>
            <w:vMerge/>
            <w:vAlign w:val="center"/>
            <w:hideMark/>
          </w:tcPr>
          <w:p w14:paraId="7A976676"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E3A6920" w14:textId="77777777" w:rsidTr="00772CA1">
        <w:trPr>
          <w:trHeight w:val="1109"/>
        </w:trPr>
        <w:tc>
          <w:tcPr>
            <w:tcW w:w="322" w:type="pct"/>
            <w:vMerge/>
            <w:vAlign w:val="center"/>
            <w:hideMark/>
          </w:tcPr>
          <w:p w14:paraId="21D84A4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1A5825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587396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6FB2C5F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8608E7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6B460B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934F88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y Escuelas Normales (incluye posgrados)</w:t>
            </w:r>
          </w:p>
        </w:tc>
        <w:tc>
          <w:tcPr>
            <w:tcW w:w="376" w:type="pct"/>
            <w:vAlign w:val="center"/>
            <w:hideMark/>
          </w:tcPr>
          <w:p w14:paraId="002F662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356DC90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FC688A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E757F3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4C9DD67D"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FA0BC3E" w14:textId="77777777" w:rsidTr="00772CA1">
        <w:trPr>
          <w:trHeight w:val="40"/>
        </w:trPr>
        <w:tc>
          <w:tcPr>
            <w:tcW w:w="322" w:type="pct"/>
            <w:vMerge w:val="restart"/>
            <w:vAlign w:val="center"/>
            <w:hideMark/>
          </w:tcPr>
          <w:p w14:paraId="01DFEA2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0626F23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1F26571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26121</w:t>
            </w:r>
          </w:p>
        </w:tc>
        <w:tc>
          <w:tcPr>
            <w:tcW w:w="430" w:type="pct"/>
            <w:vMerge w:val="restart"/>
            <w:vAlign w:val="center"/>
            <w:hideMark/>
          </w:tcPr>
          <w:p w14:paraId="1CE6C4B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de vinculación académica con el sector productivo, empresarial, organizaciones no gubernamental</w:t>
            </w:r>
            <w:r w:rsidRPr="00772CA1">
              <w:rPr>
                <w:rFonts w:ascii="Lato" w:eastAsia="Times New Roman" w:hAnsi="Lato" w:cs="Times New Roman"/>
                <w:color w:val="000000"/>
                <w:sz w:val="20"/>
                <w:szCs w:val="20"/>
                <w:lang w:eastAsia="es-MX"/>
              </w:rPr>
              <w:lastRenderedPageBreak/>
              <w:t>es y social realizados</w:t>
            </w:r>
          </w:p>
        </w:tc>
        <w:tc>
          <w:tcPr>
            <w:tcW w:w="914" w:type="pct"/>
            <w:vMerge w:val="restart"/>
            <w:vAlign w:val="center"/>
            <w:hideMark/>
          </w:tcPr>
          <w:p w14:paraId="5C14744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Mide la proporción de empresas del sector productivo, empresarial, organizaciones no gubernamentales y social con las que las Instituciones de Educación Superior tienen vinculación académica. Esta vinculación académica es para estancias, estadías para los alumnos y desarrollo de proyectos de investigación para docentes</w:t>
            </w:r>
          </w:p>
        </w:tc>
        <w:tc>
          <w:tcPr>
            <w:tcW w:w="268" w:type="pct"/>
            <w:vMerge w:val="restart"/>
            <w:vAlign w:val="center"/>
            <w:hideMark/>
          </w:tcPr>
          <w:p w14:paraId="17BCE1C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442E70B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de vinculación académica con el sector productivo, empresarial, organizaciones no gubernamentales y social realizados</w:t>
            </w:r>
          </w:p>
        </w:tc>
        <w:tc>
          <w:tcPr>
            <w:tcW w:w="376" w:type="pct"/>
            <w:vAlign w:val="center"/>
            <w:hideMark/>
          </w:tcPr>
          <w:p w14:paraId="44A661F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w:t>
            </w:r>
          </w:p>
        </w:tc>
        <w:tc>
          <w:tcPr>
            <w:tcW w:w="323" w:type="pct"/>
            <w:vAlign w:val="center"/>
            <w:hideMark/>
          </w:tcPr>
          <w:p w14:paraId="3E08F98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100%</w:t>
            </w:r>
          </w:p>
        </w:tc>
        <w:tc>
          <w:tcPr>
            <w:tcW w:w="322" w:type="pct"/>
            <w:vAlign w:val="center"/>
            <w:hideMark/>
          </w:tcPr>
          <w:p w14:paraId="79597DB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7939C9B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38FCA708"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6D10C053" w14:textId="77777777" w:rsidTr="00772CA1">
        <w:trPr>
          <w:trHeight w:val="40"/>
        </w:trPr>
        <w:tc>
          <w:tcPr>
            <w:tcW w:w="322" w:type="pct"/>
            <w:vMerge/>
            <w:vAlign w:val="center"/>
            <w:hideMark/>
          </w:tcPr>
          <w:p w14:paraId="6462644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DAEA64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02DD68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98AA4C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6E003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AE8332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08FFB88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servicios de vinculación académica </w:t>
            </w:r>
            <w:r w:rsidRPr="00772CA1">
              <w:rPr>
                <w:rFonts w:ascii="Lato" w:eastAsia="Times New Roman" w:hAnsi="Lato" w:cs="Times New Roman"/>
                <w:color w:val="000000"/>
                <w:sz w:val="20"/>
                <w:szCs w:val="20"/>
                <w:lang w:eastAsia="es-MX"/>
              </w:rPr>
              <w:lastRenderedPageBreak/>
              <w:t>con el sector productivo, empresarial, organizaciones no gubernamentales y social realizados</w:t>
            </w:r>
          </w:p>
        </w:tc>
        <w:tc>
          <w:tcPr>
            <w:tcW w:w="376" w:type="pct"/>
            <w:vAlign w:val="center"/>
            <w:hideMark/>
          </w:tcPr>
          <w:p w14:paraId="5557374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3</w:t>
            </w:r>
          </w:p>
        </w:tc>
        <w:tc>
          <w:tcPr>
            <w:tcW w:w="323" w:type="pct"/>
            <w:vAlign w:val="center"/>
            <w:hideMark/>
          </w:tcPr>
          <w:p w14:paraId="0DF0CB5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116</w:t>
            </w:r>
          </w:p>
        </w:tc>
        <w:tc>
          <w:tcPr>
            <w:tcW w:w="322" w:type="pct"/>
            <w:vAlign w:val="center"/>
            <w:hideMark/>
          </w:tcPr>
          <w:p w14:paraId="69B621B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B39855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116</w:t>
            </w:r>
          </w:p>
        </w:tc>
        <w:tc>
          <w:tcPr>
            <w:tcW w:w="376" w:type="pct"/>
            <w:vMerge/>
            <w:vAlign w:val="center"/>
            <w:hideMark/>
          </w:tcPr>
          <w:p w14:paraId="38BE069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20B6FBB" w14:textId="77777777" w:rsidTr="00772CA1">
        <w:trPr>
          <w:trHeight w:val="40"/>
        </w:trPr>
        <w:tc>
          <w:tcPr>
            <w:tcW w:w="322" w:type="pct"/>
            <w:vMerge/>
            <w:vAlign w:val="center"/>
            <w:hideMark/>
          </w:tcPr>
          <w:p w14:paraId="36AF23B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7F91A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A838B8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38D270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291F98C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C34E49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5431FD3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servicios de vinculación académica con el sector productivo, empresarial, organizaciones no gubernamentales y social programados</w:t>
            </w:r>
          </w:p>
        </w:tc>
        <w:tc>
          <w:tcPr>
            <w:tcW w:w="376" w:type="pct"/>
            <w:vAlign w:val="center"/>
            <w:hideMark/>
          </w:tcPr>
          <w:p w14:paraId="1CCD40E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15</w:t>
            </w:r>
          </w:p>
        </w:tc>
        <w:tc>
          <w:tcPr>
            <w:tcW w:w="323" w:type="pct"/>
            <w:vAlign w:val="center"/>
            <w:hideMark/>
          </w:tcPr>
          <w:p w14:paraId="0940217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116 </w:t>
            </w:r>
          </w:p>
        </w:tc>
        <w:tc>
          <w:tcPr>
            <w:tcW w:w="322" w:type="pct"/>
            <w:vAlign w:val="center"/>
            <w:hideMark/>
          </w:tcPr>
          <w:p w14:paraId="7C5148A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555DB1E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116</w:t>
            </w:r>
          </w:p>
        </w:tc>
        <w:tc>
          <w:tcPr>
            <w:tcW w:w="376" w:type="pct"/>
            <w:vMerge/>
            <w:vAlign w:val="center"/>
            <w:hideMark/>
          </w:tcPr>
          <w:p w14:paraId="067F707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081ABC5" w14:textId="77777777" w:rsidTr="00772CA1">
        <w:trPr>
          <w:trHeight w:val="40"/>
        </w:trPr>
        <w:tc>
          <w:tcPr>
            <w:tcW w:w="322" w:type="pct"/>
            <w:vMerge w:val="restart"/>
            <w:vAlign w:val="center"/>
            <w:hideMark/>
          </w:tcPr>
          <w:p w14:paraId="6BCA509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4B82B42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704538D1"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26122</w:t>
            </w:r>
          </w:p>
        </w:tc>
        <w:tc>
          <w:tcPr>
            <w:tcW w:w="430" w:type="pct"/>
            <w:vMerge w:val="restart"/>
            <w:vAlign w:val="center"/>
            <w:hideMark/>
          </w:tcPr>
          <w:p w14:paraId="2AA19A2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convenios formalizados con el sector productivo, empresarial y social</w:t>
            </w:r>
          </w:p>
        </w:tc>
        <w:tc>
          <w:tcPr>
            <w:tcW w:w="914" w:type="pct"/>
            <w:vMerge w:val="restart"/>
            <w:vAlign w:val="center"/>
            <w:hideMark/>
          </w:tcPr>
          <w:p w14:paraId="14A4415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convenios formalizados con el sector productivo, empresarial y social para los servicios de vinculación académica. </w:t>
            </w:r>
          </w:p>
        </w:tc>
        <w:tc>
          <w:tcPr>
            <w:tcW w:w="268" w:type="pct"/>
            <w:vMerge w:val="restart"/>
            <w:vAlign w:val="center"/>
            <w:hideMark/>
          </w:tcPr>
          <w:p w14:paraId="7C6C22D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5B806ED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convenios formalizados con el sector productivo, empresarial y social</w:t>
            </w:r>
          </w:p>
        </w:tc>
        <w:tc>
          <w:tcPr>
            <w:tcW w:w="376" w:type="pct"/>
            <w:vAlign w:val="center"/>
            <w:hideMark/>
          </w:tcPr>
          <w:p w14:paraId="6928E98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w:t>
            </w:r>
          </w:p>
        </w:tc>
        <w:tc>
          <w:tcPr>
            <w:tcW w:w="323" w:type="pct"/>
            <w:vAlign w:val="center"/>
            <w:hideMark/>
          </w:tcPr>
          <w:p w14:paraId="6193951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13%</w:t>
            </w:r>
          </w:p>
        </w:tc>
        <w:tc>
          <w:tcPr>
            <w:tcW w:w="322" w:type="pct"/>
            <w:vAlign w:val="center"/>
            <w:hideMark/>
          </w:tcPr>
          <w:p w14:paraId="75CB844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1B9E410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63%</w:t>
            </w:r>
          </w:p>
        </w:tc>
        <w:tc>
          <w:tcPr>
            <w:tcW w:w="376" w:type="pct"/>
            <w:vMerge w:val="restart"/>
            <w:vAlign w:val="center"/>
            <w:hideMark/>
          </w:tcPr>
          <w:p w14:paraId="2130999C"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15C285CB" w14:textId="77777777" w:rsidTr="00772CA1">
        <w:trPr>
          <w:trHeight w:val="604"/>
        </w:trPr>
        <w:tc>
          <w:tcPr>
            <w:tcW w:w="322" w:type="pct"/>
            <w:vMerge/>
            <w:vAlign w:val="center"/>
            <w:hideMark/>
          </w:tcPr>
          <w:p w14:paraId="69A783F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A7DE3E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A9C307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44FB22A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16C9AE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6E7FB25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33EA6BD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convenios de vinculación académica formalizados.</w:t>
            </w:r>
          </w:p>
        </w:tc>
        <w:tc>
          <w:tcPr>
            <w:tcW w:w="376" w:type="pct"/>
            <w:vAlign w:val="center"/>
            <w:hideMark/>
          </w:tcPr>
          <w:p w14:paraId="4337A05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23" w:type="pct"/>
            <w:vAlign w:val="center"/>
            <w:hideMark/>
          </w:tcPr>
          <w:p w14:paraId="480E50B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1</w:t>
            </w:r>
          </w:p>
        </w:tc>
        <w:tc>
          <w:tcPr>
            <w:tcW w:w="322" w:type="pct"/>
            <w:vAlign w:val="center"/>
            <w:hideMark/>
          </w:tcPr>
          <w:p w14:paraId="683C528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D36E62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w:t>
            </w:r>
          </w:p>
        </w:tc>
        <w:tc>
          <w:tcPr>
            <w:tcW w:w="376" w:type="pct"/>
            <w:vMerge/>
            <w:vAlign w:val="center"/>
            <w:hideMark/>
          </w:tcPr>
          <w:p w14:paraId="6E28293A"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AD6DC9F" w14:textId="77777777" w:rsidTr="00772CA1">
        <w:trPr>
          <w:trHeight w:val="517"/>
        </w:trPr>
        <w:tc>
          <w:tcPr>
            <w:tcW w:w="322" w:type="pct"/>
            <w:vMerge/>
            <w:vAlign w:val="center"/>
            <w:hideMark/>
          </w:tcPr>
          <w:p w14:paraId="629369A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C4817C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4C4584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B7A62D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212FD3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42DBB61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01E5201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convenios de intención de vinculación académica realizados.</w:t>
            </w:r>
          </w:p>
        </w:tc>
        <w:tc>
          <w:tcPr>
            <w:tcW w:w="376" w:type="pct"/>
            <w:vAlign w:val="center"/>
            <w:hideMark/>
          </w:tcPr>
          <w:p w14:paraId="4E0CF1B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w:t>
            </w:r>
          </w:p>
        </w:tc>
        <w:tc>
          <w:tcPr>
            <w:tcW w:w="323" w:type="pct"/>
            <w:vAlign w:val="center"/>
            <w:hideMark/>
          </w:tcPr>
          <w:p w14:paraId="61A2C24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8</w:t>
            </w:r>
          </w:p>
        </w:tc>
        <w:tc>
          <w:tcPr>
            <w:tcW w:w="322" w:type="pct"/>
            <w:vAlign w:val="center"/>
            <w:hideMark/>
          </w:tcPr>
          <w:p w14:paraId="3C039D0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71AC8FE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w:t>
            </w:r>
          </w:p>
        </w:tc>
        <w:tc>
          <w:tcPr>
            <w:tcW w:w="376" w:type="pct"/>
            <w:vMerge/>
            <w:vAlign w:val="center"/>
            <w:hideMark/>
          </w:tcPr>
          <w:p w14:paraId="04187F4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62BF91C" w14:textId="77777777" w:rsidTr="00772CA1">
        <w:trPr>
          <w:trHeight w:val="247"/>
        </w:trPr>
        <w:tc>
          <w:tcPr>
            <w:tcW w:w="322" w:type="pct"/>
            <w:vMerge w:val="restart"/>
            <w:vAlign w:val="center"/>
            <w:hideMark/>
          </w:tcPr>
          <w:p w14:paraId="5FDA8AD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5E0D341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674. Promoción de la innovación y sostenibilidad en </w:t>
            </w:r>
            <w:r w:rsidRPr="00772CA1">
              <w:rPr>
                <w:rFonts w:ascii="Lato" w:eastAsia="Times New Roman" w:hAnsi="Lato" w:cs="Times New Roman"/>
                <w:color w:val="000000"/>
                <w:sz w:val="20"/>
                <w:szCs w:val="20"/>
                <w:lang w:eastAsia="es-MX"/>
              </w:rPr>
              <w:lastRenderedPageBreak/>
              <w:t>la Educación Superior</w:t>
            </w:r>
          </w:p>
        </w:tc>
        <w:tc>
          <w:tcPr>
            <w:tcW w:w="377" w:type="pct"/>
            <w:vMerge w:val="restart"/>
            <w:vAlign w:val="center"/>
            <w:hideMark/>
          </w:tcPr>
          <w:p w14:paraId="3B945C54"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26123</w:t>
            </w:r>
          </w:p>
        </w:tc>
        <w:tc>
          <w:tcPr>
            <w:tcW w:w="430" w:type="pct"/>
            <w:vMerge w:val="restart"/>
            <w:vAlign w:val="center"/>
            <w:hideMark/>
          </w:tcPr>
          <w:p w14:paraId="45A6D3A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actividades académicas documentadas</w:t>
            </w:r>
          </w:p>
        </w:tc>
        <w:tc>
          <w:tcPr>
            <w:tcW w:w="914" w:type="pct"/>
            <w:vMerge w:val="restart"/>
            <w:vAlign w:val="center"/>
            <w:hideMark/>
          </w:tcPr>
          <w:p w14:paraId="2C12EF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actividades académicas derivadas de la formalización de convenios con el sector productivo, empresarial,  con </w:t>
            </w:r>
            <w:r w:rsidRPr="00772CA1">
              <w:rPr>
                <w:rFonts w:ascii="Lato" w:eastAsia="Times New Roman" w:hAnsi="Lato" w:cs="Times New Roman"/>
                <w:color w:val="000000"/>
                <w:sz w:val="20"/>
                <w:szCs w:val="20"/>
                <w:lang w:eastAsia="es-MX"/>
              </w:rPr>
              <w:lastRenderedPageBreak/>
              <w:t>organismos no gubernamentales y social.</w:t>
            </w:r>
          </w:p>
        </w:tc>
        <w:tc>
          <w:tcPr>
            <w:tcW w:w="268" w:type="pct"/>
            <w:vMerge w:val="restart"/>
            <w:vAlign w:val="center"/>
            <w:hideMark/>
          </w:tcPr>
          <w:p w14:paraId="6D83C40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592" w:type="pct"/>
            <w:vAlign w:val="center"/>
            <w:hideMark/>
          </w:tcPr>
          <w:p w14:paraId="730349D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actividades académicas documentadas</w:t>
            </w:r>
          </w:p>
        </w:tc>
        <w:tc>
          <w:tcPr>
            <w:tcW w:w="376" w:type="pct"/>
            <w:vAlign w:val="center"/>
            <w:hideMark/>
          </w:tcPr>
          <w:p w14:paraId="60353B3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w:t>
            </w:r>
          </w:p>
        </w:tc>
        <w:tc>
          <w:tcPr>
            <w:tcW w:w="323" w:type="pct"/>
            <w:vAlign w:val="center"/>
          </w:tcPr>
          <w:p w14:paraId="752C782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p>
        </w:tc>
        <w:tc>
          <w:tcPr>
            <w:tcW w:w="322" w:type="pct"/>
            <w:vAlign w:val="center"/>
            <w:hideMark/>
          </w:tcPr>
          <w:p w14:paraId="460B4B1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A4C64D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47%</w:t>
            </w:r>
          </w:p>
        </w:tc>
        <w:tc>
          <w:tcPr>
            <w:tcW w:w="376" w:type="pct"/>
            <w:vMerge w:val="restart"/>
            <w:vAlign w:val="center"/>
            <w:hideMark/>
          </w:tcPr>
          <w:p w14:paraId="1FC5110E"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0FB77D36" w14:textId="77777777" w:rsidTr="00772CA1">
        <w:trPr>
          <w:trHeight w:val="40"/>
        </w:trPr>
        <w:tc>
          <w:tcPr>
            <w:tcW w:w="322" w:type="pct"/>
            <w:vMerge/>
            <w:vAlign w:val="center"/>
            <w:hideMark/>
          </w:tcPr>
          <w:p w14:paraId="40009B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264539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DE7BA3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0DDEF13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CD7ED9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42C3BA2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69C9A91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actividades académicas documentadas.</w:t>
            </w:r>
          </w:p>
        </w:tc>
        <w:tc>
          <w:tcPr>
            <w:tcW w:w="376" w:type="pct"/>
            <w:vAlign w:val="center"/>
            <w:hideMark/>
          </w:tcPr>
          <w:p w14:paraId="786883E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23" w:type="pct"/>
            <w:vAlign w:val="center"/>
          </w:tcPr>
          <w:p w14:paraId="5C9A6AF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p>
        </w:tc>
        <w:tc>
          <w:tcPr>
            <w:tcW w:w="322" w:type="pct"/>
            <w:vAlign w:val="center"/>
            <w:hideMark/>
          </w:tcPr>
          <w:p w14:paraId="2B05C15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16D646D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w:t>
            </w:r>
          </w:p>
        </w:tc>
        <w:tc>
          <w:tcPr>
            <w:tcW w:w="376" w:type="pct"/>
            <w:vMerge/>
            <w:vAlign w:val="center"/>
            <w:hideMark/>
          </w:tcPr>
          <w:p w14:paraId="3568C76D"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89A7AA6" w14:textId="77777777" w:rsidTr="00772CA1">
        <w:trPr>
          <w:trHeight w:val="426"/>
        </w:trPr>
        <w:tc>
          <w:tcPr>
            <w:tcW w:w="322" w:type="pct"/>
            <w:vMerge/>
            <w:vAlign w:val="center"/>
            <w:hideMark/>
          </w:tcPr>
          <w:p w14:paraId="0D4B479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C05AC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0C1B74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42A174C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470A3A3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6E68C2E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4409C6C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actividades para el servicio de vinculación académica </w:t>
            </w:r>
            <w:proofErr w:type="spellStart"/>
            <w:r w:rsidRPr="00772CA1">
              <w:rPr>
                <w:rFonts w:ascii="Lato" w:eastAsia="Times New Roman" w:hAnsi="Lato" w:cs="Times New Roman"/>
                <w:color w:val="000000"/>
                <w:sz w:val="20"/>
                <w:szCs w:val="20"/>
                <w:lang w:eastAsia="es-MX"/>
              </w:rPr>
              <w:t>conveniadas</w:t>
            </w:r>
            <w:proofErr w:type="spellEnd"/>
          </w:p>
        </w:tc>
        <w:tc>
          <w:tcPr>
            <w:tcW w:w="376" w:type="pct"/>
            <w:vAlign w:val="center"/>
            <w:hideMark/>
          </w:tcPr>
          <w:p w14:paraId="461A7B7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w:t>
            </w:r>
          </w:p>
        </w:tc>
        <w:tc>
          <w:tcPr>
            <w:tcW w:w="323" w:type="pct"/>
            <w:vAlign w:val="center"/>
            <w:hideMark/>
          </w:tcPr>
          <w:p w14:paraId="00FF0AD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34F19E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1CA1267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w:t>
            </w:r>
          </w:p>
        </w:tc>
        <w:tc>
          <w:tcPr>
            <w:tcW w:w="376" w:type="pct"/>
            <w:vMerge/>
            <w:vAlign w:val="center"/>
            <w:hideMark/>
          </w:tcPr>
          <w:p w14:paraId="6D4E1C2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DB062CC" w14:textId="77777777" w:rsidTr="00772CA1">
        <w:trPr>
          <w:trHeight w:val="270"/>
        </w:trPr>
        <w:tc>
          <w:tcPr>
            <w:tcW w:w="322" w:type="pct"/>
            <w:vMerge w:val="restart"/>
            <w:vAlign w:val="center"/>
            <w:hideMark/>
          </w:tcPr>
          <w:p w14:paraId="09602FF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4A1CBB4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4B4A1EA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25269</w:t>
            </w:r>
          </w:p>
        </w:tc>
        <w:tc>
          <w:tcPr>
            <w:tcW w:w="430" w:type="pct"/>
            <w:vMerge w:val="restart"/>
            <w:vAlign w:val="center"/>
            <w:hideMark/>
          </w:tcPr>
          <w:p w14:paraId="758721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para el emprendimiento, incubación, aceleración de empresas y cultura creativa realizados</w:t>
            </w:r>
          </w:p>
        </w:tc>
        <w:tc>
          <w:tcPr>
            <w:tcW w:w="914" w:type="pct"/>
            <w:vMerge w:val="restart"/>
            <w:vAlign w:val="center"/>
            <w:hideMark/>
          </w:tcPr>
          <w:p w14:paraId="5C133E4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servicios para el emprendimiento, incubación, aceleración de empresas y culturales realizados por las Instituciones de Educación Superior Descentralizadas. Estos servicios son de asesoría y del acompañamiento necesario para que una persona pueda gestionar proyectos mediante su propia iniciativa. Incluyen cursos de formación de emprendedores, consultoría para la incubación, consultoría para la aceleración empresarial y de industria cultural creativa.</w:t>
            </w:r>
          </w:p>
        </w:tc>
        <w:tc>
          <w:tcPr>
            <w:tcW w:w="268" w:type="pct"/>
            <w:vMerge w:val="restart"/>
            <w:vAlign w:val="center"/>
            <w:hideMark/>
          </w:tcPr>
          <w:p w14:paraId="69494C9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3C0CF19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para el emprendimiento, incubación, aceleración de empresas y cultura creativa realizados</w:t>
            </w:r>
          </w:p>
        </w:tc>
        <w:tc>
          <w:tcPr>
            <w:tcW w:w="376" w:type="pct"/>
            <w:vAlign w:val="center"/>
            <w:hideMark/>
          </w:tcPr>
          <w:p w14:paraId="579BE29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1250034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299DD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3CDD8D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0B051983"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Semestral </w:t>
            </w:r>
          </w:p>
        </w:tc>
      </w:tr>
      <w:tr w:rsidR="00772CA1" w:rsidRPr="00772CA1" w14:paraId="37CEB065" w14:textId="77777777" w:rsidTr="00772CA1">
        <w:trPr>
          <w:trHeight w:val="456"/>
        </w:trPr>
        <w:tc>
          <w:tcPr>
            <w:tcW w:w="322" w:type="pct"/>
            <w:vMerge/>
            <w:vAlign w:val="center"/>
            <w:hideMark/>
          </w:tcPr>
          <w:p w14:paraId="52CB0C6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2A741D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7595324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7B622C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216148F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2C3924B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27434DE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servicios para el emprendimiento, incubación, aceleración de empresas y de industria cultural creativa realizados</w:t>
            </w:r>
          </w:p>
        </w:tc>
        <w:tc>
          <w:tcPr>
            <w:tcW w:w="376" w:type="pct"/>
            <w:vAlign w:val="center"/>
            <w:hideMark/>
          </w:tcPr>
          <w:p w14:paraId="5C10C90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0AFCBBC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CBD92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FA60E4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76" w:type="pct"/>
            <w:vMerge/>
            <w:vAlign w:val="center"/>
            <w:hideMark/>
          </w:tcPr>
          <w:p w14:paraId="107D73C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904ED1D" w14:textId="77777777" w:rsidTr="00772CA1">
        <w:trPr>
          <w:trHeight w:val="1281"/>
        </w:trPr>
        <w:tc>
          <w:tcPr>
            <w:tcW w:w="322" w:type="pct"/>
            <w:vMerge/>
            <w:vAlign w:val="center"/>
            <w:hideMark/>
          </w:tcPr>
          <w:p w14:paraId="0F51E12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33702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070CC4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02597B7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DE141A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5A020A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6B10AF3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servicios para el emprendimiento, incubación, aceleración de empresas y de industria cultural creativa programados</w:t>
            </w:r>
          </w:p>
        </w:tc>
        <w:tc>
          <w:tcPr>
            <w:tcW w:w="376" w:type="pct"/>
            <w:vAlign w:val="center"/>
            <w:hideMark/>
          </w:tcPr>
          <w:p w14:paraId="7A1F561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1F3724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17C27C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30E1AF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76" w:type="pct"/>
            <w:vMerge/>
            <w:vAlign w:val="center"/>
            <w:hideMark/>
          </w:tcPr>
          <w:p w14:paraId="3F2E29C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DE3A96B" w14:textId="77777777" w:rsidTr="00772CA1">
        <w:trPr>
          <w:trHeight w:val="167"/>
        </w:trPr>
        <w:tc>
          <w:tcPr>
            <w:tcW w:w="322" w:type="pct"/>
            <w:vMerge w:val="restart"/>
            <w:vAlign w:val="center"/>
            <w:hideMark/>
          </w:tcPr>
          <w:p w14:paraId="7D09521D"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69A027E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674. Promoción de la innovación y </w:t>
            </w:r>
            <w:r w:rsidRPr="00772CA1">
              <w:rPr>
                <w:rFonts w:ascii="Lato" w:eastAsia="Times New Roman" w:hAnsi="Lato" w:cs="Times New Roman"/>
                <w:color w:val="000000"/>
                <w:sz w:val="20"/>
                <w:szCs w:val="20"/>
                <w:lang w:eastAsia="es-MX"/>
              </w:rPr>
              <w:lastRenderedPageBreak/>
              <w:t>sostenibilidad en la Educación Superior</w:t>
            </w:r>
          </w:p>
        </w:tc>
        <w:tc>
          <w:tcPr>
            <w:tcW w:w="377" w:type="pct"/>
            <w:vMerge w:val="restart"/>
            <w:vAlign w:val="center"/>
            <w:hideMark/>
          </w:tcPr>
          <w:p w14:paraId="4027D56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25271</w:t>
            </w:r>
          </w:p>
        </w:tc>
        <w:tc>
          <w:tcPr>
            <w:tcW w:w="430" w:type="pct"/>
            <w:vMerge w:val="restart"/>
            <w:vAlign w:val="center"/>
            <w:hideMark/>
          </w:tcPr>
          <w:p w14:paraId="5332E6B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cursos para la </w:t>
            </w:r>
            <w:r w:rsidRPr="00772CA1">
              <w:rPr>
                <w:rFonts w:ascii="Lato" w:eastAsia="Times New Roman" w:hAnsi="Lato" w:cs="Times New Roman"/>
                <w:color w:val="000000"/>
                <w:sz w:val="20"/>
                <w:szCs w:val="20"/>
                <w:lang w:eastAsia="es-MX"/>
              </w:rPr>
              <w:lastRenderedPageBreak/>
              <w:t>formación de emprendedores impartidos</w:t>
            </w:r>
          </w:p>
        </w:tc>
        <w:tc>
          <w:tcPr>
            <w:tcW w:w="914" w:type="pct"/>
            <w:vMerge w:val="restart"/>
            <w:vAlign w:val="center"/>
            <w:hideMark/>
          </w:tcPr>
          <w:p w14:paraId="62CA2F4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de emprendedores formados a través </w:t>
            </w:r>
            <w:r w:rsidRPr="00772CA1">
              <w:rPr>
                <w:rFonts w:ascii="Lato" w:eastAsia="Times New Roman" w:hAnsi="Lato" w:cs="Times New Roman"/>
                <w:color w:val="000000"/>
                <w:sz w:val="20"/>
                <w:szCs w:val="20"/>
                <w:lang w:eastAsia="es-MX"/>
              </w:rPr>
              <w:lastRenderedPageBreak/>
              <w:t>de las Instituciones de Educación Superior Descentralizadas. Esta formación es a través de cursos impartidos que pueden ser dirigidos a alumnos, miembros de la comunidad universitaria o externos.</w:t>
            </w:r>
          </w:p>
        </w:tc>
        <w:tc>
          <w:tcPr>
            <w:tcW w:w="268" w:type="pct"/>
            <w:vMerge w:val="restart"/>
            <w:vAlign w:val="center"/>
            <w:hideMark/>
          </w:tcPr>
          <w:p w14:paraId="0184C27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592" w:type="pct"/>
            <w:vAlign w:val="center"/>
            <w:hideMark/>
          </w:tcPr>
          <w:p w14:paraId="5D24F28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cursos para la formación de </w:t>
            </w:r>
            <w:r w:rsidRPr="00772CA1">
              <w:rPr>
                <w:rFonts w:ascii="Lato" w:eastAsia="Times New Roman" w:hAnsi="Lato" w:cs="Times New Roman"/>
                <w:color w:val="000000"/>
                <w:sz w:val="20"/>
                <w:szCs w:val="20"/>
                <w:lang w:eastAsia="es-MX"/>
              </w:rPr>
              <w:lastRenderedPageBreak/>
              <w:t>emprendedores impartidos</w:t>
            </w:r>
          </w:p>
        </w:tc>
        <w:tc>
          <w:tcPr>
            <w:tcW w:w="376" w:type="pct"/>
            <w:vAlign w:val="center"/>
            <w:hideMark/>
          </w:tcPr>
          <w:p w14:paraId="6D78C7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100%</w:t>
            </w:r>
          </w:p>
        </w:tc>
        <w:tc>
          <w:tcPr>
            <w:tcW w:w="323" w:type="pct"/>
            <w:vAlign w:val="center"/>
            <w:hideMark/>
          </w:tcPr>
          <w:p w14:paraId="4D85011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0 </w:t>
            </w:r>
          </w:p>
        </w:tc>
        <w:tc>
          <w:tcPr>
            <w:tcW w:w="322" w:type="pct"/>
            <w:vAlign w:val="center"/>
            <w:hideMark/>
          </w:tcPr>
          <w:p w14:paraId="0286D1B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927A8C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5182B19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512C89CE" w14:textId="77777777" w:rsidTr="00772CA1">
        <w:trPr>
          <w:trHeight w:val="451"/>
        </w:trPr>
        <w:tc>
          <w:tcPr>
            <w:tcW w:w="322" w:type="pct"/>
            <w:vMerge/>
            <w:vAlign w:val="center"/>
            <w:hideMark/>
          </w:tcPr>
          <w:p w14:paraId="41E7219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AFFC49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126AE6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63FE5A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2FF3DD7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983F91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6F8DA6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cursos para la formación de emprendedores impartidos</w:t>
            </w:r>
          </w:p>
        </w:tc>
        <w:tc>
          <w:tcPr>
            <w:tcW w:w="376" w:type="pct"/>
            <w:vAlign w:val="center"/>
            <w:hideMark/>
          </w:tcPr>
          <w:p w14:paraId="63DF677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323" w:type="pct"/>
            <w:vAlign w:val="center"/>
            <w:hideMark/>
          </w:tcPr>
          <w:p w14:paraId="0C9186C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0 </w:t>
            </w:r>
          </w:p>
        </w:tc>
        <w:tc>
          <w:tcPr>
            <w:tcW w:w="322" w:type="pct"/>
            <w:vAlign w:val="center"/>
            <w:hideMark/>
          </w:tcPr>
          <w:p w14:paraId="45ECDA8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A897E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w:t>
            </w:r>
          </w:p>
        </w:tc>
        <w:tc>
          <w:tcPr>
            <w:tcW w:w="376" w:type="pct"/>
            <w:vMerge/>
            <w:vAlign w:val="center"/>
            <w:hideMark/>
          </w:tcPr>
          <w:p w14:paraId="77C1642A"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7E18069" w14:textId="77777777" w:rsidTr="00772CA1">
        <w:trPr>
          <w:trHeight w:val="380"/>
        </w:trPr>
        <w:tc>
          <w:tcPr>
            <w:tcW w:w="322" w:type="pct"/>
            <w:vMerge/>
            <w:vAlign w:val="center"/>
            <w:hideMark/>
          </w:tcPr>
          <w:p w14:paraId="34AF891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4D2A13D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6248D21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EB076C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2CA640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596C13F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2245F5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cursos para la formación de emprendedores ofertados</w:t>
            </w:r>
          </w:p>
        </w:tc>
        <w:tc>
          <w:tcPr>
            <w:tcW w:w="376" w:type="pct"/>
            <w:vAlign w:val="center"/>
            <w:hideMark/>
          </w:tcPr>
          <w:p w14:paraId="70F24BA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323" w:type="pct"/>
            <w:vAlign w:val="center"/>
            <w:hideMark/>
          </w:tcPr>
          <w:p w14:paraId="1A4D0B4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0 </w:t>
            </w:r>
          </w:p>
        </w:tc>
        <w:tc>
          <w:tcPr>
            <w:tcW w:w="322" w:type="pct"/>
            <w:vAlign w:val="center"/>
            <w:hideMark/>
          </w:tcPr>
          <w:p w14:paraId="18B672E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A62755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w:t>
            </w:r>
          </w:p>
        </w:tc>
        <w:tc>
          <w:tcPr>
            <w:tcW w:w="376" w:type="pct"/>
            <w:vMerge/>
            <w:vAlign w:val="center"/>
            <w:hideMark/>
          </w:tcPr>
          <w:p w14:paraId="1E3C3C49"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00F51F3" w14:textId="77777777" w:rsidTr="00772CA1">
        <w:trPr>
          <w:trHeight w:val="408"/>
        </w:trPr>
        <w:tc>
          <w:tcPr>
            <w:tcW w:w="322" w:type="pct"/>
            <w:vMerge w:val="restart"/>
            <w:vAlign w:val="center"/>
            <w:hideMark/>
          </w:tcPr>
          <w:p w14:paraId="7107DEFC"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p w14:paraId="56025525" w14:textId="77777777" w:rsidR="00772CA1" w:rsidRPr="00772CA1" w:rsidRDefault="00772CA1" w:rsidP="00455B6C">
            <w:pPr>
              <w:rPr>
                <w:rFonts w:ascii="Lato" w:eastAsia="Times New Roman" w:hAnsi="Lato" w:cs="Times New Roman"/>
                <w:sz w:val="20"/>
                <w:szCs w:val="20"/>
                <w:lang w:eastAsia="es-MX"/>
              </w:rPr>
            </w:pPr>
          </w:p>
          <w:p w14:paraId="32893FFD" w14:textId="77777777" w:rsidR="00772CA1" w:rsidRPr="00772CA1" w:rsidRDefault="00772CA1" w:rsidP="00455B6C">
            <w:pPr>
              <w:rPr>
                <w:rFonts w:ascii="Lato" w:eastAsia="Times New Roman" w:hAnsi="Lato" w:cs="Times New Roman"/>
                <w:sz w:val="20"/>
                <w:szCs w:val="20"/>
                <w:lang w:eastAsia="es-MX"/>
              </w:rPr>
            </w:pPr>
          </w:p>
          <w:p w14:paraId="566894B1" w14:textId="77777777" w:rsidR="00772CA1" w:rsidRPr="00772CA1" w:rsidRDefault="00772CA1" w:rsidP="00455B6C">
            <w:pPr>
              <w:rPr>
                <w:rFonts w:ascii="Lato" w:eastAsia="Times New Roman" w:hAnsi="Lato" w:cs="Times New Roman"/>
                <w:sz w:val="20"/>
                <w:szCs w:val="20"/>
                <w:lang w:eastAsia="es-MX"/>
              </w:rPr>
            </w:pPr>
          </w:p>
          <w:p w14:paraId="051D2498" w14:textId="77777777" w:rsidR="00772CA1" w:rsidRPr="00772CA1" w:rsidRDefault="00772CA1" w:rsidP="00455B6C">
            <w:pPr>
              <w:rPr>
                <w:rFonts w:ascii="Lato" w:eastAsia="Times New Roman" w:hAnsi="Lato" w:cs="Times New Roman"/>
                <w:color w:val="000000"/>
                <w:sz w:val="20"/>
                <w:szCs w:val="20"/>
                <w:lang w:eastAsia="es-MX"/>
              </w:rPr>
            </w:pPr>
          </w:p>
          <w:p w14:paraId="4A1189F9" w14:textId="77777777" w:rsidR="00772CA1" w:rsidRPr="00772CA1" w:rsidRDefault="00772CA1" w:rsidP="00455B6C">
            <w:pPr>
              <w:rPr>
                <w:rFonts w:ascii="Lato" w:eastAsia="Times New Roman" w:hAnsi="Lato" w:cs="Times New Roman"/>
                <w:sz w:val="20"/>
                <w:szCs w:val="20"/>
                <w:lang w:eastAsia="es-MX"/>
              </w:rPr>
            </w:pPr>
          </w:p>
          <w:p w14:paraId="1DE6FC7C" w14:textId="77777777" w:rsidR="00772CA1" w:rsidRPr="00772CA1" w:rsidRDefault="00772CA1" w:rsidP="00455B6C">
            <w:pPr>
              <w:rPr>
                <w:rFonts w:ascii="Lato" w:eastAsia="Times New Roman" w:hAnsi="Lato" w:cs="Times New Roman"/>
                <w:sz w:val="20"/>
                <w:szCs w:val="20"/>
                <w:lang w:eastAsia="es-MX"/>
              </w:rPr>
            </w:pPr>
          </w:p>
          <w:p w14:paraId="4170F185" w14:textId="77777777" w:rsidR="00772CA1" w:rsidRPr="00772CA1" w:rsidRDefault="00772CA1" w:rsidP="00455B6C">
            <w:pPr>
              <w:rPr>
                <w:rFonts w:ascii="Lato" w:eastAsia="Times New Roman" w:hAnsi="Lato" w:cs="Times New Roman"/>
                <w:color w:val="000000"/>
                <w:sz w:val="20"/>
                <w:szCs w:val="20"/>
                <w:lang w:eastAsia="es-MX"/>
              </w:rPr>
            </w:pPr>
          </w:p>
          <w:p w14:paraId="24EE584E" w14:textId="77777777" w:rsidR="00772CA1" w:rsidRPr="00772CA1" w:rsidRDefault="00772CA1" w:rsidP="00455B6C">
            <w:pPr>
              <w:rPr>
                <w:rFonts w:ascii="Lato" w:eastAsia="Times New Roman" w:hAnsi="Lato" w:cs="Times New Roman"/>
                <w:color w:val="000000"/>
                <w:sz w:val="20"/>
                <w:szCs w:val="20"/>
                <w:lang w:eastAsia="es-MX"/>
              </w:rPr>
            </w:pPr>
          </w:p>
          <w:p w14:paraId="66BE6BC5" w14:textId="77777777" w:rsidR="00772CA1" w:rsidRPr="00772CA1" w:rsidRDefault="00772CA1" w:rsidP="00455B6C">
            <w:pPr>
              <w:rPr>
                <w:rFonts w:ascii="Lato" w:eastAsia="Times New Roman" w:hAnsi="Lato" w:cs="Times New Roman"/>
                <w:sz w:val="20"/>
                <w:szCs w:val="20"/>
                <w:lang w:eastAsia="es-MX"/>
              </w:rPr>
            </w:pPr>
          </w:p>
        </w:tc>
        <w:tc>
          <w:tcPr>
            <w:tcW w:w="484" w:type="pct"/>
            <w:vMerge w:val="restart"/>
            <w:vAlign w:val="center"/>
            <w:hideMark/>
          </w:tcPr>
          <w:p w14:paraId="323950B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5BD94DE5"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25773</w:t>
            </w:r>
          </w:p>
        </w:tc>
        <w:tc>
          <w:tcPr>
            <w:tcW w:w="430" w:type="pct"/>
            <w:vMerge w:val="restart"/>
            <w:vAlign w:val="center"/>
            <w:hideMark/>
          </w:tcPr>
          <w:p w14:paraId="3A8E41D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las actividades de la cultura de la innovación desarrolladas</w:t>
            </w:r>
          </w:p>
        </w:tc>
        <w:tc>
          <w:tcPr>
            <w:tcW w:w="914" w:type="pct"/>
            <w:vMerge w:val="restart"/>
            <w:vAlign w:val="center"/>
            <w:hideMark/>
          </w:tcPr>
          <w:p w14:paraId="7E81251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estudiantes inscritos en las Instituciones de Educación Superior Descentralizadas que participan en las actividades de la cultura de la innovación desarrolladas en relación a la matrícula inscrita en el periodo. Las actividades para desarrollar la cultura de la innovación pueden ser portales de ideas, sesiones de </w:t>
            </w:r>
            <w:proofErr w:type="spellStart"/>
            <w:r w:rsidRPr="00772CA1">
              <w:rPr>
                <w:rFonts w:ascii="Lato" w:eastAsia="Times New Roman" w:hAnsi="Lato" w:cs="Times New Roman"/>
                <w:color w:val="000000"/>
                <w:sz w:val="20"/>
                <w:szCs w:val="20"/>
                <w:lang w:eastAsia="es-MX"/>
              </w:rPr>
              <w:t>brainstorming</w:t>
            </w:r>
            <w:proofErr w:type="spellEnd"/>
            <w:r w:rsidRPr="00772CA1">
              <w:rPr>
                <w:rFonts w:ascii="Lato" w:eastAsia="Times New Roman" w:hAnsi="Lato" w:cs="Times New Roman"/>
                <w:color w:val="000000"/>
                <w:sz w:val="20"/>
                <w:szCs w:val="20"/>
                <w:lang w:eastAsia="es-MX"/>
              </w:rPr>
              <w:t xml:space="preserve">, concursos de innovación o equipos especializados, talleres, cursos, seminarios, </w:t>
            </w:r>
            <w:proofErr w:type="spellStart"/>
            <w:r w:rsidRPr="00772CA1">
              <w:rPr>
                <w:rFonts w:ascii="Lato" w:eastAsia="Times New Roman" w:hAnsi="Lato" w:cs="Times New Roman"/>
                <w:color w:val="000000"/>
                <w:sz w:val="20"/>
                <w:szCs w:val="20"/>
                <w:lang w:eastAsia="es-MX"/>
              </w:rPr>
              <w:t>gamificación</w:t>
            </w:r>
            <w:proofErr w:type="spellEnd"/>
            <w:r w:rsidRPr="00772CA1">
              <w:rPr>
                <w:rFonts w:ascii="Lato" w:eastAsia="Times New Roman" w:hAnsi="Lato" w:cs="Times New Roman"/>
                <w:color w:val="000000"/>
                <w:sz w:val="20"/>
                <w:szCs w:val="20"/>
                <w:lang w:eastAsia="es-MX"/>
              </w:rPr>
              <w:t>, aprendizaje invertido, y el uso de tecnologías emergentes como la realidad virtual.</w:t>
            </w:r>
          </w:p>
        </w:tc>
        <w:tc>
          <w:tcPr>
            <w:tcW w:w="268" w:type="pct"/>
            <w:vMerge w:val="restart"/>
            <w:vAlign w:val="center"/>
            <w:hideMark/>
          </w:tcPr>
          <w:p w14:paraId="3B795FA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3A56E08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las actividades de la cultura de la innovación desarrolladas</w:t>
            </w:r>
          </w:p>
        </w:tc>
        <w:tc>
          <w:tcPr>
            <w:tcW w:w="376" w:type="pct"/>
            <w:vAlign w:val="center"/>
            <w:hideMark/>
          </w:tcPr>
          <w:p w14:paraId="31F0A5F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42%</w:t>
            </w:r>
          </w:p>
        </w:tc>
        <w:tc>
          <w:tcPr>
            <w:tcW w:w="323" w:type="pct"/>
            <w:vAlign w:val="center"/>
            <w:hideMark/>
          </w:tcPr>
          <w:p w14:paraId="781B9F1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6B21AB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9B748D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50%</w:t>
            </w:r>
          </w:p>
        </w:tc>
        <w:tc>
          <w:tcPr>
            <w:tcW w:w="376" w:type="pct"/>
            <w:vMerge w:val="restart"/>
            <w:vAlign w:val="center"/>
            <w:hideMark/>
          </w:tcPr>
          <w:p w14:paraId="5771B3E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523DD059" w14:textId="77777777" w:rsidTr="00772CA1">
        <w:trPr>
          <w:trHeight w:val="1270"/>
        </w:trPr>
        <w:tc>
          <w:tcPr>
            <w:tcW w:w="322" w:type="pct"/>
            <w:vMerge/>
            <w:vAlign w:val="center"/>
            <w:hideMark/>
          </w:tcPr>
          <w:p w14:paraId="26C7B7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6D6F29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F24EC2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683C26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57C67C8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74A52CD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FB581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que participan en las actividades de la cultura de la innovación desarrolladas</w:t>
            </w:r>
          </w:p>
        </w:tc>
        <w:tc>
          <w:tcPr>
            <w:tcW w:w="376" w:type="pct"/>
            <w:vAlign w:val="center"/>
            <w:hideMark/>
          </w:tcPr>
          <w:p w14:paraId="712E617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335</w:t>
            </w:r>
          </w:p>
        </w:tc>
        <w:tc>
          <w:tcPr>
            <w:tcW w:w="323" w:type="pct"/>
            <w:vAlign w:val="center"/>
            <w:hideMark/>
          </w:tcPr>
          <w:p w14:paraId="1B5E84E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41E387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668E1D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425</w:t>
            </w:r>
          </w:p>
        </w:tc>
        <w:tc>
          <w:tcPr>
            <w:tcW w:w="376" w:type="pct"/>
            <w:vMerge/>
            <w:vAlign w:val="center"/>
            <w:hideMark/>
          </w:tcPr>
          <w:p w14:paraId="60AC6F7C"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96DD8DA" w14:textId="77777777" w:rsidTr="00772CA1">
        <w:trPr>
          <w:trHeight w:val="123"/>
        </w:trPr>
        <w:tc>
          <w:tcPr>
            <w:tcW w:w="322" w:type="pct"/>
            <w:vMerge/>
            <w:vAlign w:val="center"/>
            <w:hideMark/>
          </w:tcPr>
          <w:p w14:paraId="286EBA2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AE9340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1F7CD42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2E44C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5B4D991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4AF7453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0B27803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las Instituciones de Educación Superior Públicas Descentralizadas (incluye posgrados)</w:t>
            </w:r>
          </w:p>
        </w:tc>
        <w:tc>
          <w:tcPr>
            <w:tcW w:w="376" w:type="pct"/>
            <w:vAlign w:val="center"/>
            <w:hideMark/>
          </w:tcPr>
          <w:p w14:paraId="056D7B2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541AF04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880642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08E106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4517B45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BF270CA" w14:textId="77777777" w:rsidTr="00772CA1">
        <w:trPr>
          <w:trHeight w:val="40"/>
        </w:trPr>
        <w:tc>
          <w:tcPr>
            <w:tcW w:w="322" w:type="pct"/>
            <w:vMerge w:val="restart"/>
            <w:vAlign w:val="center"/>
            <w:hideMark/>
          </w:tcPr>
          <w:p w14:paraId="4624F0F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123D48C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541D458B"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25272</w:t>
            </w:r>
          </w:p>
        </w:tc>
        <w:tc>
          <w:tcPr>
            <w:tcW w:w="430" w:type="pct"/>
            <w:vMerge w:val="restart"/>
            <w:vAlign w:val="center"/>
            <w:hideMark/>
          </w:tcPr>
          <w:p w14:paraId="0201C42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redes de colaboración con instituciones, empresas y sector social creadas</w:t>
            </w:r>
          </w:p>
        </w:tc>
        <w:tc>
          <w:tcPr>
            <w:tcW w:w="914" w:type="pct"/>
            <w:vMerge w:val="restart"/>
            <w:vAlign w:val="center"/>
            <w:hideMark/>
          </w:tcPr>
          <w:p w14:paraId="18CE0FA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estudiantes que participan en las redes de colaboración creadas. Estas redes de colaboración se realizan con otras instituciones, empresas o el sector social para el intercambio de experiencias, conocimientos o para el desarrollo de las actividades que promueven la cultura de la innovación. Las actividades para desarrollar la cultura de la innovación pueden ser portales de ideas, sesiones de </w:t>
            </w:r>
            <w:proofErr w:type="spellStart"/>
            <w:r w:rsidRPr="00772CA1">
              <w:rPr>
                <w:rFonts w:ascii="Lato" w:eastAsia="Times New Roman" w:hAnsi="Lato" w:cs="Times New Roman"/>
                <w:color w:val="000000"/>
                <w:sz w:val="20"/>
                <w:szCs w:val="20"/>
                <w:lang w:eastAsia="es-MX"/>
              </w:rPr>
              <w:t>brainstorming</w:t>
            </w:r>
            <w:proofErr w:type="spellEnd"/>
            <w:r w:rsidRPr="00772CA1">
              <w:rPr>
                <w:rFonts w:ascii="Lato" w:eastAsia="Times New Roman" w:hAnsi="Lato" w:cs="Times New Roman"/>
                <w:color w:val="000000"/>
                <w:sz w:val="20"/>
                <w:szCs w:val="20"/>
                <w:lang w:eastAsia="es-MX"/>
              </w:rPr>
              <w:t xml:space="preserve">, concursos de innovación o equipos especializados, talleres, cursos, seminarios, </w:t>
            </w:r>
            <w:proofErr w:type="spellStart"/>
            <w:r w:rsidRPr="00772CA1">
              <w:rPr>
                <w:rFonts w:ascii="Lato" w:eastAsia="Times New Roman" w:hAnsi="Lato" w:cs="Times New Roman"/>
                <w:color w:val="000000"/>
                <w:sz w:val="20"/>
                <w:szCs w:val="20"/>
                <w:lang w:eastAsia="es-MX"/>
              </w:rPr>
              <w:t>gamificación</w:t>
            </w:r>
            <w:proofErr w:type="spellEnd"/>
            <w:r w:rsidRPr="00772CA1">
              <w:rPr>
                <w:rFonts w:ascii="Lato" w:eastAsia="Times New Roman" w:hAnsi="Lato" w:cs="Times New Roman"/>
                <w:color w:val="000000"/>
                <w:sz w:val="20"/>
                <w:szCs w:val="20"/>
                <w:lang w:eastAsia="es-MX"/>
              </w:rPr>
              <w:t>, aprendizaje invertido, y el uso de tecnologías emergentes como la realidad virtual.</w:t>
            </w:r>
          </w:p>
        </w:tc>
        <w:tc>
          <w:tcPr>
            <w:tcW w:w="268" w:type="pct"/>
            <w:vMerge w:val="restart"/>
            <w:vAlign w:val="center"/>
            <w:hideMark/>
          </w:tcPr>
          <w:p w14:paraId="343ABE6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4CA74C4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redes de colaboración con instituciones, empresas y sector social creadas</w:t>
            </w:r>
          </w:p>
        </w:tc>
        <w:tc>
          <w:tcPr>
            <w:tcW w:w="376" w:type="pct"/>
            <w:vAlign w:val="center"/>
            <w:hideMark/>
          </w:tcPr>
          <w:p w14:paraId="49256DD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23%</w:t>
            </w:r>
          </w:p>
        </w:tc>
        <w:tc>
          <w:tcPr>
            <w:tcW w:w="323" w:type="pct"/>
            <w:vAlign w:val="center"/>
            <w:hideMark/>
          </w:tcPr>
          <w:p w14:paraId="3BF2F61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0</w:t>
            </w:r>
          </w:p>
          <w:p w14:paraId="72D6CFC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p>
        </w:tc>
        <w:tc>
          <w:tcPr>
            <w:tcW w:w="322" w:type="pct"/>
            <w:vAlign w:val="center"/>
            <w:hideMark/>
          </w:tcPr>
          <w:p w14:paraId="35EDEAD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35658E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28%</w:t>
            </w:r>
          </w:p>
        </w:tc>
        <w:tc>
          <w:tcPr>
            <w:tcW w:w="376" w:type="pct"/>
            <w:vMerge w:val="restart"/>
            <w:vAlign w:val="center"/>
            <w:hideMark/>
          </w:tcPr>
          <w:p w14:paraId="229E3F63"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49FBC095" w14:textId="77777777" w:rsidTr="00772CA1">
        <w:trPr>
          <w:trHeight w:val="263"/>
        </w:trPr>
        <w:tc>
          <w:tcPr>
            <w:tcW w:w="322" w:type="pct"/>
            <w:vMerge/>
            <w:vAlign w:val="center"/>
            <w:hideMark/>
          </w:tcPr>
          <w:p w14:paraId="0EDDB53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A7E1C4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30ECD9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69F1195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61667E3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4040F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AC9978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redes de colaboración creadas</w:t>
            </w:r>
          </w:p>
        </w:tc>
        <w:tc>
          <w:tcPr>
            <w:tcW w:w="376" w:type="pct"/>
            <w:vAlign w:val="center"/>
            <w:hideMark/>
          </w:tcPr>
          <w:p w14:paraId="42C65C3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182</w:t>
            </w:r>
          </w:p>
        </w:tc>
        <w:tc>
          <w:tcPr>
            <w:tcW w:w="323" w:type="pct"/>
            <w:vAlign w:val="center"/>
            <w:hideMark/>
          </w:tcPr>
          <w:p w14:paraId="4ECBE1A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0</w:t>
            </w:r>
          </w:p>
        </w:tc>
        <w:tc>
          <w:tcPr>
            <w:tcW w:w="322" w:type="pct"/>
            <w:vAlign w:val="center"/>
            <w:hideMark/>
          </w:tcPr>
          <w:p w14:paraId="7E9D78D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7A30FB5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250</w:t>
            </w:r>
          </w:p>
        </w:tc>
        <w:tc>
          <w:tcPr>
            <w:tcW w:w="376" w:type="pct"/>
            <w:vMerge/>
            <w:vAlign w:val="center"/>
            <w:hideMark/>
          </w:tcPr>
          <w:p w14:paraId="4427E7FD"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B0133FD" w14:textId="77777777" w:rsidTr="00772CA1">
        <w:trPr>
          <w:trHeight w:val="40"/>
        </w:trPr>
        <w:tc>
          <w:tcPr>
            <w:tcW w:w="322" w:type="pct"/>
            <w:vMerge/>
            <w:vAlign w:val="center"/>
            <w:hideMark/>
          </w:tcPr>
          <w:p w14:paraId="5A17EEA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32AF39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1D0359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BA5734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0543F07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1A6DD4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0287FF2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76" w:type="pct"/>
            <w:vAlign w:val="center"/>
            <w:hideMark/>
          </w:tcPr>
          <w:p w14:paraId="36544B7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5AE0EFD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0</w:t>
            </w:r>
          </w:p>
        </w:tc>
        <w:tc>
          <w:tcPr>
            <w:tcW w:w="322" w:type="pct"/>
            <w:vAlign w:val="center"/>
            <w:hideMark/>
          </w:tcPr>
          <w:p w14:paraId="025D545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5179232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2F47A7E8"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388E69B" w14:textId="77777777" w:rsidTr="00772CA1">
        <w:trPr>
          <w:trHeight w:val="40"/>
        </w:trPr>
        <w:tc>
          <w:tcPr>
            <w:tcW w:w="322" w:type="pct"/>
            <w:vMerge w:val="restart"/>
            <w:vAlign w:val="center"/>
            <w:hideMark/>
          </w:tcPr>
          <w:p w14:paraId="2834606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7C63340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04D0880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25273</w:t>
            </w:r>
          </w:p>
        </w:tc>
        <w:tc>
          <w:tcPr>
            <w:tcW w:w="430" w:type="pct"/>
            <w:vMerge w:val="restart"/>
            <w:vAlign w:val="center"/>
            <w:hideMark/>
          </w:tcPr>
          <w:p w14:paraId="4EFF3C1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equipos multidisciplinarios para la generación de ideas innovadoras formados</w:t>
            </w:r>
          </w:p>
        </w:tc>
        <w:tc>
          <w:tcPr>
            <w:tcW w:w="914" w:type="pct"/>
            <w:vMerge w:val="restart"/>
            <w:vAlign w:val="center"/>
            <w:hideMark/>
          </w:tcPr>
          <w:p w14:paraId="30B176D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estudiantes que participan en equipos multidisciplinarios para la generación de ideas innovadoras formados para los proyectos de innovación que se implementan en las Instituciones de Educación Superior.</w:t>
            </w:r>
          </w:p>
        </w:tc>
        <w:tc>
          <w:tcPr>
            <w:tcW w:w="268" w:type="pct"/>
            <w:vMerge w:val="restart"/>
            <w:vAlign w:val="center"/>
            <w:hideMark/>
          </w:tcPr>
          <w:p w14:paraId="2328848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646FE20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equipos multidisciplinarios para la generación de ideas innovadoras formados</w:t>
            </w:r>
          </w:p>
        </w:tc>
        <w:tc>
          <w:tcPr>
            <w:tcW w:w="376" w:type="pct"/>
            <w:vAlign w:val="center"/>
            <w:hideMark/>
          </w:tcPr>
          <w:p w14:paraId="333F74A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21%</w:t>
            </w:r>
          </w:p>
        </w:tc>
        <w:tc>
          <w:tcPr>
            <w:tcW w:w="323" w:type="pct"/>
            <w:vAlign w:val="center"/>
            <w:hideMark/>
          </w:tcPr>
          <w:p w14:paraId="246BB89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4%</w:t>
            </w:r>
          </w:p>
        </w:tc>
        <w:tc>
          <w:tcPr>
            <w:tcW w:w="322" w:type="pct"/>
            <w:vAlign w:val="center"/>
            <w:hideMark/>
          </w:tcPr>
          <w:p w14:paraId="53942A2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7621083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23%</w:t>
            </w:r>
          </w:p>
        </w:tc>
        <w:tc>
          <w:tcPr>
            <w:tcW w:w="376" w:type="pct"/>
            <w:vMerge w:val="restart"/>
            <w:vAlign w:val="center"/>
            <w:hideMark/>
          </w:tcPr>
          <w:p w14:paraId="6C44B962"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7A48313C" w14:textId="77777777" w:rsidTr="00772CA1">
        <w:trPr>
          <w:trHeight w:val="1838"/>
        </w:trPr>
        <w:tc>
          <w:tcPr>
            <w:tcW w:w="322" w:type="pct"/>
            <w:vMerge/>
            <w:vAlign w:val="center"/>
            <w:hideMark/>
          </w:tcPr>
          <w:p w14:paraId="5603817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F8B15D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75D2926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A467DF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6D5A2CD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77706F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6C537AC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equipos multidisciplinarios para la generación de ideas innovadoras formados</w:t>
            </w:r>
          </w:p>
        </w:tc>
        <w:tc>
          <w:tcPr>
            <w:tcW w:w="376" w:type="pct"/>
            <w:vAlign w:val="center"/>
            <w:hideMark/>
          </w:tcPr>
          <w:p w14:paraId="599971C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170</w:t>
            </w:r>
          </w:p>
        </w:tc>
        <w:tc>
          <w:tcPr>
            <w:tcW w:w="323" w:type="pct"/>
            <w:vAlign w:val="center"/>
            <w:hideMark/>
          </w:tcPr>
          <w:p w14:paraId="6EAF42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30 </w:t>
            </w:r>
          </w:p>
        </w:tc>
        <w:tc>
          <w:tcPr>
            <w:tcW w:w="322" w:type="pct"/>
            <w:vAlign w:val="center"/>
            <w:hideMark/>
          </w:tcPr>
          <w:p w14:paraId="5493321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DF5CA6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200</w:t>
            </w:r>
          </w:p>
        </w:tc>
        <w:tc>
          <w:tcPr>
            <w:tcW w:w="376" w:type="pct"/>
            <w:vMerge/>
            <w:vAlign w:val="center"/>
            <w:hideMark/>
          </w:tcPr>
          <w:p w14:paraId="49631C79"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C4912C5" w14:textId="77777777" w:rsidTr="00772CA1">
        <w:trPr>
          <w:trHeight w:val="592"/>
        </w:trPr>
        <w:tc>
          <w:tcPr>
            <w:tcW w:w="322" w:type="pct"/>
            <w:vMerge/>
            <w:vAlign w:val="center"/>
            <w:hideMark/>
          </w:tcPr>
          <w:p w14:paraId="3E95BE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1B9864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1560DC2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3FE9E0B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0A5F8B1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E673E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29DA817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76" w:type="pct"/>
            <w:vAlign w:val="center"/>
            <w:hideMark/>
          </w:tcPr>
          <w:p w14:paraId="3EA5063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5BED872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850 </w:t>
            </w:r>
          </w:p>
        </w:tc>
        <w:tc>
          <w:tcPr>
            <w:tcW w:w="322" w:type="pct"/>
            <w:vAlign w:val="center"/>
            <w:hideMark/>
          </w:tcPr>
          <w:p w14:paraId="4268104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D457DD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5DF85E5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29F032A" w14:textId="77777777" w:rsidTr="00772CA1">
        <w:trPr>
          <w:trHeight w:val="785"/>
        </w:trPr>
        <w:tc>
          <w:tcPr>
            <w:tcW w:w="322" w:type="pct"/>
            <w:vMerge w:val="restart"/>
            <w:vAlign w:val="center"/>
            <w:hideMark/>
          </w:tcPr>
          <w:p w14:paraId="3A61C225"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5361D03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6A7DD8D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25274</w:t>
            </w:r>
          </w:p>
        </w:tc>
        <w:tc>
          <w:tcPr>
            <w:tcW w:w="430" w:type="pct"/>
            <w:vMerge w:val="restart"/>
            <w:vAlign w:val="center"/>
            <w:hideMark/>
          </w:tcPr>
          <w:p w14:paraId="78F3E06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los cursos de innovación impartidos</w:t>
            </w:r>
          </w:p>
        </w:tc>
        <w:tc>
          <w:tcPr>
            <w:tcW w:w="914" w:type="pct"/>
            <w:vMerge w:val="restart"/>
            <w:vAlign w:val="center"/>
            <w:hideMark/>
          </w:tcPr>
          <w:p w14:paraId="3EF3DF4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estudiantes que participan en los cursos de innovación impartidos en las Instituciones de Educación Superior.</w:t>
            </w:r>
          </w:p>
        </w:tc>
        <w:tc>
          <w:tcPr>
            <w:tcW w:w="268" w:type="pct"/>
            <w:vMerge w:val="restart"/>
            <w:vAlign w:val="center"/>
            <w:hideMark/>
          </w:tcPr>
          <w:p w14:paraId="2CC8776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2198E25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los cursos de innovación impartidos</w:t>
            </w:r>
          </w:p>
        </w:tc>
        <w:tc>
          <w:tcPr>
            <w:tcW w:w="376" w:type="pct"/>
            <w:vAlign w:val="center"/>
            <w:hideMark/>
          </w:tcPr>
          <w:p w14:paraId="012FE12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26%</w:t>
            </w:r>
          </w:p>
        </w:tc>
        <w:tc>
          <w:tcPr>
            <w:tcW w:w="323" w:type="pct"/>
            <w:vAlign w:val="center"/>
            <w:hideMark/>
          </w:tcPr>
          <w:p w14:paraId="24DC40F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0B55AB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865DDA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29%</w:t>
            </w:r>
          </w:p>
        </w:tc>
        <w:tc>
          <w:tcPr>
            <w:tcW w:w="376" w:type="pct"/>
            <w:vMerge w:val="restart"/>
            <w:vAlign w:val="center"/>
            <w:hideMark/>
          </w:tcPr>
          <w:p w14:paraId="36F65170"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1AF656E4" w14:textId="77777777" w:rsidTr="00772CA1">
        <w:trPr>
          <w:trHeight w:val="559"/>
        </w:trPr>
        <w:tc>
          <w:tcPr>
            <w:tcW w:w="322" w:type="pct"/>
            <w:vMerge/>
            <w:vAlign w:val="center"/>
            <w:hideMark/>
          </w:tcPr>
          <w:p w14:paraId="4949350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88528E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77F4FC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A247D0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64DD596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1ABC630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482F880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educación superior que participan en los cursos de innovación impartidos</w:t>
            </w:r>
          </w:p>
        </w:tc>
        <w:tc>
          <w:tcPr>
            <w:tcW w:w="376" w:type="pct"/>
            <w:vAlign w:val="center"/>
            <w:hideMark/>
          </w:tcPr>
          <w:p w14:paraId="6282BD9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210</w:t>
            </w:r>
          </w:p>
        </w:tc>
        <w:tc>
          <w:tcPr>
            <w:tcW w:w="323" w:type="pct"/>
            <w:vAlign w:val="center"/>
            <w:hideMark/>
          </w:tcPr>
          <w:p w14:paraId="4CAF975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74E479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11C406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250</w:t>
            </w:r>
          </w:p>
        </w:tc>
        <w:tc>
          <w:tcPr>
            <w:tcW w:w="376" w:type="pct"/>
            <w:vMerge/>
            <w:vAlign w:val="center"/>
            <w:hideMark/>
          </w:tcPr>
          <w:p w14:paraId="13E0324C"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2EAEA26" w14:textId="77777777" w:rsidTr="00772CA1">
        <w:trPr>
          <w:trHeight w:val="408"/>
        </w:trPr>
        <w:tc>
          <w:tcPr>
            <w:tcW w:w="322" w:type="pct"/>
            <w:vMerge/>
            <w:vAlign w:val="center"/>
            <w:hideMark/>
          </w:tcPr>
          <w:p w14:paraId="7770350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6AF435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CB6DC0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E241C0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4A546C2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23C5B06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20DBEB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76" w:type="pct"/>
            <w:vAlign w:val="center"/>
            <w:hideMark/>
          </w:tcPr>
          <w:p w14:paraId="1459E45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5798EB0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07DC2E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13AA59A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093E37A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D582BA8" w14:textId="77777777" w:rsidTr="00772CA1">
        <w:trPr>
          <w:trHeight w:val="817"/>
        </w:trPr>
        <w:tc>
          <w:tcPr>
            <w:tcW w:w="322" w:type="pct"/>
            <w:vMerge w:val="restart"/>
            <w:vAlign w:val="center"/>
            <w:hideMark/>
          </w:tcPr>
          <w:p w14:paraId="792588C5"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2FFCED0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151DB19C"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25774</w:t>
            </w:r>
          </w:p>
        </w:tc>
        <w:tc>
          <w:tcPr>
            <w:tcW w:w="430" w:type="pct"/>
            <w:vMerge w:val="restart"/>
            <w:vAlign w:val="center"/>
            <w:hideMark/>
          </w:tcPr>
          <w:p w14:paraId="2F336A8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participan en las actividades para el fomento </w:t>
            </w:r>
            <w:r w:rsidRPr="00772CA1">
              <w:rPr>
                <w:rFonts w:ascii="Lato" w:eastAsia="Times New Roman" w:hAnsi="Lato" w:cs="Times New Roman"/>
                <w:color w:val="000000"/>
                <w:sz w:val="20"/>
                <w:szCs w:val="20"/>
                <w:lang w:eastAsia="es-MX"/>
              </w:rPr>
              <w:lastRenderedPageBreak/>
              <w:t>de la investigación</w:t>
            </w:r>
          </w:p>
        </w:tc>
        <w:tc>
          <w:tcPr>
            <w:tcW w:w="914" w:type="pct"/>
            <w:vMerge w:val="restart"/>
            <w:vAlign w:val="center"/>
            <w:hideMark/>
          </w:tcPr>
          <w:p w14:paraId="628A104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xml:space="preserve">Mide la proporción de estudiantes inscritos en las Instituciones de Educación Superior Descentralizadas que participan en las actividades de la cultura de la investigación desarrolladas en relación a la matrícula inscrita en el </w:t>
            </w:r>
            <w:r w:rsidRPr="00772CA1">
              <w:rPr>
                <w:rFonts w:ascii="Lato" w:eastAsia="Times New Roman" w:hAnsi="Lato" w:cs="Times New Roman"/>
                <w:color w:val="000000"/>
                <w:sz w:val="20"/>
                <w:szCs w:val="20"/>
                <w:lang w:eastAsia="es-MX"/>
              </w:rPr>
              <w:lastRenderedPageBreak/>
              <w:t>periodo. Estas actividades pueden ser talleres, conferencias, seminarios, investigación formativa, semilleros de investigación, club de revistas científicas, concursos, entre otros.</w:t>
            </w:r>
          </w:p>
        </w:tc>
        <w:tc>
          <w:tcPr>
            <w:tcW w:w="268" w:type="pct"/>
            <w:vMerge w:val="restart"/>
            <w:vAlign w:val="center"/>
            <w:hideMark/>
          </w:tcPr>
          <w:p w14:paraId="65A0960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A = (B/C) * 100</w:t>
            </w:r>
          </w:p>
        </w:tc>
        <w:tc>
          <w:tcPr>
            <w:tcW w:w="592" w:type="pct"/>
            <w:vAlign w:val="center"/>
            <w:hideMark/>
          </w:tcPr>
          <w:p w14:paraId="5CA8FAB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estudiantes de educación superior que participan en las actividades para el fomento de la investigación</w:t>
            </w:r>
          </w:p>
        </w:tc>
        <w:tc>
          <w:tcPr>
            <w:tcW w:w="376" w:type="pct"/>
            <w:vAlign w:val="center"/>
            <w:hideMark/>
          </w:tcPr>
          <w:p w14:paraId="59A611D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5307787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60A6384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3C94EE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76" w:type="pct"/>
            <w:vMerge w:val="restart"/>
            <w:vAlign w:val="center"/>
            <w:hideMark/>
          </w:tcPr>
          <w:p w14:paraId="3CE5220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00ED9393" w14:textId="77777777" w:rsidTr="00772CA1">
        <w:trPr>
          <w:trHeight w:val="591"/>
        </w:trPr>
        <w:tc>
          <w:tcPr>
            <w:tcW w:w="322" w:type="pct"/>
            <w:vMerge/>
            <w:vAlign w:val="center"/>
            <w:hideMark/>
          </w:tcPr>
          <w:p w14:paraId="7A8FAB3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74A7448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FFBCA4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098BCF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539C77B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4A990E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6828DD8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que participan en las actividades de la cultura de la investigación desarrolladas</w:t>
            </w:r>
          </w:p>
        </w:tc>
        <w:tc>
          <w:tcPr>
            <w:tcW w:w="376" w:type="pct"/>
            <w:vAlign w:val="center"/>
            <w:hideMark/>
          </w:tcPr>
          <w:p w14:paraId="02C8A98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671BFC6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7ADDD6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413597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155BE1AE"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A19449C" w14:textId="77777777" w:rsidTr="00772CA1">
        <w:trPr>
          <w:trHeight w:val="939"/>
        </w:trPr>
        <w:tc>
          <w:tcPr>
            <w:tcW w:w="322" w:type="pct"/>
            <w:vMerge/>
            <w:vAlign w:val="center"/>
            <w:hideMark/>
          </w:tcPr>
          <w:p w14:paraId="35432D3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D2992E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6EF4C4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3F2437C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6B7D755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470B311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36833D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de las Instituciones de Educación Superior Públicas Descentralizadas (incluye posgrados)</w:t>
            </w:r>
          </w:p>
        </w:tc>
        <w:tc>
          <w:tcPr>
            <w:tcW w:w="376" w:type="pct"/>
            <w:vAlign w:val="center"/>
            <w:hideMark/>
          </w:tcPr>
          <w:p w14:paraId="1F98FD0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4B2F7AB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783866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BC8526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1F0CD37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4B9939A" w14:textId="77777777" w:rsidTr="00772CA1">
        <w:trPr>
          <w:trHeight w:val="265"/>
        </w:trPr>
        <w:tc>
          <w:tcPr>
            <w:tcW w:w="322" w:type="pct"/>
            <w:vMerge w:val="restart"/>
            <w:vAlign w:val="center"/>
            <w:hideMark/>
          </w:tcPr>
          <w:p w14:paraId="466A0058"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6B9C0A7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5C4AFAB5"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25278</w:t>
            </w:r>
          </w:p>
        </w:tc>
        <w:tc>
          <w:tcPr>
            <w:tcW w:w="430" w:type="pct"/>
            <w:vMerge w:val="restart"/>
            <w:vAlign w:val="center"/>
            <w:hideMark/>
          </w:tcPr>
          <w:p w14:paraId="4380CC7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resultados de investigación difundidos</w:t>
            </w:r>
          </w:p>
        </w:tc>
        <w:tc>
          <w:tcPr>
            <w:tcW w:w="914" w:type="pct"/>
            <w:vMerge w:val="restart"/>
            <w:vAlign w:val="center"/>
            <w:hideMark/>
          </w:tcPr>
          <w:p w14:paraId="3F31D65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resultados de investigación realizada en las Instituciones de Educación Superior que son difundidos. La difusión puede ser a través de publicaciones académicas, conferencias y otros espacios de divulgación.</w:t>
            </w:r>
          </w:p>
        </w:tc>
        <w:tc>
          <w:tcPr>
            <w:tcW w:w="268" w:type="pct"/>
            <w:vMerge w:val="restart"/>
            <w:vAlign w:val="center"/>
            <w:hideMark/>
          </w:tcPr>
          <w:p w14:paraId="75F895E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5C9BB80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resultados de investigación difundidos</w:t>
            </w:r>
          </w:p>
        </w:tc>
        <w:tc>
          <w:tcPr>
            <w:tcW w:w="376" w:type="pct"/>
            <w:vAlign w:val="center"/>
            <w:hideMark/>
          </w:tcPr>
          <w:p w14:paraId="5CEEC63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4F37339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3C36BF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B10E3F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6205D497"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66351DB5" w14:textId="77777777" w:rsidTr="00772CA1">
        <w:trPr>
          <w:trHeight w:val="190"/>
        </w:trPr>
        <w:tc>
          <w:tcPr>
            <w:tcW w:w="322" w:type="pct"/>
            <w:vMerge/>
            <w:vAlign w:val="center"/>
            <w:hideMark/>
          </w:tcPr>
          <w:p w14:paraId="2E60404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D8DD82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5A92DA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464913F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C8FE2B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6F872B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455F58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proyectos de investigación con resultados difundidos</w:t>
            </w:r>
          </w:p>
        </w:tc>
        <w:tc>
          <w:tcPr>
            <w:tcW w:w="376" w:type="pct"/>
            <w:vAlign w:val="center"/>
            <w:hideMark/>
          </w:tcPr>
          <w:p w14:paraId="20BA13F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1D9CBA6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0A6F84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0906C6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7F9A86D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760545D" w14:textId="77777777" w:rsidTr="00772CA1">
        <w:trPr>
          <w:trHeight w:val="279"/>
        </w:trPr>
        <w:tc>
          <w:tcPr>
            <w:tcW w:w="322" w:type="pct"/>
            <w:vMerge/>
            <w:vAlign w:val="center"/>
            <w:hideMark/>
          </w:tcPr>
          <w:p w14:paraId="1EC19CF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4AFA55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6167E7B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6A31CFF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140336A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5A557AC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C547F7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proyectos de investigación con resultados obtenidos.</w:t>
            </w:r>
          </w:p>
        </w:tc>
        <w:tc>
          <w:tcPr>
            <w:tcW w:w="376" w:type="pct"/>
            <w:vAlign w:val="center"/>
            <w:hideMark/>
          </w:tcPr>
          <w:p w14:paraId="70AA90C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5A821ED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CE6805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1D5653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3298B4E4"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AC51D2D" w14:textId="77777777" w:rsidTr="00772CA1">
        <w:trPr>
          <w:trHeight w:val="40"/>
        </w:trPr>
        <w:tc>
          <w:tcPr>
            <w:tcW w:w="322" w:type="pct"/>
            <w:vMerge w:val="restart"/>
            <w:vAlign w:val="center"/>
            <w:hideMark/>
          </w:tcPr>
          <w:p w14:paraId="35913CD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1FD7E1C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37FCF7F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25279</w:t>
            </w:r>
          </w:p>
        </w:tc>
        <w:tc>
          <w:tcPr>
            <w:tcW w:w="430" w:type="pct"/>
            <w:vMerge w:val="restart"/>
            <w:vAlign w:val="center"/>
            <w:hideMark/>
          </w:tcPr>
          <w:p w14:paraId="7EC2924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equipos multidisciplinarios para la generación de investigación formados</w:t>
            </w:r>
          </w:p>
        </w:tc>
        <w:tc>
          <w:tcPr>
            <w:tcW w:w="914" w:type="pct"/>
            <w:vMerge w:val="restart"/>
            <w:vAlign w:val="center"/>
            <w:hideMark/>
          </w:tcPr>
          <w:p w14:paraId="09739BA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estudiantes que participan en equipos multidisciplinarios para la generación de investigación formados para los proyectos de investigación que se implementan en las Instituciones de Educación Superior.</w:t>
            </w:r>
          </w:p>
        </w:tc>
        <w:tc>
          <w:tcPr>
            <w:tcW w:w="268" w:type="pct"/>
            <w:vMerge w:val="restart"/>
            <w:vAlign w:val="center"/>
            <w:hideMark/>
          </w:tcPr>
          <w:p w14:paraId="3327C72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18105A2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equipos multidisciplinarios para la generación de investigación formados</w:t>
            </w:r>
          </w:p>
        </w:tc>
        <w:tc>
          <w:tcPr>
            <w:tcW w:w="376" w:type="pct"/>
            <w:vAlign w:val="center"/>
            <w:hideMark/>
          </w:tcPr>
          <w:p w14:paraId="465F06A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468ED38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705628A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46362F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76" w:type="pct"/>
            <w:vMerge w:val="restart"/>
            <w:vAlign w:val="center"/>
            <w:hideMark/>
          </w:tcPr>
          <w:p w14:paraId="63D984B6"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393BA130" w14:textId="77777777" w:rsidTr="00772CA1">
        <w:trPr>
          <w:trHeight w:val="853"/>
        </w:trPr>
        <w:tc>
          <w:tcPr>
            <w:tcW w:w="322" w:type="pct"/>
            <w:vMerge/>
            <w:vAlign w:val="center"/>
            <w:hideMark/>
          </w:tcPr>
          <w:p w14:paraId="66FCFFC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2ECF9C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837905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6A8A71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F1F805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68A5E3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54E60E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estudiantes de educación superior que participan en los equipos </w:t>
            </w:r>
            <w:r w:rsidRPr="00772CA1">
              <w:rPr>
                <w:rFonts w:ascii="Lato" w:eastAsia="Times New Roman" w:hAnsi="Lato" w:cs="Times New Roman"/>
                <w:color w:val="000000"/>
                <w:sz w:val="20"/>
                <w:szCs w:val="20"/>
                <w:lang w:eastAsia="es-MX"/>
              </w:rPr>
              <w:lastRenderedPageBreak/>
              <w:t>multidisciplinarios para la generación de investigación formados</w:t>
            </w:r>
          </w:p>
        </w:tc>
        <w:tc>
          <w:tcPr>
            <w:tcW w:w="376" w:type="pct"/>
            <w:vAlign w:val="center"/>
            <w:hideMark/>
          </w:tcPr>
          <w:p w14:paraId="5AE8DC8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 </w:t>
            </w:r>
          </w:p>
        </w:tc>
        <w:tc>
          <w:tcPr>
            <w:tcW w:w="323" w:type="pct"/>
            <w:vAlign w:val="center"/>
            <w:hideMark/>
          </w:tcPr>
          <w:p w14:paraId="32611A0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231845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50AE139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w:t>
            </w:r>
          </w:p>
        </w:tc>
        <w:tc>
          <w:tcPr>
            <w:tcW w:w="376" w:type="pct"/>
            <w:vMerge/>
            <w:vAlign w:val="center"/>
            <w:hideMark/>
          </w:tcPr>
          <w:p w14:paraId="41321425"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699AAA0B" w14:textId="77777777" w:rsidTr="00772CA1">
        <w:trPr>
          <w:trHeight w:val="561"/>
        </w:trPr>
        <w:tc>
          <w:tcPr>
            <w:tcW w:w="322" w:type="pct"/>
            <w:vMerge/>
            <w:vAlign w:val="center"/>
            <w:hideMark/>
          </w:tcPr>
          <w:p w14:paraId="3FA38EC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0A9F23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12BDF41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C4A9EA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5B45E4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23913BB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5ADD2F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76" w:type="pct"/>
            <w:vAlign w:val="center"/>
            <w:hideMark/>
          </w:tcPr>
          <w:p w14:paraId="48826F7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4EFB3B7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7251B2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58F4F4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65E05145"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40905ED" w14:textId="77777777" w:rsidTr="00772CA1">
        <w:trPr>
          <w:trHeight w:val="40"/>
        </w:trPr>
        <w:tc>
          <w:tcPr>
            <w:tcW w:w="322" w:type="pct"/>
            <w:vMerge w:val="restart"/>
            <w:vAlign w:val="center"/>
            <w:hideMark/>
          </w:tcPr>
          <w:p w14:paraId="6D7A4A00"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0775D25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674. Promoción de la innovación y sostenibilidad en la Educación Superior</w:t>
            </w:r>
          </w:p>
        </w:tc>
        <w:tc>
          <w:tcPr>
            <w:tcW w:w="377" w:type="pct"/>
            <w:vMerge w:val="restart"/>
            <w:vAlign w:val="center"/>
            <w:hideMark/>
          </w:tcPr>
          <w:p w14:paraId="4E12520E"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25280</w:t>
            </w:r>
          </w:p>
        </w:tc>
        <w:tc>
          <w:tcPr>
            <w:tcW w:w="430" w:type="pct"/>
            <w:vMerge w:val="restart"/>
            <w:vAlign w:val="center"/>
            <w:hideMark/>
          </w:tcPr>
          <w:p w14:paraId="2FE2BAC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participan en los talleres, seminarios y </w:t>
            </w:r>
            <w:proofErr w:type="spellStart"/>
            <w:r w:rsidRPr="00772CA1">
              <w:rPr>
                <w:rFonts w:ascii="Lato" w:eastAsia="Times New Roman" w:hAnsi="Lato" w:cs="Times New Roman"/>
                <w:color w:val="000000"/>
                <w:sz w:val="20"/>
                <w:szCs w:val="20"/>
                <w:lang w:eastAsia="es-MX"/>
              </w:rPr>
              <w:t>mentorías</w:t>
            </w:r>
            <w:proofErr w:type="spellEnd"/>
            <w:r w:rsidRPr="00772CA1">
              <w:rPr>
                <w:rFonts w:ascii="Lato" w:eastAsia="Times New Roman" w:hAnsi="Lato" w:cs="Times New Roman"/>
                <w:color w:val="000000"/>
                <w:sz w:val="20"/>
                <w:szCs w:val="20"/>
                <w:lang w:eastAsia="es-MX"/>
              </w:rPr>
              <w:t xml:space="preserve"> de investigación impartidos</w:t>
            </w:r>
          </w:p>
        </w:tc>
        <w:tc>
          <w:tcPr>
            <w:tcW w:w="914" w:type="pct"/>
            <w:vMerge w:val="restart"/>
            <w:vAlign w:val="center"/>
            <w:hideMark/>
          </w:tcPr>
          <w:p w14:paraId="2823458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estudiantes que participan en los talleres, seminarios y </w:t>
            </w:r>
            <w:proofErr w:type="spellStart"/>
            <w:r w:rsidRPr="00772CA1">
              <w:rPr>
                <w:rFonts w:ascii="Lato" w:eastAsia="Times New Roman" w:hAnsi="Lato" w:cs="Times New Roman"/>
                <w:color w:val="000000"/>
                <w:sz w:val="20"/>
                <w:szCs w:val="20"/>
                <w:lang w:eastAsia="es-MX"/>
              </w:rPr>
              <w:t>mentorías</w:t>
            </w:r>
            <w:proofErr w:type="spellEnd"/>
            <w:r w:rsidRPr="00772CA1">
              <w:rPr>
                <w:rFonts w:ascii="Lato" w:eastAsia="Times New Roman" w:hAnsi="Lato" w:cs="Times New Roman"/>
                <w:color w:val="000000"/>
                <w:sz w:val="20"/>
                <w:szCs w:val="20"/>
                <w:lang w:eastAsia="es-MX"/>
              </w:rPr>
              <w:t xml:space="preserve"> de investigación impartidos en las Instituciones de Educación Superior o a partir las redes de colaboración entre instituciones, sector empresarial o social.</w:t>
            </w:r>
          </w:p>
        </w:tc>
        <w:tc>
          <w:tcPr>
            <w:tcW w:w="268" w:type="pct"/>
            <w:vMerge w:val="restart"/>
            <w:vAlign w:val="center"/>
            <w:hideMark/>
          </w:tcPr>
          <w:p w14:paraId="6C2EDD2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5CE5FE5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Porcentaje de estudiantes de educación superior que participan en los talleres, seminarios y </w:t>
            </w:r>
            <w:proofErr w:type="spellStart"/>
            <w:r w:rsidRPr="00772CA1">
              <w:rPr>
                <w:rFonts w:ascii="Lato" w:eastAsia="Times New Roman" w:hAnsi="Lato" w:cs="Times New Roman"/>
                <w:color w:val="000000"/>
                <w:sz w:val="20"/>
                <w:szCs w:val="20"/>
                <w:lang w:eastAsia="es-MX"/>
              </w:rPr>
              <w:t>mentorías</w:t>
            </w:r>
            <w:proofErr w:type="spellEnd"/>
            <w:r w:rsidRPr="00772CA1">
              <w:rPr>
                <w:rFonts w:ascii="Lato" w:eastAsia="Times New Roman" w:hAnsi="Lato" w:cs="Times New Roman"/>
                <w:color w:val="000000"/>
                <w:sz w:val="20"/>
                <w:szCs w:val="20"/>
                <w:lang w:eastAsia="es-MX"/>
              </w:rPr>
              <w:t xml:space="preserve"> de investigación impartidos</w:t>
            </w:r>
          </w:p>
        </w:tc>
        <w:tc>
          <w:tcPr>
            <w:tcW w:w="376" w:type="pct"/>
            <w:vAlign w:val="center"/>
            <w:hideMark/>
          </w:tcPr>
          <w:p w14:paraId="7E5B818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1786340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0</w:t>
            </w:r>
          </w:p>
        </w:tc>
        <w:tc>
          <w:tcPr>
            <w:tcW w:w="322" w:type="pct"/>
            <w:vAlign w:val="center"/>
            <w:hideMark/>
          </w:tcPr>
          <w:p w14:paraId="1285B0F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DE2490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w:t>
            </w:r>
          </w:p>
        </w:tc>
        <w:tc>
          <w:tcPr>
            <w:tcW w:w="376" w:type="pct"/>
            <w:vMerge w:val="restart"/>
            <w:vAlign w:val="center"/>
            <w:hideMark/>
          </w:tcPr>
          <w:p w14:paraId="5D18307D"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453DDB42" w14:textId="77777777" w:rsidTr="00772CA1">
        <w:trPr>
          <w:trHeight w:val="40"/>
        </w:trPr>
        <w:tc>
          <w:tcPr>
            <w:tcW w:w="322" w:type="pct"/>
            <w:vMerge/>
            <w:vAlign w:val="center"/>
            <w:hideMark/>
          </w:tcPr>
          <w:p w14:paraId="693518C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503A52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67E327A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075EA4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16A92B6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72F34CE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AD96FF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Total de estudiantes de educación superior que participan en los talleres, seminarios y </w:t>
            </w:r>
            <w:proofErr w:type="spellStart"/>
            <w:r w:rsidRPr="00772CA1">
              <w:rPr>
                <w:rFonts w:ascii="Lato" w:eastAsia="Times New Roman" w:hAnsi="Lato" w:cs="Times New Roman"/>
                <w:color w:val="000000"/>
                <w:sz w:val="20"/>
                <w:szCs w:val="20"/>
                <w:lang w:eastAsia="es-MX"/>
              </w:rPr>
              <w:t>mentorías</w:t>
            </w:r>
            <w:proofErr w:type="spellEnd"/>
            <w:r w:rsidRPr="00772CA1">
              <w:rPr>
                <w:rFonts w:ascii="Lato" w:eastAsia="Times New Roman" w:hAnsi="Lato" w:cs="Times New Roman"/>
                <w:color w:val="000000"/>
                <w:sz w:val="20"/>
                <w:szCs w:val="20"/>
                <w:lang w:eastAsia="es-MX"/>
              </w:rPr>
              <w:t xml:space="preserve"> de investigación impartidos</w:t>
            </w:r>
          </w:p>
        </w:tc>
        <w:tc>
          <w:tcPr>
            <w:tcW w:w="376" w:type="pct"/>
            <w:vAlign w:val="center"/>
            <w:hideMark/>
          </w:tcPr>
          <w:p w14:paraId="02A925E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2E20F52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0 </w:t>
            </w:r>
          </w:p>
        </w:tc>
        <w:tc>
          <w:tcPr>
            <w:tcW w:w="322" w:type="pct"/>
            <w:vAlign w:val="center"/>
            <w:hideMark/>
          </w:tcPr>
          <w:p w14:paraId="41699CE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0BB5428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w:t>
            </w:r>
          </w:p>
        </w:tc>
        <w:tc>
          <w:tcPr>
            <w:tcW w:w="376" w:type="pct"/>
            <w:vMerge/>
            <w:vAlign w:val="center"/>
            <w:hideMark/>
          </w:tcPr>
          <w:p w14:paraId="43C705FF"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254C4CDD" w14:textId="77777777" w:rsidTr="00772CA1">
        <w:trPr>
          <w:trHeight w:val="266"/>
        </w:trPr>
        <w:tc>
          <w:tcPr>
            <w:tcW w:w="322" w:type="pct"/>
            <w:vMerge/>
            <w:vAlign w:val="center"/>
            <w:hideMark/>
          </w:tcPr>
          <w:p w14:paraId="711141B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E1352B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659F24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43B1656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078C6D8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15180B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EC4F08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estudiantes inscritos en las Instituciones de Educación Superior Descentralizadas (incluye posgrados)</w:t>
            </w:r>
          </w:p>
        </w:tc>
        <w:tc>
          <w:tcPr>
            <w:tcW w:w="376" w:type="pct"/>
            <w:vAlign w:val="center"/>
            <w:hideMark/>
          </w:tcPr>
          <w:p w14:paraId="044C86B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793</w:t>
            </w:r>
          </w:p>
        </w:tc>
        <w:tc>
          <w:tcPr>
            <w:tcW w:w="323" w:type="pct"/>
            <w:vAlign w:val="center"/>
            <w:hideMark/>
          </w:tcPr>
          <w:p w14:paraId="06DA121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850</w:t>
            </w:r>
          </w:p>
        </w:tc>
        <w:tc>
          <w:tcPr>
            <w:tcW w:w="322" w:type="pct"/>
            <w:vAlign w:val="center"/>
            <w:hideMark/>
          </w:tcPr>
          <w:p w14:paraId="76F5123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2C8863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850</w:t>
            </w:r>
          </w:p>
        </w:tc>
        <w:tc>
          <w:tcPr>
            <w:tcW w:w="376" w:type="pct"/>
            <w:vMerge/>
            <w:vAlign w:val="center"/>
            <w:hideMark/>
          </w:tcPr>
          <w:p w14:paraId="51D2F6A1"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9BFB0C7" w14:textId="77777777" w:rsidTr="00772CA1">
        <w:trPr>
          <w:trHeight w:val="40"/>
        </w:trPr>
        <w:tc>
          <w:tcPr>
            <w:tcW w:w="322" w:type="pct"/>
            <w:vMerge w:val="restart"/>
            <w:vAlign w:val="center"/>
            <w:hideMark/>
          </w:tcPr>
          <w:p w14:paraId="7B2D93F9"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1E92A18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7A4CA637"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25268</w:t>
            </w:r>
          </w:p>
        </w:tc>
        <w:tc>
          <w:tcPr>
            <w:tcW w:w="430" w:type="pct"/>
            <w:vMerge w:val="restart"/>
            <w:vAlign w:val="center"/>
            <w:hideMark/>
          </w:tcPr>
          <w:p w14:paraId="69917FD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actividades de promoción de la oferta educativa realizadas.</w:t>
            </w:r>
          </w:p>
        </w:tc>
        <w:tc>
          <w:tcPr>
            <w:tcW w:w="914" w:type="pct"/>
            <w:vMerge w:val="restart"/>
            <w:vAlign w:val="center"/>
            <w:hideMark/>
          </w:tcPr>
          <w:p w14:paraId="0DE16E3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las actividades de promoción de oferta educativa superior realizada en un periodo de tiempo por las Instituciones de Educación Superior Descentralizadas y Escuelas Normales. Las campañas pueden ser: publicaciones de la revista institucional, medios electrónicos, radio, televisión, internet, ferias, actividades o eventos, carteles, folletos, visitas guiadas. </w:t>
            </w:r>
          </w:p>
        </w:tc>
        <w:tc>
          <w:tcPr>
            <w:tcW w:w="268" w:type="pct"/>
            <w:vMerge w:val="restart"/>
            <w:vAlign w:val="center"/>
            <w:hideMark/>
          </w:tcPr>
          <w:p w14:paraId="1C4ED09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16A3D2D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actividades de promoción de la oferta educativa realizadas.</w:t>
            </w:r>
          </w:p>
        </w:tc>
        <w:tc>
          <w:tcPr>
            <w:tcW w:w="376" w:type="pct"/>
            <w:vAlign w:val="center"/>
            <w:hideMark/>
          </w:tcPr>
          <w:p w14:paraId="25DC7A98"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23" w:type="pct"/>
            <w:vAlign w:val="center"/>
            <w:hideMark/>
          </w:tcPr>
          <w:p w14:paraId="1657CFB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1C7952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0B23A4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7071D32F"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1C322B44" w14:textId="77777777" w:rsidTr="00772CA1">
        <w:trPr>
          <w:trHeight w:val="75"/>
        </w:trPr>
        <w:tc>
          <w:tcPr>
            <w:tcW w:w="322" w:type="pct"/>
            <w:vMerge/>
            <w:vAlign w:val="center"/>
            <w:hideMark/>
          </w:tcPr>
          <w:p w14:paraId="29EDA22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C718BA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B0854D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19AAE8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4CA5C1F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E0F610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F08F3E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actividades de promoción de la oferta educativa superior realizadas</w:t>
            </w:r>
          </w:p>
        </w:tc>
        <w:tc>
          <w:tcPr>
            <w:tcW w:w="376" w:type="pct"/>
            <w:vAlign w:val="center"/>
            <w:hideMark/>
          </w:tcPr>
          <w:p w14:paraId="1582840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w:t>
            </w:r>
          </w:p>
        </w:tc>
        <w:tc>
          <w:tcPr>
            <w:tcW w:w="323" w:type="pct"/>
            <w:vAlign w:val="center"/>
            <w:hideMark/>
          </w:tcPr>
          <w:p w14:paraId="4B1075A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17DA74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5C886B4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w:t>
            </w:r>
          </w:p>
        </w:tc>
        <w:tc>
          <w:tcPr>
            <w:tcW w:w="376" w:type="pct"/>
            <w:vMerge/>
            <w:vAlign w:val="center"/>
            <w:hideMark/>
          </w:tcPr>
          <w:p w14:paraId="788833A5"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779D29B3" w14:textId="77777777" w:rsidTr="00772CA1">
        <w:trPr>
          <w:trHeight w:val="40"/>
        </w:trPr>
        <w:tc>
          <w:tcPr>
            <w:tcW w:w="322" w:type="pct"/>
            <w:vMerge/>
            <w:vAlign w:val="center"/>
            <w:hideMark/>
          </w:tcPr>
          <w:p w14:paraId="4BB29FF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1EAF1BB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3EC7580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0088095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DDBF6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7A9D8AA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08DD7E9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actividades de promoción de la oferta educativa superior programadas</w:t>
            </w:r>
          </w:p>
        </w:tc>
        <w:tc>
          <w:tcPr>
            <w:tcW w:w="376" w:type="pct"/>
            <w:vAlign w:val="center"/>
            <w:hideMark/>
          </w:tcPr>
          <w:p w14:paraId="344E30D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5</w:t>
            </w:r>
          </w:p>
        </w:tc>
        <w:tc>
          <w:tcPr>
            <w:tcW w:w="323" w:type="pct"/>
            <w:vAlign w:val="center"/>
            <w:hideMark/>
          </w:tcPr>
          <w:p w14:paraId="36B359C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98711D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DC3241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w:t>
            </w:r>
          </w:p>
        </w:tc>
        <w:tc>
          <w:tcPr>
            <w:tcW w:w="376" w:type="pct"/>
            <w:vMerge/>
            <w:vAlign w:val="center"/>
            <w:hideMark/>
          </w:tcPr>
          <w:p w14:paraId="724C63CA"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19EF5F3D" w14:textId="77777777" w:rsidTr="00772CA1">
        <w:trPr>
          <w:trHeight w:val="852"/>
        </w:trPr>
        <w:tc>
          <w:tcPr>
            <w:tcW w:w="322" w:type="pct"/>
            <w:vMerge w:val="restart"/>
            <w:vAlign w:val="center"/>
            <w:hideMark/>
          </w:tcPr>
          <w:p w14:paraId="6355B8D4"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6AA0802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2A60F13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25158</w:t>
            </w:r>
          </w:p>
        </w:tc>
        <w:tc>
          <w:tcPr>
            <w:tcW w:w="430" w:type="pct"/>
            <w:vMerge w:val="restart"/>
            <w:vAlign w:val="center"/>
            <w:hideMark/>
          </w:tcPr>
          <w:p w14:paraId="6411D84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universitarios en inclusión, sustentabilidad y responsabilidad social realizados</w:t>
            </w:r>
          </w:p>
        </w:tc>
        <w:tc>
          <w:tcPr>
            <w:tcW w:w="914" w:type="pct"/>
            <w:vMerge w:val="restart"/>
            <w:vAlign w:val="center"/>
            <w:hideMark/>
          </w:tcPr>
          <w:p w14:paraId="1BA27F0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servicios universitarios en inclusión, sustentabilidad y responsabilidad social que son realizados por las Instituciones de Educación Superior descentralizadas. Estos servicios son un conjunto de políticas y programas que buscan transformar la universidad y a la sociedad, integrando la ética, la equidad y el respeto por el medio ambiente en todas sus actividades.</w:t>
            </w:r>
          </w:p>
        </w:tc>
        <w:tc>
          <w:tcPr>
            <w:tcW w:w="268" w:type="pct"/>
            <w:vMerge w:val="restart"/>
            <w:vAlign w:val="center"/>
            <w:hideMark/>
          </w:tcPr>
          <w:p w14:paraId="43EFC63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60953A2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servicios universitarios en inclusión, sustentabilidad y responsabilidad social realizados</w:t>
            </w:r>
          </w:p>
        </w:tc>
        <w:tc>
          <w:tcPr>
            <w:tcW w:w="376" w:type="pct"/>
            <w:vAlign w:val="center"/>
            <w:hideMark/>
          </w:tcPr>
          <w:p w14:paraId="57E4A6C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w:t>
            </w:r>
          </w:p>
        </w:tc>
        <w:tc>
          <w:tcPr>
            <w:tcW w:w="323" w:type="pct"/>
            <w:vAlign w:val="center"/>
            <w:hideMark/>
          </w:tcPr>
          <w:p w14:paraId="79DF44D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05609B1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62A70A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052FE84C"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682FF25D" w14:textId="77777777" w:rsidTr="00772CA1">
        <w:trPr>
          <w:trHeight w:val="332"/>
        </w:trPr>
        <w:tc>
          <w:tcPr>
            <w:tcW w:w="322" w:type="pct"/>
            <w:vMerge/>
            <w:vAlign w:val="center"/>
            <w:hideMark/>
          </w:tcPr>
          <w:p w14:paraId="0F25606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7F046E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47DDE76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704786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718BAA2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160CB1B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000A1E2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servicios universitarios en inclusión, sustentabilidad y responsabilidad social realizados</w:t>
            </w:r>
          </w:p>
        </w:tc>
        <w:tc>
          <w:tcPr>
            <w:tcW w:w="376" w:type="pct"/>
            <w:vAlign w:val="center"/>
            <w:hideMark/>
          </w:tcPr>
          <w:p w14:paraId="1F32CCBB"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4</w:t>
            </w:r>
          </w:p>
        </w:tc>
        <w:tc>
          <w:tcPr>
            <w:tcW w:w="323" w:type="pct"/>
            <w:vAlign w:val="center"/>
            <w:hideMark/>
          </w:tcPr>
          <w:p w14:paraId="7AE4D54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37D63CB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30E3F62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w:t>
            </w:r>
          </w:p>
        </w:tc>
        <w:tc>
          <w:tcPr>
            <w:tcW w:w="376" w:type="pct"/>
            <w:vMerge/>
            <w:vAlign w:val="center"/>
            <w:hideMark/>
          </w:tcPr>
          <w:p w14:paraId="3466D617"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39A64B20" w14:textId="77777777" w:rsidTr="00772CA1">
        <w:trPr>
          <w:trHeight w:val="40"/>
        </w:trPr>
        <w:tc>
          <w:tcPr>
            <w:tcW w:w="322" w:type="pct"/>
            <w:vMerge/>
            <w:vAlign w:val="center"/>
            <w:hideMark/>
          </w:tcPr>
          <w:p w14:paraId="1271DAF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34E9EEE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D7EDE1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571B382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4A47010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20FFF60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68DA3F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servicios universitarios en inclusión, sustentabilidad y responsabilidad social planeados</w:t>
            </w:r>
          </w:p>
        </w:tc>
        <w:tc>
          <w:tcPr>
            <w:tcW w:w="376" w:type="pct"/>
            <w:vAlign w:val="center"/>
            <w:hideMark/>
          </w:tcPr>
          <w:p w14:paraId="52D7EA2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w:t>
            </w:r>
          </w:p>
        </w:tc>
        <w:tc>
          <w:tcPr>
            <w:tcW w:w="323" w:type="pct"/>
            <w:vAlign w:val="center"/>
            <w:hideMark/>
          </w:tcPr>
          <w:p w14:paraId="403EFFE9"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4BEC5F64"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6145FB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w:t>
            </w:r>
          </w:p>
        </w:tc>
        <w:tc>
          <w:tcPr>
            <w:tcW w:w="376" w:type="pct"/>
            <w:vMerge/>
            <w:vAlign w:val="center"/>
            <w:hideMark/>
          </w:tcPr>
          <w:p w14:paraId="16A7AD0B"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47011090" w14:textId="77777777" w:rsidTr="00772CA1">
        <w:trPr>
          <w:trHeight w:val="40"/>
        </w:trPr>
        <w:tc>
          <w:tcPr>
            <w:tcW w:w="322" w:type="pct"/>
            <w:vMerge w:val="restart"/>
            <w:vAlign w:val="center"/>
            <w:hideMark/>
          </w:tcPr>
          <w:p w14:paraId="3B9CD315"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lastRenderedPageBreak/>
              <w:t>2026</w:t>
            </w:r>
          </w:p>
        </w:tc>
        <w:tc>
          <w:tcPr>
            <w:tcW w:w="484" w:type="pct"/>
            <w:vMerge w:val="restart"/>
            <w:vAlign w:val="center"/>
            <w:hideMark/>
          </w:tcPr>
          <w:p w14:paraId="0A5A98E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50A8D2AC"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25983</w:t>
            </w:r>
          </w:p>
        </w:tc>
        <w:tc>
          <w:tcPr>
            <w:tcW w:w="430" w:type="pct"/>
            <w:vMerge w:val="restart"/>
            <w:vAlign w:val="center"/>
            <w:hideMark/>
          </w:tcPr>
          <w:p w14:paraId="77A6FAE1"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convenios de responsabilidad social universitaria con el sector productivo y social formalizados</w:t>
            </w:r>
          </w:p>
        </w:tc>
        <w:tc>
          <w:tcPr>
            <w:tcW w:w="914" w:type="pct"/>
            <w:vMerge w:val="restart"/>
            <w:vAlign w:val="center"/>
            <w:hideMark/>
          </w:tcPr>
          <w:p w14:paraId="5BF387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Mide la proporción de convenios que son formalizados con empresas u organismos para el desarrollo de actividades de responsabilidad social universitaria. Estos convenios es necesarios que sean formalizados para que el estudiante pueda participar y en ellos se fijan las reglas claras de los marcos de actuación de cada una de las partes involucradas.</w:t>
            </w:r>
          </w:p>
        </w:tc>
        <w:tc>
          <w:tcPr>
            <w:tcW w:w="268" w:type="pct"/>
            <w:vMerge w:val="restart"/>
            <w:vAlign w:val="center"/>
            <w:hideMark/>
          </w:tcPr>
          <w:p w14:paraId="289838F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72CDC3E7"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convenios de responsabilidad social universitaria con el sector productivo y social formalizados</w:t>
            </w:r>
          </w:p>
        </w:tc>
        <w:tc>
          <w:tcPr>
            <w:tcW w:w="376" w:type="pct"/>
            <w:vAlign w:val="center"/>
            <w:hideMark/>
          </w:tcPr>
          <w:p w14:paraId="5AE157E6"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11F5EA7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 </w:t>
            </w:r>
          </w:p>
        </w:tc>
        <w:tc>
          <w:tcPr>
            <w:tcW w:w="322" w:type="pct"/>
            <w:vAlign w:val="center"/>
            <w:hideMark/>
          </w:tcPr>
          <w:p w14:paraId="222FF3B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4A5F805"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0E289C4E"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 xml:space="preserve">Trimestral </w:t>
            </w:r>
          </w:p>
        </w:tc>
      </w:tr>
      <w:tr w:rsidR="00772CA1" w:rsidRPr="00772CA1" w14:paraId="3489FAA5" w14:textId="77777777" w:rsidTr="00772CA1">
        <w:trPr>
          <w:trHeight w:val="40"/>
        </w:trPr>
        <w:tc>
          <w:tcPr>
            <w:tcW w:w="322" w:type="pct"/>
            <w:vMerge/>
            <w:vAlign w:val="center"/>
            <w:hideMark/>
          </w:tcPr>
          <w:p w14:paraId="0EE52EF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0946AA1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76F82CB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9D7513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4452F5B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3DA8F4F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15CAD49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Convenios de responsabilidad social universitaria con el sector productivo y social formalizados</w:t>
            </w:r>
          </w:p>
        </w:tc>
        <w:tc>
          <w:tcPr>
            <w:tcW w:w="376" w:type="pct"/>
            <w:vAlign w:val="center"/>
            <w:hideMark/>
          </w:tcPr>
          <w:p w14:paraId="214A806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422D615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2 </w:t>
            </w:r>
          </w:p>
        </w:tc>
        <w:tc>
          <w:tcPr>
            <w:tcW w:w="322" w:type="pct"/>
            <w:vAlign w:val="center"/>
            <w:hideMark/>
          </w:tcPr>
          <w:p w14:paraId="61FCF41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402DF9B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3ED2B581"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4E3B98A" w14:textId="77777777" w:rsidTr="00772CA1">
        <w:trPr>
          <w:trHeight w:val="686"/>
        </w:trPr>
        <w:tc>
          <w:tcPr>
            <w:tcW w:w="322" w:type="pct"/>
            <w:vMerge/>
            <w:vAlign w:val="center"/>
            <w:hideMark/>
          </w:tcPr>
          <w:p w14:paraId="2C614B2F"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2B8E093E"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030547B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7C9D408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7C136F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A675E75"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3A9F5A1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Convenios de responsabilidad social universitaria con el sector productivo y social solicitados</w:t>
            </w:r>
          </w:p>
        </w:tc>
        <w:tc>
          <w:tcPr>
            <w:tcW w:w="376" w:type="pct"/>
            <w:vAlign w:val="center"/>
            <w:hideMark/>
          </w:tcPr>
          <w:p w14:paraId="0E50D970"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4EB25B6E"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2</w:t>
            </w:r>
          </w:p>
        </w:tc>
        <w:tc>
          <w:tcPr>
            <w:tcW w:w="322" w:type="pct"/>
            <w:vAlign w:val="center"/>
            <w:hideMark/>
          </w:tcPr>
          <w:p w14:paraId="2B6A5837"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29C6F3D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w:t>
            </w:r>
          </w:p>
        </w:tc>
        <w:tc>
          <w:tcPr>
            <w:tcW w:w="376" w:type="pct"/>
            <w:vMerge/>
            <w:vAlign w:val="center"/>
            <w:hideMark/>
          </w:tcPr>
          <w:p w14:paraId="50868D33"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5082A9BF" w14:textId="77777777" w:rsidTr="00772CA1">
        <w:trPr>
          <w:trHeight w:val="233"/>
        </w:trPr>
        <w:tc>
          <w:tcPr>
            <w:tcW w:w="322" w:type="pct"/>
            <w:vMerge w:val="restart"/>
            <w:vAlign w:val="center"/>
            <w:hideMark/>
          </w:tcPr>
          <w:p w14:paraId="3F51BF12"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2026</w:t>
            </w:r>
          </w:p>
        </w:tc>
        <w:tc>
          <w:tcPr>
            <w:tcW w:w="484" w:type="pct"/>
            <w:vMerge w:val="restart"/>
            <w:vAlign w:val="center"/>
            <w:hideMark/>
          </w:tcPr>
          <w:p w14:paraId="3E1BEA8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678. Impulso al acceso inclusivo y equitativo a la Educación Superior.</w:t>
            </w:r>
          </w:p>
        </w:tc>
        <w:tc>
          <w:tcPr>
            <w:tcW w:w="377" w:type="pct"/>
            <w:vMerge w:val="restart"/>
            <w:vAlign w:val="center"/>
            <w:hideMark/>
          </w:tcPr>
          <w:p w14:paraId="50005651" w14:textId="77777777" w:rsidR="00772CA1" w:rsidRPr="00772CA1" w:rsidRDefault="00772CA1" w:rsidP="00455B6C">
            <w:pPr>
              <w:spacing w:after="0" w:line="240" w:lineRule="auto"/>
              <w:jc w:val="right"/>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25984</w:t>
            </w:r>
          </w:p>
        </w:tc>
        <w:tc>
          <w:tcPr>
            <w:tcW w:w="430" w:type="pct"/>
            <w:vMerge w:val="restart"/>
            <w:vAlign w:val="center"/>
            <w:hideMark/>
          </w:tcPr>
          <w:p w14:paraId="37FC3A2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cursos de capacitación sobre responsabilidad social universitaria realizados</w:t>
            </w:r>
          </w:p>
        </w:tc>
        <w:tc>
          <w:tcPr>
            <w:tcW w:w="914" w:type="pct"/>
            <w:vMerge w:val="restart"/>
            <w:vAlign w:val="center"/>
            <w:hideMark/>
          </w:tcPr>
          <w:p w14:paraId="624F5350"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xml:space="preserve">Mide la proporción de cursos de capacitación realizados por las Instituciones de Educación Superior descentralizadas sobre responsabilidad social universitaria. </w:t>
            </w:r>
          </w:p>
        </w:tc>
        <w:tc>
          <w:tcPr>
            <w:tcW w:w="268" w:type="pct"/>
            <w:vMerge w:val="restart"/>
            <w:vAlign w:val="center"/>
            <w:hideMark/>
          </w:tcPr>
          <w:p w14:paraId="183C14E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A = (B/C) * 100</w:t>
            </w:r>
          </w:p>
        </w:tc>
        <w:tc>
          <w:tcPr>
            <w:tcW w:w="592" w:type="pct"/>
            <w:vAlign w:val="center"/>
            <w:hideMark/>
          </w:tcPr>
          <w:p w14:paraId="53FAD0E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Porcentaje de cursos de capacitación sobre responsabilidad social universitaria realizados</w:t>
            </w:r>
          </w:p>
        </w:tc>
        <w:tc>
          <w:tcPr>
            <w:tcW w:w="376" w:type="pct"/>
            <w:vAlign w:val="center"/>
            <w:hideMark/>
          </w:tcPr>
          <w:p w14:paraId="582C6EA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3B9ED75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57B8CF91"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67FFE42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100%</w:t>
            </w:r>
          </w:p>
        </w:tc>
        <w:tc>
          <w:tcPr>
            <w:tcW w:w="376" w:type="pct"/>
            <w:vMerge w:val="restart"/>
            <w:vAlign w:val="center"/>
            <w:hideMark/>
          </w:tcPr>
          <w:p w14:paraId="5EDFF339" w14:textId="77777777" w:rsidR="00772CA1" w:rsidRPr="00772CA1" w:rsidRDefault="00772CA1" w:rsidP="00455B6C">
            <w:pPr>
              <w:spacing w:after="0" w:line="240" w:lineRule="auto"/>
              <w:jc w:val="center"/>
              <w:rPr>
                <w:rFonts w:ascii="Lato" w:eastAsia="Times New Roman" w:hAnsi="Lato" w:cs="Times New Roman"/>
                <w:b/>
                <w:bCs/>
                <w:color w:val="000000"/>
                <w:sz w:val="20"/>
                <w:szCs w:val="20"/>
                <w:lang w:eastAsia="es-MX"/>
              </w:rPr>
            </w:pPr>
            <w:r w:rsidRPr="00772CA1">
              <w:rPr>
                <w:rFonts w:ascii="Lato" w:eastAsia="Times New Roman" w:hAnsi="Lato" w:cs="Times New Roman"/>
                <w:b/>
                <w:bCs/>
                <w:color w:val="000000"/>
                <w:sz w:val="20"/>
                <w:szCs w:val="20"/>
                <w:lang w:eastAsia="es-MX"/>
              </w:rPr>
              <w:t>Semestral</w:t>
            </w:r>
          </w:p>
        </w:tc>
      </w:tr>
      <w:tr w:rsidR="00772CA1" w:rsidRPr="00772CA1" w14:paraId="30D3F73E" w14:textId="77777777" w:rsidTr="00772CA1">
        <w:trPr>
          <w:trHeight w:val="763"/>
        </w:trPr>
        <w:tc>
          <w:tcPr>
            <w:tcW w:w="322" w:type="pct"/>
            <w:vMerge/>
            <w:vAlign w:val="center"/>
            <w:hideMark/>
          </w:tcPr>
          <w:p w14:paraId="3FB6EEA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67EDAC6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23FC7078"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26737F24"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37E14FD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59C1853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70203DBC"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cursos de capacitación sobre responsabilidad social universitaria realizados</w:t>
            </w:r>
          </w:p>
        </w:tc>
        <w:tc>
          <w:tcPr>
            <w:tcW w:w="376" w:type="pct"/>
            <w:vAlign w:val="center"/>
            <w:hideMark/>
          </w:tcPr>
          <w:p w14:paraId="1FED3C5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6B300CB3"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2D6412FC"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73390D02"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w:t>
            </w:r>
          </w:p>
        </w:tc>
        <w:tc>
          <w:tcPr>
            <w:tcW w:w="376" w:type="pct"/>
            <w:vMerge/>
            <w:vAlign w:val="center"/>
            <w:hideMark/>
          </w:tcPr>
          <w:p w14:paraId="6EB50028"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r w:rsidR="00772CA1" w:rsidRPr="00772CA1" w14:paraId="03FDBB81" w14:textId="77777777" w:rsidTr="00772CA1">
        <w:trPr>
          <w:trHeight w:val="633"/>
        </w:trPr>
        <w:tc>
          <w:tcPr>
            <w:tcW w:w="322" w:type="pct"/>
            <w:vMerge/>
            <w:vAlign w:val="center"/>
            <w:hideMark/>
          </w:tcPr>
          <w:p w14:paraId="4EC0D0FA"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84" w:type="pct"/>
            <w:vMerge/>
            <w:vAlign w:val="center"/>
            <w:hideMark/>
          </w:tcPr>
          <w:p w14:paraId="561DDD49"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377" w:type="pct"/>
            <w:vMerge/>
            <w:vAlign w:val="center"/>
            <w:hideMark/>
          </w:tcPr>
          <w:p w14:paraId="52BF2AE3"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430" w:type="pct"/>
            <w:vMerge/>
            <w:vAlign w:val="center"/>
            <w:hideMark/>
          </w:tcPr>
          <w:p w14:paraId="0ADD197D"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914" w:type="pct"/>
            <w:vMerge/>
            <w:vAlign w:val="center"/>
            <w:hideMark/>
          </w:tcPr>
          <w:p w14:paraId="5F278DC6"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268" w:type="pct"/>
            <w:vMerge/>
            <w:vAlign w:val="center"/>
            <w:hideMark/>
          </w:tcPr>
          <w:p w14:paraId="0B76DC12"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p>
        </w:tc>
        <w:tc>
          <w:tcPr>
            <w:tcW w:w="592" w:type="pct"/>
            <w:vAlign w:val="center"/>
            <w:hideMark/>
          </w:tcPr>
          <w:p w14:paraId="69E54AAB" w14:textId="77777777" w:rsidR="00772CA1" w:rsidRPr="00772CA1" w:rsidRDefault="00772CA1" w:rsidP="00455B6C">
            <w:pPr>
              <w:spacing w:after="0" w:line="240" w:lineRule="auto"/>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Total de cursos de capacitación sobre responsabilidad social universitaria programados</w:t>
            </w:r>
          </w:p>
        </w:tc>
        <w:tc>
          <w:tcPr>
            <w:tcW w:w="376" w:type="pct"/>
            <w:vAlign w:val="center"/>
            <w:hideMark/>
          </w:tcPr>
          <w:p w14:paraId="1C6E81C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0</w:t>
            </w:r>
          </w:p>
        </w:tc>
        <w:tc>
          <w:tcPr>
            <w:tcW w:w="323" w:type="pct"/>
            <w:vAlign w:val="center"/>
            <w:hideMark/>
          </w:tcPr>
          <w:p w14:paraId="56765CBA"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322" w:type="pct"/>
            <w:vAlign w:val="center"/>
            <w:hideMark/>
          </w:tcPr>
          <w:p w14:paraId="15D041CF"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 </w:t>
            </w:r>
          </w:p>
        </w:tc>
        <w:tc>
          <w:tcPr>
            <w:tcW w:w="216" w:type="pct"/>
            <w:vAlign w:val="center"/>
            <w:hideMark/>
          </w:tcPr>
          <w:p w14:paraId="71796DCD" w14:textId="77777777" w:rsidR="00772CA1" w:rsidRPr="00772CA1" w:rsidRDefault="00772CA1" w:rsidP="00455B6C">
            <w:pPr>
              <w:spacing w:after="0" w:line="240" w:lineRule="auto"/>
              <w:jc w:val="center"/>
              <w:rPr>
                <w:rFonts w:ascii="Lato" w:eastAsia="Times New Roman" w:hAnsi="Lato" w:cs="Times New Roman"/>
                <w:color w:val="000000"/>
                <w:sz w:val="20"/>
                <w:szCs w:val="20"/>
                <w:lang w:eastAsia="es-MX"/>
              </w:rPr>
            </w:pPr>
            <w:r w:rsidRPr="00772CA1">
              <w:rPr>
                <w:rFonts w:ascii="Lato" w:eastAsia="Times New Roman" w:hAnsi="Lato" w:cs="Times New Roman"/>
                <w:color w:val="000000"/>
                <w:sz w:val="20"/>
                <w:szCs w:val="20"/>
                <w:lang w:eastAsia="es-MX"/>
              </w:rPr>
              <w:t>3</w:t>
            </w:r>
          </w:p>
        </w:tc>
        <w:tc>
          <w:tcPr>
            <w:tcW w:w="376" w:type="pct"/>
            <w:vMerge/>
            <w:vAlign w:val="center"/>
            <w:hideMark/>
          </w:tcPr>
          <w:p w14:paraId="5A7635E0" w14:textId="77777777" w:rsidR="00772CA1" w:rsidRPr="00772CA1" w:rsidRDefault="00772CA1" w:rsidP="00455B6C">
            <w:pPr>
              <w:spacing w:after="0" w:line="240" w:lineRule="auto"/>
              <w:rPr>
                <w:rFonts w:ascii="Lato" w:eastAsia="Times New Roman" w:hAnsi="Lato" w:cs="Times New Roman"/>
                <w:b/>
                <w:bCs/>
                <w:color w:val="000000"/>
                <w:sz w:val="20"/>
                <w:szCs w:val="20"/>
                <w:lang w:eastAsia="es-MX"/>
              </w:rPr>
            </w:pPr>
          </w:p>
        </w:tc>
      </w:tr>
    </w:tbl>
    <w:p w14:paraId="35975395" w14:textId="3E22BAF2" w:rsidR="009F5269" w:rsidRPr="00772CA1" w:rsidRDefault="00AC7DEC" w:rsidP="00691CB3">
      <w:pPr>
        <w:rPr>
          <w:b/>
          <w:lang w:val="en"/>
        </w:rPr>
      </w:pPr>
      <w:r>
        <w:rPr>
          <w:rFonts w:ascii="Lato" w:hAnsi="Lato"/>
          <w:b/>
          <w:sz w:val="16"/>
          <w:szCs w:val="16"/>
        </w:rPr>
        <w:br w:type="textWrapping" w:clear="all"/>
      </w:r>
    </w:p>
    <w:sectPr w:rsidR="009F5269" w:rsidRPr="00772CA1" w:rsidSect="00772CA1">
      <w:headerReference w:type="default" r:id="rId7"/>
      <w:headerReference w:type="first" r:id="rId8"/>
      <w:pgSz w:w="20163" w:h="12242" w:orient="landscape" w:code="5"/>
      <w:pgMar w:top="2835"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24FF0" w14:textId="77777777" w:rsidR="00702F03" w:rsidRDefault="00702F03" w:rsidP="00B8618E">
      <w:pPr>
        <w:spacing w:after="0" w:line="240" w:lineRule="auto"/>
      </w:pPr>
      <w:r>
        <w:separator/>
      </w:r>
    </w:p>
  </w:endnote>
  <w:endnote w:type="continuationSeparator" w:id="0">
    <w:p w14:paraId="287EFFBD" w14:textId="77777777" w:rsidR="00702F03" w:rsidRDefault="00702F03" w:rsidP="00B8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CD674" w14:textId="77777777" w:rsidR="00702F03" w:rsidRDefault="00702F03" w:rsidP="00B8618E">
      <w:pPr>
        <w:spacing w:after="0" w:line="240" w:lineRule="auto"/>
      </w:pPr>
      <w:r>
        <w:separator/>
      </w:r>
    </w:p>
  </w:footnote>
  <w:footnote w:type="continuationSeparator" w:id="0">
    <w:p w14:paraId="2C30FBA7" w14:textId="77777777" w:rsidR="00702F03" w:rsidRDefault="00702F03" w:rsidP="00B86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ECAF" w14:textId="00864ED5" w:rsidR="0042667D" w:rsidRDefault="0042667D">
    <w:pPr>
      <w:pStyle w:val="Encabezado"/>
    </w:pPr>
  </w:p>
  <w:p w14:paraId="14C7B0AE" w14:textId="77777777" w:rsidR="001D1E83" w:rsidRDefault="001D1E83">
    <w:pPr>
      <w:pStyle w:val="Encabezado"/>
    </w:pPr>
  </w:p>
  <w:p w14:paraId="6E1C1C4E" w14:textId="77777777" w:rsidR="000B5466" w:rsidRDefault="000B5466">
    <w:pPr>
      <w:pStyle w:val="Encabezado"/>
    </w:pPr>
  </w:p>
  <w:p w14:paraId="35F76BE1" w14:textId="77777777" w:rsidR="000B5466" w:rsidRDefault="000B5466">
    <w:pPr>
      <w:pStyle w:val="Encabezado"/>
    </w:pPr>
  </w:p>
  <w:p w14:paraId="276FFCD1" w14:textId="13166D7F" w:rsidR="00CF40B5" w:rsidRDefault="00CF40B5" w:rsidP="001D1E83">
    <w:pPr>
      <w:pStyle w:val="Encabezado"/>
      <w:ind w:left="-28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8BF3" w14:textId="1608E328" w:rsidR="009D29F9" w:rsidRDefault="00D418C3" w:rsidP="00772CA1">
    <w:pPr>
      <w:pStyle w:val="Encabezado"/>
    </w:pPr>
    <w:r>
      <w:rPr>
        <w:rFonts w:ascii="Lato" w:hAnsi="Lato"/>
        <w:noProof/>
        <w:lang w:eastAsia="es-MX"/>
      </w:rPr>
      <w:t xml:space="preserve">                                                                    </w:t>
    </w:r>
    <w:r w:rsidR="00527340">
      <w:rPr>
        <w:rFonts w:ascii="Lato" w:hAnsi="Lato"/>
        <w:noProof/>
        <w:lang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8E"/>
    <w:rsid w:val="00003B31"/>
    <w:rsid w:val="0002382E"/>
    <w:rsid w:val="000450F0"/>
    <w:rsid w:val="00046371"/>
    <w:rsid w:val="0007167D"/>
    <w:rsid w:val="000A139A"/>
    <w:rsid w:val="000A6972"/>
    <w:rsid w:val="000B5466"/>
    <w:rsid w:val="000C68B7"/>
    <w:rsid w:val="00130EA6"/>
    <w:rsid w:val="0015435B"/>
    <w:rsid w:val="001B14DF"/>
    <w:rsid w:val="001D1E83"/>
    <w:rsid w:val="001D2D83"/>
    <w:rsid w:val="002102A7"/>
    <w:rsid w:val="0025110F"/>
    <w:rsid w:val="002A739F"/>
    <w:rsid w:val="002B6B9B"/>
    <w:rsid w:val="00307503"/>
    <w:rsid w:val="00311333"/>
    <w:rsid w:val="00356EBF"/>
    <w:rsid w:val="00357D1A"/>
    <w:rsid w:val="00361D77"/>
    <w:rsid w:val="0038673E"/>
    <w:rsid w:val="003A0F7D"/>
    <w:rsid w:val="003A7781"/>
    <w:rsid w:val="003B4DCA"/>
    <w:rsid w:val="003E4A05"/>
    <w:rsid w:val="0042667D"/>
    <w:rsid w:val="00427247"/>
    <w:rsid w:val="00463AFA"/>
    <w:rsid w:val="00466898"/>
    <w:rsid w:val="004A2B7F"/>
    <w:rsid w:val="004B1919"/>
    <w:rsid w:val="004C066B"/>
    <w:rsid w:val="004C2F9D"/>
    <w:rsid w:val="004C5411"/>
    <w:rsid w:val="00527340"/>
    <w:rsid w:val="00530912"/>
    <w:rsid w:val="00532D4F"/>
    <w:rsid w:val="0057583E"/>
    <w:rsid w:val="005840E8"/>
    <w:rsid w:val="005F1B01"/>
    <w:rsid w:val="005F1E10"/>
    <w:rsid w:val="006134F6"/>
    <w:rsid w:val="00637E26"/>
    <w:rsid w:val="0064385F"/>
    <w:rsid w:val="006803D9"/>
    <w:rsid w:val="00691CB3"/>
    <w:rsid w:val="00702F03"/>
    <w:rsid w:val="00743785"/>
    <w:rsid w:val="00772CA1"/>
    <w:rsid w:val="00783490"/>
    <w:rsid w:val="007857A3"/>
    <w:rsid w:val="007A0545"/>
    <w:rsid w:val="007A4FFB"/>
    <w:rsid w:val="007E3FA0"/>
    <w:rsid w:val="007E41CB"/>
    <w:rsid w:val="007F09B4"/>
    <w:rsid w:val="00815769"/>
    <w:rsid w:val="00826B16"/>
    <w:rsid w:val="00834CA3"/>
    <w:rsid w:val="008570DA"/>
    <w:rsid w:val="008617EB"/>
    <w:rsid w:val="00871977"/>
    <w:rsid w:val="008721C0"/>
    <w:rsid w:val="0089214D"/>
    <w:rsid w:val="00913FBC"/>
    <w:rsid w:val="00953040"/>
    <w:rsid w:val="009736DB"/>
    <w:rsid w:val="009A2DD1"/>
    <w:rsid w:val="009B00B2"/>
    <w:rsid w:val="009D29F9"/>
    <w:rsid w:val="009D6230"/>
    <w:rsid w:val="009F5269"/>
    <w:rsid w:val="00A04247"/>
    <w:rsid w:val="00A1088E"/>
    <w:rsid w:val="00A93B62"/>
    <w:rsid w:val="00AB109F"/>
    <w:rsid w:val="00AC353F"/>
    <w:rsid w:val="00AC7DEC"/>
    <w:rsid w:val="00B044BE"/>
    <w:rsid w:val="00B25108"/>
    <w:rsid w:val="00B364BD"/>
    <w:rsid w:val="00B44377"/>
    <w:rsid w:val="00B8618E"/>
    <w:rsid w:val="00C4474E"/>
    <w:rsid w:val="00C52476"/>
    <w:rsid w:val="00C83D74"/>
    <w:rsid w:val="00C92012"/>
    <w:rsid w:val="00CA50C8"/>
    <w:rsid w:val="00CB768F"/>
    <w:rsid w:val="00CC7AD2"/>
    <w:rsid w:val="00CE47C3"/>
    <w:rsid w:val="00CF3FAA"/>
    <w:rsid w:val="00CF40B5"/>
    <w:rsid w:val="00D05606"/>
    <w:rsid w:val="00D13638"/>
    <w:rsid w:val="00D21763"/>
    <w:rsid w:val="00D24E00"/>
    <w:rsid w:val="00D260AD"/>
    <w:rsid w:val="00D418C3"/>
    <w:rsid w:val="00D42BFC"/>
    <w:rsid w:val="00D71BFA"/>
    <w:rsid w:val="00D86F7C"/>
    <w:rsid w:val="00DB3CEA"/>
    <w:rsid w:val="00DE7DF7"/>
    <w:rsid w:val="00DF5AC4"/>
    <w:rsid w:val="00DF6E7B"/>
    <w:rsid w:val="00E41E96"/>
    <w:rsid w:val="00E863EC"/>
    <w:rsid w:val="00E93BEA"/>
    <w:rsid w:val="00EA2ADF"/>
    <w:rsid w:val="00EB6559"/>
    <w:rsid w:val="00ED7DA8"/>
    <w:rsid w:val="00F043E6"/>
    <w:rsid w:val="00F0723B"/>
    <w:rsid w:val="00F132AA"/>
    <w:rsid w:val="00F13468"/>
    <w:rsid w:val="00F72F68"/>
    <w:rsid w:val="00F75950"/>
    <w:rsid w:val="00F76CBF"/>
    <w:rsid w:val="00F84DF5"/>
    <w:rsid w:val="00F97D33"/>
    <w:rsid w:val="00FA1420"/>
    <w:rsid w:val="00FD543A"/>
    <w:rsid w:val="00FE0F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7534E"/>
  <w15:chartTrackingRefBased/>
  <w15:docId w15:val="{1EE5A774-8669-48FF-B6AC-8683687B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1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618E"/>
  </w:style>
  <w:style w:type="paragraph" w:styleId="Piedepgina">
    <w:name w:val="footer"/>
    <w:basedOn w:val="Normal"/>
    <w:link w:val="PiedepginaCar"/>
    <w:uiPriority w:val="99"/>
    <w:unhideWhenUsed/>
    <w:rsid w:val="00B861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18E"/>
  </w:style>
  <w:style w:type="table" w:styleId="Tablaconcuadrcula">
    <w:name w:val="Table Grid"/>
    <w:basedOn w:val="Tablanormal"/>
    <w:uiPriority w:val="39"/>
    <w:rsid w:val="00B8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F76CBF"/>
    <w:rPr>
      <w:color w:val="467886"/>
      <w:u w:val="single"/>
    </w:rPr>
  </w:style>
  <w:style w:type="character" w:styleId="Hipervnculovisitado">
    <w:name w:val="FollowedHyperlink"/>
    <w:basedOn w:val="Fuentedeprrafopredeter"/>
    <w:uiPriority w:val="99"/>
    <w:semiHidden/>
    <w:unhideWhenUsed/>
    <w:rsid w:val="00F76CBF"/>
    <w:rPr>
      <w:color w:val="96607D"/>
      <w:u w:val="single"/>
    </w:rPr>
  </w:style>
  <w:style w:type="paragraph" w:customStyle="1" w:styleId="msonormal0">
    <w:name w:val="msonormal"/>
    <w:basedOn w:val="Normal"/>
    <w:rsid w:val="00F76C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F76CBF"/>
    <w:pPr>
      <w:pBdr>
        <w:top w:val="single" w:sz="8" w:space="0" w:color="auto"/>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color w:val="FFFFFF"/>
      <w:sz w:val="16"/>
      <w:szCs w:val="16"/>
      <w:lang w:eastAsia="es-MX"/>
    </w:rPr>
  </w:style>
  <w:style w:type="paragraph" w:customStyle="1" w:styleId="xl64">
    <w:name w:val="xl64"/>
    <w:basedOn w:val="Normal"/>
    <w:rsid w:val="00F76CBF"/>
    <w:pPr>
      <w:pBdr>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color w:val="FFFFFF"/>
      <w:sz w:val="16"/>
      <w:szCs w:val="16"/>
      <w:lang w:eastAsia="es-MX"/>
    </w:rPr>
  </w:style>
  <w:style w:type="paragraph" w:customStyle="1" w:styleId="xl65">
    <w:name w:val="xl65"/>
    <w:basedOn w:val="Normal"/>
    <w:rsid w:val="00F76CBF"/>
    <w:pPr>
      <w:pBdr>
        <w:bottom w:val="single" w:sz="8" w:space="0" w:color="auto"/>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sz w:val="16"/>
      <w:szCs w:val="16"/>
      <w:lang w:eastAsia="es-MX"/>
    </w:rPr>
  </w:style>
  <w:style w:type="paragraph" w:customStyle="1" w:styleId="xl66">
    <w:name w:val="xl66"/>
    <w:basedOn w:val="Normal"/>
    <w:rsid w:val="00F76CBF"/>
    <w:pPr>
      <w:pBdr>
        <w:bottom w:val="single" w:sz="8" w:space="0" w:color="auto"/>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color w:val="FFFFFF"/>
      <w:sz w:val="16"/>
      <w:szCs w:val="16"/>
      <w:lang w:eastAsia="es-MX"/>
    </w:rPr>
  </w:style>
  <w:style w:type="paragraph" w:customStyle="1" w:styleId="xl67">
    <w:name w:val="xl67"/>
    <w:basedOn w:val="Normal"/>
    <w:rsid w:val="00F76CBF"/>
    <w:pPr>
      <w:pBdr>
        <w:bottom w:val="single" w:sz="8" w:space="0" w:color="auto"/>
        <w:right w:val="single" w:sz="8" w:space="0" w:color="auto"/>
      </w:pBdr>
      <w:spacing w:before="100" w:beforeAutospacing="1" w:after="100" w:afterAutospacing="1" w:line="240" w:lineRule="auto"/>
      <w:textAlignment w:val="center"/>
    </w:pPr>
    <w:rPr>
      <w:rFonts w:ascii="Lato" w:eastAsia="Times New Roman" w:hAnsi="Lato" w:cs="Times New Roman"/>
      <w:sz w:val="16"/>
      <w:szCs w:val="16"/>
      <w:lang w:eastAsia="es-MX"/>
    </w:rPr>
  </w:style>
  <w:style w:type="paragraph" w:customStyle="1" w:styleId="xl68">
    <w:name w:val="xl68"/>
    <w:basedOn w:val="Normal"/>
    <w:rsid w:val="00F76CBF"/>
    <w:pPr>
      <w:pBdr>
        <w:bottom w:val="single" w:sz="8" w:space="0" w:color="auto"/>
        <w:right w:val="single" w:sz="8" w:space="0" w:color="auto"/>
      </w:pBdr>
      <w:spacing w:before="100" w:beforeAutospacing="1" w:after="100" w:afterAutospacing="1" w:line="240" w:lineRule="auto"/>
      <w:jc w:val="center"/>
      <w:textAlignment w:val="center"/>
    </w:pPr>
    <w:rPr>
      <w:rFonts w:ascii="Lato" w:eastAsia="Times New Roman" w:hAnsi="Lato" w:cs="Times New Roman"/>
      <w:sz w:val="16"/>
      <w:szCs w:val="16"/>
      <w:lang w:eastAsia="es-MX"/>
    </w:rPr>
  </w:style>
  <w:style w:type="paragraph" w:customStyle="1" w:styleId="xl69">
    <w:name w:val="xl69"/>
    <w:basedOn w:val="Normal"/>
    <w:rsid w:val="00F76CBF"/>
    <w:pPr>
      <w:pBdr>
        <w:bottom w:val="single" w:sz="8" w:space="0" w:color="auto"/>
        <w:right w:val="single" w:sz="8" w:space="0" w:color="auto"/>
      </w:pBdr>
      <w:spacing w:before="100" w:beforeAutospacing="1" w:after="100" w:afterAutospacing="1" w:line="240" w:lineRule="auto"/>
      <w:jc w:val="center"/>
      <w:textAlignment w:val="center"/>
    </w:pPr>
    <w:rPr>
      <w:rFonts w:ascii="Lato" w:eastAsia="Times New Roman" w:hAnsi="Lato" w:cs="Times New Roman"/>
      <w:sz w:val="16"/>
      <w:szCs w:val="16"/>
      <w:lang w:eastAsia="es-MX"/>
    </w:rPr>
  </w:style>
  <w:style w:type="paragraph" w:customStyle="1" w:styleId="xl70">
    <w:name w:val="xl70"/>
    <w:basedOn w:val="Normal"/>
    <w:rsid w:val="00F76CB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Lato" w:eastAsia="Times New Roman" w:hAnsi="Lato" w:cs="Times New Roman"/>
      <w:sz w:val="16"/>
      <w:szCs w:val="16"/>
      <w:lang w:eastAsia="es-MX"/>
    </w:rPr>
  </w:style>
  <w:style w:type="paragraph" w:customStyle="1" w:styleId="xl71">
    <w:name w:val="xl71"/>
    <w:basedOn w:val="Normal"/>
    <w:rsid w:val="00F76CBF"/>
    <w:pPr>
      <w:pBdr>
        <w:left w:val="single" w:sz="8" w:space="0" w:color="auto"/>
        <w:right w:val="single" w:sz="8" w:space="0" w:color="auto"/>
      </w:pBdr>
      <w:spacing w:before="100" w:beforeAutospacing="1" w:after="100" w:afterAutospacing="1" w:line="240" w:lineRule="auto"/>
      <w:textAlignment w:val="center"/>
    </w:pPr>
    <w:rPr>
      <w:rFonts w:ascii="Lato" w:eastAsia="Times New Roman" w:hAnsi="Lato" w:cs="Times New Roman"/>
      <w:sz w:val="16"/>
      <w:szCs w:val="16"/>
      <w:lang w:eastAsia="es-MX"/>
    </w:rPr>
  </w:style>
  <w:style w:type="paragraph" w:customStyle="1" w:styleId="xl72">
    <w:name w:val="xl72"/>
    <w:basedOn w:val="Normal"/>
    <w:rsid w:val="00F76CB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Lato" w:eastAsia="Times New Roman" w:hAnsi="Lato" w:cs="Times New Roman"/>
      <w:sz w:val="16"/>
      <w:szCs w:val="16"/>
      <w:lang w:eastAsia="es-MX"/>
    </w:rPr>
  </w:style>
  <w:style w:type="paragraph" w:customStyle="1" w:styleId="xl73">
    <w:name w:val="xl73"/>
    <w:basedOn w:val="Normal"/>
    <w:rsid w:val="00F76CB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Lato" w:eastAsia="Times New Roman" w:hAnsi="Lato" w:cs="Times New Roman"/>
      <w:b/>
      <w:bCs/>
      <w:sz w:val="16"/>
      <w:szCs w:val="16"/>
      <w:lang w:eastAsia="es-MX"/>
    </w:rPr>
  </w:style>
  <w:style w:type="paragraph" w:customStyle="1" w:styleId="xl74">
    <w:name w:val="xl74"/>
    <w:basedOn w:val="Normal"/>
    <w:rsid w:val="00F76CBF"/>
    <w:pPr>
      <w:pBdr>
        <w:left w:val="single" w:sz="8" w:space="0" w:color="auto"/>
        <w:right w:val="single" w:sz="8" w:space="0" w:color="auto"/>
      </w:pBdr>
      <w:spacing w:before="100" w:beforeAutospacing="1" w:after="100" w:afterAutospacing="1" w:line="240" w:lineRule="auto"/>
      <w:jc w:val="center"/>
      <w:textAlignment w:val="center"/>
    </w:pPr>
    <w:rPr>
      <w:rFonts w:ascii="Lato" w:eastAsia="Times New Roman" w:hAnsi="Lato" w:cs="Times New Roman"/>
      <w:b/>
      <w:bCs/>
      <w:sz w:val="16"/>
      <w:szCs w:val="16"/>
      <w:lang w:eastAsia="es-MX"/>
    </w:rPr>
  </w:style>
  <w:style w:type="paragraph" w:customStyle="1" w:styleId="xl75">
    <w:name w:val="xl75"/>
    <w:basedOn w:val="Normal"/>
    <w:rsid w:val="00F76CB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Lato" w:eastAsia="Times New Roman" w:hAnsi="Lato" w:cs="Times New Roman"/>
      <w:b/>
      <w:bCs/>
      <w:sz w:val="16"/>
      <w:szCs w:val="16"/>
      <w:lang w:eastAsia="es-MX"/>
    </w:rPr>
  </w:style>
  <w:style w:type="paragraph" w:customStyle="1" w:styleId="xl76">
    <w:name w:val="xl76"/>
    <w:basedOn w:val="Normal"/>
    <w:rsid w:val="00F76CBF"/>
    <w:pPr>
      <w:pBdr>
        <w:top w:val="single" w:sz="8" w:space="0" w:color="auto"/>
        <w:left w:val="single" w:sz="8" w:space="0" w:color="auto"/>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color w:val="FFFFFF"/>
      <w:sz w:val="16"/>
      <w:szCs w:val="16"/>
      <w:lang w:eastAsia="es-MX"/>
    </w:rPr>
  </w:style>
  <w:style w:type="paragraph" w:customStyle="1" w:styleId="xl77">
    <w:name w:val="xl77"/>
    <w:basedOn w:val="Normal"/>
    <w:rsid w:val="00F76CBF"/>
    <w:pPr>
      <w:pBdr>
        <w:left w:val="single" w:sz="8" w:space="0" w:color="auto"/>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color w:val="FFFFFF"/>
      <w:sz w:val="16"/>
      <w:szCs w:val="16"/>
      <w:lang w:eastAsia="es-MX"/>
    </w:rPr>
  </w:style>
  <w:style w:type="paragraph" w:customStyle="1" w:styleId="xl78">
    <w:name w:val="xl78"/>
    <w:basedOn w:val="Normal"/>
    <w:rsid w:val="00F76CBF"/>
    <w:pPr>
      <w:pBdr>
        <w:left w:val="single" w:sz="8" w:space="0" w:color="auto"/>
        <w:bottom w:val="single" w:sz="8" w:space="0" w:color="auto"/>
        <w:right w:val="single" w:sz="8" w:space="0" w:color="auto"/>
      </w:pBdr>
      <w:shd w:val="clear" w:color="000000" w:fill="990000"/>
      <w:spacing w:before="100" w:beforeAutospacing="1" w:after="100" w:afterAutospacing="1" w:line="240" w:lineRule="auto"/>
      <w:textAlignment w:val="center"/>
    </w:pPr>
    <w:rPr>
      <w:rFonts w:ascii="Lato" w:eastAsia="Times New Roman" w:hAnsi="Lato" w:cs="Times New Roman"/>
      <w:b/>
      <w:bCs/>
      <w:color w:val="FFFFFF"/>
      <w:sz w:val="16"/>
      <w:szCs w:val="16"/>
      <w:lang w:eastAsia="es-MX"/>
    </w:rPr>
  </w:style>
  <w:style w:type="paragraph" w:customStyle="1" w:styleId="xl79">
    <w:name w:val="xl79"/>
    <w:basedOn w:val="Normal"/>
    <w:rsid w:val="0038673E"/>
    <w:pPr>
      <w:pBdr>
        <w:left w:val="single" w:sz="8" w:space="0" w:color="auto"/>
        <w:bottom w:val="single" w:sz="8" w:space="0" w:color="auto"/>
        <w:right w:val="single" w:sz="8" w:space="0" w:color="auto"/>
      </w:pBdr>
      <w:shd w:val="clear" w:color="000000" w:fill="990000"/>
      <w:spacing w:before="100" w:beforeAutospacing="1" w:after="100" w:afterAutospacing="1" w:line="240" w:lineRule="auto"/>
      <w:jc w:val="center"/>
      <w:textAlignment w:val="center"/>
    </w:pPr>
    <w:rPr>
      <w:rFonts w:ascii="Lato" w:eastAsia="Times New Roman" w:hAnsi="Lato" w:cs="Times New Roman"/>
      <w:b/>
      <w:bCs/>
      <w:color w:val="FFFFFF"/>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11EE-E6D8-46EF-98A5-BAF45800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7078</Words>
  <Characters>38933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Maribel Uc May</dc:creator>
  <cp:keywords/>
  <dc:description/>
  <cp:lastModifiedBy>Sharon Yanelli Lara Medrano</cp:lastModifiedBy>
  <cp:revision>2</cp:revision>
  <cp:lastPrinted>2026-03-19T18:38:00Z</cp:lastPrinted>
  <dcterms:created xsi:type="dcterms:W3CDTF">2026-04-28T18:42:00Z</dcterms:created>
  <dcterms:modified xsi:type="dcterms:W3CDTF">2026-04-28T18:42:00Z</dcterms:modified>
</cp:coreProperties>
</file>