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6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450"/>
        <w:gridCol w:w="2513"/>
        <w:gridCol w:w="1333"/>
        <w:gridCol w:w="556"/>
        <w:gridCol w:w="684"/>
        <w:gridCol w:w="358"/>
        <w:gridCol w:w="771"/>
        <w:gridCol w:w="122"/>
        <w:gridCol w:w="764"/>
        <w:gridCol w:w="517"/>
        <w:gridCol w:w="413"/>
        <w:gridCol w:w="479"/>
        <w:gridCol w:w="458"/>
        <w:gridCol w:w="997"/>
        <w:gridCol w:w="6"/>
        <w:gridCol w:w="1177"/>
        <w:gridCol w:w="938"/>
        <w:gridCol w:w="1108"/>
        <w:gridCol w:w="747"/>
      </w:tblGrid>
      <w:tr w:rsidR="003E4527" w:rsidRPr="00D339A3" w:rsidTr="00D339A3">
        <w:trPr>
          <w:gridAfter w:val="1"/>
          <w:wAfter w:w="216" w:type="pct"/>
          <w:trHeight w:val="366"/>
          <w:jc w:val="center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436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7"/>
            </w:tblGrid>
            <w:tr w:rsidR="00C84AFC" w:rsidRPr="00D339A3" w:rsidTr="00D339A3">
              <w:trPr>
                <w:trHeight w:val="366"/>
                <w:tblCellSpacing w:w="0" w:type="dxa"/>
              </w:trPr>
              <w:tc>
                <w:tcPr>
                  <w:tcW w:w="43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C84AFC" w:rsidRPr="00D339A3" w:rsidRDefault="00C84AFC" w:rsidP="005F3921">
                  <w:pPr>
                    <w:spacing w:after="0" w:line="240" w:lineRule="auto"/>
                    <w:rPr>
                      <w:rFonts w:ascii="Lato" w:eastAsia="Times New Roman" w:hAnsi="Lato"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:rsidR="00C84AFC" w:rsidRPr="00D339A3" w:rsidRDefault="00C84AFC" w:rsidP="005F392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01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0BD6" w:rsidRPr="00D339A3" w:rsidRDefault="008F0BD6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0BD6" w:rsidRPr="00D339A3" w:rsidRDefault="008F0BD6" w:rsidP="008F0BD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</w:tcPr>
          <w:p w:rsidR="00C84AFC" w:rsidRPr="00D339A3" w:rsidRDefault="00C84AFC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3E4527" w:rsidRPr="00D339A3" w:rsidTr="00D339A3">
        <w:trPr>
          <w:gridAfter w:val="1"/>
          <w:wAfter w:w="216" w:type="pct"/>
          <w:trHeight w:val="366"/>
          <w:jc w:val="center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AFC" w:rsidRPr="00D339A3" w:rsidRDefault="00C84AFC" w:rsidP="005F392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01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39A3" w:rsidRPr="00D339A3" w:rsidRDefault="00D339A3" w:rsidP="00D339A3">
            <w:pPr>
              <w:spacing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D339A3">
              <w:rPr>
                <w:rFonts w:ascii="Lato" w:hAnsi="Lato" w:cs="Arial"/>
                <w:b/>
                <w:sz w:val="20"/>
                <w:szCs w:val="20"/>
              </w:rPr>
              <w:t>Notas a los Estados Financieros</w:t>
            </w:r>
          </w:p>
          <w:p w:rsidR="00D339A3" w:rsidRPr="00D339A3" w:rsidRDefault="00D339A3" w:rsidP="00D339A3">
            <w:pPr>
              <w:spacing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D339A3">
              <w:rPr>
                <w:rFonts w:ascii="Lato" w:hAnsi="Lato" w:cs="Arial"/>
                <w:b/>
                <w:sz w:val="20"/>
                <w:szCs w:val="20"/>
              </w:rPr>
              <w:t>Al 31 de marzo de 2026</w:t>
            </w:r>
          </w:p>
          <w:p w:rsidR="00D339A3" w:rsidRPr="00D339A3" w:rsidRDefault="00D339A3" w:rsidP="00D339A3">
            <w:pPr>
              <w:spacing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D339A3">
              <w:rPr>
                <w:rFonts w:ascii="Lato" w:hAnsi="Lato" w:cs="Arial"/>
                <w:b/>
                <w:sz w:val="20"/>
                <w:szCs w:val="20"/>
              </w:rPr>
              <w:t>(Cifras en Pesos)</w:t>
            </w:r>
          </w:p>
          <w:p w:rsidR="00D339A3" w:rsidRPr="00D339A3" w:rsidRDefault="00D339A3" w:rsidP="00D339A3">
            <w:pPr>
              <w:spacing w:line="240" w:lineRule="auto"/>
              <w:rPr>
                <w:rFonts w:ascii="Lato" w:hAnsi="Lato" w:cs="Arial"/>
                <w:b/>
                <w:sz w:val="20"/>
                <w:szCs w:val="20"/>
              </w:rPr>
            </w:pPr>
          </w:p>
          <w:p w:rsidR="00D339A3" w:rsidRPr="00D339A3" w:rsidRDefault="00D339A3" w:rsidP="00D339A3">
            <w:pPr>
              <w:widowControl w:val="0"/>
              <w:autoSpaceDE w:val="0"/>
              <w:autoSpaceDN w:val="0"/>
              <w:adjustRightInd w:val="0"/>
              <w:spacing w:before="26" w:after="0" w:line="192" w:lineRule="exact"/>
              <w:ind w:left="153" w:right="-20"/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D339A3">
              <w:rPr>
                <w:rFonts w:ascii="Lato" w:hAnsi="Lato" w:cs="Calibri"/>
                <w:b/>
                <w:bCs/>
                <w:sz w:val="20"/>
                <w:szCs w:val="20"/>
              </w:rPr>
              <w:t>E</w:t>
            </w:r>
            <w:r w:rsidRPr="00D339A3">
              <w:rPr>
                <w:rFonts w:ascii="Lato" w:hAnsi="Lato" w:cs="Calibri"/>
                <w:b/>
                <w:bCs/>
                <w:spacing w:val="-1"/>
                <w:sz w:val="20"/>
                <w:szCs w:val="20"/>
              </w:rPr>
              <w:t>n</w:t>
            </w:r>
            <w:r w:rsidRPr="00D339A3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te </w:t>
            </w:r>
            <w:r w:rsidRPr="00D339A3">
              <w:rPr>
                <w:rFonts w:ascii="Lato" w:hAnsi="Lato" w:cs="Calibri"/>
                <w:b/>
                <w:bCs/>
                <w:spacing w:val="-1"/>
                <w:sz w:val="20"/>
                <w:szCs w:val="20"/>
              </w:rPr>
              <w:t>Públ</w:t>
            </w:r>
            <w:r w:rsidRPr="00D339A3">
              <w:rPr>
                <w:rFonts w:ascii="Lato" w:hAnsi="Lato" w:cs="Calibri"/>
                <w:b/>
                <w:bCs/>
                <w:spacing w:val="1"/>
                <w:sz w:val="20"/>
                <w:szCs w:val="20"/>
              </w:rPr>
              <w:t>i</w:t>
            </w:r>
            <w:r w:rsidRPr="00D339A3">
              <w:rPr>
                <w:rFonts w:ascii="Lato" w:hAnsi="Lato" w:cs="Calibri"/>
                <w:b/>
                <w:bCs/>
                <w:spacing w:val="-1"/>
                <w:sz w:val="20"/>
                <w:szCs w:val="20"/>
              </w:rPr>
              <w:t>co</w:t>
            </w:r>
            <w:r w:rsidRPr="00D339A3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: UNIVERSIDAD </w:t>
            </w:r>
            <w:r w:rsidRPr="00D339A3">
              <w:rPr>
                <w:rFonts w:ascii="Lato" w:hAnsi="Lato" w:cs="Calibri"/>
                <w:b/>
                <w:bCs/>
                <w:spacing w:val="1"/>
                <w:sz w:val="20"/>
                <w:szCs w:val="20"/>
              </w:rPr>
              <w:t>D</w:t>
            </w:r>
            <w:r w:rsidRPr="00D339A3">
              <w:rPr>
                <w:rFonts w:ascii="Lato" w:hAnsi="Lato" w:cs="Calibri"/>
                <w:b/>
                <w:bCs/>
                <w:sz w:val="20"/>
                <w:szCs w:val="20"/>
              </w:rPr>
              <w:t>E LAS AR</w:t>
            </w:r>
            <w:r w:rsidRPr="00D339A3">
              <w:rPr>
                <w:rFonts w:ascii="Lato" w:hAnsi="Lato" w:cs="Calibri"/>
                <w:b/>
                <w:bCs/>
                <w:spacing w:val="1"/>
                <w:sz w:val="20"/>
                <w:szCs w:val="20"/>
              </w:rPr>
              <w:t>T</w:t>
            </w:r>
            <w:r w:rsidRPr="00D339A3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ES </w:t>
            </w:r>
            <w:r w:rsidRPr="00D339A3">
              <w:rPr>
                <w:rFonts w:ascii="Lato" w:hAnsi="Lato" w:cs="Calibri"/>
                <w:b/>
                <w:bCs/>
                <w:spacing w:val="1"/>
                <w:sz w:val="20"/>
                <w:szCs w:val="20"/>
              </w:rPr>
              <w:t>D</w:t>
            </w:r>
            <w:r w:rsidRPr="00D339A3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E </w:t>
            </w:r>
            <w:r w:rsidRPr="00D339A3">
              <w:rPr>
                <w:rFonts w:ascii="Lato" w:hAnsi="Lato" w:cs="Calibri"/>
                <w:b/>
                <w:bCs/>
                <w:spacing w:val="-1"/>
                <w:sz w:val="20"/>
                <w:szCs w:val="20"/>
              </w:rPr>
              <w:t>Y</w:t>
            </w:r>
            <w:r w:rsidRPr="00D339A3">
              <w:rPr>
                <w:rFonts w:ascii="Lato" w:hAnsi="Lato" w:cs="Calibri"/>
                <w:b/>
                <w:bCs/>
                <w:sz w:val="20"/>
                <w:szCs w:val="20"/>
              </w:rPr>
              <w:t>UCA</w:t>
            </w:r>
            <w:r w:rsidRPr="00D339A3">
              <w:rPr>
                <w:rFonts w:ascii="Lato" w:hAnsi="Lato" w:cs="Calibri"/>
                <w:b/>
                <w:bCs/>
                <w:spacing w:val="1"/>
                <w:sz w:val="20"/>
                <w:szCs w:val="20"/>
              </w:rPr>
              <w:t>T</w:t>
            </w:r>
            <w:r w:rsidRPr="00D339A3">
              <w:rPr>
                <w:rFonts w:ascii="Lato" w:hAnsi="Lato" w:cs="Calibri"/>
                <w:b/>
                <w:bCs/>
                <w:sz w:val="20"/>
                <w:szCs w:val="20"/>
              </w:rPr>
              <w:t>ÁN</w:t>
            </w:r>
          </w:p>
          <w:p w:rsidR="00D339A3" w:rsidRPr="00D339A3" w:rsidRDefault="00D339A3" w:rsidP="0094338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:rsidR="00D339A3" w:rsidRPr="00D339A3" w:rsidRDefault="00D339A3" w:rsidP="0094338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:rsidR="00D339A3" w:rsidRPr="00D339A3" w:rsidRDefault="00D339A3" w:rsidP="0094338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:rsidR="00832E56" w:rsidRPr="00D339A3" w:rsidRDefault="00832E56" w:rsidP="0094338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Universidad de las Artes de Yucatán </w:t>
            </w:r>
          </w:p>
          <w:p w:rsidR="00C84AFC" w:rsidRPr="00D339A3" w:rsidRDefault="00C84AFC" w:rsidP="0094338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Indicadores de </w:t>
            </w:r>
            <w:r w:rsidR="00E50F20"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Programas Presupuestarios 2026 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AFC" w:rsidRPr="00D339A3" w:rsidRDefault="00C84AFC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</w:tcPr>
          <w:p w:rsidR="00C84AFC" w:rsidRPr="00D339A3" w:rsidRDefault="00C84AFC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1"/>
          <w:wAfter w:w="216" w:type="pct"/>
          <w:trHeight w:val="293"/>
          <w:jc w:val="center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AFC" w:rsidRPr="00D339A3" w:rsidRDefault="00C84AFC" w:rsidP="005F392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AFC" w:rsidRPr="00D339A3" w:rsidRDefault="00C84AFC" w:rsidP="005F392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AFC" w:rsidRPr="00D339A3" w:rsidRDefault="00C84AFC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AFC" w:rsidRPr="00D339A3" w:rsidRDefault="00C84AFC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AFC" w:rsidRPr="00D339A3" w:rsidRDefault="00C84AFC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AFC" w:rsidRPr="00D339A3" w:rsidRDefault="00C84AFC" w:rsidP="005F392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AFC" w:rsidRPr="00D339A3" w:rsidRDefault="00C84AFC" w:rsidP="005F392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AFC" w:rsidRPr="00D339A3" w:rsidRDefault="00C84AFC" w:rsidP="005F392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AFC" w:rsidRPr="00D339A3" w:rsidRDefault="00C84AFC" w:rsidP="005F392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AFC" w:rsidRPr="00D339A3" w:rsidRDefault="00C84AFC" w:rsidP="005F392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</w:tcPr>
          <w:p w:rsidR="00C84AFC" w:rsidRPr="00D339A3" w:rsidRDefault="00C84AFC" w:rsidP="005F392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A3079E" w:rsidRPr="00D339A3" w:rsidTr="00D339A3">
        <w:trPr>
          <w:gridAfter w:val="1"/>
          <w:wAfter w:w="216" w:type="pct"/>
          <w:trHeight w:val="293"/>
          <w:jc w:val="center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AFC" w:rsidRPr="00D339A3" w:rsidRDefault="00C84AFC" w:rsidP="005F3921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AFC" w:rsidRPr="00D339A3" w:rsidRDefault="00C84AFC" w:rsidP="005F3921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AFC" w:rsidRPr="00D339A3" w:rsidRDefault="00C84AFC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1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0F20" w:rsidRPr="00D339A3" w:rsidRDefault="00E50F20" w:rsidP="005F3921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Programa Presupuestario: 674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Promoción de la Innovación y Sostenibilidad en la Educación Superior</w:t>
            </w:r>
          </w:p>
          <w:p w:rsidR="00E50F20" w:rsidRPr="00D339A3" w:rsidRDefault="00E50F20" w:rsidP="005F392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Dependencia o Entidad Responsable: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Secretaría de Educación</w:t>
            </w: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</w:p>
          <w:p w:rsidR="00E50F20" w:rsidRPr="00D339A3" w:rsidRDefault="00E50F20" w:rsidP="005F392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Dependencia o Entidad Corresponsable: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Universidad de las Artes de Yucatán</w:t>
            </w: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</w:p>
          <w:p w:rsidR="00C84AFC" w:rsidRPr="00D339A3" w:rsidRDefault="00547FC4" w:rsidP="005F3921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Directriz</w:t>
            </w:r>
            <w:r w:rsidR="00C84AFC"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: </w:t>
            </w:r>
            <w:r w:rsidR="00E50F20"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0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3 </w:t>
            </w:r>
            <w:r w:rsidR="008F0BD6"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Educación, Cultura y Deporte Pilares del Renacimiento </w:t>
            </w:r>
          </w:p>
          <w:p w:rsidR="00547FC4" w:rsidRPr="00D339A3" w:rsidRDefault="00547FC4" w:rsidP="00547FC4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Vertientes: </w:t>
            </w:r>
            <w:r w:rsidR="00E50F20"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0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3.</w:t>
            </w:r>
            <w:r w:rsidR="00E50F20"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0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4 Educación superior, inclusiva equitativa y de excelencia</w:t>
            </w:r>
          </w:p>
          <w:p w:rsidR="00E50F20" w:rsidRPr="00D339A3" w:rsidRDefault="00E50F20" w:rsidP="00E50F20">
            <w:pPr>
              <w:spacing w:after="0" w:line="240" w:lineRule="auto"/>
              <w:jc w:val="both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Programa de Mediano Plazo 2025-2030:</w:t>
            </w: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 xml:space="preserve"> Educación Humanista de Excelencia</w:t>
            </w:r>
          </w:p>
          <w:p w:rsidR="00E50F20" w:rsidRPr="00D339A3" w:rsidRDefault="00E50F20" w:rsidP="00E50F20">
            <w:pPr>
              <w:spacing w:after="0" w:line="240" w:lineRule="auto"/>
              <w:jc w:val="both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Prioridad del Desarrollo 6:</w:t>
            </w:r>
            <w:r w:rsidRPr="00D339A3">
              <w:rPr>
                <w:rFonts w:ascii="Lato" w:hAnsi="Lato" w:cs="Arial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Innovación y sostenibilidad en la educación superior.</w:t>
            </w:r>
          </w:p>
          <w:p w:rsidR="001F043D" w:rsidRPr="00D339A3" w:rsidRDefault="001F043D" w:rsidP="001308D7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ODS</w:t>
            </w:r>
            <w:r w:rsidR="00E50F20"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 4</w:t>
            </w: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: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Garantizar una educación inclusiva, equitativa y de calidad y promover oportunidades de aprendizaje durante toda la ida para todos</w:t>
            </w:r>
          </w:p>
        </w:tc>
      </w:tr>
      <w:tr w:rsidR="003E4527" w:rsidRPr="00D339A3" w:rsidTr="00D339A3">
        <w:trPr>
          <w:gridAfter w:val="1"/>
          <w:wAfter w:w="216" w:type="pct"/>
          <w:trHeight w:val="293"/>
          <w:jc w:val="center"/>
        </w:trPr>
        <w:tc>
          <w:tcPr>
            <w:tcW w:w="209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39A3" w:rsidRDefault="00D339A3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  <w:p w:rsidR="00D339A3" w:rsidRDefault="00D339A3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  <w:p w:rsidR="00D339A3" w:rsidRDefault="00D339A3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  <w:p w:rsidR="00D339A3" w:rsidRDefault="00D339A3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  <w:p w:rsidR="00D339A3" w:rsidRDefault="00D339A3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  <w:p w:rsidR="00D339A3" w:rsidRDefault="00D339A3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  <w:p w:rsidR="00D339A3" w:rsidRDefault="00D339A3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  <w:p w:rsidR="00E50F20" w:rsidRPr="00D339A3" w:rsidRDefault="00E50F20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lastRenderedPageBreak/>
              <w:t>Información correspondiente al: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 del 1 de enero al 31 de marzo del 2026</w:t>
            </w:r>
          </w:p>
        </w:tc>
        <w:tc>
          <w:tcPr>
            <w:tcW w:w="2372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0F20" w:rsidRPr="00D339A3" w:rsidRDefault="00E50F20" w:rsidP="005F3921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</w:tcPr>
          <w:p w:rsidR="00E50F20" w:rsidRPr="00D339A3" w:rsidRDefault="00E50F20" w:rsidP="005F3921">
            <w:pPr>
              <w:spacing w:after="0" w:line="240" w:lineRule="auto"/>
              <w:rPr>
                <w:rFonts w:ascii="Lato" w:eastAsia="Times New Roman" w:hAnsi="Lato" w:cs="Calibri"/>
                <w:color w:val="FF0000"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1"/>
          <w:wAfter w:w="216" w:type="pct"/>
          <w:trHeight w:val="293"/>
          <w:jc w:val="center"/>
        </w:trPr>
        <w:tc>
          <w:tcPr>
            <w:tcW w:w="9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0F20" w:rsidRPr="00D339A3" w:rsidRDefault="00E50F20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Resumen Narrativo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0F20" w:rsidRPr="00D339A3" w:rsidRDefault="00E50F20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0F20" w:rsidRPr="00D339A3" w:rsidRDefault="00E50F20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Línea Base</w:t>
            </w:r>
          </w:p>
        </w:tc>
        <w:tc>
          <w:tcPr>
            <w:tcW w:w="357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0F20" w:rsidRPr="00D339A3" w:rsidRDefault="00E50F20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Meta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0F20" w:rsidRPr="00D339A3" w:rsidRDefault="00E50F20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Frecuencia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F20" w:rsidRPr="00D339A3" w:rsidRDefault="00E50F20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TRIM </w:t>
            </w:r>
          </w:p>
          <w:p w:rsidR="00E50F20" w:rsidRPr="00D339A3" w:rsidRDefault="00E50F20" w:rsidP="00CF0B9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F20" w:rsidRPr="00D339A3" w:rsidRDefault="00E50F20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TRIM</w:t>
            </w:r>
          </w:p>
          <w:p w:rsidR="00E50F20" w:rsidRPr="00D339A3" w:rsidRDefault="00E50F20" w:rsidP="0054633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II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F20" w:rsidRPr="00D339A3" w:rsidRDefault="00E50F20" w:rsidP="0036284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 SEM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F20" w:rsidRPr="00D339A3" w:rsidRDefault="00E50F20" w:rsidP="00C84AF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TRIM </w:t>
            </w:r>
          </w:p>
          <w:p w:rsidR="00E50F20" w:rsidRPr="00D339A3" w:rsidRDefault="00E50F20" w:rsidP="00737C2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III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0F20" w:rsidRPr="00D339A3" w:rsidRDefault="00E50F20" w:rsidP="0036284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TRIM </w:t>
            </w:r>
          </w:p>
          <w:p w:rsidR="00E50F20" w:rsidRPr="00D339A3" w:rsidRDefault="00E50F20" w:rsidP="008D415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IV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0F20" w:rsidRPr="00D339A3" w:rsidRDefault="00E50F20" w:rsidP="00C84AF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II SEM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0F20" w:rsidRPr="00D339A3" w:rsidRDefault="00E50F20" w:rsidP="0036284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VALOR ANUAL</w:t>
            </w:r>
          </w:p>
        </w:tc>
      </w:tr>
      <w:tr w:rsidR="00D339A3" w:rsidRPr="00D339A3" w:rsidTr="00D339A3">
        <w:trPr>
          <w:gridAfter w:val="1"/>
          <w:wAfter w:w="216" w:type="pct"/>
          <w:trHeight w:val="105"/>
          <w:jc w:val="center"/>
        </w:trPr>
        <w:tc>
          <w:tcPr>
            <w:tcW w:w="9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50F20" w:rsidRPr="00D339A3" w:rsidRDefault="00E50F20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50F20" w:rsidRPr="00D339A3" w:rsidRDefault="00E50F20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50F20" w:rsidRPr="00D339A3" w:rsidRDefault="00E50F20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57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50F20" w:rsidRPr="00D339A3" w:rsidRDefault="00E50F20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5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50F20" w:rsidRPr="00D339A3" w:rsidRDefault="00E50F20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50F20" w:rsidRPr="00D339A3" w:rsidRDefault="00E50F20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50F20" w:rsidRPr="00D339A3" w:rsidRDefault="00E50F20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50F20" w:rsidRPr="00D339A3" w:rsidRDefault="00E50F20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50F20" w:rsidRPr="00D339A3" w:rsidRDefault="00E50F20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E50F20" w:rsidRPr="00D339A3" w:rsidRDefault="00E50F20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E50F20" w:rsidRPr="00D339A3" w:rsidRDefault="00E50F20" w:rsidP="00C84AF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E50F20" w:rsidRPr="00D339A3" w:rsidRDefault="00E50F20" w:rsidP="005F392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</w:tr>
      <w:tr w:rsidR="00D339A3" w:rsidRPr="00D339A3" w:rsidTr="00D339A3">
        <w:trPr>
          <w:gridAfter w:val="1"/>
          <w:wAfter w:w="216" w:type="pct"/>
          <w:trHeight w:val="1126"/>
          <w:jc w:val="center"/>
        </w:trPr>
        <w:tc>
          <w:tcPr>
            <w:tcW w:w="9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347D23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Fin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="00793CC9" w:rsidRPr="00D339A3">
              <w:rPr>
                <w:rFonts w:ascii="Lato" w:hAnsi="Lato" w:cs="Calibri"/>
                <w:sz w:val="20"/>
                <w:szCs w:val="20"/>
                <w:lang w:eastAsia="es-MX"/>
              </w:rPr>
              <w:t>Se contribuye a promover en la educación superior la innovación e investigación y el desarrollo sostenible</w:t>
            </w:r>
            <w:r w:rsidR="00347D23"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 </w:t>
            </w:r>
            <w:r w:rsidR="00793CC9" w:rsidRPr="00D339A3">
              <w:rPr>
                <w:rFonts w:ascii="Lato" w:hAnsi="Lato" w:cs="Calibri"/>
                <w:sz w:val="20"/>
                <w:szCs w:val="20"/>
                <w:lang w:eastAsia="es-MX"/>
              </w:rPr>
              <w:t>para responder a las necesidades</w:t>
            </w:r>
            <w:r w:rsidR="00347D23"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 </w:t>
            </w:r>
            <w:r w:rsidR="00793CC9" w:rsidRPr="00D339A3">
              <w:rPr>
                <w:rFonts w:ascii="Lato" w:hAnsi="Lato" w:cs="Calibri"/>
                <w:sz w:val="20"/>
                <w:szCs w:val="20"/>
                <w:lang w:eastAsia="es-MX"/>
              </w:rPr>
              <w:t>locales y globales mediante la</w:t>
            </w:r>
            <w:r w:rsidR="00347D23"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 </w:t>
            </w:r>
            <w:r w:rsidR="00793CC9" w:rsidRPr="00D339A3">
              <w:rPr>
                <w:rFonts w:ascii="Lato" w:hAnsi="Lato" w:cs="Calibri"/>
                <w:sz w:val="20"/>
                <w:szCs w:val="20"/>
                <w:lang w:eastAsia="es-MX"/>
              </w:rPr>
              <w:t>formación académica de excelencia</w:t>
            </w:r>
            <w:r w:rsidR="00347D23"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 </w:t>
            </w:r>
            <w:r w:rsidR="00793CC9" w:rsidRPr="00D339A3">
              <w:rPr>
                <w:rFonts w:ascii="Lato" w:hAnsi="Lato" w:cs="Calibri"/>
                <w:sz w:val="20"/>
                <w:szCs w:val="20"/>
                <w:lang w:eastAsia="es-MX"/>
              </w:rPr>
              <w:t>con enfoque en competencias y</w:t>
            </w:r>
            <w:r w:rsidR="00347D23"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 </w:t>
            </w:r>
            <w:r w:rsidR="00793CC9" w:rsidRPr="00D339A3">
              <w:rPr>
                <w:rFonts w:ascii="Lato" w:hAnsi="Lato" w:cs="Calibri"/>
                <w:sz w:val="20"/>
                <w:szCs w:val="20"/>
                <w:lang w:eastAsia="es-MX"/>
              </w:rPr>
              <w:t>habilidades produc</w:t>
            </w:r>
            <w:r w:rsidR="00347D23" w:rsidRPr="00D339A3">
              <w:rPr>
                <w:rFonts w:ascii="Lato" w:hAnsi="Lato" w:cs="Calibri"/>
                <w:sz w:val="20"/>
                <w:szCs w:val="20"/>
                <w:lang w:eastAsia="es-MX"/>
              </w:rPr>
              <w:t>ti</w:t>
            </w:r>
            <w:r w:rsidR="00793CC9" w:rsidRPr="00D339A3">
              <w:rPr>
                <w:rFonts w:ascii="Lato" w:hAnsi="Lato" w:cs="Calibri"/>
                <w:sz w:val="20"/>
                <w:szCs w:val="20"/>
                <w:lang w:eastAsia="es-MX"/>
              </w:rPr>
              <w:t>vas y técnicas</w:t>
            </w:r>
            <w:r w:rsidR="00347D23"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 </w:t>
            </w:r>
            <w:r w:rsidR="00793CC9" w:rsidRPr="00D339A3">
              <w:rPr>
                <w:rFonts w:ascii="Lato" w:hAnsi="Lato" w:cs="Calibri"/>
                <w:sz w:val="20"/>
                <w:szCs w:val="20"/>
                <w:lang w:eastAsia="es-MX"/>
              </w:rPr>
              <w:t>per</w:t>
            </w:r>
            <w:r w:rsidR="00347D23" w:rsidRPr="00D339A3">
              <w:rPr>
                <w:rFonts w:ascii="Lato" w:hAnsi="Lato" w:cs="Calibri"/>
                <w:sz w:val="20"/>
                <w:szCs w:val="20"/>
                <w:lang w:eastAsia="es-MX"/>
              </w:rPr>
              <w:t>ti</w:t>
            </w:r>
            <w:r w:rsidR="00793CC9" w:rsidRPr="00D339A3">
              <w:rPr>
                <w:rFonts w:ascii="Lato" w:hAnsi="Lato" w:cs="Calibri"/>
                <w:sz w:val="20"/>
                <w:szCs w:val="20"/>
                <w:lang w:eastAsia="es-MX"/>
              </w:rPr>
              <w:t>nentes a las necesidades del</w:t>
            </w:r>
            <w:r w:rsidR="00347D23"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 </w:t>
            </w:r>
            <w:r w:rsidR="00793CC9" w:rsidRPr="00D339A3">
              <w:rPr>
                <w:rFonts w:ascii="Lato" w:hAnsi="Lato" w:cs="Calibri"/>
                <w:sz w:val="20"/>
                <w:szCs w:val="20"/>
                <w:lang w:eastAsia="es-MX"/>
              </w:rPr>
              <w:t>sector produc</w:t>
            </w:r>
            <w:r w:rsidR="00347D23" w:rsidRPr="00D339A3">
              <w:rPr>
                <w:rFonts w:ascii="Lato" w:hAnsi="Lato" w:cs="Calibri"/>
                <w:sz w:val="20"/>
                <w:szCs w:val="20"/>
                <w:lang w:eastAsia="es-MX"/>
              </w:rPr>
              <w:t>ti</w:t>
            </w:r>
            <w:r w:rsidR="00793CC9" w:rsidRPr="00D339A3">
              <w:rPr>
                <w:rFonts w:ascii="Lato" w:hAnsi="Lato" w:cs="Calibri"/>
                <w:sz w:val="20"/>
                <w:szCs w:val="20"/>
                <w:lang w:eastAsia="es-MX"/>
              </w:rPr>
              <w:t>vo.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563A2C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2</w:t>
            </w:r>
            <w:r w:rsidR="00F54269"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5,</w:t>
            </w:r>
            <w:r w:rsidR="00563A2C"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248</w:t>
            </w: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 xml:space="preserve"> </w:t>
            </w:r>
            <w:r w:rsidR="006706FF"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Variación promedio de egresados de educación superior en Ciencias, Tecnologías, Ingenierías y Matemáticas (STEM)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6706FF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5.70</w:t>
            </w:r>
            <w:r w:rsidR="00DD0C1D" w:rsidRPr="00D339A3">
              <w:rPr>
                <w:rFonts w:ascii="Lato" w:hAnsi="Lato" w:cs="Arial"/>
                <w:sz w:val="20"/>
                <w:szCs w:val="20"/>
                <w:lang w:eastAsia="es-MX"/>
              </w:rPr>
              <w:t xml:space="preserve">                          </w:t>
            </w: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6706FF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5.80</w:t>
            </w:r>
          </w:p>
          <w:p w:rsidR="006706FF" w:rsidRPr="00D339A3" w:rsidRDefault="006706FF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492A3B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1"/>
          <w:wAfter w:w="216" w:type="pct"/>
          <w:trHeight w:val="1324"/>
          <w:jc w:val="center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347D23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Propósito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="00347D23" w:rsidRPr="00D339A3">
              <w:rPr>
                <w:rFonts w:ascii="Lato" w:hAnsi="Lato" w:cs="Calibri"/>
                <w:sz w:val="20"/>
                <w:szCs w:val="20"/>
                <w:lang w:eastAsia="es-MX"/>
              </w:rPr>
              <w:t>Los estudiantes inscritos en los Organismos Públicos Descentralizados de Educación Superior del Estado de Yucatán, tienen una óptima formación académica de excelencia, con enfoque en competencias y habilidades productivas y técnicas pertinentes a las necesidades del sector productivo.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F54269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 xml:space="preserve">25,950 </w:t>
            </w:r>
            <w:r w:rsidR="00C17571" w:rsidRPr="00D339A3">
              <w:rPr>
                <w:rFonts w:ascii="Lato" w:hAnsi="Lato" w:cs="Calibri"/>
                <w:sz w:val="20"/>
                <w:szCs w:val="20"/>
                <w:lang w:eastAsia="es-MX"/>
              </w:rPr>
              <w:t>Variación porcentual de egresados de educación superior.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D8" w:rsidRPr="00D339A3" w:rsidRDefault="00C17571" w:rsidP="00DD0C1D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0</w:t>
            </w:r>
          </w:p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C17571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2.17</w:t>
            </w:r>
          </w:p>
          <w:p w:rsidR="006706FF" w:rsidRPr="00D339A3" w:rsidRDefault="006706FF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E81B70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1"/>
          <w:wAfter w:w="216" w:type="pct"/>
          <w:trHeight w:val="682"/>
          <w:jc w:val="center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347D23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1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="00347D23"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Servicios de vinculación académica con el sector productivo, </w:t>
            </w:r>
            <w:r w:rsidR="00347D23" w:rsidRPr="00D339A3">
              <w:rPr>
                <w:rFonts w:ascii="Lato" w:hAnsi="Lato" w:cs="Calibri"/>
                <w:sz w:val="20"/>
                <w:szCs w:val="20"/>
                <w:lang w:eastAsia="es-MX"/>
              </w:rPr>
              <w:lastRenderedPageBreak/>
              <w:t>empresarial, organizaciones no gubernamentales y social realizados.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F54269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lastRenderedPageBreak/>
              <w:t>26,121</w:t>
            </w:r>
            <w:r w:rsidR="00C17571"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C17571"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Porcentaje de servicios de vinculación académica con el sector </w:t>
            </w:r>
            <w:r w:rsidR="00C17571" w:rsidRPr="00D339A3">
              <w:rPr>
                <w:rFonts w:ascii="Lato" w:hAnsi="Lato" w:cs="Calibri"/>
                <w:sz w:val="20"/>
                <w:szCs w:val="20"/>
                <w:lang w:eastAsia="es-MX"/>
              </w:rPr>
              <w:lastRenderedPageBreak/>
              <w:t>productivo, empresarial, organizaciones no gubernamentales y social realizados</w:t>
            </w:r>
            <w:r w:rsidR="00C17571"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F7" w:rsidRPr="00D339A3" w:rsidRDefault="00C17571" w:rsidP="00DD0C1D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lastRenderedPageBreak/>
              <w:t>100</w:t>
            </w:r>
          </w:p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C17571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100</w:t>
            </w:r>
          </w:p>
          <w:p w:rsidR="006706FF" w:rsidRPr="00D339A3" w:rsidRDefault="006706FF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BC5F4E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1"/>
          <w:wAfter w:w="216" w:type="pct"/>
          <w:trHeight w:val="750"/>
          <w:jc w:val="center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D23" w:rsidRPr="00D339A3" w:rsidRDefault="00DD0C1D" w:rsidP="00347D23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lastRenderedPageBreak/>
              <w:t>Actividad: C1A1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="00347D23" w:rsidRPr="00D339A3">
              <w:rPr>
                <w:rFonts w:ascii="Lato" w:hAnsi="Lato" w:cs="Calibri"/>
                <w:sz w:val="20"/>
                <w:szCs w:val="20"/>
                <w:lang w:eastAsia="es-MX"/>
              </w:rPr>
              <w:t>Formalización de convenios con el</w:t>
            </w:r>
          </w:p>
          <w:p w:rsidR="00DD0C1D" w:rsidRPr="00D339A3" w:rsidRDefault="00347D23" w:rsidP="00347D23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sector productivo, empresarial y social.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F54269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>26,122</w:t>
            </w:r>
            <w:r w:rsidR="00C17571"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C17571" w:rsidRPr="00D339A3">
              <w:rPr>
                <w:rFonts w:ascii="Lato" w:hAnsi="Lato" w:cs="Calibri"/>
                <w:sz w:val="20"/>
                <w:szCs w:val="20"/>
                <w:lang w:eastAsia="es-MX"/>
              </w:rPr>
              <w:t>Porcentaje de convenios formalizados con el sector productivo, empresarial y social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571" w:rsidRPr="00D339A3" w:rsidRDefault="00C17571" w:rsidP="00DD0C1D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C17571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100</w:t>
            </w:r>
            <w:r w:rsidR="006706FF" w:rsidRPr="00D339A3">
              <w:rPr>
                <w:rFonts w:ascii="Lato" w:hAnsi="Lato" w:cs="Arial"/>
                <w:sz w:val="20"/>
                <w:szCs w:val="20"/>
                <w:lang w:eastAsia="es-MX"/>
              </w:rPr>
              <w:t xml:space="preserve"> Porcentaje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C1D" w:rsidRPr="00D339A3" w:rsidRDefault="00C17571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E81B70" w:rsidP="0071190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92.31</w:t>
            </w:r>
            <w:r w:rsidR="00BC5F4E"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1"/>
          <w:wAfter w:w="216" w:type="pct"/>
          <w:trHeight w:val="417"/>
          <w:jc w:val="center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347D23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C1A2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="00347D23" w:rsidRPr="00D339A3">
              <w:rPr>
                <w:rFonts w:ascii="Lato" w:hAnsi="Lato" w:cs="Calibri"/>
                <w:sz w:val="20"/>
                <w:szCs w:val="20"/>
                <w:lang w:eastAsia="es-MX"/>
              </w:rPr>
              <w:t>Documentación de actividades académicas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F54269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 xml:space="preserve">26,123 </w:t>
            </w:r>
            <w:r w:rsidR="00C17571" w:rsidRPr="00D339A3">
              <w:rPr>
                <w:rFonts w:ascii="Lato" w:hAnsi="Lato" w:cs="Calibri"/>
                <w:sz w:val="20"/>
                <w:szCs w:val="20"/>
                <w:lang w:eastAsia="es-MX"/>
              </w:rPr>
              <w:t>Porcentaje de actividades académicas documentadas</w:t>
            </w:r>
            <w:r w:rsidR="00DD0C1D" w:rsidRPr="00D339A3">
              <w:rPr>
                <w:rFonts w:ascii="Lato" w:hAnsi="Lato" w:cs="Calibri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 xml:space="preserve">100 </w:t>
            </w: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br/>
              <w:t>Porcentaje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6706FF" w:rsidRPr="00D339A3" w:rsidRDefault="006706FF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92A3B" w:rsidRPr="00D339A3" w:rsidRDefault="00492A3B" w:rsidP="0071190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9.09 </w:t>
            </w:r>
            <w:r w:rsidR="00BC5F4E"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1"/>
          <w:wAfter w:w="216" w:type="pct"/>
          <w:trHeight w:val="556"/>
          <w:jc w:val="center"/>
        </w:trPr>
        <w:tc>
          <w:tcPr>
            <w:tcW w:w="9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347D23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2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="00347D23" w:rsidRPr="00D339A3">
              <w:rPr>
                <w:rFonts w:ascii="Lato" w:hAnsi="Lato" w:cs="Calibri"/>
                <w:sz w:val="20"/>
                <w:szCs w:val="20"/>
                <w:lang w:eastAsia="es-MX"/>
              </w:rPr>
              <w:t>Servicios para el emprendimiento, incubación, aceleración de empresas y cultura creativa realizados.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F54269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 xml:space="preserve">25,269 </w:t>
            </w:r>
            <w:r w:rsidR="00C17571" w:rsidRPr="00D339A3">
              <w:rPr>
                <w:rFonts w:ascii="Lato" w:hAnsi="Lato" w:cs="Calibri"/>
                <w:sz w:val="20"/>
                <w:szCs w:val="20"/>
                <w:lang w:eastAsia="es-MX"/>
              </w:rPr>
              <w:t>Porcentaje de servicios para el emprendimiento, incubación, aceleración de empresas y cultura creativa realizados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C17571" w:rsidP="00DD0C1D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C17571" w:rsidP="00DD0C1D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100</w:t>
            </w:r>
          </w:p>
          <w:p w:rsidR="006706FF" w:rsidRPr="00D339A3" w:rsidRDefault="006706FF" w:rsidP="00DD0C1D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BC5F4E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0C1D" w:rsidRPr="00D339A3" w:rsidRDefault="00DD0C1D" w:rsidP="00DD0C1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1"/>
          <w:wAfter w:w="216" w:type="pct"/>
          <w:trHeight w:val="809"/>
          <w:jc w:val="center"/>
        </w:trPr>
        <w:tc>
          <w:tcPr>
            <w:tcW w:w="9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09" w:rsidRPr="00D339A3" w:rsidRDefault="00C52709" w:rsidP="00347D23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C2A1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="00347D23" w:rsidRPr="00D339A3">
              <w:rPr>
                <w:rFonts w:ascii="Lato" w:hAnsi="Lato" w:cs="Calibri"/>
                <w:sz w:val="20"/>
                <w:szCs w:val="20"/>
                <w:lang w:eastAsia="es-MX"/>
              </w:rPr>
              <w:t>Impartición de servicios de consultoría para el emprendimiento, incubación, aceleración de empresas y cultura creativa.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709" w:rsidRPr="00D339A3" w:rsidRDefault="00F54269" w:rsidP="00C5270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 xml:space="preserve">25,270 </w:t>
            </w:r>
            <w:r w:rsidR="006706FF" w:rsidRPr="00D339A3">
              <w:rPr>
                <w:rFonts w:ascii="Lato" w:hAnsi="Lato" w:cs="Calibri"/>
                <w:sz w:val="20"/>
                <w:szCs w:val="20"/>
                <w:lang w:eastAsia="es-MX"/>
              </w:rPr>
              <w:t>Porcentaje de servicios de consultoría para el emprendimiento, incubación, aceleración de empresas y cultura creativa impartidos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709" w:rsidRPr="00D339A3" w:rsidRDefault="006706FF" w:rsidP="00C5270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6FF" w:rsidRPr="00D339A3" w:rsidRDefault="006706FF" w:rsidP="006706FF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100</w:t>
            </w:r>
          </w:p>
          <w:p w:rsidR="00C52709" w:rsidRPr="00D339A3" w:rsidRDefault="006706FF" w:rsidP="006706FF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09" w:rsidRPr="00D339A3" w:rsidRDefault="006706FF" w:rsidP="00C5270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3B" w:rsidRPr="00D339A3" w:rsidRDefault="00492A3B" w:rsidP="00492A3B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709" w:rsidRPr="00D339A3" w:rsidRDefault="00C52709" w:rsidP="00C5270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709" w:rsidRPr="00D339A3" w:rsidRDefault="00C52709" w:rsidP="00C5270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709" w:rsidRPr="00D339A3" w:rsidRDefault="00C52709" w:rsidP="00C5270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709" w:rsidRPr="00D339A3" w:rsidRDefault="00C52709" w:rsidP="00C5270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709" w:rsidRPr="00D339A3" w:rsidRDefault="00C52709" w:rsidP="00C5270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709" w:rsidRPr="00D339A3" w:rsidRDefault="00C52709" w:rsidP="00C5270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1"/>
          <w:wAfter w:w="216" w:type="pct"/>
          <w:trHeight w:val="938"/>
          <w:jc w:val="center"/>
        </w:trPr>
        <w:tc>
          <w:tcPr>
            <w:tcW w:w="9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C2A2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  <w:t>Impartición de cursos para la formación de emprendedores.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 xml:space="preserve">25,271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Porcentaje de cursos para la formación de emprendedores impartidos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100</w:t>
            </w:r>
          </w:p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3B" w:rsidRPr="00D339A3" w:rsidRDefault="00492A3B" w:rsidP="00BC5F4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100</w:t>
            </w:r>
            <w:r w:rsidR="00BC5F4E"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1"/>
          <w:wAfter w:w="216" w:type="pct"/>
          <w:trHeight w:val="841"/>
          <w:jc w:val="center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C" w:rsidRPr="00D339A3" w:rsidRDefault="003A30CC" w:rsidP="003A30CC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3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.</w:t>
            </w:r>
          </w:p>
          <w:p w:rsidR="003A30CC" w:rsidRPr="00D339A3" w:rsidRDefault="00347D23" w:rsidP="00347D23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Programa para el fortalecimiento de la cultura de innovación implementado.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C" w:rsidRPr="00D339A3" w:rsidRDefault="00F54269" w:rsidP="003A30CC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 xml:space="preserve">25,773 </w:t>
            </w:r>
            <w:r w:rsidR="004E5675"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Porcentaje de estudiantes de educación superior que participan en las actividades de la </w:t>
            </w:r>
            <w:r w:rsidR="004E5675" w:rsidRPr="00D339A3">
              <w:rPr>
                <w:rFonts w:ascii="Lato" w:hAnsi="Lato" w:cs="Calibri"/>
                <w:sz w:val="20"/>
                <w:szCs w:val="20"/>
                <w:lang w:eastAsia="es-MX"/>
              </w:rPr>
              <w:lastRenderedPageBreak/>
              <w:t>cultura de la innovación desarrolladas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C" w:rsidRPr="00D339A3" w:rsidRDefault="004E5675" w:rsidP="003A30CC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lastRenderedPageBreak/>
              <w:t>No Aplica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C" w:rsidRPr="00D339A3" w:rsidRDefault="004E5675" w:rsidP="003A30CC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No Aplica 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C" w:rsidRPr="00D339A3" w:rsidRDefault="003A30CC" w:rsidP="003A30CC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C" w:rsidRPr="00D339A3" w:rsidRDefault="004E5675" w:rsidP="003A30CC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C" w:rsidRPr="00D339A3" w:rsidRDefault="004E5675" w:rsidP="003A30CC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C" w:rsidRPr="00D339A3" w:rsidRDefault="004E5675" w:rsidP="003A30CC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C" w:rsidRPr="00D339A3" w:rsidRDefault="004E5675" w:rsidP="003A30CC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C" w:rsidRPr="00D339A3" w:rsidRDefault="004E5675" w:rsidP="003A30CC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C" w:rsidRPr="00D339A3" w:rsidRDefault="004E5675" w:rsidP="003A30CC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C" w:rsidRPr="00D339A3" w:rsidRDefault="004E5675" w:rsidP="003A30CC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</w:tr>
      <w:tr w:rsidR="00D339A3" w:rsidRPr="00D339A3" w:rsidTr="00D339A3">
        <w:trPr>
          <w:gridAfter w:val="1"/>
          <w:wAfter w:w="216" w:type="pct"/>
          <w:trHeight w:val="347"/>
          <w:jc w:val="center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lastRenderedPageBreak/>
              <w:t>Actividad: C3A1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  <w:t>Creación de redes de colaboración con otras instituciones, empresas y el sector social para intercambiar experiencias y conocimientos.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 xml:space="preserve">25,272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Porcentaje de redes de colaboración con instituciones, empresas y sector social creadas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No Aplica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No Aplica 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</w:tr>
      <w:tr w:rsidR="00D339A3" w:rsidRPr="00D339A3" w:rsidTr="00D339A3">
        <w:trPr>
          <w:gridAfter w:val="1"/>
          <w:wAfter w:w="216" w:type="pct"/>
          <w:trHeight w:val="543"/>
          <w:jc w:val="center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C3A2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  <w:t>Formación de equipos multidisciplinarios para la generación de ideas innovadoras.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 xml:space="preserve">25,273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Porcentaje de equipos multidisciplinarios para la generación de ideas innovadoras formados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No Aplica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No Aplica 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</w:tr>
      <w:tr w:rsidR="00D339A3" w:rsidRPr="00D339A3" w:rsidTr="00D339A3">
        <w:trPr>
          <w:gridAfter w:val="1"/>
          <w:wAfter w:w="216" w:type="pct"/>
          <w:trHeight w:val="851"/>
          <w:jc w:val="center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C3A3</w:t>
            </w:r>
          </w:p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Impartición de cursos enfocados a la</w:t>
            </w:r>
          </w:p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Innovación.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 xml:space="preserve">25,274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Porcentaje de estudiantes de educación superior que participan en los cursos de innovación impartidos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No Aplica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No Aplica 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5" w:rsidRPr="00D339A3" w:rsidRDefault="004E5675" w:rsidP="004E567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</w:tr>
      <w:tr w:rsidR="00D339A3" w:rsidRPr="00D339A3" w:rsidTr="00D339A3">
        <w:trPr>
          <w:gridAfter w:val="1"/>
          <w:wAfter w:w="216" w:type="pct"/>
          <w:trHeight w:val="605"/>
          <w:jc w:val="center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4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  <w:t>Servicios para el desarrollo de</w:t>
            </w:r>
          </w:p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habilidades digitales y blandas</w:t>
            </w:r>
          </w:p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otorgados.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 xml:space="preserve">25,521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Porcentaje de estudiantes de educación superior que participan en las actividades para el desarrollo de habilidades digitales y blandas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No Aplica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No Aplica 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</w:tr>
      <w:tr w:rsidR="00D339A3" w:rsidRPr="00D339A3" w:rsidTr="00D339A3">
        <w:trPr>
          <w:gridAfter w:val="1"/>
          <w:wAfter w:w="216" w:type="pct"/>
          <w:trHeight w:val="652"/>
          <w:jc w:val="center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C4A1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  <w:t>Creación de contenido y recursos educativos para el desarrollo de habilidades digitales y blandas.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 xml:space="preserve">25,275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Porcentaje de contenido y recursos educativos creados por los estudiantes de educación superior.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No Aplica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No Aplica 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527" w:rsidRPr="00D339A3" w:rsidRDefault="003E4527" w:rsidP="003E4527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</w:tr>
      <w:tr w:rsidR="00D339A3" w:rsidRPr="00D339A3" w:rsidTr="00D339A3">
        <w:trPr>
          <w:gridAfter w:val="1"/>
          <w:wAfter w:w="216" w:type="pct"/>
          <w:trHeight w:val="1334"/>
          <w:jc w:val="center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FA" w:rsidRPr="00D339A3" w:rsidRDefault="001C04FA" w:rsidP="001C04F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lastRenderedPageBreak/>
              <w:t>Actividad: C4A2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  <w:t>Realización de actividades grupales, proyectos colaborativos y entornos virtuales de aprendizaje.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4FA" w:rsidRPr="00D339A3" w:rsidRDefault="001C04FA" w:rsidP="001C04F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 xml:space="preserve">25,276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Porcentaje de estudiantes de educación superior que participan en las actividades grupales, proyectos colaborativos y entornos virtuales de aprendizaje realizadas.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4FA" w:rsidRPr="00D339A3" w:rsidRDefault="001C04FA" w:rsidP="001C04FA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No Aplica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4FA" w:rsidRPr="00D339A3" w:rsidRDefault="001C04FA" w:rsidP="001C04F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No Aplica 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4FA" w:rsidRPr="00D339A3" w:rsidRDefault="001C04FA" w:rsidP="001C04F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4FA" w:rsidRPr="00D339A3" w:rsidRDefault="001C04FA" w:rsidP="001C04F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4FA" w:rsidRPr="00D339A3" w:rsidRDefault="001C04FA" w:rsidP="001C04F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4FA" w:rsidRPr="00D339A3" w:rsidRDefault="001C04FA" w:rsidP="001C04F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4FA" w:rsidRPr="00D339A3" w:rsidRDefault="001C04FA" w:rsidP="001C04F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4FA" w:rsidRPr="00D339A3" w:rsidRDefault="001C04FA" w:rsidP="001C04F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4FA" w:rsidRPr="00D339A3" w:rsidRDefault="001C04FA" w:rsidP="001C04F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4FA" w:rsidRPr="00D339A3" w:rsidRDefault="001C04FA" w:rsidP="001C04F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</w:tr>
      <w:tr w:rsidR="00D339A3" w:rsidRPr="00D339A3" w:rsidTr="00D339A3">
        <w:trPr>
          <w:gridAfter w:val="1"/>
          <w:wAfter w:w="216" w:type="pct"/>
          <w:trHeight w:val="1334"/>
          <w:jc w:val="center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C4A3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  <w:t>Impartición de actividades formativas con enfoque a las habilidades digitales y blandas.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>25,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277 Porcentaje de estudiantes de educación superior que participan en los cursos, talleres y seminarios con enfoque a las habilidades digitales y blandas realizados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No Aplica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No Aplica 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</w:tr>
      <w:tr w:rsidR="00D339A3" w:rsidRPr="00D339A3" w:rsidTr="00D339A3">
        <w:trPr>
          <w:gridAfter w:val="1"/>
          <w:wAfter w:w="216" w:type="pct"/>
          <w:trHeight w:val="1334"/>
          <w:jc w:val="center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5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  <w:t>Programa para el fomento de la investigación implementado.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 xml:space="preserve">25,774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Porcentaje de estudiantes de educación superior que participan en las actividades para el fomento de la investigación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Calibri" w:hAnsi="Lato" w:cs="Calibri"/>
                <w:sz w:val="20"/>
                <w:szCs w:val="20"/>
                <w:lang w:eastAsia="es-MX"/>
              </w:rPr>
              <w:t>6.72</w:t>
            </w:r>
          </w:p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Calibri" w:hAnsi="Lato" w:cs="Calibri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Calibri" w:hAnsi="Lato" w:cs="Calibri"/>
                <w:sz w:val="20"/>
                <w:szCs w:val="20"/>
                <w:lang w:eastAsia="es-MX"/>
              </w:rPr>
              <w:t>8.33</w:t>
            </w:r>
          </w:p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Calibri" w:hAnsi="Lato" w:cs="Calibri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010BF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1"/>
          <w:wAfter w:w="216" w:type="pct"/>
          <w:trHeight w:val="841"/>
          <w:jc w:val="center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C5A1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  <w:t>Difusión de los resultados de divulgación científica investigación a través de publicaciones académicas, conferencias y otros espacios de académicos y científicos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 xml:space="preserve">25,278 </w:t>
            </w:r>
            <w:r w:rsidR="00010BFE" w:rsidRPr="00D339A3">
              <w:rPr>
                <w:rFonts w:ascii="Lato" w:hAnsi="Lato" w:cs="Calibri"/>
                <w:sz w:val="20"/>
                <w:szCs w:val="20"/>
                <w:lang w:eastAsia="es-MX"/>
              </w:rPr>
              <w:t>Porcentaje de resultados de investigación difundidos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BFE" w:rsidRPr="00D339A3" w:rsidRDefault="00010BFE" w:rsidP="00A3079E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Calibri" w:hAnsi="Lato" w:cs="Calibri"/>
                <w:sz w:val="20"/>
                <w:szCs w:val="20"/>
                <w:lang w:eastAsia="es-MX"/>
              </w:rPr>
              <w:t>100</w:t>
            </w:r>
          </w:p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Calibri" w:hAnsi="Lato" w:cs="Calibri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BFE" w:rsidRPr="00D339A3" w:rsidRDefault="00010BFE" w:rsidP="00010BFE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Calibri" w:hAnsi="Lato" w:cs="Calibri"/>
                <w:sz w:val="20"/>
                <w:szCs w:val="20"/>
                <w:lang w:eastAsia="es-MX"/>
              </w:rPr>
              <w:t>100</w:t>
            </w:r>
          </w:p>
          <w:p w:rsidR="00A3079E" w:rsidRPr="00D339A3" w:rsidRDefault="00010BFE" w:rsidP="00010BFE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Calibri" w:hAnsi="Lato" w:cs="Calibri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010BF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3B" w:rsidRPr="00D339A3" w:rsidRDefault="00492A3B" w:rsidP="00492A3B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9E" w:rsidRPr="00D339A3" w:rsidRDefault="00A3079E" w:rsidP="00A3079E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1"/>
          <w:wAfter w:w="216" w:type="pct"/>
          <w:trHeight w:val="750"/>
          <w:jc w:val="center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D339A3" w:rsidRDefault="00632E0E" w:rsidP="00632E0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C5A2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Formación de equipos</w:t>
            </w:r>
          </w:p>
          <w:p w:rsidR="00632E0E" w:rsidRPr="00D339A3" w:rsidRDefault="00632E0E" w:rsidP="00632E0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multidisciplinarios para la generación de investigación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D339A3" w:rsidRDefault="00632E0E" w:rsidP="00632E0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>25,279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 Porcentaje de equipos multidisciplinarios para la generación de investigación formados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D339A3" w:rsidRDefault="00632E0E" w:rsidP="00632E0E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Calibri" w:hAnsi="Lato" w:cs="Calibri"/>
                <w:sz w:val="20"/>
                <w:szCs w:val="20"/>
                <w:lang w:eastAsia="es-MX"/>
              </w:rPr>
              <w:t>3.36</w:t>
            </w:r>
          </w:p>
          <w:p w:rsidR="00632E0E" w:rsidRPr="00D339A3" w:rsidRDefault="00632E0E" w:rsidP="00632E0E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Calibri" w:hAnsi="Lato" w:cs="Calibri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D339A3" w:rsidRDefault="00632E0E" w:rsidP="00632E0E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Calibri" w:hAnsi="Lato" w:cs="Calibri"/>
                <w:sz w:val="20"/>
                <w:szCs w:val="20"/>
                <w:lang w:eastAsia="es-MX"/>
              </w:rPr>
              <w:t>4.17</w:t>
            </w:r>
          </w:p>
          <w:p w:rsidR="00632E0E" w:rsidRPr="00D339A3" w:rsidRDefault="00632E0E" w:rsidP="00632E0E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Calibri" w:hAnsi="Lato" w:cs="Calibri"/>
                <w:sz w:val="20"/>
                <w:szCs w:val="20"/>
                <w:lang w:eastAsia="es-MX"/>
              </w:rPr>
              <w:t>Porcentaje</w:t>
            </w: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D339A3" w:rsidRDefault="00632E0E" w:rsidP="00632E0E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3B" w:rsidRPr="00D339A3" w:rsidRDefault="00492A3B" w:rsidP="00492A3B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D339A3" w:rsidRDefault="00632E0E" w:rsidP="00632E0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D339A3" w:rsidRDefault="00632E0E" w:rsidP="00632E0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D339A3" w:rsidRDefault="00632E0E" w:rsidP="00632E0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D339A3" w:rsidRDefault="00632E0E" w:rsidP="00632E0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D339A3" w:rsidRDefault="00632E0E" w:rsidP="00632E0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D339A3" w:rsidRDefault="00632E0E" w:rsidP="00632E0E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1"/>
          <w:wAfter w:w="216" w:type="pct"/>
          <w:trHeight w:val="489"/>
          <w:jc w:val="center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D339A3" w:rsidRDefault="00632E0E" w:rsidP="00632E0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lastRenderedPageBreak/>
              <w:t>Actividad: C5A3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Impartición de actividades educativas</w:t>
            </w:r>
          </w:p>
          <w:p w:rsidR="00632E0E" w:rsidRPr="00D339A3" w:rsidRDefault="00632E0E" w:rsidP="00632E0E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enfocadas a la investigación.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D339A3" w:rsidRDefault="00632E0E" w:rsidP="00632E0E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>25,280</w:t>
            </w:r>
            <w:r w:rsidR="00574201"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574201" w:rsidRPr="00D339A3">
              <w:rPr>
                <w:rFonts w:ascii="Lato" w:hAnsi="Lato" w:cs="Calibri"/>
                <w:sz w:val="20"/>
                <w:szCs w:val="20"/>
                <w:lang w:eastAsia="es-MX"/>
              </w:rPr>
              <w:t>Porcentaje de estudiantes de educación superior que participan en los talleres, seminarios y mentorías de investigación impartidos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Calibri" w:hAnsi="Lato" w:cs="Calibri"/>
                <w:sz w:val="20"/>
                <w:szCs w:val="20"/>
                <w:lang w:eastAsia="es-MX"/>
              </w:rPr>
              <w:t>3.36</w:t>
            </w:r>
          </w:p>
          <w:p w:rsidR="00632E0E" w:rsidRPr="00D339A3" w:rsidRDefault="00574201" w:rsidP="00574201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Calibri" w:hAnsi="Lato" w:cs="Calibri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Calibri" w:hAnsi="Lato" w:cs="Calibri"/>
                <w:sz w:val="20"/>
                <w:szCs w:val="20"/>
                <w:lang w:eastAsia="es-MX"/>
              </w:rPr>
              <w:t>5</w:t>
            </w:r>
          </w:p>
          <w:p w:rsidR="00632E0E" w:rsidRPr="00D339A3" w:rsidRDefault="00574201" w:rsidP="00574201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eastAsia="Calibri" w:hAnsi="Lato" w:cs="Calibri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D339A3" w:rsidRDefault="00574201" w:rsidP="00632E0E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D339A3" w:rsidRDefault="00492A3B" w:rsidP="00632E0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D339A3" w:rsidRDefault="00632E0E" w:rsidP="00632E0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D339A3" w:rsidRDefault="00632E0E" w:rsidP="00632E0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D339A3" w:rsidRDefault="00632E0E" w:rsidP="00632E0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D339A3" w:rsidRDefault="00632E0E" w:rsidP="00632E0E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D339A3" w:rsidRDefault="00632E0E" w:rsidP="00632E0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D339A3" w:rsidRDefault="00632E0E" w:rsidP="00632E0E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1"/>
          <w:wAfter w:w="216" w:type="pct"/>
          <w:trHeight w:val="883"/>
          <w:jc w:val="center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6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  <w:t>Apoyos para carreras de Ciencia, Tecnología, Ingeniería y Matemáticas (STEM) proporcionados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 xml:space="preserve">26,120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Porcentaje de Apoyos para carreras Ciencia, Tecnología, Ingeniería y Matemáticas (STEM) entregados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No Aplica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No Aplica 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Semestral 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</w:tr>
      <w:tr w:rsidR="00D339A3" w:rsidRPr="00D339A3" w:rsidTr="00D339A3">
        <w:trPr>
          <w:gridAfter w:val="1"/>
          <w:wAfter w:w="216" w:type="pct"/>
          <w:trHeight w:val="974"/>
          <w:jc w:val="center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C6A1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  <w:t>Seguimiento de la matrícula de mujeres en carreras de Ciencia, Tecnología, Ingeniería y Matemáticas (STEM)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 xml:space="preserve">25,281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Porcentaje de matrícula de mujeres en carreras de Ciencia, Tecnología, Ingeniería y Matemáticas (STEM).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No Aplica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No Aplica 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</w:tr>
      <w:tr w:rsidR="00D339A3" w:rsidRPr="00D339A3" w:rsidTr="00D339A3">
        <w:trPr>
          <w:gridAfter w:val="1"/>
          <w:wAfter w:w="216" w:type="pct"/>
          <w:trHeight w:val="866"/>
          <w:jc w:val="center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C6A2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  <w:t>Seguimiento a Instituciones de Educación Superior Públicas que otorgan apoyos a mujeres en carreras de Ciencia, Tecnología, Ingeniería y Matemáticas (STEM).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 xml:space="preserve">25,282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Porcentaje de Instituciones de Educación Superior Públicas que otorgan apoyos a mujeres en carreras Ciencia, Tecnología, Ingeniería y Matemáticas (STEM)</w:t>
            </w:r>
            <w:r w:rsidRPr="00D339A3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No Aplica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No Aplica 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</w:tr>
      <w:tr w:rsidR="00574201" w:rsidRPr="00D339A3" w:rsidTr="00D339A3">
        <w:trPr>
          <w:gridAfter w:val="1"/>
          <w:wAfter w:w="216" w:type="pct"/>
          <w:trHeight w:val="125"/>
          <w:jc w:val="center"/>
        </w:trPr>
        <w:tc>
          <w:tcPr>
            <w:tcW w:w="9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201" w:rsidRPr="00D339A3" w:rsidRDefault="00574201" w:rsidP="00574201">
            <w:pPr>
              <w:spacing w:after="0" w:line="240" w:lineRule="auto"/>
              <w:ind w:firstLineChars="100" w:firstLine="200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Capítulo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201" w:rsidRPr="00D339A3" w:rsidRDefault="00574201" w:rsidP="00574201">
            <w:pPr>
              <w:spacing w:after="0" w:line="240" w:lineRule="auto"/>
              <w:ind w:firstLineChars="100" w:firstLine="200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Monto del programa</w:t>
            </w:r>
          </w:p>
        </w:tc>
        <w:tc>
          <w:tcPr>
            <w:tcW w:w="248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74201" w:rsidRPr="00D339A3" w:rsidRDefault="00574201" w:rsidP="00574201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Estructura Funcional Programática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:rsidR="00574201" w:rsidRPr="00D339A3" w:rsidRDefault="00574201" w:rsidP="0057420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</w:tcPr>
          <w:p w:rsidR="00574201" w:rsidRPr="00D339A3" w:rsidRDefault="00574201" w:rsidP="0057420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CE41CA" w:rsidRPr="00D339A3" w:rsidTr="00D339A3">
        <w:trPr>
          <w:gridAfter w:val="1"/>
          <w:wAfter w:w="216" w:type="pct"/>
          <w:trHeight w:val="59"/>
          <w:jc w:val="center"/>
        </w:trPr>
        <w:tc>
          <w:tcPr>
            <w:tcW w:w="9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41CA" w:rsidRPr="00D339A3" w:rsidRDefault="00CE41CA" w:rsidP="00574201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  <w:t>-998 No Aplica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41CA" w:rsidRPr="00D339A3" w:rsidRDefault="00CE41CA" w:rsidP="00CE41CA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  <w:t>-999 No Disponible</w:t>
            </w:r>
            <w:r w:rsidRPr="00D339A3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41CA" w:rsidRPr="00D339A3" w:rsidRDefault="00CE41CA" w:rsidP="0057420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Finalidad: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41CA" w:rsidRPr="00D339A3" w:rsidRDefault="00CE41CA" w:rsidP="00574201">
            <w:pPr>
              <w:spacing w:after="0" w:line="240" w:lineRule="auto"/>
              <w:ind w:left="231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3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E41CA" w:rsidRPr="00D339A3" w:rsidRDefault="00CE41CA" w:rsidP="0057420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02 Desarrollo Social</w:t>
            </w:r>
          </w:p>
        </w:tc>
      </w:tr>
      <w:tr w:rsidR="00CE41CA" w:rsidRPr="00D339A3" w:rsidTr="00D339A3">
        <w:trPr>
          <w:gridAfter w:val="1"/>
          <w:wAfter w:w="216" w:type="pct"/>
          <w:trHeight w:val="51"/>
          <w:jc w:val="center"/>
        </w:trPr>
        <w:tc>
          <w:tcPr>
            <w:tcW w:w="9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41CA" w:rsidRPr="00D339A3" w:rsidRDefault="00CE41CA" w:rsidP="00CE41CA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  <w:t xml:space="preserve">NA: No Aplica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41CA" w:rsidRPr="00D339A3" w:rsidRDefault="00CE41CA" w:rsidP="00574201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  <w:t>SM: Sin Medición</w:t>
            </w: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41CA" w:rsidRPr="00D339A3" w:rsidRDefault="00CE41CA" w:rsidP="0057420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Eje del PED: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41CA" w:rsidRPr="00D339A3" w:rsidRDefault="00CE41CA" w:rsidP="0057420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3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E41CA" w:rsidRPr="00D339A3" w:rsidRDefault="00CE41CA" w:rsidP="0057420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02.03 Educación, Cultura y Deporte Pilares del Renacimiento</w:t>
            </w:r>
          </w:p>
        </w:tc>
      </w:tr>
      <w:tr w:rsidR="00CE41CA" w:rsidRPr="00D339A3" w:rsidTr="00D339A3">
        <w:trPr>
          <w:gridAfter w:val="1"/>
          <w:wAfter w:w="216" w:type="pct"/>
          <w:trHeight w:val="82"/>
          <w:jc w:val="center"/>
        </w:trPr>
        <w:tc>
          <w:tcPr>
            <w:tcW w:w="9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41CA" w:rsidRPr="00D339A3" w:rsidRDefault="00CE41CA" w:rsidP="00574201">
            <w:pPr>
              <w:spacing w:after="0" w:line="240" w:lineRule="auto"/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41CA" w:rsidRPr="00D339A3" w:rsidRDefault="00CE41CA" w:rsidP="0057420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41CA" w:rsidRPr="00D339A3" w:rsidRDefault="00CE41CA" w:rsidP="0057420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Función: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41CA" w:rsidRPr="00D339A3" w:rsidRDefault="00CE41CA" w:rsidP="0057420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3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E41CA" w:rsidRPr="00D339A3" w:rsidRDefault="00CE41CA" w:rsidP="0057420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02.03.05 Educación</w:t>
            </w:r>
          </w:p>
        </w:tc>
      </w:tr>
      <w:tr w:rsidR="00CE41CA" w:rsidRPr="00D339A3" w:rsidTr="00D339A3">
        <w:trPr>
          <w:gridAfter w:val="1"/>
          <w:wAfter w:w="216" w:type="pct"/>
          <w:trHeight w:val="140"/>
          <w:jc w:val="center"/>
        </w:trPr>
        <w:tc>
          <w:tcPr>
            <w:tcW w:w="9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41CA" w:rsidRPr="00D339A3" w:rsidRDefault="00CE41CA" w:rsidP="00574201">
            <w:pPr>
              <w:spacing w:after="0" w:line="240" w:lineRule="auto"/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41CA" w:rsidRPr="00D339A3" w:rsidRDefault="00CE41CA" w:rsidP="0057420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41CA" w:rsidRPr="00D339A3" w:rsidRDefault="00CE41CA" w:rsidP="0057420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Subfunción: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41CA" w:rsidRPr="00D339A3" w:rsidRDefault="00CE41CA" w:rsidP="0057420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3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E41CA" w:rsidRPr="00D339A3" w:rsidRDefault="00CE41CA" w:rsidP="0057420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02.03.05.03 Educación Superior</w:t>
            </w:r>
          </w:p>
        </w:tc>
      </w:tr>
      <w:tr w:rsidR="00CE41CA" w:rsidRPr="00D339A3" w:rsidTr="00D339A3">
        <w:trPr>
          <w:gridAfter w:val="1"/>
          <w:wAfter w:w="216" w:type="pct"/>
          <w:trHeight w:val="54"/>
          <w:jc w:val="center"/>
        </w:trPr>
        <w:tc>
          <w:tcPr>
            <w:tcW w:w="9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41CA" w:rsidRPr="00D339A3" w:rsidRDefault="00CE41CA" w:rsidP="0057420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41CA" w:rsidRPr="00D339A3" w:rsidRDefault="00CE41CA" w:rsidP="0057420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41CA" w:rsidRPr="00D339A3" w:rsidRDefault="00CE41CA" w:rsidP="00574201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Programa Presupuestario:</w:t>
            </w:r>
          </w:p>
        </w:tc>
        <w:tc>
          <w:tcPr>
            <w:tcW w:w="233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E41CA" w:rsidRPr="00D339A3" w:rsidRDefault="00681E6A" w:rsidP="00574201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Cs/>
                <w:sz w:val="20"/>
                <w:szCs w:val="20"/>
                <w:lang w:eastAsia="es-MX"/>
              </w:rPr>
              <w:t>674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Promoción de la Innovación y Sostenibilidad en la Educación Superior</w:t>
            </w:r>
          </w:p>
        </w:tc>
      </w:tr>
      <w:tr w:rsidR="00574201" w:rsidRPr="00D339A3" w:rsidTr="00D339A3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6"/>
          <w:jc w:val="center"/>
        </w:trPr>
        <w:tc>
          <w:tcPr>
            <w:tcW w:w="5000" w:type="pct"/>
            <w:gridSpan w:val="20"/>
          </w:tcPr>
          <w:p w:rsidR="00574201" w:rsidRPr="00D339A3" w:rsidRDefault="00574201" w:rsidP="00574201">
            <w:pPr>
              <w:pStyle w:val="Default"/>
              <w:rPr>
                <w:rFonts w:ascii="Lato" w:hAnsi="Lato"/>
                <w:sz w:val="20"/>
                <w:szCs w:val="20"/>
              </w:rPr>
            </w:pPr>
          </w:p>
        </w:tc>
      </w:tr>
    </w:tbl>
    <w:p w:rsidR="00FA2B4D" w:rsidRDefault="00FA2B4D" w:rsidP="00CE41CA">
      <w:pPr>
        <w:spacing w:after="0" w:line="240" w:lineRule="auto"/>
        <w:jc w:val="center"/>
        <w:rPr>
          <w:rFonts w:ascii="Montserrat Light" w:hAnsi="Montserrat Light"/>
          <w:color w:val="3C3C3B"/>
          <w:sz w:val="16"/>
          <w:szCs w:val="16"/>
        </w:rPr>
      </w:pPr>
    </w:p>
    <w:tbl>
      <w:tblPr>
        <w:tblW w:w="456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4"/>
        <w:gridCol w:w="451"/>
        <w:gridCol w:w="1656"/>
        <w:gridCol w:w="850"/>
        <w:gridCol w:w="1329"/>
        <w:gridCol w:w="555"/>
        <w:gridCol w:w="680"/>
        <w:gridCol w:w="357"/>
        <w:gridCol w:w="729"/>
        <w:gridCol w:w="163"/>
        <w:gridCol w:w="764"/>
        <w:gridCol w:w="514"/>
        <w:gridCol w:w="413"/>
        <w:gridCol w:w="97"/>
        <w:gridCol w:w="382"/>
        <w:gridCol w:w="455"/>
        <w:gridCol w:w="996"/>
        <w:gridCol w:w="7"/>
        <w:gridCol w:w="1236"/>
        <w:gridCol w:w="937"/>
        <w:gridCol w:w="1104"/>
        <w:gridCol w:w="684"/>
        <w:gridCol w:w="31"/>
      </w:tblGrid>
      <w:tr w:rsidR="00FA2B4D" w:rsidRPr="005F3921" w:rsidTr="00D339A3">
        <w:trPr>
          <w:gridAfter w:val="2"/>
          <w:wAfter w:w="206" w:type="pct"/>
          <w:trHeight w:val="402"/>
          <w:jc w:val="center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435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7"/>
            </w:tblGrid>
            <w:tr w:rsidR="00FA2B4D" w:rsidRPr="005F3921" w:rsidTr="00D339A3">
              <w:trPr>
                <w:trHeight w:val="402"/>
                <w:tblCellSpacing w:w="0" w:type="dxa"/>
              </w:trPr>
              <w:tc>
                <w:tcPr>
                  <w:tcW w:w="43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FA2B4D" w:rsidRPr="005F3921" w:rsidRDefault="00FA2B4D" w:rsidP="000D1EDA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8"/>
                      <w:szCs w:val="28"/>
                      <w:lang w:eastAsia="es-MX"/>
                    </w:rPr>
                  </w:pPr>
                </w:p>
              </w:tc>
            </w:tr>
          </w:tbl>
          <w:p w:rsidR="00FA2B4D" w:rsidRPr="005F3921" w:rsidRDefault="00FA2B4D" w:rsidP="000D1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996" w:type="pct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5F3921" w:rsidRDefault="00FA2B4D" w:rsidP="000D1ED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2B4D" w:rsidRPr="008F0BD6" w:rsidRDefault="00FA2B4D" w:rsidP="000D1EDA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</w:tcPr>
          <w:p w:rsidR="00FA2B4D" w:rsidRPr="005F3921" w:rsidRDefault="00FA2B4D" w:rsidP="000D1ED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</w:tr>
      <w:tr w:rsidR="00FA2B4D" w:rsidRPr="005F3921" w:rsidTr="00D339A3">
        <w:trPr>
          <w:gridAfter w:val="2"/>
          <w:wAfter w:w="206" w:type="pct"/>
          <w:trHeight w:val="402"/>
          <w:jc w:val="center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5F3921" w:rsidRDefault="00FA2B4D" w:rsidP="000D1EDA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2996" w:type="pct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Universidad de las Artes de Yucatán 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Indicadores de Programas Presupuestarios 2026 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FA2B4D" w:rsidRPr="005F3921" w:rsidTr="00D339A3">
        <w:trPr>
          <w:gridAfter w:val="2"/>
          <w:wAfter w:w="207" w:type="pct"/>
          <w:trHeight w:val="321"/>
          <w:jc w:val="center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5F3921" w:rsidRDefault="00FA2B4D" w:rsidP="000D1EDA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  <w:tc>
          <w:tcPr>
            <w:tcW w:w="85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2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A2B4D" w:rsidRPr="00832E56" w:rsidTr="00D339A3">
        <w:trPr>
          <w:gridAfter w:val="2"/>
          <w:wAfter w:w="206" w:type="pct"/>
          <w:trHeight w:val="321"/>
          <w:jc w:val="center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7B5E01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</w:p>
        </w:tc>
        <w:tc>
          <w:tcPr>
            <w:tcW w:w="85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5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Programa Presupuestario: 678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Impulso al Acceso Inclusivo y Equitativo a la Educación Superior</w:t>
            </w: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</w:p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Dependencia o Entidad Responsable: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Secretaría de Educación</w:t>
            </w: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</w:p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Dependencia o Entidad Corresponsable: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Universidad de las Artes de Yucatán</w:t>
            </w: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</w:p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Directriz: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03 Educación, Cultura y Deporte Pilares del Renacimiento</w:t>
            </w: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</w:p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Vertientes: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03.04 Educación superior, inclusiva equitativa y de excelencia</w:t>
            </w:r>
          </w:p>
          <w:p w:rsidR="00FA2B4D" w:rsidRPr="00D339A3" w:rsidRDefault="00FA2B4D" w:rsidP="000D1ED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Programa de Mediano Plazo 2025-2030: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Educación Humanista de Excelencia</w:t>
            </w:r>
          </w:p>
          <w:p w:rsidR="00FA2B4D" w:rsidRPr="00D339A3" w:rsidRDefault="00FA2B4D" w:rsidP="000D1EDA">
            <w:pPr>
              <w:spacing w:after="0" w:line="240" w:lineRule="auto"/>
              <w:jc w:val="both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Prioridad del Desarrollo 4:</w:t>
            </w: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 xml:space="preserve"> Acceso inclusivo y equitativo a la educación superior.</w:t>
            </w:r>
          </w:p>
          <w:p w:rsidR="00FA2B4D" w:rsidRPr="00D339A3" w:rsidRDefault="00FA2B4D" w:rsidP="000D1EDA">
            <w:pPr>
              <w:spacing w:after="0" w:line="240" w:lineRule="auto"/>
              <w:jc w:val="both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ODS 4: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Garantizar una educación inclusiva, equitativa y de calidad y promover oportunidades de aprendizaje durante toda la ida para todos</w:t>
            </w:r>
          </w:p>
        </w:tc>
      </w:tr>
      <w:tr w:rsidR="00FA2B4D" w:rsidRPr="00832E56" w:rsidTr="00D339A3">
        <w:trPr>
          <w:gridAfter w:val="2"/>
          <w:wAfter w:w="206" w:type="pct"/>
          <w:trHeight w:val="321"/>
          <w:jc w:val="center"/>
        </w:trPr>
        <w:tc>
          <w:tcPr>
            <w:tcW w:w="208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Información correspondiente al: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 del 1 de enero al 31 de marzo del 2026</w:t>
            </w:r>
          </w:p>
        </w:tc>
        <w:tc>
          <w:tcPr>
            <w:tcW w:w="2387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FF0000"/>
                <w:sz w:val="20"/>
                <w:szCs w:val="20"/>
                <w:lang w:eastAsia="es-MX"/>
              </w:rPr>
            </w:pPr>
          </w:p>
        </w:tc>
      </w:tr>
      <w:tr w:rsidR="00D339A3" w:rsidRPr="009D6E0A" w:rsidTr="00D339A3">
        <w:trPr>
          <w:gridAfter w:val="2"/>
          <w:wAfter w:w="207" w:type="pct"/>
          <w:trHeight w:val="321"/>
          <w:jc w:val="center"/>
        </w:trPr>
        <w:tc>
          <w:tcPr>
            <w:tcW w:w="9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Resumen Narrativo</w:t>
            </w:r>
          </w:p>
        </w:tc>
        <w:tc>
          <w:tcPr>
            <w:tcW w:w="72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Línea Base</w:t>
            </w:r>
          </w:p>
        </w:tc>
        <w:tc>
          <w:tcPr>
            <w:tcW w:w="35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Meta</w:t>
            </w:r>
          </w:p>
        </w:tc>
        <w:tc>
          <w:tcPr>
            <w:tcW w:w="31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Frecuencia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TRIM 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TRIM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II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 SEM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TRIM 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III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TRIM 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IV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II SEM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VALOR ANUAL</w:t>
            </w:r>
          </w:p>
        </w:tc>
      </w:tr>
      <w:tr w:rsidR="00D339A3" w:rsidRPr="000F6E8E" w:rsidTr="00D339A3">
        <w:trPr>
          <w:gridAfter w:val="2"/>
          <w:wAfter w:w="207" w:type="pct"/>
          <w:trHeight w:val="115"/>
          <w:jc w:val="center"/>
        </w:trPr>
        <w:tc>
          <w:tcPr>
            <w:tcW w:w="9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5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</w:tr>
      <w:tr w:rsidR="00FA2B4D" w:rsidRPr="00FE50FB" w:rsidTr="00D339A3">
        <w:trPr>
          <w:gridAfter w:val="2"/>
          <w:wAfter w:w="207" w:type="pct"/>
          <w:trHeight w:val="1235"/>
          <w:jc w:val="center"/>
        </w:trPr>
        <w:tc>
          <w:tcPr>
            <w:tcW w:w="9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Fin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.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Se contribuye a incrementar la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accesibilidad inclusiva y equitativa, a la Educación Superior a todas y todos los estudiantes, mediante el impulso a la inclusión, equidad e interculturalidad en el Sistema de Educación Superior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IDFont+F2"/>
                <w:b/>
                <w:bCs/>
                <w:sz w:val="20"/>
                <w:szCs w:val="20"/>
              </w:rPr>
              <w:t>26,451</w:t>
            </w:r>
            <w:r w:rsidRPr="00D339A3">
              <w:rPr>
                <w:rFonts w:ascii="Lato" w:hAnsi="Lato" w:cs="CIDFont+F2"/>
                <w:sz w:val="20"/>
                <w:szCs w:val="20"/>
              </w:rPr>
              <w:t xml:space="preserve"> Variación promedio de matriculados de educación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superior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2.20 Porcentaje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2.25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</w:tr>
      <w:tr w:rsidR="00FA2B4D" w:rsidRPr="00FE50FB" w:rsidTr="00D339A3">
        <w:trPr>
          <w:gridAfter w:val="2"/>
          <w:wAfter w:w="207" w:type="pct"/>
          <w:trHeight w:val="1451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lastRenderedPageBreak/>
              <w:t>Propósito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Los estudiantes inscritos y personal docente y administrativo de los Organismos Públicos Descentralizados de Educación Superior y Escuelas Normales e Instituciones de Formación Docente del Estado de Yucatán, se desempeñan en un entorno con suficiente accesibilidad inclusiva para la equidad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IDFont+F2"/>
                <w:b/>
                <w:bCs/>
                <w:sz w:val="20"/>
                <w:szCs w:val="20"/>
              </w:rPr>
              <w:t>25,264</w:t>
            </w:r>
            <w:r w:rsidRPr="00D339A3">
              <w:rPr>
                <w:rFonts w:ascii="Lato" w:hAnsi="Lato" w:cs="CIDFont+F2"/>
                <w:sz w:val="20"/>
                <w:szCs w:val="20"/>
              </w:rPr>
              <w:t xml:space="preserve"> Índice de abandono escolar en la Educación Superior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13.60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13.40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-999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</w:tr>
      <w:tr w:rsidR="00FA2B4D" w:rsidRPr="00FE50FB" w:rsidTr="00D339A3">
        <w:trPr>
          <w:gridAfter w:val="2"/>
          <w:wAfter w:w="207" w:type="pct"/>
          <w:trHeight w:val="748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1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.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Servicio educativo para la absorción de egresados de nivel medio superior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25,988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</w:t>
            </w:r>
            <w:r w:rsidRPr="00D339A3">
              <w:rPr>
                <w:rFonts w:ascii="Lato" w:hAnsi="Lato" w:cs="CIDFont+F2"/>
                <w:sz w:val="20"/>
                <w:szCs w:val="20"/>
              </w:rPr>
              <w:t>Índice de absorción en la educación superior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39.1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41.1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2B4D" w:rsidRPr="00FE50FB" w:rsidTr="00D339A3">
        <w:trPr>
          <w:gridAfter w:val="2"/>
          <w:wAfter w:w="207" w:type="pct"/>
          <w:trHeight w:val="822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C1A1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Evaluación de aspirantes de admisión Educación Superior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25267 </w:t>
            </w:r>
            <w:r w:rsidRPr="00D339A3">
              <w:rPr>
                <w:rFonts w:ascii="Lato" w:hAnsi="Lato" w:cs="CIDFont+F2"/>
                <w:sz w:val="20"/>
                <w:szCs w:val="20"/>
              </w:rPr>
              <w:t>Porcentaje de aspirantes admitidos a la Educación Superior en el periodo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95.90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96.15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-999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2B4D" w:rsidRPr="00FE50FB" w:rsidTr="00D339A3">
        <w:trPr>
          <w:gridAfter w:val="2"/>
          <w:wAfter w:w="207" w:type="pct"/>
          <w:trHeight w:val="457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C1A2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Promoción de oferta educa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va Superior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25268 </w:t>
            </w:r>
            <w:r w:rsidRPr="00D339A3">
              <w:rPr>
                <w:rFonts w:ascii="Lato" w:hAnsi="Lato" w:cs="CIDFont+F2"/>
                <w:sz w:val="20"/>
                <w:szCs w:val="20"/>
              </w:rPr>
              <w:t>Porcentaje de actividades de promoción de la oferta educativa realizadas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</w:tr>
      <w:tr w:rsidR="00FA2B4D" w:rsidRPr="00FE50FB" w:rsidTr="00D339A3">
        <w:trPr>
          <w:gridAfter w:val="2"/>
          <w:wAfter w:w="207" w:type="pct"/>
          <w:trHeight w:val="610"/>
          <w:jc w:val="center"/>
        </w:trPr>
        <w:tc>
          <w:tcPr>
            <w:tcW w:w="9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2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Becas para alumnos de educación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superior otorgadas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25155 </w:t>
            </w:r>
            <w:r w:rsidRPr="00D339A3">
              <w:rPr>
                <w:rFonts w:ascii="Lato" w:hAnsi="Lato" w:cs="CIDFont+F2"/>
                <w:sz w:val="20"/>
                <w:szCs w:val="20"/>
              </w:rPr>
              <w:t>Porcentaje de alumnos beneficiados con becas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21.01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21.33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12.59%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2B4D" w:rsidRPr="00FE50FB" w:rsidTr="00D339A3">
        <w:trPr>
          <w:gridAfter w:val="2"/>
          <w:wAfter w:w="207" w:type="pct"/>
          <w:trHeight w:val="887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C2A1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Atención a la convocatoria del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lastRenderedPageBreak/>
              <w:t>programa de becas de Educación Superior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lastRenderedPageBreak/>
              <w:t xml:space="preserve">25970 </w:t>
            </w:r>
            <w:r w:rsidRPr="00D339A3">
              <w:rPr>
                <w:rFonts w:ascii="Lato" w:hAnsi="Lato" w:cs="CIDFont+F2"/>
                <w:sz w:val="20"/>
                <w:szCs w:val="20"/>
              </w:rPr>
              <w:t xml:space="preserve">Porcentaje de alumnos de educación </w:t>
            </w:r>
            <w:r w:rsidRPr="00D339A3">
              <w:rPr>
                <w:rFonts w:ascii="Lato" w:hAnsi="Lato" w:cs="CIDFont+F2"/>
                <w:sz w:val="20"/>
                <w:szCs w:val="20"/>
              </w:rPr>
              <w:lastRenderedPageBreak/>
              <w:t>superior que participan en la convocatoria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lastRenderedPageBreak/>
              <w:t>21.81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22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94.49%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</w:tr>
      <w:tr w:rsidR="00D339A3" w:rsidRPr="00FE50FB" w:rsidTr="00D339A3">
        <w:trPr>
          <w:gridAfter w:val="2"/>
          <w:wAfter w:w="207" w:type="pct"/>
          <w:trHeight w:val="1029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lastRenderedPageBreak/>
              <w:t>Actividad: C2A2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IDFont+F2"/>
                <w:sz w:val="20"/>
                <w:szCs w:val="20"/>
              </w:rPr>
              <w:t>Seguimiento a las solicitudes de becas de Educación Superior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25971 </w:t>
            </w:r>
            <w:r w:rsidRPr="00D339A3">
              <w:rPr>
                <w:rFonts w:ascii="Lato" w:hAnsi="Lato" w:cs="CIDFont+F2"/>
                <w:sz w:val="20"/>
                <w:szCs w:val="20"/>
              </w:rPr>
              <w:t>Porcentaje de solicitudes de becas de Educación Superior autorizadas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64.18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64.88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88.16%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2B4D" w:rsidRPr="00FE50FB" w:rsidTr="00D339A3">
        <w:trPr>
          <w:gridAfter w:val="2"/>
          <w:wAfter w:w="207" w:type="pct"/>
          <w:trHeight w:val="922"/>
          <w:jc w:val="center"/>
        </w:trPr>
        <w:tc>
          <w:tcPr>
            <w:tcW w:w="9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3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.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Créditos educa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vos para alumnos de educación superior otorgados.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25697 Porcentaje de alumnos de educación superior acceden a los créditos educa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vos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beneficiados con créditos educa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vos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</w:tr>
      <w:tr w:rsidR="00FA2B4D" w:rsidRPr="00FE50FB" w:rsidTr="00D339A3">
        <w:trPr>
          <w:gridAfter w:val="2"/>
          <w:wAfter w:w="207" w:type="pct"/>
          <w:trHeight w:val="380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C3A1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IDFont+F2"/>
                <w:sz w:val="20"/>
                <w:szCs w:val="20"/>
              </w:rPr>
              <w:t>Atención a la convocatoria del créditos educa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vos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programa de créditos educa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vos de alumnos de educación superior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25973 </w:t>
            </w:r>
            <w:r w:rsidRPr="00D339A3">
              <w:rPr>
                <w:rFonts w:ascii="Lato" w:hAnsi="Lato" w:cs="CIDFont+F2"/>
                <w:sz w:val="20"/>
                <w:szCs w:val="20"/>
              </w:rPr>
              <w:t>Porcentaje de alumnos de educación superior que par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cipan en la convocatoria de crédito educa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vo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</w:tr>
      <w:tr w:rsidR="00FA2B4D" w:rsidRPr="00FE50FB" w:rsidTr="00D339A3">
        <w:trPr>
          <w:gridAfter w:val="2"/>
          <w:wAfter w:w="207" w:type="pct"/>
          <w:trHeight w:val="596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C3A2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IDFont+F2"/>
                <w:sz w:val="20"/>
                <w:szCs w:val="20"/>
              </w:rPr>
              <w:t>Seguimiento del Programa Créditos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Educa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vos para alumnos de educación superior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25974 </w:t>
            </w:r>
            <w:r w:rsidRPr="00D339A3">
              <w:rPr>
                <w:rFonts w:ascii="Lato" w:hAnsi="Lato" w:cs="CIDFont+F2"/>
                <w:sz w:val="20"/>
                <w:szCs w:val="20"/>
              </w:rPr>
              <w:t>Porcentaje de solicitudes de créditos educa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vos que son autorizadas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</w:tr>
      <w:tr w:rsidR="00FA2B4D" w:rsidRPr="00FE50FB" w:rsidTr="00D339A3">
        <w:trPr>
          <w:gridAfter w:val="2"/>
          <w:wAfter w:w="207" w:type="pct"/>
          <w:trHeight w:val="292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4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IDFont+F2"/>
                <w:sz w:val="20"/>
                <w:szCs w:val="20"/>
              </w:rPr>
              <w:t>Apoyos económicos para el Fomento Universitario entregados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25156 Porcentaje de apoyos económicos para el fomento universitario entregados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</w:tr>
      <w:tr w:rsidR="00FA2B4D" w:rsidRPr="00FE50FB" w:rsidTr="00D339A3">
        <w:trPr>
          <w:gridAfter w:val="2"/>
          <w:wAfter w:w="207" w:type="pct"/>
          <w:trHeight w:val="715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lastRenderedPageBreak/>
              <w:t>Actividad: C4A1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IDFont+F2"/>
                <w:sz w:val="20"/>
                <w:szCs w:val="20"/>
              </w:rPr>
              <w:t>Atención a la convocatoria de fomento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universitario de los alumnos de educación superior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25975 Porcentaje de alumnos de educación superior que par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cipan en la convocatoria de fomento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Universitario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</w:tr>
      <w:tr w:rsidR="00FA2B4D" w:rsidRPr="00FE50FB" w:rsidTr="00D339A3">
        <w:trPr>
          <w:gridAfter w:val="2"/>
          <w:wAfter w:w="207" w:type="pct"/>
          <w:trHeight w:val="749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C4A2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IDFont+F2"/>
                <w:sz w:val="20"/>
                <w:szCs w:val="20"/>
              </w:rPr>
              <w:t>Seguimiento a los apoyos para el fomento universitario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25976 </w:t>
            </w:r>
            <w:r w:rsidRPr="00D339A3">
              <w:rPr>
                <w:rFonts w:ascii="Lato" w:hAnsi="Lato" w:cs="CIDFont+F2"/>
                <w:sz w:val="20"/>
                <w:szCs w:val="20"/>
              </w:rPr>
              <w:t>Porcentaje de solicitudes de apoyo para el fomento universitarios que son autorizadas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</w:tr>
      <w:tr w:rsidR="00FA2B4D" w:rsidRPr="00FE50FB" w:rsidTr="00D339A3">
        <w:trPr>
          <w:gridAfter w:val="2"/>
          <w:wAfter w:w="207" w:type="pct"/>
          <w:trHeight w:val="867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5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.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Servicio de capacitación para la formación docente con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nua otorgada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25160 Porcentaje de docentes de educación superior con formación con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nua otorgada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90.40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91.67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-999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2B4D" w:rsidRPr="00FE50FB" w:rsidTr="00D339A3">
        <w:trPr>
          <w:gridAfter w:val="2"/>
          <w:wAfter w:w="207" w:type="pct"/>
          <w:trHeight w:val="922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C5A1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IDFont+F2"/>
                <w:sz w:val="20"/>
                <w:szCs w:val="20"/>
              </w:rPr>
              <w:t>Evaluación del desempeño docente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25977 Porcentaje de docentes con resultado satisfactorio en la evaluación de desempeño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2B4D" w:rsidRPr="00FE50FB" w:rsidTr="00D339A3">
        <w:trPr>
          <w:gridAfter w:val="2"/>
          <w:wAfter w:w="207" w:type="pct"/>
          <w:trHeight w:val="822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C5A2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IDFont+F2"/>
                <w:sz w:val="20"/>
                <w:szCs w:val="20"/>
              </w:rPr>
              <w:t>Impar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ción de cursos de formación y actualización docente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25978 </w:t>
            </w:r>
            <w:r w:rsidRPr="00D339A3">
              <w:rPr>
                <w:rFonts w:ascii="Lato" w:hAnsi="Lato" w:cs="CIDFont+F2"/>
                <w:sz w:val="20"/>
                <w:szCs w:val="20"/>
              </w:rPr>
              <w:t>Porcentaje de profesores que par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cipan en cursos de formación y actualización docente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90.40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91.67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2B4D" w:rsidRPr="00FE50FB" w:rsidTr="00D339A3">
        <w:trPr>
          <w:gridAfter w:val="2"/>
          <w:wAfter w:w="207" w:type="pct"/>
          <w:trHeight w:val="968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6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IDFont+F2"/>
                <w:sz w:val="20"/>
                <w:szCs w:val="20"/>
              </w:rPr>
              <w:t>Servicios de apoyo para la consolidación de cuerpos académicos otorgados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25161 Porcentaje de cuerpos académicos que incrementan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el nivel de consolidación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lastRenderedPageBreak/>
              <w:t>SM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2B4D" w:rsidRPr="00FE50FB" w:rsidTr="00D339A3">
        <w:trPr>
          <w:gridAfter w:val="2"/>
          <w:wAfter w:w="207" w:type="pct"/>
          <w:trHeight w:val="1068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lastRenderedPageBreak/>
              <w:t>Actividad: C6A1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IDFont+F2"/>
                <w:sz w:val="20"/>
                <w:szCs w:val="20"/>
              </w:rPr>
              <w:t>Capacitación para el desarrollo de proyectos de inves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gación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25979 </w:t>
            </w:r>
            <w:r w:rsidRPr="00D339A3">
              <w:rPr>
                <w:rFonts w:ascii="Lato" w:hAnsi="Lato" w:cs="CIDFont+F2"/>
                <w:sz w:val="20"/>
                <w:szCs w:val="20"/>
              </w:rPr>
              <w:t>Porcentaje de docentes en cuerpos académicos capacitados en el desarrollo de proyectos de investigación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Cs/>
                <w:sz w:val="20"/>
                <w:szCs w:val="20"/>
                <w:lang w:eastAsia="es-MX"/>
              </w:rPr>
              <w:t>24.42%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2B4D" w:rsidRPr="00FE50FB" w:rsidTr="00D339A3">
        <w:trPr>
          <w:gridAfter w:val="2"/>
          <w:wAfter w:w="207" w:type="pct"/>
          <w:trHeight w:val="950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C6A2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IDFont+F2"/>
                <w:sz w:val="20"/>
                <w:szCs w:val="20"/>
              </w:rPr>
              <w:t>Atención a las convocatorias para la federales investigación y perfil deseable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25980 </w:t>
            </w:r>
            <w:r w:rsidRPr="00D339A3">
              <w:rPr>
                <w:rFonts w:ascii="Lato" w:hAnsi="Lato" w:cs="CIDFont+F2"/>
                <w:sz w:val="20"/>
                <w:szCs w:val="20"/>
              </w:rPr>
              <w:t>Porcentaje de docentes que par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cipan en convocatorias para la inves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gación y perfil deseable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33.33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60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60%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2B4D" w:rsidRPr="00FE50FB" w:rsidTr="00D339A3">
        <w:trPr>
          <w:gridAfter w:val="2"/>
          <w:wAfter w:w="207" w:type="pct"/>
          <w:trHeight w:val="950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7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IDFont+F2"/>
                <w:sz w:val="20"/>
                <w:szCs w:val="20"/>
              </w:rPr>
              <w:t>Servicios de evaluación de desempeño administra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vo y capacitación para op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mizar la gestión institucional realizados.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25698 Porcentaje de personal administra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vo con desempeño sa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sfactorio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77.50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87.50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2B4D" w:rsidRPr="00FE50FB" w:rsidTr="00D339A3">
        <w:trPr>
          <w:gridAfter w:val="2"/>
          <w:wAfter w:w="207" w:type="pct"/>
          <w:trHeight w:val="950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C7A1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IDFont+F2"/>
                <w:sz w:val="20"/>
                <w:szCs w:val="20"/>
              </w:rPr>
              <w:t>Elaboración del marco metodológico para la evaluación de desempeño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25981 </w:t>
            </w:r>
            <w:r w:rsidRPr="00D339A3">
              <w:rPr>
                <w:rFonts w:ascii="Lato" w:hAnsi="Lato" w:cs="CIDFont+F2"/>
                <w:sz w:val="20"/>
                <w:szCs w:val="20"/>
              </w:rPr>
              <w:t>Porcentaje de avance de la elaboración del marco metodológico para la evaluación de desempeño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2B4D" w:rsidRPr="00FE50FB" w:rsidTr="00D339A3">
        <w:trPr>
          <w:gridAfter w:val="2"/>
          <w:wAfter w:w="207" w:type="pct"/>
          <w:trHeight w:val="950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C7A2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IDFont+F2"/>
                <w:sz w:val="20"/>
                <w:szCs w:val="20"/>
              </w:rPr>
              <w:t>Capacitación de los trabajadores administra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vos de las Ins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tuciones de Educación Superior Públicas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25982 </w:t>
            </w:r>
            <w:r w:rsidRPr="00D339A3">
              <w:rPr>
                <w:rFonts w:ascii="Lato" w:hAnsi="Lato" w:cs="CIDFont+F2"/>
                <w:sz w:val="20"/>
                <w:szCs w:val="20"/>
              </w:rPr>
              <w:t>Porcentaje de trabajadores que acreditan satisfactoriamente los cursos de capacitación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lastRenderedPageBreak/>
              <w:t>60.83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66.67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36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51.72%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2B4D" w:rsidRPr="00FE50FB" w:rsidTr="00D339A3">
        <w:trPr>
          <w:gridAfter w:val="2"/>
          <w:wAfter w:w="207" w:type="pct"/>
          <w:trHeight w:val="950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lastRenderedPageBreak/>
              <w:t>Componente 8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IDFont+F2"/>
                <w:sz w:val="20"/>
                <w:szCs w:val="20"/>
              </w:rPr>
              <w:t>Servicios universitarios en inclusión, sustentabilidad y responsabilidad social realizados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25158 Porcentaje de servicios universitarios en inclusión, sustentabilidad y responsabilidad social realizados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2B4D" w:rsidRPr="00FE50FB" w:rsidTr="00D339A3">
        <w:trPr>
          <w:gridAfter w:val="2"/>
          <w:wAfter w:w="207" w:type="pct"/>
          <w:trHeight w:val="950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C8A1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IDFont+F2"/>
                <w:sz w:val="20"/>
                <w:szCs w:val="20"/>
              </w:rPr>
              <w:t>Formalización de convenios de responsabilidad social universitaria con el sector produc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vo y social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25983 </w:t>
            </w:r>
            <w:r w:rsidRPr="00D339A3">
              <w:rPr>
                <w:rFonts w:ascii="Lato" w:hAnsi="Lato" w:cs="CIDFont+F2"/>
                <w:sz w:val="20"/>
                <w:szCs w:val="20"/>
              </w:rPr>
              <w:t>Porcentaje de convenios de responsabilidad social universitaria con el sector produc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vo y social formalizados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2B4D" w:rsidRPr="00FE50FB" w:rsidTr="00D339A3">
        <w:trPr>
          <w:gridAfter w:val="2"/>
          <w:wAfter w:w="207" w:type="pct"/>
          <w:trHeight w:val="950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C8A2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IDFont+F2"/>
                <w:sz w:val="20"/>
                <w:szCs w:val="20"/>
              </w:rPr>
              <w:t>Capacitación al personal sobre la responsabilidad social universitaria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25984 </w:t>
            </w:r>
            <w:r w:rsidRPr="00D339A3">
              <w:rPr>
                <w:rFonts w:ascii="Lato" w:hAnsi="Lato" w:cs="CIDFont+F2"/>
                <w:sz w:val="20"/>
                <w:szCs w:val="20"/>
              </w:rPr>
              <w:t>Porcentaje de cursos de capacitación sobre responsabilidad social universitaria realizados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2B4D" w:rsidRPr="00FE50FB" w:rsidTr="00D339A3">
        <w:trPr>
          <w:gridAfter w:val="2"/>
          <w:wAfter w:w="207" w:type="pct"/>
          <w:trHeight w:val="950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9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IDFont+F2"/>
                <w:sz w:val="20"/>
                <w:szCs w:val="20"/>
              </w:rPr>
              <w:t>Programas educa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vos en modalidades flexibles ofertados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IDFont+F2"/>
                <w:sz w:val="20"/>
                <w:szCs w:val="20"/>
              </w:rPr>
              <w:t>25157 Porcentaje de alumnos matriculados en programas educa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vos en modalidades flexibles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7.39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6.50 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5.15%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2B4D" w:rsidRPr="00FE50FB" w:rsidTr="00D339A3">
        <w:trPr>
          <w:gridAfter w:val="2"/>
          <w:wAfter w:w="207" w:type="pct"/>
          <w:trHeight w:val="950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lastRenderedPageBreak/>
              <w:t>Actividad: C9A1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IDFont+F2"/>
                <w:sz w:val="20"/>
                <w:szCs w:val="20"/>
              </w:rPr>
              <w:t>Implementación de programas educa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vos flexibles (en línea, mixto, despresurizado, dual y en alternancia)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25985 </w:t>
            </w:r>
            <w:r w:rsidRPr="00D339A3">
              <w:rPr>
                <w:rFonts w:ascii="Lato" w:hAnsi="Lato" w:cs="CIDFont+F2"/>
                <w:sz w:val="20"/>
                <w:szCs w:val="20"/>
              </w:rPr>
              <w:t>Porcentaje de programas educa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vos flexibles implementados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18.75%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2B4D" w:rsidRPr="00FE50FB" w:rsidTr="00D339A3">
        <w:trPr>
          <w:gridAfter w:val="2"/>
          <w:wAfter w:w="207" w:type="pct"/>
          <w:trHeight w:val="950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C9A2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IDFont+F2"/>
                <w:sz w:val="20"/>
                <w:szCs w:val="20"/>
              </w:rPr>
              <w:t>Adecuación curricular de los curricular programas educativos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IDFont+F2"/>
                <w:sz w:val="20"/>
                <w:szCs w:val="20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25986 </w:t>
            </w:r>
            <w:r w:rsidRPr="00D339A3">
              <w:rPr>
                <w:rFonts w:ascii="Lato" w:hAnsi="Lato" w:cs="CIDFont+F2"/>
                <w:sz w:val="20"/>
                <w:szCs w:val="20"/>
              </w:rPr>
              <w:t>Porcentaje de programas educa</w:t>
            </w:r>
            <w:r w:rsidRPr="00D339A3">
              <w:rPr>
                <w:rFonts w:ascii="Lato" w:hAnsi="Lato" w:cs="Arial"/>
                <w:sz w:val="20"/>
                <w:szCs w:val="20"/>
              </w:rPr>
              <w:t>ti</w:t>
            </w:r>
            <w:r w:rsidRPr="00D339A3">
              <w:rPr>
                <w:rFonts w:ascii="Lato" w:hAnsi="Lato" w:cs="CIDFont+F2"/>
                <w:sz w:val="20"/>
                <w:szCs w:val="20"/>
              </w:rPr>
              <w:t>vos con adecuaciones curriculares realizadas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33.33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33.33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2B4D" w:rsidRPr="00FE50FB" w:rsidTr="00D339A3">
        <w:trPr>
          <w:gridAfter w:val="2"/>
          <w:wAfter w:w="207" w:type="pct"/>
          <w:trHeight w:val="950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10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  <w:t>Programas académicos impartidos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21355 Variación porcentual de actividades de formación académica curricular y extracurricular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0.100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0.015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0.154%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2B4D" w:rsidRPr="00FE50FB" w:rsidTr="00D339A3">
        <w:trPr>
          <w:gridAfter w:val="2"/>
          <w:wAfter w:w="207" w:type="pct"/>
          <w:trHeight w:val="950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C10A1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Elaboración del plan anual de trabajo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21367 Porcentaje de avance de las actividades del programa de formación de profesionales del arte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78.18%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2B4D" w:rsidRPr="00FE50FB" w:rsidTr="00D339A3">
        <w:trPr>
          <w:gridAfter w:val="2"/>
          <w:wAfter w:w="207" w:type="pct"/>
          <w:trHeight w:val="413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C10A2</w:t>
            </w:r>
          </w:p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Realización de eventos académicos artísticos y culturales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21369 Promedio de asistentes por evento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112.06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Promedio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113.48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Promedio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86.64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2B4D" w:rsidRPr="009D6E0A" w:rsidTr="00D339A3">
        <w:trPr>
          <w:gridAfter w:val="2"/>
          <w:wAfter w:w="206" w:type="pct"/>
          <w:trHeight w:val="137"/>
          <w:jc w:val="center"/>
        </w:trPr>
        <w:tc>
          <w:tcPr>
            <w:tcW w:w="9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ind w:firstLineChars="100" w:firstLine="200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Capítulo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ind w:firstLineChars="100" w:firstLine="200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Monto del programa</w:t>
            </w:r>
          </w:p>
        </w:tc>
        <w:tc>
          <w:tcPr>
            <w:tcW w:w="25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Estructura Funcional Programática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A2B4D" w:rsidRPr="009D6E0A" w:rsidTr="00D339A3">
        <w:trPr>
          <w:gridAfter w:val="2"/>
          <w:wAfter w:w="206" w:type="pct"/>
          <w:trHeight w:val="65"/>
          <w:jc w:val="center"/>
        </w:trPr>
        <w:tc>
          <w:tcPr>
            <w:tcW w:w="9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  <w:t>-998 No Aplica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  <w:t>-999 No Disponible</w:t>
            </w:r>
            <w:r w:rsidRPr="00D339A3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Finalidad: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ind w:left="231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4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02 Desarrollo Social</w:t>
            </w:r>
          </w:p>
        </w:tc>
      </w:tr>
      <w:tr w:rsidR="00FA2B4D" w:rsidRPr="009D6E0A" w:rsidTr="00D339A3">
        <w:trPr>
          <w:gridAfter w:val="2"/>
          <w:wAfter w:w="206" w:type="pct"/>
          <w:trHeight w:val="56"/>
          <w:jc w:val="center"/>
        </w:trPr>
        <w:tc>
          <w:tcPr>
            <w:tcW w:w="9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2B4D" w:rsidRPr="00D339A3" w:rsidRDefault="00FA2B4D" w:rsidP="000D1EDA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  <w:t xml:space="preserve">NA: No Aplica 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  <w:t>SM: Sin Medición</w:t>
            </w: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Eje del PED: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4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02.03 Educación, Cultura y Deporte Pilares del Renacimiento</w:t>
            </w:r>
          </w:p>
        </w:tc>
      </w:tr>
      <w:tr w:rsidR="00FA2B4D" w:rsidRPr="009D6E0A" w:rsidTr="00D339A3">
        <w:trPr>
          <w:gridAfter w:val="2"/>
          <w:wAfter w:w="206" w:type="pct"/>
          <w:trHeight w:val="90"/>
          <w:jc w:val="center"/>
        </w:trPr>
        <w:tc>
          <w:tcPr>
            <w:tcW w:w="98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Función: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4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02.03.05 Educación</w:t>
            </w:r>
          </w:p>
        </w:tc>
      </w:tr>
      <w:tr w:rsidR="00FA2B4D" w:rsidRPr="009D6E0A" w:rsidTr="00D339A3">
        <w:trPr>
          <w:gridAfter w:val="2"/>
          <w:wAfter w:w="206" w:type="pct"/>
          <w:trHeight w:val="154"/>
          <w:jc w:val="center"/>
        </w:trPr>
        <w:tc>
          <w:tcPr>
            <w:tcW w:w="98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Subfunción: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4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02.03.05.03 Educación Superior</w:t>
            </w:r>
          </w:p>
        </w:tc>
      </w:tr>
      <w:tr w:rsidR="00FA2B4D" w:rsidRPr="009D6E0A" w:rsidTr="00D339A3">
        <w:trPr>
          <w:gridAfter w:val="2"/>
          <w:wAfter w:w="206" w:type="pct"/>
          <w:trHeight w:val="60"/>
          <w:jc w:val="center"/>
        </w:trPr>
        <w:tc>
          <w:tcPr>
            <w:tcW w:w="98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Programa Presupuestario:</w:t>
            </w:r>
          </w:p>
        </w:tc>
        <w:tc>
          <w:tcPr>
            <w:tcW w:w="234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678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Impulso al Acceso Inclusivo y Equitativo a la Educación Superior</w:t>
            </w:r>
          </w:p>
        </w:tc>
      </w:tr>
      <w:tr w:rsidR="00FA2B4D" w:rsidRPr="009D6E0A" w:rsidTr="00D339A3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127"/>
          <w:jc w:val="center"/>
        </w:trPr>
        <w:tc>
          <w:tcPr>
            <w:tcW w:w="4991" w:type="pct"/>
            <w:gridSpan w:val="22"/>
          </w:tcPr>
          <w:p w:rsidR="00FA2B4D" w:rsidRPr="00D339A3" w:rsidRDefault="00FA2B4D" w:rsidP="000D1EDA">
            <w:pPr>
              <w:pStyle w:val="Default"/>
              <w:rPr>
                <w:rFonts w:ascii="Lato" w:hAnsi="Lato"/>
                <w:sz w:val="20"/>
                <w:szCs w:val="20"/>
              </w:rPr>
            </w:pPr>
          </w:p>
        </w:tc>
      </w:tr>
      <w:tr w:rsidR="00FA2B4D" w:rsidRPr="009D6E0A" w:rsidTr="00D339A3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7"/>
          <w:jc w:val="center"/>
        </w:trPr>
        <w:tc>
          <w:tcPr>
            <w:tcW w:w="1461" w:type="pct"/>
            <w:gridSpan w:val="3"/>
          </w:tcPr>
          <w:p w:rsidR="00FA2B4D" w:rsidRPr="009D6E0A" w:rsidRDefault="00FA2B4D" w:rsidP="000D1EDA">
            <w:pPr>
              <w:pStyle w:val="Default"/>
              <w:rPr>
                <w:rFonts w:ascii="Lato" w:hAnsi="Lato"/>
                <w:b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859" w:type="pct"/>
            <w:gridSpan w:val="11"/>
          </w:tcPr>
          <w:p w:rsidR="00FA2B4D" w:rsidRPr="009D6E0A" w:rsidRDefault="00FA2B4D" w:rsidP="000D1EDA">
            <w:pPr>
              <w:pStyle w:val="Default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680" w:type="pct"/>
            <w:gridSpan w:val="9"/>
          </w:tcPr>
          <w:p w:rsidR="00FA2B4D" w:rsidRPr="009D6E0A" w:rsidRDefault="00FA2B4D" w:rsidP="000D1EDA">
            <w:pPr>
              <w:pStyle w:val="Default"/>
              <w:rPr>
                <w:rFonts w:ascii="Lato" w:hAnsi="Lato"/>
                <w:b/>
                <w:sz w:val="18"/>
                <w:szCs w:val="18"/>
              </w:rPr>
            </w:pPr>
          </w:p>
        </w:tc>
      </w:tr>
      <w:tr w:rsidR="00FA2B4D" w:rsidRPr="009D6E0A" w:rsidTr="00D339A3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7"/>
          <w:jc w:val="center"/>
        </w:trPr>
        <w:tc>
          <w:tcPr>
            <w:tcW w:w="1461" w:type="pct"/>
            <w:gridSpan w:val="3"/>
          </w:tcPr>
          <w:p w:rsidR="00FA2B4D" w:rsidRPr="009D6E0A" w:rsidRDefault="00FA2B4D" w:rsidP="000D1EDA">
            <w:pPr>
              <w:pStyle w:val="Default"/>
              <w:rPr>
                <w:rFonts w:ascii="Lato" w:hAnsi="Lato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859" w:type="pct"/>
            <w:gridSpan w:val="11"/>
          </w:tcPr>
          <w:p w:rsidR="00FA2B4D" w:rsidRPr="009D6E0A" w:rsidRDefault="00FA2B4D" w:rsidP="000D1EDA">
            <w:pPr>
              <w:pStyle w:val="Default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80" w:type="pct"/>
            <w:gridSpan w:val="9"/>
          </w:tcPr>
          <w:p w:rsidR="00FA2B4D" w:rsidRPr="009D6E0A" w:rsidRDefault="00FA2B4D" w:rsidP="000D1EDA">
            <w:pPr>
              <w:pStyle w:val="Default"/>
              <w:rPr>
                <w:rFonts w:ascii="Lato" w:hAnsi="Lato"/>
                <w:sz w:val="18"/>
                <w:szCs w:val="18"/>
              </w:rPr>
            </w:pPr>
          </w:p>
        </w:tc>
      </w:tr>
      <w:tr w:rsidR="00FA2B4D" w:rsidRPr="009D6E0A" w:rsidTr="00D339A3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7"/>
          <w:jc w:val="center"/>
        </w:trPr>
        <w:tc>
          <w:tcPr>
            <w:tcW w:w="1461" w:type="pct"/>
            <w:gridSpan w:val="3"/>
          </w:tcPr>
          <w:p w:rsidR="00FA2B4D" w:rsidRPr="009D6E0A" w:rsidRDefault="00FA2B4D" w:rsidP="000D1EDA">
            <w:pPr>
              <w:pStyle w:val="Default"/>
              <w:rPr>
                <w:rFonts w:ascii="Lato" w:hAnsi="Lato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859" w:type="pct"/>
            <w:gridSpan w:val="11"/>
          </w:tcPr>
          <w:p w:rsidR="00FA2B4D" w:rsidRPr="009D6E0A" w:rsidRDefault="00FA2B4D" w:rsidP="000D1EDA">
            <w:pPr>
              <w:pStyle w:val="Default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80" w:type="pct"/>
            <w:gridSpan w:val="9"/>
          </w:tcPr>
          <w:p w:rsidR="00FA2B4D" w:rsidRPr="009D6E0A" w:rsidRDefault="00FA2B4D" w:rsidP="000D1EDA">
            <w:pPr>
              <w:pStyle w:val="Default"/>
              <w:rPr>
                <w:rFonts w:ascii="Lato" w:hAnsi="Lato"/>
                <w:sz w:val="18"/>
                <w:szCs w:val="18"/>
              </w:rPr>
            </w:pPr>
          </w:p>
        </w:tc>
      </w:tr>
      <w:tr w:rsidR="00FA2B4D" w:rsidRPr="009D6E0A" w:rsidTr="00D339A3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7"/>
          <w:jc w:val="center"/>
        </w:trPr>
        <w:tc>
          <w:tcPr>
            <w:tcW w:w="1461" w:type="pct"/>
            <w:gridSpan w:val="3"/>
          </w:tcPr>
          <w:p w:rsidR="00FA2B4D" w:rsidRPr="00C450B8" w:rsidRDefault="00FA2B4D" w:rsidP="000D1EDA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59" w:type="pct"/>
            <w:gridSpan w:val="11"/>
          </w:tcPr>
          <w:p w:rsidR="00FA2B4D" w:rsidRPr="00C450B8" w:rsidRDefault="00FA2B4D" w:rsidP="000D1EDA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80" w:type="pct"/>
            <w:gridSpan w:val="9"/>
          </w:tcPr>
          <w:p w:rsidR="00FA2B4D" w:rsidRPr="00C450B8" w:rsidRDefault="00FA2B4D" w:rsidP="000D1EDA">
            <w:pPr>
              <w:pStyle w:val="Default"/>
              <w:ind w:left="-438" w:firstLine="438"/>
              <w:rPr>
                <w:rFonts w:ascii="Lato" w:hAnsi="Lato"/>
                <w:sz w:val="20"/>
                <w:szCs w:val="20"/>
              </w:rPr>
            </w:pPr>
          </w:p>
        </w:tc>
      </w:tr>
      <w:tr w:rsidR="00FA2B4D" w:rsidRPr="009D6E0A" w:rsidTr="00D339A3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7"/>
          <w:jc w:val="center"/>
        </w:trPr>
        <w:tc>
          <w:tcPr>
            <w:tcW w:w="1461" w:type="pct"/>
            <w:gridSpan w:val="3"/>
          </w:tcPr>
          <w:p w:rsidR="00FA2B4D" w:rsidRPr="00C450B8" w:rsidRDefault="00FA2B4D" w:rsidP="000D1EDA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59" w:type="pct"/>
            <w:gridSpan w:val="11"/>
          </w:tcPr>
          <w:p w:rsidR="00FA2B4D" w:rsidRPr="00C450B8" w:rsidRDefault="00FA2B4D" w:rsidP="000D1EDA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80" w:type="pct"/>
            <w:gridSpan w:val="9"/>
          </w:tcPr>
          <w:p w:rsidR="00FA2B4D" w:rsidRPr="00C450B8" w:rsidRDefault="00FA2B4D" w:rsidP="000D1EDA">
            <w:pPr>
              <w:pStyle w:val="Default"/>
              <w:rPr>
                <w:rFonts w:ascii="Lato" w:hAnsi="Lato"/>
                <w:sz w:val="20"/>
                <w:szCs w:val="20"/>
              </w:rPr>
            </w:pPr>
          </w:p>
        </w:tc>
      </w:tr>
    </w:tbl>
    <w:p w:rsidR="00FA2B4D" w:rsidRDefault="00FA2B4D" w:rsidP="00D339A3">
      <w:pPr>
        <w:spacing w:after="0" w:line="240" w:lineRule="auto"/>
      </w:pPr>
      <w:bookmarkStart w:id="0" w:name="_GoBack"/>
      <w:bookmarkEnd w:id="0"/>
    </w:p>
    <w:p w:rsidR="00FA2B4D" w:rsidRDefault="00FA2B4D" w:rsidP="00CE41CA">
      <w:pPr>
        <w:spacing w:after="0" w:line="240" w:lineRule="auto"/>
        <w:jc w:val="center"/>
      </w:pPr>
    </w:p>
    <w:p w:rsidR="00FA2B4D" w:rsidRDefault="00FA2B4D" w:rsidP="00CE41CA">
      <w:pPr>
        <w:spacing w:after="0" w:line="240" w:lineRule="auto"/>
        <w:jc w:val="center"/>
      </w:pPr>
    </w:p>
    <w:tbl>
      <w:tblPr>
        <w:tblW w:w="482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5"/>
        <w:gridCol w:w="474"/>
        <w:gridCol w:w="1763"/>
        <w:gridCol w:w="896"/>
        <w:gridCol w:w="1407"/>
        <w:gridCol w:w="588"/>
        <w:gridCol w:w="720"/>
        <w:gridCol w:w="378"/>
        <w:gridCol w:w="771"/>
        <w:gridCol w:w="173"/>
        <w:gridCol w:w="1036"/>
        <w:gridCol w:w="316"/>
        <w:gridCol w:w="437"/>
        <w:gridCol w:w="510"/>
        <w:gridCol w:w="481"/>
        <w:gridCol w:w="1054"/>
        <w:gridCol w:w="1414"/>
        <w:gridCol w:w="992"/>
        <w:gridCol w:w="1168"/>
        <w:gridCol w:w="617"/>
        <w:gridCol w:w="33"/>
      </w:tblGrid>
      <w:tr w:rsidR="00FA2B4D" w:rsidRPr="005F3921" w:rsidTr="00D339A3">
        <w:trPr>
          <w:gridAfter w:val="2"/>
          <w:wAfter w:w="177" w:type="pct"/>
          <w:trHeight w:val="374"/>
          <w:jc w:val="center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915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5"/>
            </w:tblGrid>
            <w:tr w:rsidR="00FA2B4D" w:rsidRPr="005F3921" w:rsidTr="00D339A3">
              <w:trPr>
                <w:trHeight w:val="267"/>
                <w:tblCellSpacing w:w="0" w:type="dxa"/>
              </w:trPr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A2B4D" w:rsidRPr="005F3921" w:rsidRDefault="00FA2B4D" w:rsidP="000D1EDA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8"/>
                      <w:szCs w:val="28"/>
                      <w:lang w:eastAsia="es-MX"/>
                    </w:rPr>
                  </w:pPr>
                </w:p>
              </w:tc>
            </w:tr>
          </w:tbl>
          <w:p w:rsidR="00FA2B4D" w:rsidRPr="005F3921" w:rsidRDefault="00FA2B4D" w:rsidP="000D1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996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5F3921" w:rsidRDefault="00FA2B4D" w:rsidP="000D1ED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2B4D" w:rsidRPr="008F0BD6" w:rsidRDefault="00FA2B4D" w:rsidP="000D1EDA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</w:tcPr>
          <w:p w:rsidR="00FA2B4D" w:rsidRPr="005F3921" w:rsidRDefault="00FA2B4D" w:rsidP="000D1ED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</w:tr>
      <w:tr w:rsidR="00FA2B4D" w:rsidRPr="00D339A3" w:rsidTr="00D339A3">
        <w:trPr>
          <w:gridAfter w:val="2"/>
          <w:wAfter w:w="177" w:type="pct"/>
          <w:trHeight w:val="374"/>
          <w:jc w:val="center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5F3921" w:rsidRDefault="00FA2B4D" w:rsidP="000D1EDA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2996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Universidad de las Artes de Yucatán 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Indicadores de Programas Presupuestarios 2026 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FA2B4D" w:rsidRPr="00D339A3" w:rsidTr="00D339A3">
        <w:trPr>
          <w:gridAfter w:val="2"/>
          <w:wAfter w:w="177" w:type="pct"/>
          <w:trHeight w:val="299"/>
          <w:jc w:val="center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5F3921" w:rsidRDefault="00FA2B4D" w:rsidP="000D1EDA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  <w:tc>
          <w:tcPr>
            <w:tcW w:w="85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A2B4D" w:rsidRPr="00D339A3" w:rsidTr="00D339A3">
        <w:trPr>
          <w:gridAfter w:val="2"/>
          <w:wAfter w:w="177" w:type="pct"/>
          <w:trHeight w:val="299"/>
          <w:jc w:val="center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7B5E01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33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Programa Presupuestario: 672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Expansión de la Educación Superior pertinente y de excelencia</w:t>
            </w:r>
          </w:p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Dependencia o Entidad Responsable: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Secretaría de Educación</w:t>
            </w: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</w:p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Dependencia o Entidad Corresponsable: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Universidad de las Artes de Yucatán</w:t>
            </w: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</w:p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Directriz: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03 Educación, Cultura y Deporte Pilares del Renacimiento</w:t>
            </w: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</w:p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Vertientes: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03.04 Educación superior, inclusiva equitativa y de excelencia</w:t>
            </w:r>
          </w:p>
          <w:p w:rsidR="00FA2B4D" w:rsidRPr="00D339A3" w:rsidRDefault="00FA2B4D" w:rsidP="000D1EDA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Programa de Mediano Plazo 2025-2030: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Educación Humanista de Excelencia</w:t>
            </w:r>
          </w:p>
          <w:p w:rsidR="00FA2B4D" w:rsidRPr="00D339A3" w:rsidRDefault="00FA2B4D" w:rsidP="000D1EDA">
            <w:pPr>
              <w:spacing w:after="0" w:line="240" w:lineRule="auto"/>
              <w:jc w:val="both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Prioridad del Desarrollo 5:</w:t>
            </w: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 xml:space="preserve"> Educación superior pertinente y de excelencia.</w:t>
            </w:r>
          </w:p>
          <w:p w:rsidR="00FA2B4D" w:rsidRPr="00D339A3" w:rsidRDefault="00FA2B4D" w:rsidP="000D1EDA">
            <w:pPr>
              <w:spacing w:after="0" w:line="240" w:lineRule="auto"/>
              <w:jc w:val="both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ODS 4: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Garantizar una educación inclusiva, equitativa y de calidad y promover oportunidades de aprendizaje durante toda la ida para todos</w:t>
            </w:r>
          </w:p>
        </w:tc>
      </w:tr>
      <w:tr w:rsidR="00FA2B4D" w:rsidRPr="00D339A3" w:rsidTr="00D339A3">
        <w:trPr>
          <w:gridAfter w:val="2"/>
          <w:wAfter w:w="177" w:type="pct"/>
          <w:trHeight w:val="299"/>
          <w:jc w:val="center"/>
        </w:trPr>
        <w:tc>
          <w:tcPr>
            <w:tcW w:w="209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Información correspondiente al: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 del 1 de enero al 31 de marzo del 2026</w:t>
            </w:r>
          </w:p>
        </w:tc>
        <w:tc>
          <w:tcPr>
            <w:tcW w:w="2415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FF0000"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299"/>
          <w:jc w:val="center"/>
        </w:trPr>
        <w:tc>
          <w:tcPr>
            <w:tcW w:w="9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Resumen Narrativo</w:t>
            </w:r>
          </w:p>
        </w:tc>
        <w:tc>
          <w:tcPr>
            <w:tcW w:w="72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Línea Base</w:t>
            </w:r>
          </w:p>
        </w:tc>
        <w:tc>
          <w:tcPr>
            <w:tcW w:w="35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Meta</w:t>
            </w:r>
          </w:p>
        </w:tc>
        <w:tc>
          <w:tcPr>
            <w:tcW w:w="31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Frecuencia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TRIM 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TRIM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II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 SEM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TRIM 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III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TRIM 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IV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II SEM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VALOR ANUAL</w:t>
            </w:r>
          </w:p>
        </w:tc>
      </w:tr>
      <w:tr w:rsidR="00D339A3" w:rsidRPr="00D339A3" w:rsidTr="00D339A3">
        <w:trPr>
          <w:gridAfter w:val="2"/>
          <w:wAfter w:w="177" w:type="pct"/>
          <w:trHeight w:val="107"/>
          <w:jc w:val="center"/>
        </w:trPr>
        <w:tc>
          <w:tcPr>
            <w:tcW w:w="9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5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</w:tr>
      <w:tr w:rsidR="00D339A3" w:rsidRPr="00D339A3" w:rsidTr="00D339A3">
        <w:trPr>
          <w:gridAfter w:val="2"/>
          <w:wAfter w:w="177" w:type="pct"/>
          <w:trHeight w:val="1150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Fin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.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Se contribuye a expandir el acceso a la educación superior pertinente y de excelencia a los estudiantes de Yucatán mediante la óptima formación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lastRenderedPageBreak/>
              <w:t>académica de excelencia de los estudiantes, con enfoque en la formación integral y las habilidades emergentes, así como la mejora de la infraestructura y los recursos educativos.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lastRenderedPageBreak/>
              <w:t>25,949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Variación promedio de egresados en Educación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Superior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3.80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Promedio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3.80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Promedio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1352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lastRenderedPageBreak/>
              <w:t>Propósito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Los estudiantes inscritos en los Organismos Públicos Descentralizados de Educación Superior y Escuelas Normales e Instituciones de Formación Docente del Estado de Yucatán, tienen una óptima formación académica de excelencia, con enfoque en la formación integral y las habilidades emergentes.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25,283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Índice de Cobertura 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(incluye posgrado)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(18 a 23 años de edad)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31.90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31.95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697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1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Infraestructura educa</w:t>
            </w:r>
            <w:r w:rsidRPr="00D339A3">
              <w:rPr>
                <w:rFonts w:ascii="Lato" w:eastAsia="Lato" w:hAnsi="Lato" w:cs="Lato" w:hint="eastAsia"/>
                <w:sz w:val="20"/>
                <w:szCs w:val="20"/>
                <w:lang w:eastAsia="es-MX"/>
              </w:rPr>
              <w:t>􀦞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va en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condiciones adecuadas y suficientes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para su operación otorgada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25,070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Porcentaje de escuelas de educación superior beneficiadas con recursos del Fondo de Aportaciones Múltiple (FAM).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766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C1A1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 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Atención al mantenimiento de la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infraestructura </w:t>
            </w:r>
            <w:r w:rsidRPr="00D339A3">
              <w:rPr>
                <w:rFonts w:ascii="Lato" w:eastAsia="Lato" w:hAnsi="Lato" w:cs="Lato" w:hint="eastAsia"/>
                <w:sz w:val="20"/>
                <w:szCs w:val="20"/>
                <w:lang w:eastAsia="es-MX"/>
              </w:rPr>
              <w:t>􀣱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sica educa</w:t>
            </w:r>
            <w:r w:rsidRPr="00D339A3">
              <w:rPr>
                <w:rFonts w:ascii="Lato" w:eastAsia="Lato" w:hAnsi="Lato" w:cs="Lato" w:hint="eastAsia"/>
                <w:sz w:val="20"/>
                <w:szCs w:val="20"/>
                <w:lang w:eastAsia="es-MX"/>
              </w:rPr>
              <w:t>􀦞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va.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25, 075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Porcentaje de planteles y/o campus de educación superior atendidos con proyectos de rehabilitación y/o mantenimiento con recursos del FAM, durante un año, en el estado.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426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lastRenderedPageBreak/>
              <w:t>Actividad: C1A2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Adquisición de equipamiento.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25, 076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Porcentaje de planteles y/o campus de educación superior atendidos con proyectos de equipamiento con recursos del FAM, durante un año, en el estado.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568"/>
          <w:jc w:val="center"/>
        </w:trPr>
        <w:tc>
          <w:tcPr>
            <w:tcW w:w="9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C1A3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Adquisición de equipamiento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25, 077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Porcentaje de planteles y/o campus de educación superior atendidos con proyectos de construcción con recursos del FAM, durante un año, en el estado.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568"/>
          <w:jc w:val="center"/>
        </w:trPr>
        <w:tc>
          <w:tcPr>
            <w:tcW w:w="9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C1A4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Ingresos propios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21, 623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Porcentaje de ingresos propios obtenidos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91.44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68.21%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568"/>
          <w:jc w:val="center"/>
        </w:trPr>
        <w:tc>
          <w:tcPr>
            <w:tcW w:w="9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2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Servicios de apoyo para mejorar la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eficiencia terminal proporcionados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25,516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Porcentaje de alumnos de educación superior que reciben servicio de apoyo y permanecen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53.28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53.33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26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C2A1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Detección de alumnos en riesgo de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reprobación y abandono escolar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25,078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Porcentaje de alumnos de educación superior en riesgo de reprobación y abandono escolar detectados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6.05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5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41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C2A2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Atención de estudiantes que requieren asesoramiento o tutoría.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servicios de apoyo de asesoramiento o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tutorías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25,285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Porcentaje de alumnos de educación superior que reciben servicios de apoyo de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lastRenderedPageBreak/>
              <w:t>asesoramiento o tutorías proporcionados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lastRenderedPageBreak/>
              <w:t>88.54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88.44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-999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58"/>
          <w:jc w:val="center"/>
        </w:trPr>
        <w:tc>
          <w:tcPr>
            <w:tcW w:w="9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lastRenderedPageBreak/>
              <w:t>Componente 3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.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Servicios de apoyo psicopedagógicos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otorgados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25, 071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Porcentaje de servicios de apoyo psicopedagógicos a estudiantes de educación superior otorgados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4.20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8.33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35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C3A1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Implementación de las acciones de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atención psicopedagógica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25,332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Porcentaje de acciones de atención psicopedagógica en educación superior implementadas.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555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C3A2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Detección de alumnos con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necesidades psicopedagógicas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25,333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Porcentaje de alumnos de educación superior con necesidades psicopedagógicas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4.20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8.33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555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C3A3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Atención, detección y canalización de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estudiantes en situación de riesgo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psicológico en Escuelas Normales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25,334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Porcentaje de estudiantes de Escuelas Normales en situación de riesgo psicológico atendidos.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No Aplica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No Aplica 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</w:tr>
      <w:tr w:rsidR="00D339A3" w:rsidRPr="00D339A3" w:rsidTr="00D339A3">
        <w:trPr>
          <w:gridAfter w:val="2"/>
          <w:wAfter w:w="177" w:type="pct"/>
          <w:trHeight w:val="618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4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Programas educativos de Instituciones de Educación Superior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Descentralizadas y Escuelas Normales acreditados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25, 072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Porcentaje de programas educativos de Instituciones de Educación Superior Descentralizadas y Escuelas Normales acreditados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No Aplica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No Aplica 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</w:tr>
      <w:tr w:rsidR="00D339A3" w:rsidRPr="00D339A3" w:rsidTr="00D339A3">
        <w:trPr>
          <w:gridAfter w:val="2"/>
          <w:wAfter w:w="177" w:type="pct"/>
          <w:trHeight w:val="666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C4A1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Diagnóstico y autoevaluación de los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programas educativos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25, 335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Porcentaje de planes de mejora de los programas educativos de educación superior aprobados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1363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lastRenderedPageBreak/>
              <w:t>Actividad: C4A2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Formalización de convenio con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instancia de evaluación externa y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acreditación (IEVA)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25, 336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Porcentaje de convenios con instancia de evaluación externa y acreditación (IEVA) formalizados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1363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5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Programas educativos actualizados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25,074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Porcentaje de programas educativos de educación superior actualizados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12.50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25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Semestral 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58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C5A1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Adaptación de planes de estudio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25,337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Porcentaje de planes de estudio de educación superior adaptados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22.22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33.33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766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C5A2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Documentación de actividades con el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mercado laboral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25,338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Porcentaje de actividades con el mercado laboral documentadas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766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C5A3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Evaluación del programa educativo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25,339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Porcentaje de programas educativos de educación superior evaluados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11.11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22.22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901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6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Intercambios académicos, movilidad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nacional o internacional realizados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25,073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Porcentaje de estudiantes de educación superior en intercambios académicos, movilidad nacional o internacional realizados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1.01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1.17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1.42%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99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lastRenderedPageBreak/>
              <w:t>Actividad: C6A1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 xml:space="preserve"> 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Atención a las solicitudes de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Intercambios académicos, movilidad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nacional o internacional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25,340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Porcentaje de solicitudes de Intercambios académicos, movilidad nacional o internacional autorizadas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C6A2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Atención a las convocatorias de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Intercambios académicos, movilidad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nacional o internacional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25,341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Porcentaje de estudiantes de educación superior que participan en las convocatorias de Intercambios académicos, movilidad nacional o internacional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34.62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35.83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1.42%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7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Servicios de titulación proporcionados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25,284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Variación porcentual de titulados de Educación Superior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2.86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2.78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200%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C7A1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Seguimiento de egresados para su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titulación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25,342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Porcentaje de egresados de educación superior titulados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17.72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-999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C7A2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Impartición de cursos para la certificación de competencias de los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alumnos.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25,343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Porcentaje de alumnos de educación superior que cursan y aprueban los cursos de formación de competencias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No Aplica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No Aplica 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C7A3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Certificación de competencias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profesionales de alumnos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25,344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Porcentaje de alumnos de educación superior que certifican sus competencias profesionales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No Aplica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No Aplica 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NA</w:t>
            </w: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lastRenderedPageBreak/>
              <w:t>Componente 8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Costo promedio por estudiante de la Licenciatura en Artes Musicales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25,789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Costo Promedio por Estudiante de la Licenciatura en Artes Musicales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-999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8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Costo promedio por estudiante de la Licenciatura en Artes Visuales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25,790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Costo Promedio por Estudiante de la Licenciatura en Artes Visuales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-999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8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Costo promedio por estudiante de la Licenciatura en Teatro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25,791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Costo Promedio por Estudiante de la Licenciatura en Teatro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-999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8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Costo promedio por estudiante de la Licenciatura en Docencia de la Danza Clásica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25,792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Costo Promedio por Estudiante de la Licenciatura en Docencia de la Danza Clásica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-999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8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Costo promedio por estudiante de la Licenciatura en Danza Contemporánea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25,793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Costo Promedio por Estudiante de la Licenciatura en Danza Contemporánea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-999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8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Costo promedio por estudiante de la Licenciatura en Educación Artística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25,794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Costo Promedio por Estudiante de la Licenciatura en Educación Artística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-999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8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 xml:space="preserve">Costo promedio por estudiante de la Licenciatura en Cine 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25,795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Costo Promedio por Estudiante de la Licenciatura en Cine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-999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8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Costo promedio por estudiante del Técnico Superior Universitario en Artes Musicales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25,796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Costo promedio por estudiante del Técnico Superior Universitario en Artes Musicales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-999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lastRenderedPageBreak/>
              <w:t>Componente 8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Costo promedio por estudiante de la Maestría en Artes Musicales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25,797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Costo promedio por estudiante de la Maestría en Artes Musicales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-999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8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Costo promedio por estudiante de la Maestría en Arte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25,798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Costo promedio por estudiante de la Maestría en Arte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-999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8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Costo promedio por estudiante de la Maestría en Dirección de Escena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25,799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Costo promedio por estudiante de la Maestría en Dirección de Escena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-999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9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Servicios de apoyo Psicológico otorgados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28,339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Porcentaje de servicios de apoyo Psicológico a estudiantes de educación superior otorgados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4.20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8.33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4.44%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C9A1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Implementación de las acciones de atención Psicológico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28,340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Porcentaje de acciones de atención Psicológico en educación superior implementadas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C9A2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Detección de alumnos con necesidades Psicológicas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28,341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Porcentaje de alumnos de educación superior con necesidades Psicológicas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4.20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8.33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C9A3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Atención, detección y canalización de estudiantes en situación de riesgo psicológico en Instituciones descentralizadas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28,342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Porcentaje de estudiantes de Instituciones Descentralizadas en situación de riesgo psicológico atendidos.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4.17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2.13%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lastRenderedPageBreak/>
              <w:t>Actividad: C9A4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Servicios de apoyo Fisioterapéuticos otorgados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28,343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Porcentaje de servicios de apoyo Fisioterapéuticos a estudiantes de educación superior otorgados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4.20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8.33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-999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C9A5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 xml:space="preserve">Detección de alumnos con necesidades Fisioterapéuticos  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28,344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Porcentaje de alumnos de educación superior con necesidades Fisioterapéuticas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4.20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8.33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C9A6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Atención, detección y canalización de estudiantes en situación de riesgo Fisioterapéuticos en Instituciones descentralizadas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28,345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Porcentaje de estudiantes de Instituciones Descentralizadas en situación de riesgo Fisioterapéuticos atendidos.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4.17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C9A7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Participación de estudiantes en actividades de inclusión realizadas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28,346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Índice de Inclusión para estudiantes de Instituciones Descentralizadas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-999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Componente 10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Equipos tecnológicos entregados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22,901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Porcentaje de equipos tecnológicos entregados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C10A1</w:t>
            </w: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br/>
            </w: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Atención a la convocatoria de los docentes y alumnos de educación superior que solicitan un equipo tecnológico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22,903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Porcentaje de administrativos, docentes y alumnos de educación superior que solicitan un equipo tecnológico a través de la convocatoria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2.29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0.21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D339A3" w:rsidRPr="00D339A3" w:rsidTr="00D339A3">
        <w:trPr>
          <w:gridAfter w:val="2"/>
          <w:wAfter w:w="177" w:type="pct"/>
          <w:trHeight w:val="884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/>
                <w:sz w:val="20"/>
                <w:szCs w:val="20"/>
                <w:lang w:eastAsia="es-MX"/>
              </w:rPr>
              <w:t>Actividad: C10A2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bCs/>
                <w:sz w:val="20"/>
                <w:szCs w:val="20"/>
                <w:lang w:eastAsia="es-MX"/>
              </w:rPr>
              <w:t>Autorización de solicitudes para equipo tecnológico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22,905 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Porcentaje de solicitudes para equipo tecnológico autorizadas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2B4D" w:rsidRPr="00D339A3" w:rsidTr="00D339A3">
        <w:trPr>
          <w:gridAfter w:val="2"/>
          <w:wAfter w:w="177" w:type="pct"/>
          <w:trHeight w:val="127"/>
          <w:jc w:val="center"/>
        </w:trPr>
        <w:tc>
          <w:tcPr>
            <w:tcW w:w="9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ind w:firstLineChars="100" w:firstLine="200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Capítulo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ind w:firstLineChars="100" w:firstLine="200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Monto del programa</w:t>
            </w:r>
          </w:p>
        </w:tc>
        <w:tc>
          <w:tcPr>
            <w:tcW w:w="252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Estructura Funcional Programática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A2B4D" w:rsidRPr="00D339A3" w:rsidTr="00D339A3">
        <w:trPr>
          <w:gridAfter w:val="2"/>
          <w:wAfter w:w="177" w:type="pct"/>
          <w:trHeight w:val="60"/>
          <w:jc w:val="center"/>
        </w:trPr>
        <w:tc>
          <w:tcPr>
            <w:tcW w:w="9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  <w:t>-998 No Aplica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  <w:t>-999 No Disponible</w:t>
            </w:r>
            <w:r w:rsidRPr="00D339A3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Finalidad: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ind w:left="231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7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02 Desarrollo Social</w:t>
            </w:r>
          </w:p>
        </w:tc>
      </w:tr>
      <w:tr w:rsidR="00FA2B4D" w:rsidRPr="00D339A3" w:rsidTr="00D339A3">
        <w:trPr>
          <w:gridAfter w:val="2"/>
          <w:wAfter w:w="177" w:type="pct"/>
          <w:trHeight w:val="52"/>
          <w:jc w:val="center"/>
        </w:trPr>
        <w:tc>
          <w:tcPr>
            <w:tcW w:w="9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2B4D" w:rsidRPr="00D339A3" w:rsidRDefault="00FA2B4D" w:rsidP="000D1EDA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  <w:t xml:space="preserve">NA: No Aplica 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  <w:t>SM: Sin Medición</w:t>
            </w: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Eje del PED: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7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02.03 Educación, Cultura y Deporte Pilares del Renacimiento</w:t>
            </w:r>
          </w:p>
        </w:tc>
      </w:tr>
      <w:tr w:rsidR="00FA2B4D" w:rsidRPr="00D339A3" w:rsidTr="00D339A3">
        <w:trPr>
          <w:gridAfter w:val="2"/>
          <w:wAfter w:w="177" w:type="pct"/>
          <w:trHeight w:val="83"/>
          <w:jc w:val="center"/>
        </w:trPr>
        <w:tc>
          <w:tcPr>
            <w:tcW w:w="9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Función: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7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02.03.05 Educación</w:t>
            </w:r>
          </w:p>
        </w:tc>
      </w:tr>
      <w:tr w:rsidR="00FA2B4D" w:rsidRPr="00D339A3" w:rsidTr="00D339A3">
        <w:trPr>
          <w:gridAfter w:val="2"/>
          <w:wAfter w:w="177" w:type="pct"/>
          <w:trHeight w:val="143"/>
          <w:jc w:val="center"/>
        </w:trPr>
        <w:tc>
          <w:tcPr>
            <w:tcW w:w="9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Subfunción: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7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02.03.05.03 Educación Superior</w:t>
            </w:r>
          </w:p>
        </w:tc>
      </w:tr>
      <w:tr w:rsidR="00FA2B4D" w:rsidRPr="00D339A3" w:rsidTr="00D339A3">
        <w:trPr>
          <w:gridAfter w:val="2"/>
          <w:wAfter w:w="177" w:type="pct"/>
          <w:trHeight w:val="55"/>
          <w:jc w:val="center"/>
        </w:trPr>
        <w:tc>
          <w:tcPr>
            <w:tcW w:w="9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Programa Presupuestario:</w:t>
            </w:r>
          </w:p>
        </w:tc>
        <w:tc>
          <w:tcPr>
            <w:tcW w:w="237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A2B4D" w:rsidRPr="00D339A3" w:rsidRDefault="00FA2B4D" w:rsidP="000D1EDA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D339A3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672</w:t>
            </w:r>
            <w:r w:rsidRPr="00D339A3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Expansión de la Educación Superior pertinente y de excelencia</w:t>
            </w:r>
          </w:p>
        </w:tc>
      </w:tr>
      <w:tr w:rsidR="00FA2B4D" w:rsidTr="00D339A3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118"/>
          <w:jc w:val="center"/>
        </w:trPr>
        <w:tc>
          <w:tcPr>
            <w:tcW w:w="4991" w:type="pct"/>
            <w:gridSpan w:val="20"/>
          </w:tcPr>
          <w:p w:rsidR="00FA2B4D" w:rsidRDefault="00FA2B4D" w:rsidP="000D1EDA">
            <w:pPr>
              <w:pStyle w:val="Default"/>
              <w:rPr>
                <w:sz w:val="20"/>
                <w:szCs w:val="20"/>
              </w:rPr>
            </w:pPr>
          </w:p>
        </w:tc>
      </w:tr>
      <w:tr w:rsidR="00FA2B4D" w:rsidTr="00D339A3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8"/>
          <w:jc w:val="center"/>
        </w:trPr>
        <w:tc>
          <w:tcPr>
            <w:tcW w:w="1463" w:type="pct"/>
            <w:gridSpan w:val="3"/>
          </w:tcPr>
          <w:p w:rsidR="00FA2B4D" w:rsidRPr="0054265F" w:rsidRDefault="00FA2B4D" w:rsidP="000D1EDA">
            <w:pPr>
              <w:pStyle w:val="Default"/>
              <w:rPr>
                <w:rFonts w:ascii="Lato" w:hAnsi="Lato"/>
                <w:b/>
                <w:noProof/>
                <w:sz w:val="20"/>
                <w:szCs w:val="20"/>
                <w:lang w:eastAsia="es-MX"/>
              </w:rPr>
            </w:pPr>
          </w:p>
        </w:tc>
        <w:tc>
          <w:tcPr>
            <w:tcW w:w="1830" w:type="pct"/>
            <w:gridSpan w:val="10"/>
          </w:tcPr>
          <w:p w:rsidR="00FA2B4D" w:rsidRPr="0054265F" w:rsidRDefault="00FA2B4D" w:rsidP="000D1EDA">
            <w:pPr>
              <w:pStyle w:val="Defaul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707" w:type="pct"/>
            <w:gridSpan w:val="8"/>
          </w:tcPr>
          <w:p w:rsidR="00FA2B4D" w:rsidRPr="0054265F" w:rsidRDefault="00FA2B4D" w:rsidP="000D1EDA">
            <w:pPr>
              <w:pStyle w:val="Default"/>
              <w:rPr>
                <w:rFonts w:ascii="Lato" w:hAnsi="Lato"/>
                <w:b/>
                <w:sz w:val="20"/>
                <w:szCs w:val="20"/>
              </w:rPr>
            </w:pPr>
          </w:p>
        </w:tc>
      </w:tr>
    </w:tbl>
    <w:p w:rsidR="00FA2B4D" w:rsidRDefault="00FA2B4D" w:rsidP="00CE41CA">
      <w:pPr>
        <w:spacing w:after="0" w:line="240" w:lineRule="auto"/>
        <w:jc w:val="center"/>
      </w:pPr>
    </w:p>
    <w:sectPr w:rsidR="00FA2B4D" w:rsidSect="00D339A3">
      <w:pgSz w:w="20163" w:h="12242" w:orient="landscape" w:code="5"/>
      <w:pgMar w:top="2835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A9E" w:rsidRDefault="00283A9E" w:rsidP="00D6541F">
      <w:pPr>
        <w:spacing w:after="0" w:line="240" w:lineRule="auto"/>
      </w:pPr>
      <w:r>
        <w:separator/>
      </w:r>
    </w:p>
  </w:endnote>
  <w:endnote w:type="continuationSeparator" w:id="0">
    <w:p w:rsidR="00283A9E" w:rsidRDefault="00283A9E" w:rsidP="00D6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Courier New"/>
    <w:charset w:val="00"/>
    <w:family w:val="auto"/>
    <w:pitch w:val="variable"/>
    <w:sig w:usb0="A00002FF" w:usb1="4000207B" w:usb2="00000000" w:usb3="00000000" w:csb0="00000197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A9E" w:rsidRDefault="00283A9E" w:rsidP="00D6541F">
      <w:pPr>
        <w:spacing w:after="0" w:line="240" w:lineRule="auto"/>
      </w:pPr>
      <w:r>
        <w:separator/>
      </w:r>
    </w:p>
  </w:footnote>
  <w:footnote w:type="continuationSeparator" w:id="0">
    <w:p w:rsidR="00283A9E" w:rsidRDefault="00283A9E" w:rsidP="00D65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21"/>
    <w:rsid w:val="00006560"/>
    <w:rsid w:val="00010BFE"/>
    <w:rsid w:val="00012237"/>
    <w:rsid w:val="0001272B"/>
    <w:rsid w:val="00014FF5"/>
    <w:rsid w:val="000160B1"/>
    <w:rsid w:val="00027E04"/>
    <w:rsid w:val="00034F7D"/>
    <w:rsid w:val="00035691"/>
    <w:rsid w:val="0003791C"/>
    <w:rsid w:val="0004355F"/>
    <w:rsid w:val="000460BC"/>
    <w:rsid w:val="000553C9"/>
    <w:rsid w:val="000553D0"/>
    <w:rsid w:val="00061E8E"/>
    <w:rsid w:val="00063DC0"/>
    <w:rsid w:val="000643F0"/>
    <w:rsid w:val="00064BE0"/>
    <w:rsid w:val="00064EAD"/>
    <w:rsid w:val="0007130A"/>
    <w:rsid w:val="000750EF"/>
    <w:rsid w:val="00075CB0"/>
    <w:rsid w:val="0007662E"/>
    <w:rsid w:val="00093597"/>
    <w:rsid w:val="000944B7"/>
    <w:rsid w:val="00096DF3"/>
    <w:rsid w:val="000976BA"/>
    <w:rsid w:val="000A1774"/>
    <w:rsid w:val="000A3C0D"/>
    <w:rsid w:val="000B00CB"/>
    <w:rsid w:val="000B70CB"/>
    <w:rsid w:val="000D0CF1"/>
    <w:rsid w:val="000D2E34"/>
    <w:rsid w:val="000D5451"/>
    <w:rsid w:val="000E10AB"/>
    <w:rsid w:val="000E783F"/>
    <w:rsid w:val="000F02A8"/>
    <w:rsid w:val="000F6E8E"/>
    <w:rsid w:val="00100B59"/>
    <w:rsid w:val="00102D47"/>
    <w:rsid w:val="00104D44"/>
    <w:rsid w:val="00105347"/>
    <w:rsid w:val="001074BD"/>
    <w:rsid w:val="001166D3"/>
    <w:rsid w:val="00123EC5"/>
    <w:rsid w:val="0012418C"/>
    <w:rsid w:val="001308D7"/>
    <w:rsid w:val="00132E36"/>
    <w:rsid w:val="00134834"/>
    <w:rsid w:val="001364BD"/>
    <w:rsid w:val="00140A60"/>
    <w:rsid w:val="001424AD"/>
    <w:rsid w:val="00146B99"/>
    <w:rsid w:val="00146CF7"/>
    <w:rsid w:val="00156068"/>
    <w:rsid w:val="00156262"/>
    <w:rsid w:val="001635B7"/>
    <w:rsid w:val="00182633"/>
    <w:rsid w:val="001835C5"/>
    <w:rsid w:val="001839A3"/>
    <w:rsid w:val="0019222A"/>
    <w:rsid w:val="00192A5D"/>
    <w:rsid w:val="001A1A11"/>
    <w:rsid w:val="001A2272"/>
    <w:rsid w:val="001A2FFD"/>
    <w:rsid w:val="001A33C9"/>
    <w:rsid w:val="001B417E"/>
    <w:rsid w:val="001B5278"/>
    <w:rsid w:val="001C03A4"/>
    <w:rsid w:val="001C04FA"/>
    <w:rsid w:val="001C246F"/>
    <w:rsid w:val="001C6C9C"/>
    <w:rsid w:val="001C7879"/>
    <w:rsid w:val="001C7CEB"/>
    <w:rsid w:val="001D402C"/>
    <w:rsid w:val="001D4501"/>
    <w:rsid w:val="001D49AB"/>
    <w:rsid w:val="001E1CC8"/>
    <w:rsid w:val="001E3AE4"/>
    <w:rsid w:val="001E5168"/>
    <w:rsid w:val="001E6048"/>
    <w:rsid w:val="001E6D9F"/>
    <w:rsid w:val="001E74DB"/>
    <w:rsid w:val="001E77AC"/>
    <w:rsid w:val="001F043D"/>
    <w:rsid w:val="001F450B"/>
    <w:rsid w:val="001F5143"/>
    <w:rsid w:val="001F72A1"/>
    <w:rsid w:val="00202939"/>
    <w:rsid w:val="0020420E"/>
    <w:rsid w:val="002059FD"/>
    <w:rsid w:val="00213767"/>
    <w:rsid w:val="00221BB4"/>
    <w:rsid w:val="00223F7D"/>
    <w:rsid w:val="002244E0"/>
    <w:rsid w:val="00225C4B"/>
    <w:rsid w:val="00241022"/>
    <w:rsid w:val="00244041"/>
    <w:rsid w:val="002458A0"/>
    <w:rsid w:val="00260D4F"/>
    <w:rsid w:val="00261807"/>
    <w:rsid w:val="00261877"/>
    <w:rsid w:val="002621C1"/>
    <w:rsid w:val="00262D6A"/>
    <w:rsid w:val="002634F7"/>
    <w:rsid w:val="00266F01"/>
    <w:rsid w:val="00270B10"/>
    <w:rsid w:val="00270DFE"/>
    <w:rsid w:val="00273E6B"/>
    <w:rsid w:val="002757CA"/>
    <w:rsid w:val="00281E8A"/>
    <w:rsid w:val="00283A9E"/>
    <w:rsid w:val="0028443F"/>
    <w:rsid w:val="00285E66"/>
    <w:rsid w:val="00287251"/>
    <w:rsid w:val="00287F6E"/>
    <w:rsid w:val="00291027"/>
    <w:rsid w:val="00293B55"/>
    <w:rsid w:val="002A3348"/>
    <w:rsid w:val="002A3F74"/>
    <w:rsid w:val="002B041B"/>
    <w:rsid w:val="002B15D2"/>
    <w:rsid w:val="002B4E65"/>
    <w:rsid w:val="002B57BC"/>
    <w:rsid w:val="002B5E44"/>
    <w:rsid w:val="002C1B78"/>
    <w:rsid w:val="002C2DDE"/>
    <w:rsid w:val="002D0C34"/>
    <w:rsid w:val="002D1AB1"/>
    <w:rsid w:val="002D1D1F"/>
    <w:rsid w:val="002D259F"/>
    <w:rsid w:val="002D3425"/>
    <w:rsid w:val="002E17DC"/>
    <w:rsid w:val="002E22D9"/>
    <w:rsid w:val="002E2DE5"/>
    <w:rsid w:val="002F02DF"/>
    <w:rsid w:val="002F66D0"/>
    <w:rsid w:val="002F7BE0"/>
    <w:rsid w:val="00302239"/>
    <w:rsid w:val="00302AB1"/>
    <w:rsid w:val="00311F01"/>
    <w:rsid w:val="003168E2"/>
    <w:rsid w:val="0032509F"/>
    <w:rsid w:val="003254F1"/>
    <w:rsid w:val="003276FD"/>
    <w:rsid w:val="00330F36"/>
    <w:rsid w:val="00335DD0"/>
    <w:rsid w:val="00342DB2"/>
    <w:rsid w:val="00344A33"/>
    <w:rsid w:val="00345BB1"/>
    <w:rsid w:val="00347D23"/>
    <w:rsid w:val="003521CD"/>
    <w:rsid w:val="00357A4A"/>
    <w:rsid w:val="00360D8D"/>
    <w:rsid w:val="00362840"/>
    <w:rsid w:val="00366978"/>
    <w:rsid w:val="003701EA"/>
    <w:rsid w:val="0037154D"/>
    <w:rsid w:val="00371864"/>
    <w:rsid w:val="00390270"/>
    <w:rsid w:val="00395E47"/>
    <w:rsid w:val="00395F86"/>
    <w:rsid w:val="003A2D11"/>
    <w:rsid w:val="003A30CC"/>
    <w:rsid w:val="003A3B8D"/>
    <w:rsid w:val="003A662F"/>
    <w:rsid w:val="003A76A9"/>
    <w:rsid w:val="003B112F"/>
    <w:rsid w:val="003B6164"/>
    <w:rsid w:val="003C301A"/>
    <w:rsid w:val="003C3B31"/>
    <w:rsid w:val="003C47B8"/>
    <w:rsid w:val="003C504E"/>
    <w:rsid w:val="003C6456"/>
    <w:rsid w:val="003E27C3"/>
    <w:rsid w:val="003E4527"/>
    <w:rsid w:val="003E6CDC"/>
    <w:rsid w:val="003F3036"/>
    <w:rsid w:val="00400D5E"/>
    <w:rsid w:val="00404AF9"/>
    <w:rsid w:val="00410CCE"/>
    <w:rsid w:val="004179C4"/>
    <w:rsid w:val="004204C2"/>
    <w:rsid w:val="00423C4A"/>
    <w:rsid w:val="00424F57"/>
    <w:rsid w:val="00425272"/>
    <w:rsid w:val="004267B3"/>
    <w:rsid w:val="004301DF"/>
    <w:rsid w:val="00431FA3"/>
    <w:rsid w:val="00432011"/>
    <w:rsid w:val="004334F5"/>
    <w:rsid w:val="00441C02"/>
    <w:rsid w:val="00446CC9"/>
    <w:rsid w:val="00455DA3"/>
    <w:rsid w:val="004626FD"/>
    <w:rsid w:val="00464313"/>
    <w:rsid w:val="00464BC2"/>
    <w:rsid w:val="004677C6"/>
    <w:rsid w:val="0047127C"/>
    <w:rsid w:val="00473784"/>
    <w:rsid w:val="00473B63"/>
    <w:rsid w:val="00474824"/>
    <w:rsid w:val="004776A7"/>
    <w:rsid w:val="00482A63"/>
    <w:rsid w:val="00492A3B"/>
    <w:rsid w:val="00497302"/>
    <w:rsid w:val="004A24CF"/>
    <w:rsid w:val="004A2662"/>
    <w:rsid w:val="004A35F4"/>
    <w:rsid w:val="004A5D1C"/>
    <w:rsid w:val="004C5A72"/>
    <w:rsid w:val="004D7164"/>
    <w:rsid w:val="004E07AE"/>
    <w:rsid w:val="004E5675"/>
    <w:rsid w:val="004E7C0D"/>
    <w:rsid w:val="004F524A"/>
    <w:rsid w:val="00500AD0"/>
    <w:rsid w:val="0050123F"/>
    <w:rsid w:val="00503963"/>
    <w:rsid w:val="005063DB"/>
    <w:rsid w:val="00511635"/>
    <w:rsid w:val="00516709"/>
    <w:rsid w:val="00522A47"/>
    <w:rsid w:val="00523406"/>
    <w:rsid w:val="005252C1"/>
    <w:rsid w:val="00526944"/>
    <w:rsid w:val="00531E76"/>
    <w:rsid w:val="00533008"/>
    <w:rsid w:val="0053360A"/>
    <w:rsid w:val="005403DE"/>
    <w:rsid w:val="00541202"/>
    <w:rsid w:val="0054265F"/>
    <w:rsid w:val="0054347C"/>
    <w:rsid w:val="00546335"/>
    <w:rsid w:val="00547FC4"/>
    <w:rsid w:val="00552879"/>
    <w:rsid w:val="00553290"/>
    <w:rsid w:val="00562499"/>
    <w:rsid w:val="0056397D"/>
    <w:rsid w:val="00563A2C"/>
    <w:rsid w:val="005646C8"/>
    <w:rsid w:val="0056483A"/>
    <w:rsid w:val="005727E5"/>
    <w:rsid w:val="00574201"/>
    <w:rsid w:val="00576EF6"/>
    <w:rsid w:val="00581B68"/>
    <w:rsid w:val="00584C1D"/>
    <w:rsid w:val="00595113"/>
    <w:rsid w:val="00595868"/>
    <w:rsid w:val="005A427F"/>
    <w:rsid w:val="005B127E"/>
    <w:rsid w:val="005B5448"/>
    <w:rsid w:val="005C0E1B"/>
    <w:rsid w:val="005C1605"/>
    <w:rsid w:val="005C5822"/>
    <w:rsid w:val="005C5AED"/>
    <w:rsid w:val="005D155B"/>
    <w:rsid w:val="005D2553"/>
    <w:rsid w:val="005D6759"/>
    <w:rsid w:val="005D74C0"/>
    <w:rsid w:val="005E1708"/>
    <w:rsid w:val="005E1E80"/>
    <w:rsid w:val="005E32D1"/>
    <w:rsid w:val="005E5E3B"/>
    <w:rsid w:val="005F0808"/>
    <w:rsid w:val="005F0B09"/>
    <w:rsid w:val="005F2EA7"/>
    <w:rsid w:val="005F3271"/>
    <w:rsid w:val="005F3921"/>
    <w:rsid w:val="005F5C20"/>
    <w:rsid w:val="0060060B"/>
    <w:rsid w:val="00605AD1"/>
    <w:rsid w:val="00605BF9"/>
    <w:rsid w:val="00630847"/>
    <w:rsid w:val="00632E0E"/>
    <w:rsid w:val="00635A50"/>
    <w:rsid w:val="00635CDC"/>
    <w:rsid w:val="00637640"/>
    <w:rsid w:val="006406D1"/>
    <w:rsid w:val="006414CB"/>
    <w:rsid w:val="00643014"/>
    <w:rsid w:val="006439FD"/>
    <w:rsid w:val="00652338"/>
    <w:rsid w:val="00653CB0"/>
    <w:rsid w:val="0065608F"/>
    <w:rsid w:val="006604E8"/>
    <w:rsid w:val="00663F65"/>
    <w:rsid w:val="00664FE6"/>
    <w:rsid w:val="006667D9"/>
    <w:rsid w:val="006706FF"/>
    <w:rsid w:val="00670EAD"/>
    <w:rsid w:val="00673084"/>
    <w:rsid w:val="006740EE"/>
    <w:rsid w:val="00677A75"/>
    <w:rsid w:val="00681E6A"/>
    <w:rsid w:val="0068301A"/>
    <w:rsid w:val="00690DC3"/>
    <w:rsid w:val="00691CC9"/>
    <w:rsid w:val="00692525"/>
    <w:rsid w:val="00693721"/>
    <w:rsid w:val="00695473"/>
    <w:rsid w:val="006A1EB1"/>
    <w:rsid w:val="006A7D6B"/>
    <w:rsid w:val="006B0A87"/>
    <w:rsid w:val="006B5C95"/>
    <w:rsid w:val="006B6321"/>
    <w:rsid w:val="006B6B04"/>
    <w:rsid w:val="006D4015"/>
    <w:rsid w:val="006D426B"/>
    <w:rsid w:val="006D6C27"/>
    <w:rsid w:val="006E11D0"/>
    <w:rsid w:val="006E3FDE"/>
    <w:rsid w:val="006E4A6D"/>
    <w:rsid w:val="006E7A6D"/>
    <w:rsid w:val="006F0F5F"/>
    <w:rsid w:val="006F60C6"/>
    <w:rsid w:val="00701AC7"/>
    <w:rsid w:val="00702F2C"/>
    <w:rsid w:val="00704393"/>
    <w:rsid w:val="00704AF7"/>
    <w:rsid w:val="00711550"/>
    <w:rsid w:val="0071190D"/>
    <w:rsid w:val="00712F7D"/>
    <w:rsid w:val="007156EE"/>
    <w:rsid w:val="007167DA"/>
    <w:rsid w:val="00717629"/>
    <w:rsid w:val="00717B16"/>
    <w:rsid w:val="007216F7"/>
    <w:rsid w:val="00723B91"/>
    <w:rsid w:val="007247CB"/>
    <w:rsid w:val="00724ADD"/>
    <w:rsid w:val="0073336F"/>
    <w:rsid w:val="007343FF"/>
    <w:rsid w:val="00736461"/>
    <w:rsid w:val="00737C2B"/>
    <w:rsid w:val="00742CBF"/>
    <w:rsid w:val="0074363F"/>
    <w:rsid w:val="00743D67"/>
    <w:rsid w:val="0075166B"/>
    <w:rsid w:val="0075244F"/>
    <w:rsid w:val="00755352"/>
    <w:rsid w:val="00765EB7"/>
    <w:rsid w:val="00767CEF"/>
    <w:rsid w:val="00770A57"/>
    <w:rsid w:val="00770E49"/>
    <w:rsid w:val="00777166"/>
    <w:rsid w:val="00777EA7"/>
    <w:rsid w:val="00780748"/>
    <w:rsid w:val="00781ED6"/>
    <w:rsid w:val="00782D27"/>
    <w:rsid w:val="00783AA5"/>
    <w:rsid w:val="00783ECB"/>
    <w:rsid w:val="00785B85"/>
    <w:rsid w:val="007866AA"/>
    <w:rsid w:val="00793CC9"/>
    <w:rsid w:val="00795137"/>
    <w:rsid w:val="007A6367"/>
    <w:rsid w:val="007A76DE"/>
    <w:rsid w:val="007B57F1"/>
    <w:rsid w:val="007B5E01"/>
    <w:rsid w:val="007B6FFA"/>
    <w:rsid w:val="007C4588"/>
    <w:rsid w:val="007C7636"/>
    <w:rsid w:val="007F4189"/>
    <w:rsid w:val="007F6403"/>
    <w:rsid w:val="008029F1"/>
    <w:rsid w:val="00805C02"/>
    <w:rsid w:val="008100C4"/>
    <w:rsid w:val="008109A2"/>
    <w:rsid w:val="008179C0"/>
    <w:rsid w:val="00826829"/>
    <w:rsid w:val="008311D9"/>
    <w:rsid w:val="00832E56"/>
    <w:rsid w:val="00836405"/>
    <w:rsid w:val="00842F3E"/>
    <w:rsid w:val="00850C9E"/>
    <w:rsid w:val="008529FD"/>
    <w:rsid w:val="00856E16"/>
    <w:rsid w:val="00861B91"/>
    <w:rsid w:val="00862B8B"/>
    <w:rsid w:val="00873184"/>
    <w:rsid w:val="008736D5"/>
    <w:rsid w:val="008767AE"/>
    <w:rsid w:val="008809C1"/>
    <w:rsid w:val="00880D2E"/>
    <w:rsid w:val="0088658F"/>
    <w:rsid w:val="00893D71"/>
    <w:rsid w:val="008A2107"/>
    <w:rsid w:val="008A47A9"/>
    <w:rsid w:val="008A5371"/>
    <w:rsid w:val="008A6959"/>
    <w:rsid w:val="008B1383"/>
    <w:rsid w:val="008B432D"/>
    <w:rsid w:val="008C278F"/>
    <w:rsid w:val="008D063A"/>
    <w:rsid w:val="008D4158"/>
    <w:rsid w:val="008D4A4E"/>
    <w:rsid w:val="008D5362"/>
    <w:rsid w:val="008D71C0"/>
    <w:rsid w:val="008E0220"/>
    <w:rsid w:val="008E39C3"/>
    <w:rsid w:val="008E4AD7"/>
    <w:rsid w:val="008E77EC"/>
    <w:rsid w:val="008F0BD6"/>
    <w:rsid w:val="00900FA9"/>
    <w:rsid w:val="009037CA"/>
    <w:rsid w:val="00904008"/>
    <w:rsid w:val="00906D12"/>
    <w:rsid w:val="00910323"/>
    <w:rsid w:val="00917DEC"/>
    <w:rsid w:val="0092496D"/>
    <w:rsid w:val="00933B7E"/>
    <w:rsid w:val="00934FE5"/>
    <w:rsid w:val="0093640D"/>
    <w:rsid w:val="00936A75"/>
    <w:rsid w:val="00937718"/>
    <w:rsid w:val="00940D54"/>
    <w:rsid w:val="0094338A"/>
    <w:rsid w:val="0094587A"/>
    <w:rsid w:val="00947153"/>
    <w:rsid w:val="00954A67"/>
    <w:rsid w:val="00957ADC"/>
    <w:rsid w:val="00966A53"/>
    <w:rsid w:val="00972909"/>
    <w:rsid w:val="0097383B"/>
    <w:rsid w:val="00974248"/>
    <w:rsid w:val="00977210"/>
    <w:rsid w:val="00981C89"/>
    <w:rsid w:val="00982468"/>
    <w:rsid w:val="00982CDB"/>
    <w:rsid w:val="00985D6D"/>
    <w:rsid w:val="009875BE"/>
    <w:rsid w:val="00994AFE"/>
    <w:rsid w:val="009A2DA5"/>
    <w:rsid w:val="009A4FC5"/>
    <w:rsid w:val="009A71B1"/>
    <w:rsid w:val="009B6623"/>
    <w:rsid w:val="009B66CF"/>
    <w:rsid w:val="009B77C0"/>
    <w:rsid w:val="009C4CF6"/>
    <w:rsid w:val="009C56DF"/>
    <w:rsid w:val="009C7708"/>
    <w:rsid w:val="009F5F33"/>
    <w:rsid w:val="00A00462"/>
    <w:rsid w:val="00A02EA7"/>
    <w:rsid w:val="00A10E8D"/>
    <w:rsid w:val="00A148D2"/>
    <w:rsid w:val="00A14B43"/>
    <w:rsid w:val="00A16AC9"/>
    <w:rsid w:val="00A231C9"/>
    <w:rsid w:val="00A3079E"/>
    <w:rsid w:val="00A30C70"/>
    <w:rsid w:val="00A35BC9"/>
    <w:rsid w:val="00A43BA3"/>
    <w:rsid w:val="00A46753"/>
    <w:rsid w:val="00A50735"/>
    <w:rsid w:val="00A50932"/>
    <w:rsid w:val="00A52C88"/>
    <w:rsid w:val="00A57140"/>
    <w:rsid w:val="00A57C67"/>
    <w:rsid w:val="00A65AF6"/>
    <w:rsid w:val="00A743B3"/>
    <w:rsid w:val="00A76321"/>
    <w:rsid w:val="00A830E5"/>
    <w:rsid w:val="00A84609"/>
    <w:rsid w:val="00A85916"/>
    <w:rsid w:val="00A85A88"/>
    <w:rsid w:val="00A91975"/>
    <w:rsid w:val="00AA0D7C"/>
    <w:rsid w:val="00AA1351"/>
    <w:rsid w:val="00AA6C95"/>
    <w:rsid w:val="00AB0CF9"/>
    <w:rsid w:val="00AB16D4"/>
    <w:rsid w:val="00AB6108"/>
    <w:rsid w:val="00AC01CB"/>
    <w:rsid w:val="00AC30CA"/>
    <w:rsid w:val="00AC45C1"/>
    <w:rsid w:val="00AC4F08"/>
    <w:rsid w:val="00AC5395"/>
    <w:rsid w:val="00AC5ACD"/>
    <w:rsid w:val="00AD3463"/>
    <w:rsid w:val="00AD5EE1"/>
    <w:rsid w:val="00AE2171"/>
    <w:rsid w:val="00AE662E"/>
    <w:rsid w:val="00AF6C64"/>
    <w:rsid w:val="00B001DA"/>
    <w:rsid w:val="00B12538"/>
    <w:rsid w:val="00B20425"/>
    <w:rsid w:val="00B227A9"/>
    <w:rsid w:val="00B273EA"/>
    <w:rsid w:val="00B3485F"/>
    <w:rsid w:val="00B370E6"/>
    <w:rsid w:val="00B4416C"/>
    <w:rsid w:val="00B451F0"/>
    <w:rsid w:val="00B47526"/>
    <w:rsid w:val="00B60FA4"/>
    <w:rsid w:val="00B633DD"/>
    <w:rsid w:val="00B717D6"/>
    <w:rsid w:val="00B736B0"/>
    <w:rsid w:val="00B807B9"/>
    <w:rsid w:val="00B814C2"/>
    <w:rsid w:val="00B826C4"/>
    <w:rsid w:val="00B8451E"/>
    <w:rsid w:val="00B86A81"/>
    <w:rsid w:val="00B9346A"/>
    <w:rsid w:val="00B9541E"/>
    <w:rsid w:val="00B97FA6"/>
    <w:rsid w:val="00BA26C7"/>
    <w:rsid w:val="00BA49C5"/>
    <w:rsid w:val="00BA7727"/>
    <w:rsid w:val="00BB0439"/>
    <w:rsid w:val="00BC4F90"/>
    <w:rsid w:val="00BC51DB"/>
    <w:rsid w:val="00BC5F4E"/>
    <w:rsid w:val="00BD1F05"/>
    <w:rsid w:val="00BD5334"/>
    <w:rsid w:val="00BE27CC"/>
    <w:rsid w:val="00BE4D2A"/>
    <w:rsid w:val="00BF5515"/>
    <w:rsid w:val="00C0457E"/>
    <w:rsid w:val="00C074C5"/>
    <w:rsid w:val="00C0753C"/>
    <w:rsid w:val="00C116BE"/>
    <w:rsid w:val="00C17571"/>
    <w:rsid w:val="00C3014F"/>
    <w:rsid w:val="00C33D7C"/>
    <w:rsid w:val="00C33E93"/>
    <w:rsid w:val="00C36131"/>
    <w:rsid w:val="00C362F5"/>
    <w:rsid w:val="00C400EB"/>
    <w:rsid w:val="00C41CF2"/>
    <w:rsid w:val="00C453CC"/>
    <w:rsid w:val="00C45879"/>
    <w:rsid w:val="00C46DC9"/>
    <w:rsid w:val="00C52709"/>
    <w:rsid w:val="00C55C9A"/>
    <w:rsid w:val="00C55F1F"/>
    <w:rsid w:val="00C631FB"/>
    <w:rsid w:val="00C64344"/>
    <w:rsid w:val="00C64351"/>
    <w:rsid w:val="00C73619"/>
    <w:rsid w:val="00C753E0"/>
    <w:rsid w:val="00C84098"/>
    <w:rsid w:val="00C84AFC"/>
    <w:rsid w:val="00C910A7"/>
    <w:rsid w:val="00C92C72"/>
    <w:rsid w:val="00C943DA"/>
    <w:rsid w:val="00CA1837"/>
    <w:rsid w:val="00CA32BA"/>
    <w:rsid w:val="00CA431E"/>
    <w:rsid w:val="00CA6E1B"/>
    <w:rsid w:val="00CB67B9"/>
    <w:rsid w:val="00CC4D09"/>
    <w:rsid w:val="00CC6210"/>
    <w:rsid w:val="00CD54F0"/>
    <w:rsid w:val="00CE0001"/>
    <w:rsid w:val="00CE190C"/>
    <w:rsid w:val="00CE39C0"/>
    <w:rsid w:val="00CE41CA"/>
    <w:rsid w:val="00CE78A4"/>
    <w:rsid w:val="00CF0B9A"/>
    <w:rsid w:val="00CF633B"/>
    <w:rsid w:val="00CF65B1"/>
    <w:rsid w:val="00CF6DE8"/>
    <w:rsid w:val="00D01BAC"/>
    <w:rsid w:val="00D14D60"/>
    <w:rsid w:val="00D172E6"/>
    <w:rsid w:val="00D179D8"/>
    <w:rsid w:val="00D21FE3"/>
    <w:rsid w:val="00D23E36"/>
    <w:rsid w:val="00D26110"/>
    <w:rsid w:val="00D26F18"/>
    <w:rsid w:val="00D27DB8"/>
    <w:rsid w:val="00D339A3"/>
    <w:rsid w:val="00D418BB"/>
    <w:rsid w:val="00D42F9C"/>
    <w:rsid w:val="00D444AF"/>
    <w:rsid w:val="00D5465C"/>
    <w:rsid w:val="00D64B8A"/>
    <w:rsid w:val="00D64E8D"/>
    <w:rsid w:val="00D6541F"/>
    <w:rsid w:val="00D65435"/>
    <w:rsid w:val="00D70DC2"/>
    <w:rsid w:val="00D728A2"/>
    <w:rsid w:val="00D85660"/>
    <w:rsid w:val="00D86C07"/>
    <w:rsid w:val="00DA1F00"/>
    <w:rsid w:val="00DA4169"/>
    <w:rsid w:val="00DA465C"/>
    <w:rsid w:val="00DA4F98"/>
    <w:rsid w:val="00DA5FC1"/>
    <w:rsid w:val="00DA74FF"/>
    <w:rsid w:val="00DB03F5"/>
    <w:rsid w:val="00DB5716"/>
    <w:rsid w:val="00DB747A"/>
    <w:rsid w:val="00DC0012"/>
    <w:rsid w:val="00DC4968"/>
    <w:rsid w:val="00DC5AD5"/>
    <w:rsid w:val="00DC6069"/>
    <w:rsid w:val="00DC6D91"/>
    <w:rsid w:val="00DD013B"/>
    <w:rsid w:val="00DD0C1D"/>
    <w:rsid w:val="00DD7340"/>
    <w:rsid w:val="00DE28CB"/>
    <w:rsid w:val="00DE5DC6"/>
    <w:rsid w:val="00DF22DA"/>
    <w:rsid w:val="00E01E4B"/>
    <w:rsid w:val="00E0374C"/>
    <w:rsid w:val="00E06BE0"/>
    <w:rsid w:val="00E15D5D"/>
    <w:rsid w:val="00E22733"/>
    <w:rsid w:val="00E31F81"/>
    <w:rsid w:val="00E32C7A"/>
    <w:rsid w:val="00E33774"/>
    <w:rsid w:val="00E363F0"/>
    <w:rsid w:val="00E36517"/>
    <w:rsid w:val="00E36E9E"/>
    <w:rsid w:val="00E43CF2"/>
    <w:rsid w:val="00E441D0"/>
    <w:rsid w:val="00E463B0"/>
    <w:rsid w:val="00E50F20"/>
    <w:rsid w:val="00E51DB7"/>
    <w:rsid w:val="00E57ED8"/>
    <w:rsid w:val="00E65FA7"/>
    <w:rsid w:val="00E75668"/>
    <w:rsid w:val="00E77ACD"/>
    <w:rsid w:val="00E81B70"/>
    <w:rsid w:val="00E85A5C"/>
    <w:rsid w:val="00E90F26"/>
    <w:rsid w:val="00E91665"/>
    <w:rsid w:val="00E974E2"/>
    <w:rsid w:val="00EA2A92"/>
    <w:rsid w:val="00EB3BCA"/>
    <w:rsid w:val="00EB7C07"/>
    <w:rsid w:val="00EC1C53"/>
    <w:rsid w:val="00EC2D01"/>
    <w:rsid w:val="00EC416E"/>
    <w:rsid w:val="00EC5369"/>
    <w:rsid w:val="00EC66F4"/>
    <w:rsid w:val="00ED0463"/>
    <w:rsid w:val="00ED5B0E"/>
    <w:rsid w:val="00ED65DD"/>
    <w:rsid w:val="00ED7286"/>
    <w:rsid w:val="00ED7668"/>
    <w:rsid w:val="00EE6BDD"/>
    <w:rsid w:val="00EF248B"/>
    <w:rsid w:val="00EF2EFE"/>
    <w:rsid w:val="00EF4781"/>
    <w:rsid w:val="00F00975"/>
    <w:rsid w:val="00F03043"/>
    <w:rsid w:val="00F072AC"/>
    <w:rsid w:val="00F13A39"/>
    <w:rsid w:val="00F21BB5"/>
    <w:rsid w:val="00F2554B"/>
    <w:rsid w:val="00F26A3C"/>
    <w:rsid w:val="00F47BCE"/>
    <w:rsid w:val="00F52CA7"/>
    <w:rsid w:val="00F54269"/>
    <w:rsid w:val="00F55063"/>
    <w:rsid w:val="00F60068"/>
    <w:rsid w:val="00F66D4A"/>
    <w:rsid w:val="00F72FC3"/>
    <w:rsid w:val="00F74139"/>
    <w:rsid w:val="00F7734A"/>
    <w:rsid w:val="00F8323B"/>
    <w:rsid w:val="00F83E4F"/>
    <w:rsid w:val="00F856AE"/>
    <w:rsid w:val="00F85AD5"/>
    <w:rsid w:val="00F85C33"/>
    <w:rsid w:val="00F96FC5"/>
    <w:rsid w:val="00FA2B4D"/>
    <w:rsid w:val="00FA3251"/>
    <w:rsid w:val="00FA3F67"/>
    <w:rsid w:val="00FA4EFB"/>
    <w:rsid w:val="00FA59B0"/>
    <w:rsid w:val="00FB0547"/>
    <w:rsid w:val="00FB0885"/>
    <w:rsid w:val="00FB17D3"/>
    <w:rsid w:val="00FB29B5"/>
    <w:rsid w:val="00FB4590"/>
    <w:rsid w:val="00FC167D"/>
    <w:rsid w:val="00FC5BC1"/>
    <w:rsid w:val="00FD2CE2"/>
    <w:rsid w:val="00FD3175"/>
    <w:rsid w:val="00FD4E72"/>
    <w:rsid w:val="00FD4F42"/>
    <w:rsid w:val="00FE1248"/>
    <w:rsid w:val="00FE712D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D6F75"/>
  <w15:docId w15:val="{FF84EEB6-1397-4A3F-A9BC-0D7C5507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C7636"/>
    <w:pPr>
      <w:autoSpaceDE w:val="0"/>
      <w:autoSpaceDN w:val="0"/>
      <w:adjustRightInd w:val="0"/>
      <w:spacing w:after="0" w:line="240" w:lineRule="auto"/>
    </w:pPr>
    <w:rPr>
      <w:rFonts w:ascii="Barlow" w:hAnsi="Barlow" w:cs="Barlow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736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36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36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6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36D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6D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654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541F"/>
  </w:style>
  <w:style w:type="paragraph" w:styleId="Piedepgina">
    <w:name w:val="footer"/>
    <w:basedOn w:val="Normal"/>
    <w:link w:val="PiedepginaCar"/>
    <w:uiPriority w:val="99"/>
    <w:unhideWhenUsed/>
    <w:rsid w:val="00D654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4664</Words>
  <Characters>25654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diego.cocom</dc:creator>
  <cp:lastModifiedBy>Sharon Yanelli Lara Medrano</cp:lastModifiedBy>
  <cp:revision>2</cp:revision>
  <cp:lastPrinted>2025-11-07T18:18:00Z</cp:lastPrinted>
  <dcterms:created xsi:type="dcterms:W3CDTF">2026-04-28T18:09:00Z</dcterms:created>
  <dcterms:modified xsi:type="dcterms:W3CDTF">2026-04-28T18:09:00Z</dcterms:modified>
</cp:coreProperties>
</file>