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3C" w:rsidRPr="00433F81" w:rsidRDefault="00A65C6F" w:rsidP="0030553C">
      <w:pPr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  <w:r w:rsidRPr="00433F81">
        <w:rPr>
          <w:rFonts w:ascii="Lato" w:hAnsi="Lato" w:cs="Arial"/>
          <w:b/>
          <w:sz w:val="20"/>
          <w:szCs w:val="20"/>
        </w:rPr>
        <w:t>I</w:t>
      </w:r>
      <w:r w:rsidR="0030553C" w:rsidRPr="00433F81">
        <w:rPr>
          <w:rFonts w:ascii="Lato" w:hAnsi="Lato" w:cs="Arial"/>
          <w:b/>
          <w:sz w:val="20"/>
          <w:szCs w:val="20"/>
        </w:rPr>
        <w:t>ndicadores de Resultados</w:t>
      </w:r>
    </w:p>
    <w:p w:rsidR="0030553C" w:rsidRPr="00433F81" w:rsidRDefault="0030553C" w:rsidP="006530DE">
      <w:pPr>
        <w:jc w:val="center"/>
        <w:rPr>
          <w:rFonts w:ascii="Lato" w:hAnsi="Lato" w:cs="Arial"/>
          <w:b/>
          <w:sz w:val="20"/>
          <w:szCs w:val="20"/>
        </w:rPr>
      </w:pPr>
      <w:r w:rsidRPr="00433F81">
        <w:rPr>
          <w:rFonts w:ascii="Lato" w:hAnsi="Lato" w:cs="Arial"/>
          <w:b/>
          <w:sz w:val="20"/>
          <w:szCs w:val="20"/>
        </w:rPr>
        <w:t xml:space="preserve">Al </w:t>
      </w:r>
      <w:r w:rsidR="00004B64" w:rsidRPr="00433F81">
        <w:rPr>
          <w:rFonts w:ascii="Lato" w:hAnsi="Lato" w:cs="Arial"/>
          <w:b/>
          <w:sz w:val="20"/>
          <w:szCs w:val="20"/>
        </w:rPr>
        <w:t>31</w:t>
      </w:r>
      <w:r w:rsidR="00AA60DE" w:rsidRPr="00433F81">
        <w:rPr>
          <w:rFonts w:ascii="Lato" w:hAnsi="Lato" w:cs="Arial"/>
          <w:b/>
          <w:sz w:val="20"/>
          <w:szCs w:val="20"/>
        </w:rPr>
        <w:t xml:space="preserve"> </w:t>
      </w:r>
      <w:r w:rsidRPr="00433F81">
        <w:rPr>
          <w:rFonts w:ascii="Lato" w:hAnsi="Lato" w:cs="Arial"/>
          <w:b/>
          <w:sz w:val="20"/>
          <w:szCs w:val="20"/>
        </w:rPr>
        <w:t xml:space="preserve">de </w:t>
      </w:r>
      <w:r w:rsidR="008E71F1" w:rsidRPr="00433F81">
        <w:rPr>
          <w:rFonts w:ascii="Lato" w:hAnsi="Lato" w:cs="Arial"/>
          <w:b/>
          <w:sz w:val="20"/>
          <w:szCs w:val="20"/>
        </w:rPr>
        <w:t>marzo</w:t>
      </w:r>
      <w:r w:rsidR="009F7305" w:rsidRPr="00433F81">
        <w:rPr>
          <w:rFonts w:ascii="Lato" w:hAnsi="Lato" w:cs="Arial"/>
          <w:b/>
          <w:sz w:val="20"/>
          <w:szCs w:val="20"/>
        </w:rPr>
        <w:t xml:space="preserve"> </w:t>
      </w:r>
      <w:r w:rsidRPr="00433F81">
        <w:rPr>
          <w:rFonts w:ascii="Lato" w:hAnsi="Lato" w:cs="Arial"/>
          <w:b/>
          <w:sz w:val="20"/>
          <w:szCs w:val="20"/>
        </w:rPr>
        <w:t>de 202</w:t>
      </w:r>
      <w:r w:rsidR="00E446C2" w:rsidRPr="00433F81">
        <w:rPr>
          <w:rFonts w:ascii="Lato" w:hAnsi="Lato" w:cs="Arial"/>
          <w:b/>
          <w:sz w:val="20"/>
          <w:szCs w:val="20"/>
        </w:rPr>
        <w:t>6</w:t>
      </w:r>
    </w:p>
    <w:p w:rsidR="0030553C" w:rsidRPr="00433F81" w:rsidRDefault="0030553C" w:rsidP="0030553C">
      <w:pPr>
        <w:jc w:val="center"/>
        <w:rPr>
          <w:rFonts w:ascii="Lato" w:hAnsi="Lato" w:cs="Arial"/>
          <w:b/>
          <w:sz w:val="20"/>
          <w:szCs w:val="20"/>
        </w:rPr>
      </w:pPr>
      <w:r w:rsidRPr="00433F81">
        <w:rPr>
          <w:rFonts w:ascii="Lato" w:hAnsi="Lato" w:cs="Arial"/>
          <w:b/>
          <w:sz w:val="20"/>
          <w:szCs w:val="20"/>
        </w:rPr>
        <w:t>(Cifras en Pesos)</w:t>
      </w:r>
    </w:p>
    <w:p w:rsidR="0030553C" w:rsidRPr="00433F81" w:rsidRDefault="0030553C" w:rsidP="0030553C">
      <w:pPr>
        <w:jc w:val="center"/>
        <w:rPr>
          <w:rFonts w:ascii="Lato" w:hAnsi="Lato" w:cs="Arial"/>
          <w:b/>
          <w:sz w:val="20"/>
          <w:szCs w:val="20"/>
        </w:rPr>
      </w:pPr>
    </w:p>
    <w:p w:rsidR="00EF0B5B" w:rsidRPr="00433F81" w:rsidRDefault="0030553C" w:rsidP="006F4321">
      <w:pPr>
        <w:rPr>
          <w:rFonts w:ascii="Lato" w:hAnsi="Lato" w:cs="Arial"/>
          <w:b/>
          <w:sz w:val="20"/>
          <w:szCs w:val="20"/>
        </w:rPr>
      </w:pPr>
      <w:r w:rsidRPr="00433F81">
        <w:rPr>
          <w:rFonts w:ascii="Lato" w:hAnsi="Lato" w:cs="Arial"/>
          <w:b/>
          <w:sz w:val="20"/>
          <w:szCs w:val="20"/>
        </w:rPr>
        <w:t xml:space="preserve">           Ente Públ</w:t>
      </w:r>
      <w:r w:rsidR="0094540E" w:rsidRPr="00433F81">
        <w:rPr>
          <w:rFonts w:ascii="Lato" w:hAnsi="Lato" w:cs="Arial"/>
          <w:b/>
          <w:sz w:val="20"/>
          <w:szCs w:val="20"/>
        </w:rPr>
        <w:t>ico: INSTITUTO DE SEGURIDAD JURÍDICA PATRIMONIAL DE YUCATÁ</w:t>
      </w:r>
      <w:r w:rsidRPr="00433F81">
        <w:rPr>
          <w:rFonts w:ascii="Lato" w:hAnsi="Lato" w:cs="Arial"/>
          <w:b/>
          <w:sz w:val="20"/>
          <w:szCs w:val="20"/>
        </w:rPr>
        <w:t>N</w:t>
      </w:r>
    </w:p>
    <w:p w:rsidR="00004B64" w:rsidRPr="00433F81" w:rsidRDefault="00004B64" w:rsidP="006F4321">
      <w:pPr>
        <w:rPr>
          <w:rFonts w:ascii="Lato" w:hAnsi="Lato" w:cs="Arial"/>
          <w:b/>
          <w:sz w:val="20"/>
          <w:szCs w:val="20"/>
        </w:rPr>
      </w:pPr>
    </w:p>
    <w:tbl>
      <w:tblPr>
        <w:tblStyle w:val="Tablaconcuadrcula"/>
        <w:tblW w:w="15516" w:type="dxa"/>
        <w:jc w:val="center"/>
        <w:tblLook w:val="04A0" w:firstRow="1" w:lastRow="0" w:firstColumn="1" w:lastColumn="0" w:noHBand="0" w:noVBand="1"/>
      </w:tblPr>
      <w:tblGrid>
        <w:gridCol w:w="1245"/>
        <w:gridCol w:w="1597"/>
        <w:gridCol w:w="1665"/>
        <w:gridCol w:w="1407"/>
        <w:gridCol w:w="1424"/>
        <w:gridCol w:w="1154"/>
        <w:gridCol w:w="1020"/>
        <w:gridCol w:w="1066"/>
        <w:gridCol w:w="677"/>
        <w:gridCol w:w="677"/>
        <w:gridCol w:w="1195"/>
        <w:gridCol w:w="1002"/>
        <w:gridCol w:w="1387"/>
      </w:tblGrid>
      <w:tr w:rsidR="00004B64" w:rsidRPr="008E71F1" w:rsidTr="006F6DD1">
        <w:trPr>
          <w:trHeight w:val="459"/>
          <w:jc w:val="center"/>
        </w:trPr>
        <w:tc>
          <w:tcPr>
            <w:tcW w:w="2842" w:type="dxa"/>
            <w:gridSpan w:val="2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  <w:lang w:val="es-MX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PROGRAMA PRESUPUESTARIO:</w:t>
            </w:r>
          </w:p>
        </w:tc>
        <w:tc>
          <w:tcPr>
            <w:tcW w:w="5650" w:type="dxa"/>
            <w:gridSpan w:val="4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628 - Formalización Registral, Catastral y de Seguridad Jurídica Patrimonial</w:t>
            </w:r>
          </w:p>
        </w:tc>
        <w:tc>
          <w:tcPr>
            <w:tcW w:w="1020" w:type="dxa"/>
            <w:noWrap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66" w:type="dxa"/>
            <w:noWrap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4261" w:type="dxa"/>
            <w:gridSpan w:val="4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MARZO</w:t>
            </w:r>
          </w:p>
        </w:tc>
      </w:tr>
      <w:tr w:rsidR="00004B64" w:rsidRPr="008E71F1" w:rsidTr="006F6DD1">
        <w:trPr>
          <w:trHeight w:val="270"/>
          <w:jc w:val="center"/>
        </w:trPr>
        <w:tc>
          <w:tcPr>
            <w:tcW w:w="1245" w:type="dxa"/>
            <w:vMerge w:val="restart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Ámbito de Desempeño:</w:t>
            </w:r>
          </w:p>
        </w:tc>
        <w:tc>
          <w:tcPr>
            <w:tcW w:w="1597" w:type="dxa"/>
            <w:vMerge w:val="restart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Objetivo:</w:t>
            </w:r>
          </w:p>
        </w:tc>
        <w:tc>
          <w:tcPr>
            <w:tcW w:w="12674" w:type="dxa"/>
            <w:gridSpan w:val="11"/>
            <w:noWrap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INDICADORES</w:t>
            </w:r>
          </w:p>
        </w:tc>
      </w:tr>
      <w:tr w:rsidR="00004B64" w:rsidRPr="008E71F1" w:rsidTr="006F6DD1">
        <w:trPr>
          <w:trHeight w:val="526"/>
          <w:jc w:val="center"/>
        </w:trPr>
        <w:tc>
          <w:tcPr>
            <w:tcW w:w="1245" w:type="dxa"/>
            <w:vMerge/>
            <w:hideMark/>
          </w:tcPr>
          <w:p w:rsidR="00004B64" w:rsidRPr="008E71F1" w:rsidRDefault="00004B64">
            <w:pPr>
              <w:rPr>
                <w:rFonts w:ascii="Lato" w:hAnsi="Lato" w:cs="Arial"/>
                <w:bCs/>
                <w:sz w:val="18"/>
                <w:szCs w:val="18"/>
              </w:rPr>
            </w:pPr>
          </w:p>
        </w:tc>
        <w:tc>
          <w:tcPr>
            <w:tcW w:w="1597" w:type="dxa"/>
            <w:vMerge/>
            <w:hideMark/>
          </w:tcPr>
          <w:p w:rsidR="00004B64" w:rsidRPr="008E71F1" w:rsidRDefault="00004B64">
            <w:pPr>
              <w:rPr>
                <w:rFonts w:ascii="Lato" w:hAnsi="Lato" w:cs="Arial"/>
                <w:bCs/>
                <w:sz w:val="18"/>
                <w:szCs w:val="18"/>
              </w:rPr>
            </w:pPr>
          </w:p>
        </w:tc>
        <w:tc>
          <w:tcPr>
            <w:tcW w:w="166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Número y Nombre:</w:t>
            </w:r>
          </w:p>
        </w:tc>
        <w:tc>
          <w:tcPr>
            <w:tcW w:w="140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Definición:</w:t>
            </w:r>
          </w:p>
        </w:tc>
        <w:tc>
          <w:tcPr>
            <w:tcW w:w="1424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Variables</w:t>
            </w:r>
          </w:p>
        </w:tc>
        <w:tc>
          <w:tcPr>
            <w:tcW w:w="1154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Tendencia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 xml:space="preserve"> Método de cálculo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Unidad de Medida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Línea base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Meta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Periodicidad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Resultado del período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bCs/>
                <w:sz w:val="18"/>
                <w:szCs w:val="18"/>
              </w:rPr>
            </w:pPr>
            <w:r w:rsidRPr="008E71F1">
              <w:rPr>
                <w:rFonts w:ascii="Lato" w:hAnsi="Lato" w:cs="Arial"/>
                <w:bCs/>
                <w:sz w:val="18"/>
                <w:szCs w:val="18"/>
              </w:rPr>
              <w:t>Observaciones</w:t>
            </w:r>
          </w:p>
        </w:tc>
      </w:tr>
      <w:tr w:rsidR="00004B64" w:rsidRPr="008E71F1" w:rsidTr="006F6DD1">
        <w:trPr>
          <w:trHeight w:val="4361"/>
          <w:jc w:val="center"/>
        </w:trPr>
        <w:tc>
          <w:tcPr>
            <w:tcW w:w="124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Propósito</w:t>
            </w:r>
          </w:p>
        </w:tc>
        <w:tc>
          <w:tcPr>
            <w:tcW w:w="159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La ciudadanía accede a servicios registrales y catastrales con calidad, cobertura y eficacia, que garantizan certeza jurídica sobre la propiedad y el territorio.</w:t>
            </w:r>
          </w:p>
        </w:tc>
        <w:tc>
          <w:tcPr>
            <w:tcW w:w="166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24464 - Porcentaje de predios formalizados con registro catastral y registral</w:t>
            </w:r>
          </w:p>
        </w:tc>
        <w:tc>
          <w:tcPr>
            <w:tcW w:w="140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Mide el porcentaje de predios que han sido formalizados y registrados legalmente en el Registro Público de la Propiedad, en comparación con el número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 xml:space="preserve">total de predios que fueron identificados inicialmente como informales. Proporciona información sobre el </w:t>
            </w: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avance en la regularización de la tenencia de la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>tierra, garantizando certeza jurídica y fortaleciendo la seguridad patrimonial de las familias.</w:t>
            </w:r>
          </w:p>
        </w:tc>
        <w:tc>
          <w:tcPr>
            <w:tcW w:w="142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B = Número de predios registrados y formalizados.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>C = Total de predios informales identificados.</w:t>
            </w:r>
          </w:p>
        </w:tc>
        <w:tc>
          <w:tcPr>
            <w:tcW w:w="115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Ascendente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Porcentaje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80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81.25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82.22%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 xml:space="preserve">Existe un 82.22% de predios que han sido formalizados y registrados legalmente ante el Registro </w:t>
            </w:r>
            <w:r w:rsidR="008E71F1" w:rsidRPr="008E71F1">
              <w:rPr>
                <w:rFonts w:ascii="Lato" w:hAnsi="Lato" w:cs="Arial"/>
                <w:sz w:val="18"/>
                <w:szCs w:val="18"/>
              </w:rPr>
              <w:t>Público</w:t>
            </w:r>
            <w:r w:rsidRPr="008E71F1">
              <w:rPr>
                <w:rFonts w:ascii="Lato" w:hAnsi="Lato" w:cs="Arial"/>
                <w:sz w:val="18"/>
                <w:szCs w:val="18"/>
              </w:rPr>
              <w:t xml:space="preserve"> de la Propiedad.</w:t>
            </w:r>
          </w:p>
        </w:tc>
      </w:tr>
      <w:tr w:rsidR="00004B64" w:rsidRPr="008E71F1" w:rsidTr="006F6DD1">
        <w:trPr>
          <w:trHeight w:val="1804"/>
          <w:jc w:val="center"/>
        </w:trPr>
        <w:tc>
          <w:tcPr>
            <w:tcW w:w="124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Componente</w:t>
            </w:r>
          </w:p>
        </w:tc>
        <w:tc>
          <w:tcPr>
            <w:tcW w:w="159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Servicios catastrales entregados.</w:t>
            </w:r>
          </w:p>
        </w:tc>
        <w:tc>
          <w:tcPr>
            <w:tcW w:w="166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26043 - Tasa de actualización del Padrón Catastral</w:t>
            </w:r>
          </w:p>
        </w:tc>
        <w:tc>
          <w:tcPr>
            <w:tcW w:w="140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Mide la proporción de las actualizaciones al padrón catastral en el año actual respecto al año anterior.</w:t>
            </w:r>
          </w:p>
        </w:tc>
        <w:tc>
          <w:tcPr>
            <w:tcW w:w="142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B = Número de Inmuebles y/o Predios inscritos en el acervo registral en el año t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>C = Número de Inmuebles y/o Predios inscritos en el acervo registral en el año t 1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 xml:space="preserve">D = Factor de </w:t>
            </w: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escala de 100</w:t>
            </w:r>
          </w:p>
        </w:tc>
        <w:tc>
          <w:tcPr>
            <w:tcW w:w="115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Ascendente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(B/C)*D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Tasa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78.36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78.36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-19.95%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 xml:space="preserve"> Hay un -19.95% menos de  actualización al padrón catastral en relación al año anterior.</w:t>
            </w:r>
          </w:p>
        </w:tc>
      </w:tr>
      <w:tr w:rsidR="00004B64" w:rsidRPr="008E71F1" w:rsidTr="006F6DD1">
        <w:trPr>
          <w:trHeight w:val="2077"/>
          <w:jc w:val="center"/>
        </w:trPr>
        <w:tc>
          <w:tcPr>
            <w:tcW w:w="124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Componente</w:t>
            </w:r>
          </w:p>
        </w:tc>
        <w:tc>
          <w:tcPr>
            <w:tcW w:w="159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Servicios registrales de la propiedad y del comercio, entregados.</w:t>
            </w:r>
          </w:p>
        </w:tc>
        <w:tc>
          <w:tcPr>
            <w:tcW w:w="166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26435 - Porcentaje de trámites inscritos en el Registro Público de la Propiedad Inmobiliaria dentro del plazo normativo de 15 días hábiles</w:t>
            </w:r>
          </w:p>
        </w:tc>
        <w:tc>
          <w:tcPr>
            <w:tcW w:w="140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Mide la proporción del grado de cumplimiento de boletas de inscripción entregadas en tiempo normativo.</w:t>
            </w:r>
          </w:p>
        </w:tc>
        <w:tc>
          <w:tcPr>
            <w:tcW w:w="142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C = Total de trámites inscritos recibidos en el Registro Público de la Propiedad en el trimestre del año anterior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>B = Total de trámites inscritos antes de los 15 días en el Registro Público de la Propiedad</w:t>
            </w:r>
          </w:p>
        </w:tc>
        <w:tc>
          <w:tcPr>
            <w:tcW w:w="115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Ascendente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Porcentaje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96.79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97.25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46.00%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Se inscribieron un 46 % de trámites en el Registro Público de la Propiedad dentro del plazo de 15 días o menos.</w:t>
            </w:r>
          </w:p>
        </w:tc>
      </w:tr>
      <w:tr w:rsidR="00004B64" w:rsidRPr="008E71F1" w:rsidTr="006F6DD1">
        <w:trPr>
          <w:trHeight w:val="2060"/>
          <w:jc w:val="center"/>
        </w:trPr>
        <w:tc>
          <w:tcPr>
            <w:tcW w:w="124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Componente</w:t>
            </w:r>
          </w:p>
        </w:tc>
        <w:tc>
          <w:tcPr>
            <w:tcW w:w="159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Servicios catastrales entregados.</w:t>
            </w:r>
          </w:p>
        </w:tc>
        <w:tc>
          <w:tcPr>
            <w:tcW w:w="166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26446 - Porcentaje del padrón catastral vinculado a la cartografía en el Estado (municipios centralizados)</w:t>
            </w:r>
          </w:p>
        </w:tc>
        <w:tc>
          <w:tcPr>
            <w:tcW w:w="140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Mide el cambio porcentual de los predios posteados a la cartografía del Estado.</w:t>
            </w:r>
          </w:p>
        </w:tc>
        <w:tc>
          <w:tcPr>
            <w:tcW w:w="142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B = Total del padrón catastral vinculado a la cartografía digital del Estado en el año actual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 xml:space="preserve">C = Total del padrón catastral </w:t>
            </w: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vinculado a la cartografía digital del Estado en el año anterior</w:t>
            </w:r>
          </w:p>
        </w:tc>
        <w:tc>
          <w:tcPr>
            <w:tcW w:w="115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Ascendente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Porcentaje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73.74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92.86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36.79%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El padrón catastral vinculado a la cartografía digital del Estado, se encuentra en un 36.79%</w:t>
            </w:r>
          </w:p>
        </w:tc>
      </w:tr>
      <w:tr w:rsidR="00004B64" w:rsidRPr="008E71F1" w:rsidTr="006F6DD1">
        <w:trPr>
          <w:trHeight w:val="1549"/>
          <w:jc w:val="center"/>
        </w:trPr>
        <w:tc>
          <w:tcPr>
            <w:tcW w:w="124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Componente</w:t>
            </w:r>
          </w:p>
        </w:tc>
        <w:tc>
          <w:tcPr>
            <w:tcW w:w="159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Servicios registrales de la propiedad y del comercio, entregados</w:t>
            </w:r>
          </w:p>
        </w:tc>
        <w:tc>
          <w:tcPr>
            <w:tcW w:w="166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26434 - Porcentaje de trámites de certificados de libertad o de gravamen, entregados</w:t>
            </w:r>
          </w:p>
        </w:tc>
        <w:tc>
          <w:tcPr>
            <w:tcW w:w="140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Mide la proporción del grado de cumplimiento de boletas de Certificado de Libertad o de Gravamen, entregadas.</w:t>
            </w:r>
          </w:p>
        </w:tc>
        <w:tc>
          <w:tcPr>
            <w:tcW w:w="142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B = Total de trámites de Certificados de libertad o gravamen entregados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>C = Total de trámites de Certificados de libertad o gravamen recibidos.</w:t>
            </w:r>
          </w:p>
        </w:tc>
        <w:tc>
          <w:tcPr>
            <w:tcW w:w="115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Ascendente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Porcentaje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95.76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96.32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88.00%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Se entregaron un 88 % de Certificados de Libertad de Gravamen este mes</w:t>
            </w:r>
          </w:p>
        </w:tc>
      </w:tr>
      <w:tr w:rsidR="00004B64" w:rsidRPr="008E71F1" w:rsidTr="006F6DD1">
        <w:trPr>
          <w:trHeight w:val="1262"/>
          <w:jc w:val="center"/>
        </w:trPr>
        <w:tc>
          <w:tcPr>
            <w:tcW w:w="124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ACTIVIDAD</w:t>
            </w:r>
          </w:p>
        </w:tc>
        <w:tc>
          <w:tcPr>
            <w:tcW w:w="159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Calificación jurídica de los trámites para registro.</w:t>
            </w:r>
          </w:p>
        </w:tc>
        <w:tc>
          <w:tcPr>
            <w:tcW w:w="166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26431 - Porcentaje de trámites registrales calificados jurídicamente</w:t>
            </w:r>
          </w:p>
        </w:tc>
        <w:tc>
          <w:tcPr>
            <w:tcW w:w="140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Mide el porcentaje trámites con calificación jurídica</w:t>
            </w:r>
          </w:p>
        </w:tc>
        <w:tc>
          <w:tcPr>
            <w:tcW w:w="142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B = Total de trámites con calificación jurídica registrados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>C = Total de trámites presentados en el Registro Público</w:t>
            </w:r>
          </w:p>
        </w:tc>
        <w:tc>
          <w:tcPr>
            <w:tcW w:w="115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Ascendente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Porcentaje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94.52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99.26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79.22%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El 79.22% de los trámites ingresados durante el mes fueron calificados en tiempo.</w:t>
            </w:r>
          </w:p>
        </w:tc>
      </w:tr>
      <w:tr w:rsidR="00004B64" w:rsidRPr="008E71F1" w:rsidTr="006F6DD1">
        <w:trPr>
          <w:trHeight w:val="1266"/>
          <w:jc w:val="center"/>
        </w:trPr>
        <w:tc>
          <w:tcPr>
            <w:tcW w:w="124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ACTIVIDAD</w:t>
            </w:r>
          </w:p>
        </w:tc>
        <w:tc>
          <w:tcPr>
            <w:tcW w:w="159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Verificación y análisis de la documentación.</w:t>
            </w:r>
          </w:p>
        </w:tc>
        <w:tc>
          <w:tcPr>
            <w:tcW w:w="166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26444 - Tiempo promedio implementado para la verificación y análisis de los requisitos de los trámites catastrales</w:t>
            </w:r>
          </w:p>
        </w:tc>
        <w:tc>
          <w:tcPr>
            <w:tcW w:w="140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Mide si el tiempo de validación y análisis es adecuado para los servicios catastrales.</w:t>
            </w:r>
          </w:p>
        </w:tc>
        <w:tc>
          <w:tcPr>
            <w:tcW w:w="142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B = Total de días que transcurren en que se recibe el trámite hasta la validación y análisis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>C = Total de trámites validados</w:t>
            </w:r>
          </w:p>
        </w:tc>
        <w:tc>
          <w:tcPr>
            <w:tcW w:w="115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Ascendente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SUM B/C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Promedio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1.10%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El tiempo promedio se ha mantenido en un día hábil para la verificación del trámite.</w:t>
            </w:r>
          </w:p>
        </w:tc>
      </w:tr>
      <w:tr w:rsidR="00004B64" w:rsidRPr="008E71F1" w:rsidTr="006F6DD1">
        <w:trPr>
          <w:trHeight w:val="1293"/>
          <w:jc w:val="center"/>
        </w:trPr>
        <w:tc>
          <w:tcPr>
            <w:tcW w:w="124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ACTIVIDAD</w:t>
            </w:r>
          </w:p>
        </w:tc>
        <w:tc>
          <w:tcPr>
            <w:tcW w:w="159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Inscripción de actos jurídicos de ámbito inmobiliario, entregados.</w:t>
            </w:r>
          </w:p>
        </w:tc>
        <w:tc>
          <w:tcPr>
            <w:tcW w:w="166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26448 - Porcentaje de boletas de actos jurídicos entregadas del Registro Público de la Propiedad</w:t>
            </w:r>
          </w:p>
        </w:tc>
        <w:tc>
          <w:tcPr>
            <w:tcW w:w="140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Mide la proporción del grado de cumplimiento de boletas de Inscripción emitidas.</w:t>
            </w:r>
          </w:p>
        </w:tc>
        <w:tc>
          <w:tcPr>
            <w:tcW w:w="142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B = Total de boletas de actos jurídicos entregadas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>C = Total de actos recibidos en el Registro Público de la Propiedad</w:t>
            </w:r>
          </w:p>
        </w:tc>
        <w:tc>
          <w:tcPr>
            <w:tcW w:w="115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Ascendente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Porcentaje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93.89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96.4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64%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Se entregaron un 64% de boletas de actos jurídicos en este mes.</w:t>
            </w:r>
          </w:p>
        </w:tc>
      </w:tr>
      <w:tr w:rsidR="00004B64" w:rsidRPr="008E71F1" w:rsidTr="006F6DD1">
        <w:trPr>
          <w:trHeight w:val="1549"/>
          <w:jc w:val="center"/>
        </w:trPr>
        <w:tc>
          <w:tcPr>
            <w:tcW w:w="124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ACTIVIDAD</w:t>
            </w:r>
          </w:p>
        </w:tc>
        <w:tc>
          <w:tcPr>
            <w:tcW w:w="159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Inscripción de actos jurídicos de inscripción de empresas en el estado, entregadas</w:t>
            </w:r>
          </w:p>
        </w:tc>
        <w:tc>
          <w:tcPr>
            <w:tcW w:w="166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26449 - Tasa de apertura de nuevas empresas en el estado</w:t>
            </w:r>
          </w:p>
        </w:tc>
        <w:tc>
          <w:tcPr>
            <w:tcW w:w="140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Mide el cambio porcentual de las empresas constituidas en el Estado.</w:t>
            </w:r>
          </w:p>
        </w:tc>
        <w:tc>
          <w:tcPr>
            <w:tcW w:w="142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B = Total de empresas constituidas en el periodo del año actual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  <w:t>C = Total de empresas constituidas en el periodo del año anterior</w:t>
            </w:r>
          </w:p>
        </w:tc>
        <w:tc>
          <w:tcPr>
            <w:tcW w:w="115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Ascendente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Porcentaje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78.93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85.58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86%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 xml:space="preserve">Se obtuvo una variación porcentual de  86% respecto al año anterior. </w:t>
            </w:r>
          </w:p>
        </w:tc>
      </w:tr>
      <w:tr w:rsidR="00004B64" w:rsidRPr="008E71F1" w:rsidTr="006F6DD1">
        <w:trPr>
          <w:trHeight w:val="1126"/>
          <w:jc w:val="center"/>
        </w:trPr>
        <w:tc>
          <w:tcPr>
            <w:tcW w:w="124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ACTIVIDAD</w:t>
            </w:r>
          </w:p>
        </w:tc>
        <w:tc>
          <w:tcPr>
            <w:tcW w:w="159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Emisión de avisos registrales de ámbito inmobiliario, entregados.</w:t>
            </w:r>
          </w:p>
        </w:tc>
        <w:tc>
          <w:tcPr>
            <w:tcW w:w="1665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26450 - Porcentaje de Avisos registrales emitidos</w:t>
            </w:r>
          </w:p>
        </w:tc>
        <w:tc>
          <w:tcPr>
            <w:tcW w:w="1407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 xml:space="preserve">Mide la proporción del grado de cumplimiento de boletas de </w:t>
            </w: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avisos emitidas.</w:t>
            </w:r>
          </w:p>
        </w:tc>
        <w:tc>
          <w:tcPr>
            <w:tcW w:w="142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B = Total de boletas de avisos registrales registradas</w:t>
            </w:r>
            <w:r w:rsidRPr="008E71F1">
              <w:rPr>
                <w:rFonts w:ascii="Lato" w:hAnsi="Lato" w:cs="Arial"/>
                <w:sz w:val="18"/>
                <w:szCs w:val="18"/>
              </w:rPr>
              <w:br/>
            </w: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C = Total de avisos registrales recibidos para su inscripción</w:t>
            </w:r>
          </w:p>
        </w:tc>
        <w:tc>
          <w:tcPr>
            <w:tcW w:w="1154" w:type="dxa"/>
            <w:hideMark/>
          </w:tcPr>
          <w:p w:rsidR="00004B64" w:rsidRPr="008E71F1" w:rsidRDefault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lastRenderedPageBreak/>
              <w:t>Ascendente</w:t>
            </w:r>
          </w:p>
        </w:tc>
        <w:tc>
          <w:tcPr>
            <w:tcW w:w="1020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Porcentaje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92.97</w:t>
            </w:r>
          </w:p>
        </w:tc>
        <w:tc>
          <w:tcPr>
            <w:tcW w:w="67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94.85</w:t>
            </w:r>
          </w:p>
        </w:tc>
        <w:tc>
          <w:tcPr>
            <w:tcW w:w="1195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84.00%</w:t>
            </w:r>
          </w:p>
        </w:tc>
        <w:tc>
          <w:tcPr>
            <w:tcW w:w="1387" w:type="dxa"/>
            <w:hideMark/>
          </w:tcPr>
          <w:p w:rsidR="00004B64" w:rsidRPr="008E71F1" w:rsidRDefault="00004B64" w:rsidP="00004B64">
            <w:pPr>
              <w:rPr>
                <w:rFonts w:ascii="Lato" w:hAnsi="Lato" w:cs="Arial"/>
                <w:sz w:val="18"/>
                <w:szCs w:val="18"/>
              </w:rPr>
            </w:pPr>
            <w:r w:rsidRPr="008E71F1">
              <w:rPr>
                <w:rFonts w:ascii="Lato" w:hAnsi="Lato" w:cs="Arial"/>
                <w:sz w:val="18"/>
                <w:szCs w:val="18"/>
              </w:rPr>
              <w:t>Se emitieron un 84% de avisos registrales este mes.</w:t>
            </w:r>
          </w:p>
        </w:tc>
      </w:tr>
    </w:tbl>
    <w:p w:rsidR="00004B64" w:rsidRPr="00004B64" w:rsidRDefault="00004B64" w:rsidP="006F4321">
      <w:pPr>
        <w:rPr>
          <w:rFonts w:ascii="Epica Sans Pro" w:hAnsi="Epica Sans Pro" w:cs="Arial"/>
          <w:b/>
          <w:sz w:val="14"/>
          <w:szCs w:val="14"/>
        </w:rPr>
      </w:pPr>
    </w:p>
    <w:p w:rsidR="001D65E0" w:rsidRPr="00004B64" w:rsidRDefault="001D65E0" w:rsidP="006F4321">
      <w:pPr>
        <w:rPr>
          <w:rFonts w:ascii="Epica Sans Pro" w:hAnsi="Epica Sans Pro" w:cs="Arial"/>
          <w:b/>
          <w:sz w:val="14"/>
          <w:szCs w:val="14"/>
        </w:rPr>
      </w:pPr>
    </w:p>
    <w:p w:rsidR="00AD7AA1" w:rsidRPr="00AD7AA1" w:rsidRDefault="00AD7AA1" w:rsidP="0019171F">
      <w:pPr>
        <w:rPr>
          <w:rFonts w:ascii="Epica Sans Pro" w:hAnsi="Epica Sans Pro"/>
          <w:sz w:val="14"/>
          <w:szCs w:val="14"/>
        </w:rPr>
      </w:pPr>
    </w:p>
    <w:tbl>
      <w:tblPr>
        <w:tblStyle w:val="Tablaconcuadrcula"/>
        <w:tblW w:w="18299" w:type="dxa"/>
        <w:jc w:val="center"/>
        <w:tblLook w:val="04A0" w:firstRow="1" w:lastRow="0" w:firstColumn="1" w:lastColumn="0" w:noHBand="0" w:noVBand="1"/>
      </w:tblPr>
      <w:tblGrid>
        <w:gridCol w:w="1555"/>
        <w:gridCol w:w="1916"/>
        <w:gridCol w:w="2888"/>
        <w:gridCol w:w="1647"/>
        <w:gridCol w:w="1759"/>
        <w:gridCol w:w="1154"/>
        <w:gridCol w:w="1101"/>
        <w:gridCol w:w="1066"/>
        <w:gridCol w:w="716"/>
        <w:gridCol w:w="677"/>
        <w:gridCol w:w="1195"/>
        <w:gridCol w:w="1002"/>
        <w:gridCol w:w="1623"/>
      </w:tblGrid>
      <w:tr w:rsidR="007974A5" w:rsidRPr="008E71F1" w:rsidTr="008E71F1">
        <w:trPr>
          <w:trHeight w:val="301"/>
          <w:jc w:val="center"/>
        </w:trPr>
        <w:tc>
          <w:tcPr>
            <w:tcW w:w="3471" w:type="dxa"/>
            <w:gridSpan w:val="2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  <w:lang w:val="es-MX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PROGRAMA PRESUPUESTARIO:</w:t>
            </w:r>
          </w:p>
        </w:tc>
        <w:tc>
          <w:tcPr>
            <w:tcW w:w="7448" w:type="dxa"/>
            <w:gridSpan w:val="4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707 - Programa Administrativo para la Austeridad en la Justicia, Seguridad Ciudadana y Cultura de la Paz</w:t>
            </w:r>
          </w:p>
        </w:tc>
        <w:tc>
          <w:tcPr>
            <w:tcW w:w="1101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66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716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4497" w:type="dxa"/>
            <w:gridSpan w:val="4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MARZO</w:t>
            </w:r>
          </w:p>
        </w:tc>
      </w:tr>
      <w:tr w:rsidR="007974A5" w:rsidRPr="008E71F1" w:rsidTr="008E71F1">
        <w:trPr>
          <w:trHeight w:val="271"/>
          <w:jc w:val="center"/>
        </w:trPr>
        <w:tc>
          <w:tcPr>
            <w:tcW w:w="1555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916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88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47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759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1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66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716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677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95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002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23" w:type="dxa"/>
            <w:noWrap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974A5" w:rsidRPr="008E71F1" w:rsidTr="008E71F1">
        <w:trPr>
          <w:trHeight w:val="271"/>
          <w:jc w:val="center"/>
        </w:trPr>
        <w:tc>
          <w:tcPr>
            <w:tcW w:w="1555" w:type="dxa"/>
            <w:vMerge w:val="restart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Ámbito de Desempeño:</w:t>
            </w:r>
          </w:p>
        </w:tc>
        <w:tc>
          <w:tcPr>
            <w:tcW w:w="1916" w:type="dxa"/>
            <w:vMerge w:val="restart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Objetivo:</w:t>
            </w:r>
          </w:p>
        </w:tc>
        <w:tc>
          <w:tcPr>
            <w:tcW w:w="14828" w:type="dxa"/>
            <w:gridSpan w:val="11"/>
            <w:noWrap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INDICADORES</w:t>
            </w:r>
          </w:p>
        </w:tc>
      </w:tr>
      <w:tr w:rsidR="007974A5" w:rsidRPr="008E71F1" w:rsidTr="008E71F1">
        <w:trPr>
          <w:trHeight w:val="527"/>
          <w:jc w:val="center"/>
        </w:trPr>
        <w:tc>
          <w:tcPr>
            <w:tcW w:w="1555" w:type="dxa"/>
            <w:vMerge/>
            <w:hideMark/>
          </w:tcPr>
          <w:p w:rsidR="007974A5" w:rsidRPr="008E71F1" w:rsidRDefault="007974A5">
            <w:pPr>
              <w:rPr>
                <w:rFonts w:ascii="Lato" w:hAnsi="Lato"/>
                <w:bCs/>
                <w:sz w:val="18"/>
                <w:szCs w:val="18"/>
              </w:rPr>
            </w:pPr>
          </w:p>
        </w:tc>
        <w:tc>
          <w:tcPr>
            <w:tcW w:w="1916" w:type="dxa"/>
            <w:vMerge/>
            <w:hideMark/>
          </w:tcPr>
          <w:p w:rsidR="007974A5" w:rsidRPr="008E71F1" w:rsidRDefault="007974A5">
            <w:pPr>
              <w:rPr>
                <w:rFonts w:ascii="Lato" w:hAnsi="Lato"/>
                <w:bCs/>
                <w:sz w:val="18"/>
                <w:szCs w:val="18"/>
              </w:rPr>
            </w:pPr>
          </w:p>
        </w:tc>
        <w:tc>
          <w:tcPr>
            <w:tcW w:w="2888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Número y Nombre:</w:t>
            </w:r>
          </w:p>
        </w:tc>
        <w:tc>
          <w:tcPr>
            <w:tcW w:w="164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Definición:</w:t>
            </w:r>
          </w:p>
        </w:tc>
        <w:tc>
          <w:tcPr>
            <w:tcW w:w="1759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Variables</w:t>
            </w:r>
          </w:p>
        </w:tc>
        <w:tc>
          <w:tcPr>
            <w:tcW w:w="1154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Tendencia</w:t>
            </w:r>
          </w:p>
        </w:tc>
        <w:tc>
          <w:tcPr>
            <w:tcW w:w="1101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 xml:space="preserve"> Método de cálculo</w:t>
            </w:r>
          </w:p>
        </w:tc>
        <w:tc>
          <w:tcPr>
            <w:tcW w:w="106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Unidad de Medida</w:t>
            </w:r>
          </w:p>
        </w:tc>
        <w:tc>
          <w:tcPr>
            <w:tcW w:w="71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Línea base</w:t>
            </w:r>
          </w:p>
        </w:tc>
        <w:tc>
          <w:tcPr>
            <w:tcW w:w="67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Meta</w:t>
            </w:r>
          </w:p>
        </w:tc>
        <w:tc>
          <w:tcPr>
            <w:tcW w:w="1195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Periodicidad</w:t>
            </w:r>
          </w:p>
        </w:tc>
        <w:tc>
          <w:tcPr>
            <w:tcW w:w="1002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Resultado del período</w:t>
            </w:r>
          </w:p>
        </w:tc>
        <w:tc>
          <w:tcPr>
            <w:tcW w:w="1623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bCs/>
                <w:sz w:val="18"/>
                <w:szCs w:val="18"/>
              </w:rPr>
            </w:pPr>
            <w:r w:rsidRPr="008E71F1">
              <w:rPr>
                <w:rFonts w:ascii="Lato" w:hAnsi="Lato"/>
                <w:bCs/>
                <w:sz w:val="18"/>
                <w:szCs w:val="18"/>
              </w:rPr>
              <w:t>Observaciones</w:t>
            </w:r>
          </w:p>
        </w:tc>
      </w:tr>
      <w:tr w:rsidR="007974A5" w:rsidRPr="008E71F1" w:rsidTr="008E71F1">
        <w:trPr>
          <w:trHeight w:val="2579"/>
          <w:jc w:val="center"/>
        </w:trPr>
        <w:tc>
          <w:tcPr>
            <w:tcW w:w="1555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 xml:space="preserve">COMPONENTE 1 </w:t>
            </w:r>
          </w:p>
        </w:tc>
        <w:tc>
          <w:tcPr>
            <w:tcW w:w="1916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Recursos para gastos corriente de la directriz 6 administrados.</w:t>
            </w:r>
          </w:p>
        </w:tc>
        <w:tc>
          <w:tcPr>
            <w:tcW w:w="2888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26487 - Porcentaje del presupuesto ejercido en la directriz 6 destinado al gasto corriente</w:t>
            </w:r>
          </w:p>
        </w:tc>
        <w:tc>
          <w:tcPr>
            <w:tcW w:w="1647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Mide la proporción del presupuesto ejercido de la directriz 6 en servicios personales, materiales y suministros, servicios generales y asignaciones, subsidios y otras ayudas.</w:t>
            </w:r>
          </w:p>
        </w:tc>
        <w:tc>
          <w:tcPr>
            <w:tcW w:w="1759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B = Total del gasto corriente ejercido de la directriz 6 (Capítulo 1000, 2000, 3000, 4000 se excluyen partidas de 4000 destinadas a bienes muebles, inmuebles e intangibles e inversión pública) C= Total de presupuesto ejercido de la directriz</w:t>
            </w:r>
          </w:p>
        </w:tc>
        <w:tc>
          <w:tcPr>
            <w:tcW w:w="1154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Ascendente</w:t>
            </w:r>
          </w:p>
        </w:tc>
        <w:tc>
          <w:tcPr>
            <w:tcW w:w="1101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Porcentaje</w:t>
            </w:r>
          </w:p>
        </w:tc>
        <w:tc>
          <w:tcPr>
            <w:tcW w:w="71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98.78</w:t>
            </w:r>
          </w:p>
        </w:tc>
        <w:tc>
          <w:tcPr>
            <w:tcW w:w="67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98.78</w:t>
            </w:r>
          </w:p>
        </w:tc>
        <w:tc>
          <w:tcPr>
            <w:tcW w:w="1195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6.51%</w:t>
            </w:r>
          </w:p>
        </w:tc>
        <w:tc>
          <w:tcPr>
            <w:tcW w:w="1623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Durante el mes de Marzo se tiene un 6.51%  de gasto corriente  en (Capítulo 1000, 2000, 3000)</w:t>
            </w:r>
          </w:p>
        </w:tc>
      </w:tr>
      <w:tr w:rsidR="007974A5" w:rsidRPr="008E71F1" w:rsidTr="008E71F1">
        <w:trPr>
          <w:trHeight w:val="2556"/>
          <w:jc w:val="center"/>
        </w:trPr>
        <w:tc>
          <w:tcPr>
            <w:tcW w:w="1555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lastRenderedPageBreak/>
              <w:t>ACTIVIDAD</w:t>
            </w:r>
          </w:p>
        </w:tc>
        <w:tc>
          <w:tcPr>
            <w:tcW w:w="1916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Administración de recursos humanos</w:t>
            </w:r>
          </w:p>
        </w:tc>
        <w:tc>
          <w:tcPr>
            <w:tcW w:w="2888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26,490 Porcentaje de presupuesto ejercido en la directriz 6 destinado a servicios personales</w:t>
            </w:r>
          </w:p>
        </w:tc>
        <w:tc>
          <w:tcPr>
            <w:tcW w:w="1647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Mide en proporción los recursos ejercidos del gasto corriente de las dependencias y entidades de la directriz 6 destinados a cubrir los gastos de servicios personales del clasificador por objeto del gasto según CONAC</w:t>
            </w:r>
          </w:p>
        </w:tc>
        <w:tc>
          <w:tcPr>
            <w:tcW w:w="1759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B = Total de presupuesto ejercido en servicios personales C= Total del presupuesto ejercido en gato corriente (Capítulo 1000, 2000, 3000, 4000 se excluyen partidas de 4000 destinadas a bienes muebles, inmuebles e intangibles e inversión pública)</w:t>
            </w:r>
          </w:p>
        </w:tc>
        <w:tc>
          <w:tcPr>
            <w:tcW w:w="1154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Constante</w:t>
            </w:r>
          </w:p>
        </w:tc>
        <w:tc>
          <w:tcPr>
            <w:tcW w:w="1101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Porcentaje</w:t>
            </w:r>
          </w:p>
        </w:tc>
        <w:tc>
          <w:tcPr>
            <w:tcW w:w="71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41.69</w:t>
            </w:r>
          </w:p>
        </w:tc>
        <w:tc>
          <w:tcPr>
            <w:tcW w:w="67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41.69</w:t>
            </w:r>
          </w:p>
        </w:tc>
        <w:tc>
          <w:tcPr>
            <w:tcW w:w="1195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5.55%</w:t>
            </w:r>
          </w:p>
        </w:tc>
        <w:tc>
          <w:tcPr>
            <w:tcW w:w="1623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Sé devengo el 5.55%  de los recursos en Servicios Personales correspondiente al mes de Marzo 2026</w:t>
            </w:r>
          </w:p>
        </w:tc>
      </w:tr>
      <w:tr w:rsidR="007974A5" w:rsidRPr="008E71F1" w:rsidTr="008E71F1">
        <w:trPr>
          <w:trHeight w:val="2836"/>
          <w:jc w:val="center"/>
        </w:trPr>
        <w:tc>
          <w:tcPr>
            <w:tcW w:w="1555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ACTIVIDAD</w:t>
            </w:r>
          </w:p>
        </w:tc>
        <w:tc>
          <w:tcPr>
            <w:tcW w:w="1916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Adquisición de materiales y suministros</w:t>
            </w:r>
          </w:p>
        </w:tc>
        <w:tc>
          <w:tcPr>
            <w:tcW w:w="2888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26,491 Porcentaje de presupuesto ejercido en gasto corriente de la directriz 6 destinado a cubrir los gastos en materiales y suministros</w:t>
            </w:r>
          </w:p>
        </w:tc>
        <w:tc>
          <w:tcPr>
            <w:tcW w:w="1647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Mide en proporción los recursos ejercidos del gasto corriente de las dependencias y entidades de la directriz 6 destinados a cubrir los gastos de materiales y suministros del clasificador por objeto del gasto según CONAC</w:t>
            </w:r>
          </w:p>
        </w:tc>
        <w:tc>
          <w:tcPr>
            <w:tcW w:w="1759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B = Total de presupuesto ejercido en materiales y suministros C= Total del presupuesto ejercido en gato corriente (Capítulo 1000, 2000, 3000, 4000 se excluyen partidas de 4000 destinadas a bienes muebles, inmuebles e intangibles e inversión pública).</w:t>
            </w:r>
          </w:p>
        </w:tc>
        <w:tc>
          <w:tcPr>
            <w:tcW w:w="1154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Constante</w:t>
            </w:r>
          </w:p>
        </w:tc>
        <w:tc>
          <w:tcPr>
            <w:tcW w:w="1101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Porcentaje</w:t>
            </w:r>
          </w:p>
        </w:tc>
        <w:tc>
          <w:tcPr>
            <w:tcW w:w="71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16.72</w:t>
            </w:r>
          </w:p>
        </w:tc>
        <w:tc>
          <w:tcPr>
            <w:tcW w:w="67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16.72</w:t>
            </w:r>
          </w:p>
        </w:tc>
        <w:tc>
          <w:tcPr>
            <w:tcW w:w="1195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0.17%</w:t>
            </w:r>
          </w:p>
        </w:tc>
        <w:tc>
          <w:tcPr>
            <w:tcW w:w="1623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Sé  devengo el 0.17%  de los recursos en Materiales y Suministros correspondiente al mes de Marzo 2026</w:t>
            </w:r>
          </w:p>
        </w:tc>
      </w:tr>
      <w:tr w:rsidR="007974A5" w:rsidRPr="008E71F1" w:rsidTr="008E71F1">
        <w:trPr>
          <w:trHeight w:val="2556"/>
          <w:jc w:val="center"/>
        </w:trPr>
        <w:tc>
          <w:tcPr>
            <w:tcW w:w="1555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lastRenderedPageBreak/>
              <w:t>ACTIVIDAD</w:t>
            </w:r>
          </w:p>
        </w:tc>
        <w:tc>
          <w:tcPr>
            <w:tcW w:w="1916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Prestación de servicios generales</w:t>
            </w:r>
          </w:p>
        </w:tc>
        <w:tc>
          <w:tcPr>
            <w:tcW w:w="2888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26,492 Porcentaje de presupuesto ejercido en gasto corriente de la directriz 6 destinado a cubrir los gastos en servicios generales.</w:t>
            </w:r>
          </w:p>
        </w:tc>
        <w:tc>
          <w:tcPr>
            <w:tcW w:w="1647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Mide en proporción los recursos ejercidos del gasto corriente de las dependencias y entidades de la directriz 6 destinados a cubrir los gastos en servicios  generales del clasificador por objeto del gasto según CONAC</w:t>
            </w:r>
          </w:p>
        </w:tc>
        <w:tc>
          <w:tcPr>
            <w:tcW w:w="1759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B = Total de presupuesto ejercido en servicios generales C= Total del presupuesto ejercido en gato corriente (Capítulo 1000, 2000, 3000, 4000 se excluyen partidas de 4000 destinadas a bienes muebles, inmuebles e intangibles e inversión pública).</w:t>
            </w:r>
          </w:p>
        </w:tc>
        <w:tc>
          <w:tcPr>
            <w:tcW w:w="1154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Constante</w:t>
            </w:r>
          </w:p>
        </w:tc>
        <w:tc>
          <w:tcPr>
            <w:tcW w:w="1101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Porcentaje</w:t>
            </w:r>
          </w:p>
        </w:tc>
        <w:tc>
          <w:tcPr>
            <w:tcW w:w="71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36.66</w:t>
            </w:r>
          </w:p>
        </w:tc>
        <w:tc>
          <w:tcPr>
            <w:tcW w:w="67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36.66</w:t>
            </w:r>
          </w:p>
        </w:tc>
        <w:tc>
          <w:tcPr>
            <w:tcW w:w="1195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0.79%</w:t>
            </w:r>
          </w:p>
        </w:tc>
        <w:tc>
          <w:tcPr>
            <w:tcW w:w="1623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Sé devengo el 0.79 %  de los recursos en Servicios Generales  correspondiente al mes de Marzo de 2026</w:t>
            </w:r>
          </w:p>
        </w:tc>
      </w:tr>
      <w:tr w:rsidR="007974A5" w:rsidRPr="008E71F1" w:rsidTr="008E71F1">
        <w:trPr>
          <w:trHeight w:val="2695"/>
          <w:jc w:val="center"/>
        </w:trPr>
        <w:tc>
          <w:tcPr>
            <w:tcW w:w="1555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ACTIVIDAD</w:t>
            </w:r>
          </w:p>
        </w:tc>
        <w:tc>
          <w:tcPr>
            <w:tcW w:w="1916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Gestión de transferencias, asignaciones, subsidios y otras ayudas</w:t>
            </w:r>
          </w:p>
        </w:tc>
        <w:tc>
          <w:tcPr>
            <w:tcW w:w="2888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26,493 Porcentaje de presupuesto ejercido en gasto corriente de la directriz 6 destinado para asignaciones, subsidios y otras ayudas.</w:t>
            </w:r>
          </w:p>
        </w:tc>
        <w:tc>
          <w:tcPr>
            <w:tcW w:w="164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Mide en proporción los recursos ejercidos del gasto corriente de las dependencias y entidades de la directriz 6 destinados a cubrir los gastos en asignaciones  subsidios y otras ayudas del clasificador por objeto del gasto según CONAC</w:t>
            </w:r>
          </w:p>
        </w:tc>
        <w:tc>
          <w:tcPr>
            <w:tcW w:w="1759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B = Total de presupuesto ejercido en asignaciones, subsidios y otras ayudas  C= Total del presupuesto ejercido en gato corriente (Capítulo 1000, 2000, 3000, 4000 se excluyen partidas de 4000 destinadas a bienes muebles, inmuebles e intangibles e inversión pública).</w:t>
            </w:r>
          </w:p>
        </w:tc>
        <w:tc>
          <w:tcPr>
            <w:tcW w:w="1154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Constante</w:t>
            </w:r>
          </w:p>
        </w:tc>
        <w:tc>
          <w:tcPr>
            <w:tcW w:w="1101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Porcentaje</w:t>
            </w:r>
          </w:p>
        </w:tc>
        <w:tc>
          <w:tcPr>
            <w:tcW w:w="71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4.93</w:t>
            </w:r>
          </w:p>
        </w:tc>
        <w:tc>
          <w:tcPr>
            <w:tcW w:w="67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4.93</w:t>
            </w:r>
          </w:p>
        </w:tc>
        <w:tc>
          <w:tcPr>
            <w:tcW w:w="1195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0.00%</w:t>
            </w:r>
          </w:p>
        </w:tc>
        <w:tc>
          <w:tcPr>
            <w:tcW w:w="1623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sin gasto ejercido durante el mes de Marzo de 2026</w:t>
            </w:r>
          </w:p>
        </w:tc>
      </w:tr>
      <w:tr w:rsidR="007974A5" w:rsidRPr="008E71F1" w:rsidTr="008E71F1">
        <w:trPr>
          <w:trHeight w:val="1553"/>
          <w:jc w:val="center"/>
        </w:trPr>
        <w:tc>
          <w:tcPr>
            <w:tcW w:w="1555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lastRenderedPageBreak/>
              <w:t xml:space="preserve">COMPONENTE  </w:t>
            </w:r>
          </w:p>
        </w:tc>
        <w:tc>
          <w:tcPr>
            <w:tcW w:w="1916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Recursos para gasto de capital de la directriz 6 administrados</w:t>
            </w:r>
          </w:p>
        </w:tc>
        <w:tc>
          <w:tcPr>
            <w:tcW w:w="2888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26,489 Porcentaje de presupuesto ejercido en la directriz 6 destinado al gasto en bienes muebles, inmuebles e intangibles e inversión pública</w:t>
            </w:r>
          </w:p>
        </w:tc>
        <w:tc>
          <w:tcPr>
            <w:tcW w:w="1647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Mide la proporción del presupuesto ejercido de la directriz 6 en bienes muebles, inmuebles e intangibles e inversión pública</w:t>
            </w:r>
          </w:p>
        </w:tc>
        <w:tc>
          <w:tcPr>
            <w:tcW w:w="1759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B = Total del gasto en bienes muebles, inmuebles e intangibles e inversión pública en la directriz 6 C= Total de presupuesto ejercido de la directriz</w:t>
            </w:r>
          </w:p>
        </w:tc>
        <w:tc>
          <w:tcPr>
            <w:tcW w:w="1154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Ascendente</w:t>
            </w:r>
          </w:p>
        </w:tc>
        <w:tc>
          <w:tcPr>
            <w:tcW w:w="1101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Porcentaje</w:t>
            </w:r>
          </w:p>
        </w:tc>
        <w:tc>
          <w:tcPr>
            <w:tcW w:w="71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0.74</w:t>
            </w:r>
          </w:p>
        </w:tc>
        <w:tc>
          <w:tcPr>
            <w:tcW w:w="67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0.74</w:t>
            </w:r>
          </w:p>
        </w:tc>
        <w:tc>
          <w:tcPr>
            <w:tcW w:w="1195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0.04%</w:t>
            </w:r>
          </w:p>
        </w:tc>
        <w:tc>
          <w:tcPr>
            <w:tcW w:w="1623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Durante el mes de Marzo se t</w:t>
            </w:r>
            <w:r w:rsidR="00A91D3B" w:rsidRPr="008E71F1">
              <w:rPr>
                <w:rFonts w:ascii="Lato" w:hAnsi="Lato"/>
                <w:sz w:val="18"/>
                <w:szCs w:val="18"/>
              </w:rPr>
              <w:t>iene un 0.04%  de gasto de capital</w:t>
            </w:r>
            <w:r w:rsidRPr="008E71F1">
              <w:rPr>
                <w:rFonts w:ascii="Lato" w:hAnsi="Lato"/>
                <w:sz w:val="18"/>
                <w:szCs w:val="18"/>
              </w:rPr>
              <w:t>)</w:t>
            </w:r>
          </w:p>
        </w:tc>
      </w:tr>
      <w:tr w:rsidR="007974A5" w:rsidRPr="008E71F1" w:rsidTr="008E71F1">
        <w:trPr>
          <w:trHeight w:val="2323"/>
          <w:jc w:val="center"/>
        </w:trPr>
        <w:tc>
          <w:tcPr>
            <w:tcW w:w="1555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ACTIVIDAD</w:t>
            </w:r>
          </w:p>
        </w:tc>
        <w:tc>
          <w:tcPr>
            <w:tcW w:w="1916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Adquisición de bienes muebles, inmuebles e intangibles</w:t>
            </w:r>
          </w:p>
        </w:tc>
        <w:tc>
          <w:tcPr>
            <w:tcW w:w="2888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26,494 Porcentaje de presupuesto ejercido en gasto de capital en la directriz 6 destinado a bienes muebles, inmuebles e intangibles</w:t>
            </w:r>
          </w:p>
        </w:tc>
        <w:tc>
          <w:tcPr>
            <w:tcW w:w="1647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Mide en proporción los recursos del gasto capital de las dependencias y entidades de la directriz 6 destinados a cubrir los gastos en bienes muebles, inmuebles e intangibles del clasificador por objeto del gasto según CONAC</w:t>
            </w:r>
          </w:p>
        </w:tc>
        <w:tc>
          <w:tcPr>
            <w:tcW w:w="1759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B = Total de presupuesto ejercido en bienes muebles, inmuebles e intangibles  C= Total del gasto en bienes muebles, inmuebles e intangibles e inversión pública de la directriz</w:t>
            </w:r>
          </w:p>
        </w:tc>
        <w:tc>
          <w:tcPr>
            <w:tcW w:w="1154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Ascendente</w:t>
            </w:r>
          </w:p>
        </w:tc>
        <w:tc>
          <w:tcPr>
            <w:tcW w:w="1101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Porcentaje</w:t>
            </w:r>
          </w:p>
        </w:tc>
        <w:tc>
          <w:tcPr>
            <w:tcW w:w="71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100</w:t>
            </w:r>
          </w:p>
        </w:tc>
        <w:tc>
          <w:tcPr>
            <w:tcW w:w="67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100</w:t>
            </w:r>
          </w:p>
        </w:tc>
        <w:tc>
          <w:tcPr>
            <w:tcW w:w="1195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0.04%</w:t>
            </w:r>
          </w:p>
        </w:tc>
        <w:tc>
          <w:tcPr>
            <w:tcW w:w="1623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Sé  devengo el 0.04%  de los Bienes Muebles, Inmuebles correspondiente al mes de Marzo 2026</w:t>
            </w:r>
          </w:p>
        </w:tc>
      </w:tr>
      <w:tr w:rsidR="007974A5" w:rsidRPr="008E71F1" w:rsidTr="008E71F1">
        <w:trPr>
          <w:trHeight w:val="2323"/>
          <w:jc w:val="center"/>
        </w:trPr>
        <w:tc>
          <w:tcPr>
            <w:tcW w:w="1555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lastRenderedPageBreak/>
              <w:t>ACTIVIDAD</w:t>
            </w:r>
          </w:p>
        </w:tc>
        <w:tc>
          <w:tcPr>
            <w:tcW w:w="1916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Inversión en obra pública</w:t>
            </w:r>
          </w:p>
        </w:tc>
        <w:tc>
          <w:tcPr>
            <w:tcW w:w="2888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26,495 Porcentaje de presupuesto ejercido en gasto capital de la directriz 6 destinado a inversión pública.</w:t>
            </w:r>
          </w:p>
        </w:tc>
        <w:tc>
          <w:tcPr>
            <w:tcW w:w="1647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Mide en proporción los recursos del gasto de capital de las dependencias y entidades de la directriz 5 destinados a cubrir los gastos de inversión pública del clasificador por objeto del gasto según CONAC.</w:t>
            </w:r>
          </w:p>
        </w:tc>
        <w:tc>
          <w:tcPr>
            <w:tcW w:w="1759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B = Total de presupuesto ejercido en inversión pública   C= Total del gasto en bienes muebles, inmuebles e intangibles e inversión pública de la directriz</w:t>
            </w:r>
          </w:p>
        </w:tc>
        <w:tc>
          <w:tcPr>
            <w:tcW w:w="1154" w:type="dxa"/>
            <w:hideMark/>
          </w:tcPr>
          <w:p w:rsidR="007974A5" w:rsidRPr="008E71F1" w:rsidRDefault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Ascendente</w:t>
            </w:r>
          </w:p>
        </w:tc>
        <w:tc>
          <w:tcPr>
            <w:tcW w:w="1101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(B/C)*100</w:t>
            </w:r>
          </w:p>
        </w:tc>
        <w:tc>
          <w:tcPr>
            <w:tcW w:w="106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Porcentaje</w:t>
            </w:r>
          </w:p>
        </w:tc>
        <w:tc>
          <w:tcPr>
            <w:tcW w:w="716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677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0</w:t>
            </w:r>
          </w:p>
        </w:tc>
        <w:tc>
          <w:tcPr>
            <w:tcW w:w="1195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Trimestral</w:t>
            </w:r>
          </w:p>
        </w:tc>
        <w:tc>
          <w:tcPr>
            <w:tcW w:w="1002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0.00%</w:t>
            </w:r>
          </w:p>
        </w:tc>
        <w:tc>
          <w:tcPr>
            <w:tcW w:w="1623" w:type="dxa"/>
            <w:hideMark/>
          </w:tcPr>
          <w:p w:rsidR="007974A5" w:rsidRPr="008E71F1" w:rsidRDefault="007974A5" w:rsidP="007974A5">
            <w:pPr>
              <w:rPr>
                <w:rFonts w:ascii="Lato" w:hAnsi="Lato"/>
                <w:sz w:val="18"/>
                <w:szCs w:val="18"/>
              </w:rPr>
            </w:pPr>
            <w:r w:rsidRPr="008E71F1">
              <w:rPr>
                <w:rFonts w:ascii="Lato" w:hAnsi="Lato"/>
                <w:sz w:val="18"/>
                <w:szCs w:val="18"/>
              </w:rPr>
              <w:t>sin gasto ejercido durante el mes de Marzo de 2026</w:t>
            </w:r>
          </w:p>
        </w:tc>
      </w:tr>
    </w:tbl>
    <w:p w:rsidR="00AD7AA1" w:rsidRDefault="00AD7AA1" w:rsidP="0019171F">
      <w:pPr>
        <w:rPr>
          <w:rFonts w:ascii="Epica Sans Pro" w:hAnsi="Epica Sans Pro"/>
          <w:sz w:val="18"/>
          <w:szCs w:val="18"/>
        </w:rPr>
      </w:pPr>
    </w:p>
    <w:p w:rsidR="00AD7AA1" w:rsidRDefault="00AD7AA1" w:rsidP="0019171F">
      <w:pPr>
        <w:rPr>
          <w:rFonts w:ascii="Epica Sans Pro" w:hAnsi="Epica Sans Pro"/>
          <w:sz w:val="18"/>
          <w:szCs w:val="18"/>
        </w:rPr>
      </w:pPr>
    </w:p>
    <w:p w:rsidR="0019171F" w:rsidRPr="006F4321" w:rsidRDefault="0019171F" w:rsidP="0019171F">
      <w:pPr>
        <w:rPr>
          <w:rFonts w:ascii="Epica Sans Pro" w:hAnsi="Epica Sans Pro"/>
          <w:sz w:val="18"/>
          <w:szCs w:val="18"/>
        </w:rPr>
      </w:pPr>
    </w:p>
    <w:sectPr w:rsidR="0019171F" w:rsidRPr="006F4321" w:rsidSect="00433F81">
      <w:footerReference w:type="default" r:id="rId6"/>
      <w:pgSz w:w="20163" w:h="12242" w:orient="landscape" w:code="5"/>
      <w:pgMar w:top="2835" w:right="1134" w:bottom="1701" w:left="1134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C4" w:rsidRDefault="00C325C4">
      <w:r>
        <w:separator/>
      </w:r>
    </w:p>
  </w:endnote>
  <w:endnote w:type="continuationSeparator" w:id="0">
    <w:p w:rsidR="00C325C4" w:rsidRDefault="00C3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ica Sans Pro">
    <w:panose1 w:val="00000500000000000000"/>
    <w:charset w:val="00"/>
    <w:family w:val="modern"/>
    <w:notTrueType/>
    <w:pitch w:val="variable"/>
    <w:sig w:usb0="A000006F" w:usb1="000060E3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98A" w:rsidRDefault="00D6298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C4" w:rsidRDefault="00C325C4">
      <w:r>
        <w:separator/>
      </w:r>
    </w:p>
  </w:footnote>
  <w:footnote w:type="continuationSeparator" w:id="0">
    <w:p w:rsidR="00C325C4" w:rsidRDefault="00C3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42"/>
    <w:rsid w:val="00001A67"/>
    <w:rsid w:val="00004875"/>
    <w:rsid w:val="00004B64"/>
    <w:rsid w:val="0002231C"/>
    <w:rsid w:val="00022D9F"/>
    <w:rsid w:val="00025F0A"/>
    <w:rsid w:val="000404D7"/>
    <w:rsid w:val="0004468D"/>
    <w:rsid w:val="000456CC"/>
    <w:rsid w:val="00052E95"/>
    <w:rsid w:val="00081E44"/>
    <w:rsid w:val="000830BF"/>
    <w:rsid w:val="00091CD4"/>
    <w:rsid w:val="000A7C53"/>
    <w:rsid w:val="000B28CD"/>
    <w:rsid w:val="000C0810"/>
    <w:rsid w:val="000D2937"/>
    <w:rsid w:val="00101D70"/>
    <w:rsid w:val="001235FA"/>
    <w:rsid w:val="001251E5"/>
    <w:rsid w:val="00127AA8"/>
    <w:rsid w:val="00130D0D"/>
    <w:rsid w:val="00136ECB"/>
    <w:rsid w:val="00145DE2"/>
    <w:rsid w:val="00175B76"/>
    <w:rsid w:val="00183D90"/>
    <w:rsid w:val="00191226"/>
    <w:rsid w:val="0019171F"/>
    <w:rsid w:val="00195B88"/>
    <w:rsid w:val="001B2BE0"/>
    <w:rsid w:val="001C2B9C"/>
    <w:rsid w:val="001D65E0"/>
    <w:rsid w:val="001E2EEE"/>
    <w:rsid w:val="001E4907"/>
    <w:rsid w:val="001F0F19"/>
    <w:rsid w:val="0021354C"/>
    <w:rsid w:val="00214B95"/>
    <w:rsid w:val="002217AD"/>
    <w:rsid w:val="00222FDB"/>
    <w:rsid w:val="00223115"/>
    <w:rsid w:val="002246E6"/>
    <w:rsid w:val="00232E39"/>
    <w:rsid w:val="00245638"/>
    <w:rsid w:val="002511F4"/>
    <w:rsid w:val="002554B9"/>
    <w:rsid w:val="00265748"/>
    <w:rsid w:val="002851B0"/>
    <w:rsid w:val="002A040C"/>
    <w:rsid w:val="002A0870"/>
    <w:rsid w:val="002B01C0"/>
    <w:rsid w:val="002B2DD8"/>
    <w:rsid w:val="002F2E8A"/>
    <w:rsid w:val="0030553C"/>
    <w:rsid w:val="00306943"/>
    <w:rsid w:val="00314B7A"/>
    <w:rsid w:val="00321DEB"/>
    <w:rsid w:val="00327FE0"/>
    <w:rsid w:val="0033577D"/>
    <w:rsid w:val="0033617B"/>
    <w:rsid w:val="00340997"/>
    <w:rsid w:val="00346EB6"/>
    <w:rsid w:val="0036711A"/>
    <w:rsid w:val="003754A4"/>
    <w:rsid w:val="00377B86"/>
    <w:rsid w:val="00381422"/>
    <w:rsid w:val="00394617"/>
    <w:rsid w:val="00394D0E"/>
    <w:rsid w:val="00394D65"/>
    <w:rsid w:val="003B05C0"/>
    <w:rsid w:val="003B1A76"/>
    <w:rsid w:val="003C585E"/>
    <w:rsid w:val="003C7263"/>
    <w:rsid w:val="003C7AA7"/>
    <w:rsid w:val="003D1783"/>
    <w:rsid w:val="003F722B"/>
    <w:rsid w:val="00401E1F"/>
    <w:rsid w:val="00402526"/>
    <w:rsid w:val="00405260"/>
    <w:rsid w:val="00411E98"/>
    <w:rsid w:val="00417B60"/>
    <w:rsid w:val="00423346"/>
    <w:rsid w:val="00424516"/>
    <w:rsid w:val="0042783D"/>
    <w:rsid w:val="00433F81"/>
    <w:rsid w:val="004553BB"/>
    <w:rsid w:val="00461D67"/>
    <w:rsid w:val="004736E5"/>
    <w:rsid w:val="00474E1D"/>
    <w:rsid w:val="00483B59"/>
    <w:rsid w:val="0048442F"/>
    <w:rsid w:val="00493931"/>
    <w:rsid w:val="004D33A7"/>
    <w:rsid w:val="004E35A4"/>
    <w:rsid w:val="005026E1"/>
    <w:rsid w:val="005062A8"/>
    <w:rsid w:val="00507815"/>
    <w:rsid w:val="0051666D"/>
    <w:rsid w:val="00524E59"/>
    <w:rsid w:val="005375B9"/>
    <w:rsid w:val="00552401"/>
    <w:rsid w:val="00553A13"/>
    <w:rsid w:val="00566E4D"/>
    <w:rsid w:val="00590A5A"/>
    <w:rsid w:val="0059469E"/>
    <w:rsid w:val="005A780A"/>
    <w:rsid w:val="005C0F04"/>
    <w:rsid w:val="005C1D08"/>
    <w:rsid w:val="005C46CB"/>
    <w:rsid w:val="005C59C6"/>
    <w:rsid w:val="005D5D64"/>
    <w:rsid w:val="005E64EB"/>
    <w:rsid w:val="00610F6F"/>
    <w:rsid w:val="00610FD1"/>
    <w:rsid w:val="006122BD"/>
    <w:rsid w:val="00613390"/>
    <w:rsid w:val="00626B97"/>
    <w:rsid w:val="006323F1"/>
    <w:rsid w:val="006417CB"/>
    <w:rsid w:val="006530DE"/>
    <w:rsid w:val="00662BFB"/>
    <w:rsid w:val="00675998"/>
    <w:rsid w:val="006A7CB5"/>
    <w:rsid w:val="006B4D07"/>
    <w:rsid w:val="006D7315"/>
    <w:rsid w:val="006E19B3"/>
    <w:rsid w:val="006E2EAA"/>
    <w:rsid w:val="006E552C"/>
    <w:rsid w:val="006F4321"/>
    <w:rsid w:val="006F493D"/>
    <w:rsid w:val="006F6DD1"/>
    <w:rsid w:val="00706138"/>
    <w:rsid w:val="00715022"/>
    <w:rsid w:val="00733E6C"/>
    <w:rsid w:val="00735034"/>
    <w:rsid w:val="0073736D"/>
    <w:rsid w:val="00741077"/>
    <w:rsid w:val="00741AE7"/>
    <w:rsid w:val="007463E1"/>
    <w:rsid w:val="00751BB7"/>
    <w:rsid w:val="00771794"/>
    <w:rsid w:val="007725C7"/>
    <w:rsid w:val="00785BD2"/>
    <w:rsid w:val="00791F11"/>
    <w:rsid w:val="007961C8"/>
    <w:rsid w:val="007974A5"/>
    <w:rsid w:val="007B607D"/>
    <w:rsid w:val="007C1371"/>
    <w:rsid w:val="007E2705"/>
    <w:rsid w:val="00800CA5"/>
    <w:rsid w:val="0080343C"/>
    <w:rsid w:val="00813853"/>
    <w:rsid w:val="00841B8A"/>
    <w:rsid w:val="008769B0"/>
    <w:rsid w:val="008829E4"/>
    <w:rsid w:val="008B4694"/>
    <w:rsid w:val="008C2AAF"/>
    <w:rsid w:val="008D57D8"/>
    <w:rsid w:val="008E527D"/>
    <w:rsid w:val="008E71F1"/>
    <w:rsid w:val="008F2777"/>
    <w:rsid w:val="009106F0"/>
    <w:rsid w:val="009130C2"/>
    <w:rsid w:val="00930702"/>
    <w:rsid w:val="0093266A"/>
    <w:rsid w:val="009334AE"/>
    <w:rsid w:val="00936143"/>
    <w:rsid w:val="0094540E"/>
    <w:rsid w:val="00945CEB"/>
    <w:rsid w:val="00950398"/>
    <w:rsid w:val="00951A33"/>
    <w:rsid w:val="00965A50"/>
    <w:rsid w:val="00970D74"/>
    <w:rsid w:val="009832C8"/>
    <w:rsid w:val="009951E8"/>
    <w:rsid w:val="009B1881"/>
    <w:rsid w:val="009B75E4"/>
    <w:rsid w:val="009C065F"/>
    <w:rsid w:val="009C1040"/>
    <w:rsid w:val="009E396B"/>
    <w:rsid w:val="009F1DA8"/>
    <w:rsid w:val="009F64F1"/>
    <w:rsid w:val="009F7305"/>
    <w:rsid w:val="00A12314"/>
    <w:rsid w:val="00A479FC"/>
    <w:rsid w:val="00A54779"/>
    <w:rsid w:val="00A65AE0"/>
    <w:rsid w:val="00A65C6F"/>
    <w:rsid w:val="00A84176"/>
    <w:rsid w:val="00A90BA3"/>
    <w:rsid w:val="00A91D3B"/>
    <w:rsid w:val="00AA60DE"/>
    <w:rsid w:val="00AD349D"/>
    <w:rsid w:val="00AD4F10"/>
    <w:rsid w:val="00AD7AA1"/>
    <w:rsid w:val="00AE4552"/>
    <w:rsid w:val="00AE6380"/>
    <w:rsid w:val="00AF0B40"/>
    <w:rsid w:val="00B21FC6"/>
    <w:rsid w:val="00B25B7B"/>
    <w:rsid w:val="00B4318D"/>
    <w:rsid w:val="00B55832"/>
    <w:rsid w:val="00B64B5B"/>
    <w:rsid w:val="00B66491"/>
    <w:rsid w:val="00B66F69"/>
    <w:rsid w:val="00B76EA6"/>
    <w:rsid w:val="00B8165E"/>
    <w:rsid w:val="00BA2FA1"/>
    <w:rsid w:val="00BA34E1"/>
    <w:rsid w:val="00BA7DDE"/>
    <w:rsid w:val="00BB552C"/>
    <w:rsid w:val="00BE5135"/>
    <w:rsid w:val="00BF058A"/>
    <w:rsid w:val="00BF7FE5"/>
    <w:rsid w:val="00C17709"/>
    <w:rsid w:val="00C325C4"/>
    <w:rsid w:val="00C440C0"/>
    <w:rsid w:val="00C50897"/>
    <w:rsid w:val="00C50980"/>
    <w:rsid w:val="00C50C93"/>
    <w:rsid w:val="00C6166A"/>
    <w:rsid w:val="00CB0052"/>
    <w:rsid w:val="00CB03A4"/>
    <w:rsid w:val="00CB603F"/>
    <w:rsid w:val="00CC1511"/>
    <w:rsid w:val="00CC206D"/>
    <w:rsid w:val="00CE44E4"/>
    <w:rsid w:val="00CE56D4"/>
    <w:rsid w:val="00D06013"/>
    <w:rsid w:val="00D322EA"/>
    <w:rsid w:val="00D6298A"/>
    <w:rsid w:val="00D81C37"/>
    <w:rsid w:val="00DB6432"/>
    <w:rsid w:val="00DC6F65"/>
    <w:rsid w:val="00E15468"/>
    <w:rsid w:val="00E2228E"/>
    <w:rsid w:val="00E25D40"/>
    <w:rsid w:val="00E446C2"/>
    <w:rsid w:val="00E50BB5"/>
    <w:rsid w:val="00E52D56"/>
    <w:rsid w:val="00E53066"/>
    <w:rsid w:val="00E53A8E"/>
    <w:rsid w:val="00E76D4C"/>
    <w:rsid w:val="00E77617"/>
    <w:rsid w:val="00E80275"/>
    <w:rsid w:val="00E900F8"/>
    <w:rsid w:val="00E9430E"/>
    <w:rsid w:val="00E9716E"/>
    <w:rsid w:val="00EB3517"/>
    <w:rsid w:val="00ED064E"/>
    <w:rsid w:val="00ED080D"/>
    <w:rsid w:val="00EE1F42"/>
    <w:rsid w:val="00EE4CEB"/>
    <w:rsid w:val="00EF0B5B"/>
    <w:rsid w:val="00EF2E4D"/>
    <w:rsid w:val="00EF53B3"/>
    <w:rsid w:val="00F14AEB"/>
    <w:rsid w:val="00F1771B"/>
    <w:rsid w:val="00F22029"/>
    <w:rsid w:val="00F44467"/>
    <w:rsid w:val="00F55809"/>
    <w:rsid w:val="00F64FFC"/>
    <w:rsid w:val="00F72134"/>
    <w:rsid w:val="00F93425"/>
    <w:rsid w:val="00F95D41"/>
    <w:rsid w:val="00FB4D62"/>
    <w:rsid w:val="00FC0D67"/>
    <w:rsid w:val="00FC7B61"/>
    <w:rsid w:val="00FD5811"/>
    <w:rsid w:val="00FD5F30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A1A0C6-4DDA-4FDB-A6E4-CAD7E4DF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"/>
    <w:qFormat/>
    <w:pPr>
      <w:spacing w:before="19"/>
      <w:ind w:left="20"/>
    </w:pPr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B60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603F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60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03F"/>
    <w:rPr>
      <w:rFonts w:ascii="Lucida Sans Unicode" w:eastAsia="Lucida Sans Unicode" w:hAnsi="Lucida Sans Unicode" w:cs="Lucida Sans Unicode"/>
      <w:lang w:val="es-ES"/>
    </w:rPr>
  </w:style>
  <w:style w:type="table" w:styleId="Tablaconcuadrcula">
    <w:name w:val="Table Grid"/>
    <w:basedOn w:val="Tablanormal"/>
    <w:uiPriority w:val="39"/>
    <w:rsid w:val="0055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3577D"/>
    <w:rPr>
      <w:rFonts w:ascii="Lucida Sans Unicode" w:eastAsia="Lucida Sans Unicode" w:hAnsi="Lucida Sans Unicode" w:cs="Lucida Sans Unicod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1908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Sharon Yanelli Lara Medrano</cp:lastModifiedBy>
  <cp:revision>3</cp:revision>
  <cp:lastPrinted>2026-04-27T20:19:00Z</cp:lastPrinted>
  <dcterms:created xsi:type="dcterms:W3CDTF">2026-04-20T20:49:00Z</dcterms:created>
  <dcterms:modified xsi:type="dcterms:W3CDTF">2026-04-27T20:19:00Z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2022-04-26T00:00:00Z</vt:filetime>
  </property>
</Properties>
</file>