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37" w:rsidRDefault="00C96037">
      <w:pPr>
        <w:rPr>
          <w:rFonts w:ascii="Barlow" w:hAnsi="Barlow"/>
          <w:sz w:val="20"/>
          <w:szCs w:val="20"/>
        </w:rPr>
      </w:pPr>
      <w:bookmarkStart w:id="0" w:name="_GoBack"/>
      <w:bookmarkEnd w:id="0"/>
    </w:p>
    <w:p w:rsidR="00C96037" w:rsidRPr="00762E6E" w:rsidRDefault="00C96037" w:rsidP="00CD527E">
      <w:pPr>
        <w:spacing w:line="360" w:lineRule="auto"/>
        <w:jc w:val="center"/>
        <w:rPr>
          <w:rFonts w:ascii="Lato" w:eastAsiaTheme="minorHAnsi" w:hAnsi="Lato" w:cs="Arial"/>
          <w:b/>
          <w:sz w:val="20"/>
          <w:szCs w:val="20"/>
          <w:lang w:val="es-MX"/>
        </w:rPr>
      </w:pPr>
      <w:r w:rsidRPr="00762E6E">
        <w:rPr>
          <w:rFonts w:ascii="Lato" w:hAnsi="Lato" w:cs="Arial"/>
          <w:b/>
          <w:sz w:val="20"/>
          <w:szCs w:val="20"/>
        </w:rPr>
        <w:t>Indicadores de Resultados</w:t>
      </w:r>
    </w:p>
    <w:p w:rsidR="00C96037" w:rsidRPr="00762E6E" w:rsidRDefault="003A58C4" w:rsidP="00CD527E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:rsidR="00C96037" w:rsidRDefault="00C96037" w:rsidP="00CD527E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 w:rsidRPr="00762E6E">
        <w:rPr>
          <w:rFonts w:ascii="Lato" w:hAnsi="Lato" w:cs="Arial"/>
          <w:b/>
          <w:sz w:val="20"/>
          <w:szCs w:val="20"/>
        </w:rPr>
        <w:t>(Cifras en Pesos)</w:t>
      </w:r>
    </w:p>
    <w:p w:rsidR="00C96037" w:rsidRPr="00762E6E" w:rsidRDefault="00C96037" w:rsidP="006D6AC0">
      <w:pPr>
        <w:rPr>
          <w:rFonts w:ascii="Lato" w:hAnsi="Lato" w:cs="Arial"/>
          <w:b/>
          <w:sz w:val="20"/>
          <w:szCs w:val="20"/>
        </w:rPr>
      </w:pPr>
    </w:p>
    <w:p w:rsidR="00C96037" w:rsidRPr="003A58C4" w:rsidRDefault="00C96037" w:rsidP="00C96037">
      <w:pPr>
        <w:rPr>
          <w:rFonts w:ascii="Lato" w:hAnsi="Lato" w:cs="Arial"/>
          <w:b/>
          <w:sz w:val="20"/>
          <w:szCs w:val="20"/>
        </w:rPr>
      </w:pPr>
      <w:r w:rsidRPr="003A58C4">
        <w:rPr>
          <w:rFonts w:ascii="Lato" w:hAnsi="Lato" w:cs="Arial"/>
          <w:b/>
          <w:sz w:val="20"/>
          <w:szCs w:val="20"/>
        </w:rPr>
        <w:t>Ente Público:   INSTITUTO DE MOVILIDAD Y DESARROLLO URBANO TERRITORIAL</w:t>
      </w:r>
    </w:p>
    <w:p w:rsidR="00CD527E" w:rsidRPr="00762E6E" w:rsidRDefault="00CD527E" w:rsidP="00C96037">
      <w:pPr>
        <w:rPr>
          <w:rFonts w:ascii="Lato" w:hAnsi="Lato" w:cs="Arial"/>
          <w:b/>
          <w:sz w:val="20"/>
          <w:szCs w:val="20"/>
        </w:rPr>
      </w:pPr>
    </w:p>
    <w:p w:rsidR="00CD527E" w:rsidRPr="00762E6E" w:rsidRDefault="00CD527E" w:rsidP="00C96037">
      <w:pPr>
        <w:rPr>
          <w:rFonts w:ascii="Lato" w:hAnsi="Lato" w:cs="Arial"/>
          <w:b/>
          <w:sz w:val="20"/>
          <w:szCs w:val="20"/>
        </w:rPr>
      </w:pPr>
    </w:p>
    <w:p w:rsidR="00415BF9" w:rsidRDefault="00415BF9" w:rsidP="00C96037">
      <w:pPr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Excel.Sheet.8 "C:\\SIGEY\\Contabilidad\\Reportes\\USUARIOS\\JEIFERMILLA\\IND 1225.xls" "Indicadores!F1C1:F96C12" \a \f 4 \h  \* MERGEFORMAT </w:instrText>
      </w:r>
      <w:r>
        <w:fldChar w:fldCharType="separate"/>
      </w:r>
    </w:p>
    <w:p w:rsidR="00C2357B" w:rsidRPr="00762E6E" w:rsidRDefault="00415BF9" w:rsidP="00C96037">
      <w:pPr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fldChar w:fldCharType="end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1602"/>
        <w:gridCol w:w="1214"/>
        <w:gridCol w:w="216"/>
        <w:gridCol w:w="1163"/>
        <w:gridCol w:w="216"/>
        <w:gridCol w:w="2129"/>
        <w:gridCol w:w="1373"/>
        <w:gridCol w:w="1373"/>
        <w:gridCol w:w="1373"/>
        <w:gridCol w:w="1373"/>
        <w:gridCol w:w="1373"/>
        <w:gridCol w:w="1506"/>
        <w:gridCol w:w="1895"/>
      </w:tblGrid>
      <w:tr w:rsidR="003A58C4" w:rsidRPr="003A58C4" w:rsidTr="003A58C4">
        <w:trPr>
          <w:trHeight w:val="1299"/>
          <w:jc w:val="center"/>
        </w:trPr>
        <w:tc>
          <w:tcPr>
            <w:tcW w:w="1066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  <w:lang w:val="es-MX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NOMBRE DEL PP</w:t>
            </w:r>
          </w:p>
        </w:tc>
        <w:tc>
          <w:tcPr>
            <w:tcW w:w="1594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NIVEL DEL INDICADOR</w:t>
            </w:r>
          </w:p>
        </w:tc>
        <w:tc>
          <w:tcPr>
            <w:tcW w:w="1299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SE REPORTA CADA:</w:t>
            </w:r>
          </w:p>
        </w:tc>
        <w:tc>
          <w:tcPr>
            <w:tcW w:w="1423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# INDICADOR</w:t>
            </w:r>
          </w:p>
        </w:tc>
        <w:tc>
          <w:tcPr>
            <w:tcW w:w="2279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1361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LINEA BASE 2024</w:t>
            </w:r>
          </w:p>
        </w:tc>
        <w:tc>
          <w:tcPr>
            <w:tcW w:w="1361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TRIMESTRE I</w:t>
            </w:r>
          </w:p>
        </w:tc>
        <w:tc>
          <w:tcPr>
            <w:tcW w:w="1361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TRIMESTRE II</w:t>
            </w:r>
          </w:p>
        </w:tc>
        <w:tc>
          <w:tcPr>
            <w:tcW w:w="1361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TRIMESTRE III</w:t>
            </w:r>
          </w:p>
        </w:tc>
        <w:tc>
          <w:tcPr>
            <w:tcW w:w="1361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TRIMESTRE IV</w:t>
            </w:r>
          </w:p>
        </w:tc>
        <w:tc>
          <w:tcPr>
            <w:tcW w:w="1488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META ESTABLECIDA PARA 2026</w:t>
            </w:r>
          </w:p>
        </w:tc>
        <w:tc>
          <w:tcPr>
            <w:tcW w:w="1931" w:type="dxa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OBSERVACIONES</w:t>
            </w:r>
          </w:p>
        </w:tc>
      </w:tr>
      <w:tr w:rsidR="003A58C4" w:rsidRPr="003A58C4" w:rsidTr="003A58C4">
        <w:trPr>
          <w:trHeight w:val="2064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FIN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Quinquenal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24590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Densidad poblacional promedio en localidades urbanas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1,897.00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1,898.00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la medición del indicador y de los medios de verificación. Asimismo, la información debe ser proporcionada por SEPLAN, ya que, el indicador proviene del Plan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>Estatal de Desarrollo 2024-2030</w:t>
            </w:r>
          </w:p>
        </w:tc>
      </w:tr>
      <w:tr w:rsidR="003A58C4" w:rsidRPr="003A58C4" w:rsidTr="003A58C4">
        <w:trPr>
          <w:trHeight w:val="1833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PROPÓSITO DE PROGRAMA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Quinquenal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25640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municipios con muy bajo rezago social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13.21%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14.15%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corresponde su evaluación para el trimestre que se reporta por la temporalidad de medición indicador y de los medios de 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del Estado de Yucatán con muy bajo rezago social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15.00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corresponde su evaluación para el trimestre que se reporta por la temporalidad de medición indicador y de los medios de 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del Estado de Yucatán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indicador y de los medios de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>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Quinquenal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25641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Variación porcentual de población con pobreza multidimensional en el estado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-10.00%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corresponde su evaluación para el trimestre que se reporta por la temporalidad de medición del indicador y de los medios de 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población del Estado de Yucatán con pobreza multidimensional en el año 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1,080,973.00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1,080,973.00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corresponde su evaluación para el trimestre que se reporta por la temporalidad de medición del indicador y de los medios de 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población del Estado de Yucatán con pobreza multidimensional en el año evaluado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1,080,973.00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972,876.00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972,876.00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972,876.00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972,876.00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972,876.00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y de los medios de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>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Quinquenal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25620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municipios con muy baja marginación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6.60%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7.55%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corresponde su evaluación para el trimestre que se reporta por la temporalidad del indicador y de los medios de 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del Estado de Yucatán con muy baja marginación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corresponde su evaluación para el trimestre que se reporta por la temporalidad del indicador y de los medios de 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del Estado de Yucatán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corresponde su evaluación para el trimestre que se reporta por la temporalidad del indicador y de los medios de verificación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25623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municipios beneficiarios con proyectos de desarrollo urbano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13.21%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beneficiarios con proyectos de desarrollo urbano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del Estado de Yucatán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25162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estudios urbanos elaborados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estudios urbanos elaborados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estudios urbanos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24591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planes urbanos estratégicos elaborados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planes urbanos estratégicos elaborados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planes urbanos estratégicos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25627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reuniones de coordinación institucional para proyectos de desarrollo urbano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se realizaron actividades que impacten en este indicador, considerando que su programación interna es para los trimestres subsecuentes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reuniones de coordinación institucional para proyectos de desarrollo urbano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No se realizaron actividades que impacten en este indicador, considerando que su programación interna es para los trimestres subsecuentes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reuniones de coordinación institucional para proyectos de desarrollo urbano programadas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se realizaron actividades que impacten en este indicador, considerando que su programación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>interna es para los trimestres subsecuentes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24592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Promedio de afluencia diaria de personas usuarias de parques metropolitanos administrados por el Gobierno Estatal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51.67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51.67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52.50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usuarios del Parque Metropolitano Los Paseos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620.00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620.00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630.00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secciones del Parque Metropolitano Los Paseos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25163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actividades de mantenimiento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Mantenimiento diario del Parque Lineal Los Paseos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actividades de mantenimiento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Mantenimiento diario del Parque Lineal Los Paseos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actividades mantenimiento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Mantenimiento diario del Parque Lineal Los Paseos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25164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proyectos de construcción y mejoramiento del espacio público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vMerge w:val="restart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acciones de mejoramiento del espacio público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vMerge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acciones de mejoramiento del espacio público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vMerge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25649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Promedio de asistentes a las actividades promovidas en el espacio público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193.33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83.33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194.33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Rosca de Reyes, San Valentín, Bazares, Conmemoración del Día de la Mujer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asistentes a las actividades organizadas o promovidas en el parque metropolitano Los Paseos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3,480.00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1,500.00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3,498.00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Rosca de Reyes, San Valentín, Bazares, Conmemoración del Día de la Mujer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actividades organizadas o promovidas en el parque metropolitano Los Paseos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18.00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Rosca de Reyes, San Valentín, Bazares, Conmemoración del Día de la Mujer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25628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regulación del espacio público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regulación del espacio público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regulación del espacio público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619 Acceso equitativo a servicios urbanos del territorio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Mensual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25629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actividades en el espacio público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8.33%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actividades en el espacio público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619 Acceso equitativo a servicios urbanos del territorio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actividades en el espacio público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FIN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24503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municipios que cuentan con instrumentos de planeación en materia territorial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16.04%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16.98%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Municipios con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intrumentos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planeación en materia territorial vigentes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17.00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del Estado de Yucatán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PROPÓSITO DE PROGRAMA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25639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asentamientos humanos fuera de perímetros de contención urbana y vial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24576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instrumentos normativos en materia de desarrollo urbano territorial elaborados o actualizados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12.50%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instrumentos normativos nuevos o actualizados vigentes en materia de desarrollo urbano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terrritorial</w:t>
            </w:r>
            <w:proofErr w:type="spellEnd"/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instrumentos normativos vigentes en materia de desarrollo urbano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terrritorial</w:t>
            </w:r>
            <w:proofErr w:type="spellEnd"/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25606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proyectos de instrumentos normativos en materia de desarrollo urbano territorial realizados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proyectos de instrumentos normativos realizados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proyectos de instrumentos normativos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24575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sesiones de vinculación institucional y normativa en materia de desarrollo urbano territorial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sesiones de vinculación institucional y normativa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sesiones de vinculación institucional y normativa programadas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25607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documentación jurídica en materia de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documentación jurídica en materia de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documentación jurídica en materia de desarrollo urbano territorial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C1A4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25608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Porcentaje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gestión de procedimientos jurídicos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gestión de procedimientos jurídicos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gestión de procedimientos jurídicos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24577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del territorio estatal regulado por instrumentos de desarrollo urbano territorial vigentes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27.36%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28.00%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Número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héctareas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municipios del territorio yucateco reguladas por instrumentos de desarrollo urbano territorial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1,078,618.00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1,103,862.00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hectáreas totales del territorio yucateco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3,942,363.00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3,942,363.00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3,942,363.00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3,942,363.00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3,942,363.00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3,942,363.00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25609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proyectos de instrumentos de desarrollo urbano territorial elaborados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proyectos de instrumentos de desarrollo urbano territorial elaborados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proyectos de instrumentos de desarrollo urbano territorial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25610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dictámenes de congruencia de instrumentos de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dictámenes de congruencia de instrumentos de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dictámenes de congruencia de instrumentos de desarrollo urbano territorial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25611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Porcentanje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expedientes de seguimiento de instrumentos de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seguimiento de instrumentos de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seguimiento de instrumentos de desarrollo urbano territorial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24578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municipios con trámites urbanos gestionados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66.98%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67.92%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con trámites urbanos gestionados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del Estado de Yucatán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106.00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25612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Porcentaje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gestión de trámites urbanos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En el primer trimestre se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aperturaron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los expedientes correspondientes a los trámites de Factibilidad Urbana ambiental, Dictamen de Impacto Urbano y Congruencia de Uso de Suelo.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gestión de trámites urbanos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En el primer trimestre se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aperturaron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los expedientes correspondientes a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>los trámites de Factibilidad Urbana ambiental, Dictamen de Impacto Urbano y Congruencia de Uso de Suelo.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gestión de trámites urbanos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En el primer trimestre se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aperturaron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los expedientes correspondientes a los trámites de Factibilidad Urbana ambiental, Dictamen de Impacto Urbano y Congruencia de Uso de Suelo.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25613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sesiones de asesoramiento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En el periodo que se informa, no se realizaron sesiones de asesoramiento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sesiones de asesoramiento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En el periodo que se informa, no se realizaron sesiones de asesoramiento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sesiones de asesoramiento programadas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En el periodo que se informa, no se realizaron sesiones de asesoramiento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25614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actividades de optimización de trámites urbanos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actividades de optimización de trámites urbanos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actividades de optimización de trámites urbanos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C3A4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25615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Porcentaje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actividades de difusión de tramitología urbana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actividades de difusión de tramitología urbana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expendientes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actividades de difusión de tramitología urbana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4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24579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instituciones públicas beneficiadas con actividades de fortalecimiento de capacidades de desarrollo urbano territorial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16.67%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instituciones beneficiarias relacionadas con el desarrollo urbano territorial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15.00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instituciones relacionadas con el desarrollo urbano territorial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130.00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130.00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130.00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130.00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130.00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C4A1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25616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acciones de capacitación y asesoría técnica en materia de desarrollo urbano territorial implementadas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sesiones de capacitación y asesoría técnica en materia de desarrollo urbano territorial implementadas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sesiones de capacitación y asesoría técnica en materia de desarrollo urbano territorial programadas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C4A2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25617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acciones de vinculación institucional y ciudadana para el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Refiere al registro interno de actividades de vinculación institucional y ciudadana para el desarrollo urbano territorial para el período enero-marzo 2026, que corresponde a la participación institucional en las sesiones del Consejo Municipal de Desarrollo Urbano y Vivienda y el Observatorio Urbano (Ayuntamiento de Mérida), en reuniones de asesoramiento técnico para la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elaboración de programas parciales en el Municipio de Mérida y el Programa Municipal de Ordenamiento Territorial y Desarrollo Urbano de Valladolid (INFONAVIT), en la Primera Sesión Ordinaria 2026 de la Comisión Intersecretarial de Cambio Climático (CICLIMA, SDS), en el Taller Regional de Inteligencia Colectiva y Co-creación sobre la implementación de programas municipales de ordenamiento territorial y desarrollo urbano (SEDATU, BID). También se incluyen las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reuniones de trabajo con dependencias estatales, los Ayuntamientos y SEDATU con fines de planificación de la Junta de Coordinación Metropolitana (Zona Metropolitana de Mérida), así como con el Ayuntamiento de Mérida y otras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depedencias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estatales en el marco de la evaluación de su Programa Municipal de Ordenamiento Territorial y Desarrollo Urbano.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acciones de vinculación institucional y ciudadana para el desarrollo urbano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Refiere al registro interno de actividades de vinculación institucional y ciudadana para el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desarrollo urbano territorial para el período enero-marzo 2026, que corresponde a la participación institucional en las sesiones del Consejo Municipal de Desarrollo Urbano y Vivienda y el Observatorio Urbano (Ayuntamiento de Mérida), en reuniones de asesoramiento técnico para la elaboración de programas parciales en el Municipio de Mérida y el Programa Municipal de Ordenamiento Territorial y Desarrollo Urbano de Valladolid (INFONAVIT), en la Primera Sesión Ordinaria 2026 de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la Comisión Intersecretarial de Cambio Climático (CICLIMA, SDS), en el Taller Regional de Inteligencia Colectiva y Co-creación sobre la implementación de programas municipales de ordenamiento territorial y desarrollo urbano (SEDATU, BID). También se incluyen las reuniones de trabajo con dependencias estatales, los Ayuntamientos y SEDATU con fines de planificación de la Junta de Coordinación Metropolitana (Zona Metropolitana de Mérida), así como con el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Ayuntamiento de Mérida y otras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depedencias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estatales en el marco de la evaluación de su Programa Municipal de Ordenamiento Territorial y Desarrollo Urbano.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acciones de vinculación institucional y ciudadana para el desarrollo urbano territorial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Refiere al registro interno de actividades de vinculación institucional y ciudadana para el desarrollo urbano territorial para el período enero-marzo 2026, que corresponde a la participación institucional en las sesiones del Consejo Municipal de Desarrollo Urbano y Vivienda y el Observatorio Urbano (Ayuntamiento de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Mérida), en reuniones de asesoramiento técnico para la elaboración de programas parciales en el Municipio de Mérida y el Programa Municipal de Ordenamiento Territorial y Desarrollo Urbano de Valladolid (INFONAVIT), en la Primera Sesión Ordinaria 2026 de la Comisión Intersecretarial de Cambio Climático (CICLIMA, SDS), en el Taller Regional de Inteligencia Colectiva y Co-creación sobre la implementación de programas municipales de ordenamiento territorial y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 xml:space="preserve">desarrollo urbano (SEDATU, BID). También se incluyen las reuniones de trabajo con dependencias estatales, los Ayuntamientos y SEDATU con fines de planificación de la Junta de Coordinación Metropolitana (Zona Metropolitana de Mérida), así como con el Ayuntamiento de Mérida y otras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depedencias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estatales en el marco de la evaluación de su Programa Municipal de Ordenamiento Territorial y Desarrollo Urbano.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C4A3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25618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generación información urbana y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generación información urbana y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generación información urbana y territorial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620 Impulso al Desarrollo Urbano Territorial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C4A4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25619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expedientes de difusión de información urbana y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difusión de información urbana y territorial integrados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620 Impulso al Desarrollo Urbano Territorial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expedientes de difusión de información urbana y territorial programados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No corresponde su evaluación para el trimestre que se reporta por la temporalidad de medición del indicador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FIN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Quinquenal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24565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viajes que se realizan en el estado mediante movilidad activa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PROPÓSITO DE PROGRAMA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24567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municipios con capacidades técnicas fortalecidas en materia de movilidad y seguridad vial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24584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Número de instrumentos normativos en materia de movilidad y seguridad vial elaborados, modificados o armonizados y </w:t>
            </w: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>publicados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lastRenderedPageBreak/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71.43%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Documentos normativos actualizados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Documentos normativos actualizados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C1A1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25630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análisis y dictámenes técnicos realizados sobre la normatividad vigente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C1A2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24587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mesas técnicas y talleres realizados con participación multisectorial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C1A3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25631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Monto de recursos gestionados y obtenidos para proyectos de movilidad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gestionados aprobados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gestionados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24585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municipios con acciones de movilidad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Municipios con acciones de movilidad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municipios con prioridad de atención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C2A1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25632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diagnósticos técnicos y participativos elaborados y validados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noWrap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Proyecto EES  Cooperación internacional </w:t>
            </w:r>
          </w:p>
        </w:tc>
      </w:tr>
      <w:tr w:rsidR="003A58C4" w:rsidRPr="003A58C4" w:rsidTr="003A58C4">
        <w:trPr>
          <w:trHeight w:val="1290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C2A2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25633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reuniones y acuerdos interinstitucionales para la integración de planes y ordenamiento territorial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noWrap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Proyecto EES  Cooperación internacional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C2A3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25634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estudios técnicos realizados para la identificación de zonas prioritarias de intervención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5.00</w:t>
            </w:r>
          </w:p>
        </w:tc>
        <w:tc>
          <w:tcPr>
            <w:tcW w:w="1931" w:type="dxa"/>
            <w:noWrap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Proyecto EES  Cooperación internacional 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COMPONENTE 3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Mensual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24586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Porcentaje de incidentes viales relacionados con medios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medios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movilidad activa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4.14%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4.14%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total de incidentes relacionados con medios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medios</w:t>
            </w:r>
            <w:proofErr w:type="spellEnd"/>
            <w:r w:rsidRPr="003A58C4">
              <w:rPr>
                <w:rFonts w:ascii="Lato" w:hAnsi="Lato" w:cs="Arial"/>
                <w:sz w:val="20"/>
                <w:szCs w:val="20"/>
              </w:rPr>
              <w:t xml:space="preserve"> de movilidad activa en el estado de Yucatán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15,781.00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15,781.00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7,620.00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total de incidentes viales en el estado de Yucatán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381,048.00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381,048.00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381,048.00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381,048.00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381,048.00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381,048.00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C3A1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Mensual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25635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campañas de comunicación diseñadas e implementadas con enfoque en movilidad segura y activa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8.33%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Campañas realizadas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Campañas programadas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C3A2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25636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eventos públicos realizados para la promoción de la movilidad activa y la seguridad vial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Eventos realizados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 xml:space="preserve">Eventos </w:t>
            </w:r>
            <w:proofErr w:type="spellStart"/>
            <w:r w:rsidRPr="003A58C4">
              <w:rPr>
                <w:rFonts w:ascii="Lato" w:hAnsi="Lato" w:cs="Arial"/>
                <w:sz w:val="20"/>
                <w:szCs w:val="20"/>
              </w:rPr>
              <w:t>progrmados</w:t>
            </w:r>
            <w:proofErr w:type="spellEnd"/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C3A3</w:t>
            </w:r>
          </w:p>
        </w:tc>
        <w:tc>
          <w:tcPr>
            <w:tcW w:w="1216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25637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Número de instituciones colaboradoras en la difusión y réplica de contenidos de cultura vial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3.00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6.00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t>621 Fortalecimiento de la Accesibilidad y Movilidad Sostenible</w:t>
            </w:r>
          </w:p>
        </w:tc>
        <w:tc>
          <w:tcPr>
            <w:tcW w:w="1594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ACTIVIDAD C3A4</w:t>
            </w:r>
          </w:p>
        </w:tc>
        <w:tc>
          <w:tcPr>
            <w:tcW w:w="1216" w:type="dxa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Semestral</w:t>
            </w:r>
          </w:p>
        </w:tc>
        <w:tc>
          <w:tcPr>
            <w:tcW w:w="1399" w:type="dxa"/>
            <w:gridSpan w:val="2"/>
            <w:vMerge w:val="restart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25638</w:t>
            </w: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Porcentaje de personas con percepción positiva del impacto de las campañas, según encuestas aplicadas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100.00%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Personas con percepción positiva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3A58C4" w:rsidRPr="003A58C4" w:rsidTr="003A58C4">
        <w:trPr>
          <w:trHeight w:val="1299"/>
          <w:jc w:val="center"/>
        </w:trPr>
        <w:tc>
          <w:tcPr>
            <w:tcW w:w="1066" w:type="dxa"/>
            <w:textDirection w:val="btLr"/>
            <w:hideMark/>
          </w:tcPr>
          <w:p w:rsidR="003A58C4" w:rsidRPr="003A58C4" w:rsidRDefault="003A58C4" w:rsidP="003A58C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3A58C4">
              <w:rPr>
                <w:rFonts w:ascii="Lato" w:hAnsi="Lato" w:cs="Arial"/>
                <w:b/>
                <w:sz w:val="20"/>
                <w:szCs w:val="20"/>
              </w:rPr>
              <w:lastRenderedPageBreak/>
              <w:t>621 Fortalecimiento de la Accesibilidad y Movilidad Sostenible</w:t>
            </w:r>
          </w:p>
        </w:tc>
        <w:tc>
          <w:tcPr>
            <w:tcW w:w="1594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Personas encuestadas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</w:t>
            </w:r>
          </w:p>
        </w:tc>
        <w:tc>
          <w:tcPr>
            <w:tcW w:w="1361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</w:t>
            </w:r>
          </w:p>
        </w:tc>
        <w:tc>
          <w:tcPr>
            <w:tcW w:w="1488" w:type="dxa"/>
            <w:noWrap/>
            <w:hideMark/>
          </w:tcPr>
          <w:p w:rsidR="003A58C4" w:rsidRPr="003A58C4" w:rsidRDefault="003A58C4" w:rsidP="003A58C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50.00</w:t>
            </w:r>
          </w:p>
        </w:tc>
        <w:tc>
          <w:tcPr>
            <w:tcW w:w="1931" w:type="dxa"/>
            <w:hideMark/>
          </w:tcPr>
          <w:p w:rsidR="003A58C4" w:rsidRPr="003A58C4" w:rsidRDefault="003A58C4">
            <w:pPr>
              <w:rPr>
                <w:rFonts w:ascii="Lato" w:hAnsi="Lato" w:cs="Arial"/>
                <w:sz w:val="20"/>
                <w:szCs w:val="20"/>
              </w:rPr>
            </w:pPr>
            <w:r w:rsidRPr="003A58C4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</w:tbl>
    <w:p w:rsidR="00CD527E" w:rsidRPr="00762E6E" w:rsidRDefault="00CD527E" w:rsidP="00C96037">
      <w:pPr>
        <w:rPr>
          <w:rFonts w:ascii="Lato" w:hAnsi="Lato" w:cs="Arial"/>
          <w:b/>
          <w:sz w:val="20"/>
          <w:szCs w:val="20"/>
        </w:rPr>
      </w:pPr>
    </w:p>
    <w:sectPr w:rsidR="00CD527E" w:rsidRPr="00762E6E" w:rsidSect="003A58C4">
      <w:headerReference w:type="default" r:id="rId6"/>
      <w:type w:val="continuous"/>
      <w:pgSz w:w="20163" w:h="12242" w:orient="landscape" w:code="5"/>
      <w:pgMar w:top="2835" w:right="1134" w:bottom="1701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17" w:rsidRDefault="00587B17" w:rsidP="008E2A9B">
      <w:r>
        <w:separator/>
      </w:r>
    </w:p>
  </w:endnote>
  <w:endnote w:type="continuationSeparator" w:id="0">
    <w:p w:rsidR="00587B17" w:rsidRDefault="00587B17" w:rsidP="008E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17" w:rsidRDefault="00587B17" w:rsidP="008E2A9B">
      <w:r>
        <w:separator/>
      </w:r>
    </w:p>
  </w:footnote>
  <w:footnote w:type="continuationSeparator" w:id="0">
    <w:p w:rsidR="00587B17" w:rsidRDefault="00587B17" w:rsidP="008E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27E" w:rsidRDefault="00CD527E">
    <w:pPr>
      <w:pStyle w:val="Encabezado"/>
    </w:pPr>
  </w:p>
  <w:p w:rsidR="00CD527E" w:rsidRDefault="00CD527E">
    <w:pPr>
      <w:pStyle w:val="Encabezado"/>
    </w:pPr>
  </w:p>
  <w:tbl>
    <w:tblPr>
      <w:tblpPr w:leftFromText="141" w:rightFromText="141" w:vertAnchor="text" w:horzAnchor="page" w:tblpXSpec="center" w:tblpY="-1700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"/>
    </w:tblGrid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30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jc w:val="center"/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CD527E" w:rsidRPr="00913D66" w:rsidTr="00C9603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CD527E" w:rsidRPr="00913D66" w:rsidRDefault="00CD527E" w:rsidP="008E2A9B">
          <w:pPr>
            <w:rPr>
              <w:rFonts w:ascii="Barlow" w:eastAsia="Times New Roman" w:hAnsi="Barlow" w:cs="Calibri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</w:tbl>
  <w:p w:rsidR="00CD527E" w:rsidRDefault="00CD527E">
    <w:pPr>
      <w:pStyle w:val="Encabezado"/>
    </w:pPr>
  </w:p>
  <w:p w:rsidR="00CD527E" w:rsidRDefault="00CD527E">
    <w:pPr>
      <w:pStyle w:val="Encabezado"/>
    </w:pPr>
  </w:p>
  <w:p w:rsidR="00CD527E" w:rsidRDefault="00CD527E">
    <w:pPr>
      <w:pStyle w:val="Encabezado"/>
    </w:pPr>
  </w:p>
  <w:p w:rsidR="00CD527E" w:rsidRDefault="00CD527E">
    <w:pPr>
      <w:pStyle w:val="Encabezado"/>
    </w:pPr>
  </w:p>
  <w:p w:rsidR="00CD527E" w:rsidRDefault="00CD52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54"/>
    <w:rsid w:val="000736AB"/>
    <w:rsid w:val="00234184"/>
    <w:rsid w:val="002549A9"/>
    <w:rsid w:val="003059EB"/>
    <w:rsid w:val="003A58C4"/>
    <w:rsid w:val="004002BB"/>
    <w:rsid w:val="00415BF9"/>
    <w:rsid w:val="00476AE0"/>
    <w:rsid w:val="004C7B60"/>
    <w:rsid w:val="00517A4A"/>
    <w:rsid w:val="00562931"/>
    <w:rsid w:val="00566969"/>
    <w:rsid w:val="00587B17"/>
    <w:rsid w:val="00660B0F"/>
    <w:rsid w:val="0069197B"/>
    <w:rsid w:val="006D6AC0"/>
    <w:rsid w:val="006E1F90"/>
    <w:rsid w:val="00762E6E"/>
    <w:rsid w:val="00786FB3"/>
    <w:rsid w:val="007C68EC"/>
    <w:rsid w:val="00817739"/>
    <w:rsid w:val="008217DF"/>
    <w:rsid w:val="008642EB"/>
    <w:rsid w:val="008E2A9B"/>
    <w:rsid w:val="008F17C5"/>
    <w:rsid w:val="009A4354"/>
    <w:rsid w:val="00A65458"/>
    <w:rsid w:val="00A74F3D"/>
    <w:rsid w:val="00A80325"/>
    <w:rsid w:val="00AE23BC"/>
    <w:rsid w:val="00B22F55"/>
    <w:rsid w:val="00B3080B"/>
    <w:rsid w:val="00C22E73"/>
    <w:rsid w:val="00C2357B"/>
    <w:rsid w:val="00C31FCA"/>
    <w:rsid w:val="00C466FE"/>
    <w:rsid w:val="00C96037"/>
    <w:rsid w:val="00CD527E"/>
    <w:rsid w:val="00D52193"/>
    <w:rsid w:val="00DD013D"/>
    <w:rsid w:val="00E47FE3"/>
    <w:rsid w:val="00F2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D6325"/>
  <w15:docId w15:val="{5DF25B14-056F-4855-B2F1-7762049E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E2A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2A9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2A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A9B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62E6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2E6E"/>
    <w:rPr>
      <w:color w:val="954F72"/>
      <w:u w:val="single"/>
    </w:rPr>
  </w:style>
  <w:style w:type="paragraph" w:customStyle="1" w:styleId="msonormal0">
    <w:name w:val="msonormal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font5">
    <w:name w:val="font5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  <w:lang w:val="es-MX" w:eastAsia="es-MX"/>
    </w:rPr>
  </w:style>
  <w:style w:type="paragraph" w:customStyle="1" w:styleId="font6">
    <w:name w:val="font6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val="es-MX" w:eastAsia="es-MX"/>
    </w:rPr>
  </w:style>
  <w:style w:type="paragraph" w:customStyle="1" w:styleId="font7">
    <w:name w:val="font7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val="es-MX" w:eastAsia="es-MX"/>
    </w:rPr>
  </w:style>
  <w:style w:type="paragraph" w:customStyle="1" w:styleId="font8">
    <w:name w:val="font8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val="es-MX" w:eastAsia="es-MX"/>
    </w:rPr>
  </w:style>
  <w:style w:type="paragraph" w:customStyle="1" w:styleId="font9">
    <w:name w:val="font9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val="es-MX" w:eastAsia="es-MX"/>
    </w:rPr>
  </w:style>
  <w:style w:type="paragraph" w:customStyle="1" w:styleId="xl68">
    <w:name w:val="xl68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69">
    <w:name w:val="xl69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0">
    <w:name w:val="xl70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3">
    <w:name w:val="xl73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4">
    <w:name w:val="xl74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5">
    <w:name w:val="xl75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6">
    <w:name w:val="xl76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77">
    <w:name w:val="xl77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79">
    <w:name w:val="xl79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0">
    <w:name w:val="xl80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1">
    <w:name w:val="xl8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2">
    <w:name w:val="xl82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3">
    <w:name w:val="xl83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4">
    <w:name w:val="xl84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5">
    <w:name w:val="xl85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6">
    <w:name w:val="xl86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7">
    <w:name w:val="xl87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88">
    <w:name w:val="xl88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89">
    <w:name w:val="xl89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1">
    <w:name w:val="xl91"/>
    <w:basedOn w:val="Normal"/>
    <w:rsid w:val="00762E6E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2">
    <w:name w:val="xl92"/>
    <w:basedOn w:val="Normal"/>
    <w:rsid w:val="00762E6E"/>
    <w:pPr>
      <w:widowControl/>
      <w:pBdr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3">
    <w:name w:val="xl93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4">
    <w:name w:val="xl9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5">
    <w:name w:val="xl95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6">
    <w:name w:val="xl96"/>
    <w:basedOn w:val="Normal"/>
    <w:rsid w:val="00762E6E"/>
    <w:pPr>
      <w:widowControl/>
      <w:pBdr>
        <w:top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7">
    <w:name w:val="xl97"/>
    <w:basedOn w:val="Normal"/>
    <w:rsid w:val="0076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76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99">
    <w:name w:val="xl99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0">
    <w:name w:val="xl100"/>
    <w:basedOn w:val="Normal"/>
    <w:rsid w:val="00762E6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1">
    <w:name w:val="xl101"/>
    <w:basedOn w:val="Normal"/>
    <w:rsid w:val="00762E6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02">
    <w:name w:val="xl102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03">
    <w:name w:val="xl103"/>
    <w:basedOn w:val="Normal"/>
    <w:rsid w:val="0076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4">
    <w:name w:val="xl104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5">
    <w:name w:val="xl105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6">
    <w:name w:val="xl106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7">
    <w:name w:val="xl107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08">
    <w:name w:val="xl108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09">
    <w:name w:val="xl109"/>
    <w:basedOn w:val="Normal"/>
    <w:rsid w:val="0076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10">
    <w:name w:val="xl110"/>
    <w:basedOn w:val="Normal"/>
    <w:rsid w:val="00762E6E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1">
    <w:name w:val="xl11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2">
    <w:name w:val="xl112"/>
    <w:basedOn w:val="Normal"/>
    <w:rsid w:val="00762E6E"/>
    <w:pPr>
      <w:widowControl/>
      <w:pBdr>
        <w:top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4">
    <w:name w:val="xl11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5">
    <w:name w:val="xl115"/>
    <w:basedOn w:val="Normal"/>
    <w:rsid w:val="00762E6E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6">
    <w:name w:val="xl116"/>
    <w:basedOn w:val="Normal"/>
    <w:rsid w:val="00762E6E"/>
    <w:pPr>
      <w:widowControl/>
      <w:pBdr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7">
    <w:name w:val="xl117"/>
    <w:basedOn w:val="Normal"/>
    <w:rsid w:val="00762E6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18">
    <w:name w:val="xl118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19">
    <w:name w:val="xl119"/>
    <w:basedOn w:val="Normal"/>
    <w:rsid w:val="00762E6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0">
    <w:name w:val="xl120"/>
    <w:basedOn w:val="Normal"/>
    <w:rsid w:val="00762E6E"/>
    <w:pPr>
      <w:widowControl/>
      <w:pBdr>
        <w:top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1">
    <w:name w:val="xl12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2">
    <w:name w:val="xl122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3">
    <w:name w:val="xl123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4">
    <w:name w:val="xl12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5">
    <w:name w:val="xl125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6">
    <w:name w:val="xl126"/>
    <w:basedOn w:val="Normal"/>
    <w:rsid w:val="00762E6E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27">
    <w:name w:val="xl127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8">
    <w:name w:val="xl128"/>
    <w:basedOn w:val="Normal"/>
    <w:rsid w:val="00762E6E"/>
    <w:pPr>
      <w:widowControl/>
      <w:pBdr>
        <w:top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30">
    <w:name w:val="xl130"/>
    <w:basedOn w:val="Normal"/>
    <w:rsid w:val="00762E6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31">
    <w:name w:val="xl131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2">
    <w:name w:val="xl132"/>
    <w:basedOn w:val="Normal"/>
    <w:rsid w:val="00762E6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3">
    <w:name w:val="xl133"/>
    <w:basedOn w:val="Normal"/>
    <w:rsid w:val="00762E6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4">
    <w:name w:val="xl134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5">
    <w:name w:val="xl135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6">
    <w:name w:val="xl136"/>
    <w:basedOn w:val="Normal"/>
    <w:rsid w:val="00762E6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37">
    <w:name w:val="xl137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8">
    <w:name w:val="xl138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39">
    <w:name w:val="xl139"/>
    <w:basedOn w:val="Normal"/>
    <w:rsid w:val="00762E6E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0">
    <w:name w:val="xl140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1">
    <w:name w:val="xl141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2">
    <w:name w:val="xl142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3">
    <w:name w:val="xl143"/>
    <w:basedOn w:val="Normal"/>
    <w:rsid w:val="00762E6E"/>
    <w:pPr>
      <w:widowControl/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4">
    <w:name w:val="xl144"/>
    <w:basedOn w:val="Normal"/>
    <w:rsid w:val="00762E6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5">
    <w:name w:val="xl145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46">
    <w:name w:val="xl146"/>
    <w:basedOn w:val="Normal"/>
    <w:rsid w:val="00762E6E"/>
    <w:pPr>
      <w:widowControl/>
      <w:pBdr>
        <w:top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47">
    <w:name w:val="xl147"/>
    <w:basedOn w:val="Normal"/>
    <w:rsid w:val="00762E6E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b/>
      <w:bCs/>
      <w:sz w:val="24"/>
      <w:szCs w:val="24"/>
      <w:lang w:val="es-MX" w:eastAsia="es-MX"/>
    </w:rPr>
  </w:style>
  <w:style w:type="paragraph" w:customStyle="1" w:styleId="xl148">
    <w:name w:val="xl148"/>
    <w:basedOn w:val="Normal"/>
    <w:rsid w:val="00762E6E"/>
    <w:pPr>
      <w:widowControl/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49">
    <w:name w:val="xl149"/>
    <w:basedOn w:val="Normal"/>
    <w:rsid w:val="00762E6E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0">
    <w:name w:val="xl150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i/>
      <w:i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762E6E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i/>
      <w:iCs/>
      <w:sz w:val="24"/>
      <w:szCs w:val="24"/>
      <w:lang w:val="es-MX" w:eastAsia="es-MX"/>
    </w:rPr>
  </w:style>
  <w:style w:type="paragraph" w:customStyle="1" w:styleId="xl152">
    <w:name w:val="xl152"/>
    <w:basedOn w:val="Normal"/>
    <w:rsid w:val="00762E6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i/>
      <w:i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762E6E"/>
    <w:pPr>
      <w:widowControl/>
      <w:pBdr>
        <w:lef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4">
    <w:name w:val="xl154"/>
    <w:basedOn w:val="Normal"/>
    <w:rsid w:val="00762E6E"/>
    <w:pPr>
      <w:widowControl/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5">
    <w:name w:val="xl155"/>
    <w:basedOn w:val="Normal"/>
    <w:rsid w:val="00762E6E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6">
    <w:name w:val="xl156"/>
    <w:basedOn w:val="Normal"/>
    <w:rsid w:val="00762E6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color w:val="000000"/>
      <w:sz w:val="24"/>
      <w:szCs w:val="24"/>
      <w:lang w:val="es-MX" w:eastAsia="es-MX"/>
    </w:rPr>
  </w:style>
  <w:style w:type="paragraph" w:customStyle="1" w:styleId="xl157">
    <w:name w:val="xl157"/>
    <w:basedOn w:val="Normal"/>
    <w:rsid w:val="0076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8">
    <w:name w:val="xl158"/>
    <w:basedOn w:val="Normal"/>
    <w:rsid w:val="00762E6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sz w:val="24"/>
      <w:szCs w:val="24"/>
      <w:lang w:val="es-MX" w:eastAsia="es-MX"/>
    </w:rPr>
  </w:style>
  <w:style w:type="paragraph" w:customStyle="1" w:styleId="xl159">
    <w:name w:val="xl159"/>
    <w:basedOn w:val="Normal"/>
    <w:rsid w:val="00762E6E"/>
    <w:pPr>
      <w:widowControl/>
      <w:pBdr>
        <w:top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rFonts w:ascii="Barlow" w:eastAsia="Times New Roman" w:hAnsi="Barlow" w:cs="Times New Roman"/>
      <w:color w:val="000000"/>
      <w:sz w:val="24"/>
      <w:szCs w:val="24"/>
      <w:lang w:val="es-MX" w:eastAsia="es-MX"/>
    </w:rPr>
  </w:style>
  <w:style w:type="paragraph" w:customStyle="1" w:styleId="xl66">
    <w:name w:val="xl66"/>
    <w:basedOn w:val="Normal"/>
    <w:rsid w:val="007C68EC"/>
    <w:pPr>
      <w:widowControl/>
      <w:autoSpaceDE/>
      <w:autoSpaceDN/>
      <w:spacing w:before="100" w:beforeAutospacing="1" w:after="100" w:afterAutospacing="1"/>
    </w:pPr>
    <w:rPr>
      <w:rFonts w:ascii="Lato" w:eastAsia="Times New Roman" w:hAnsi="Lato" w:cs="Times New Roman"/>
      <w:sz w:val="24"/>
      <w:szCs w:val="24"/>
      <w:lang w:val="es-MX" w:eastAsia="es-MX"/>
    </w:rPr>
  </w:style>
  <w:style w:type="paragraph" w:customStyle="1" w:styleId="xl67">
    <w:name w:val="xl67"/>
    <w:basedOn w:val="Normal"/>
    <w:rsid w:val="007C68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ato" w:eastAsia="Times New Roman" w:hAnsi="Lato" w:cs="Times New Roman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AE23B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Barlow" w:eastAsia="Times New Roman" w:hAnsi="Barlow" w:cs="Times New Roman"/>
      <w:color w:val="000000"/>
      <w:sz w:val="24"/>
      <w:szCs w:val="24"/>
      <w:lang w:val="es-MX" w:eastAsia="es-MX"/>
    </w:rPr>
  </w:style>
  <w:style w:type="paragraph" w:customStyle="1" w:styleId="xl161">
    <w:name w:val="xl161"/>
    <w:basedOn w:val="Normal"/>
    <w:rsid w:val="00AE23B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Barlow" w:eastAsia="Times New Roman" w:hAnsi="Barlow" w:cs="Times New Roman"/>
      <w:color w:val="000000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AE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C2357B"/>
    <w:pPr>
      <w:widowControl/>
      <w:autoSpaceDE/>
      <w:autoSpaceDN/>
      <w:spacing w:before="100" w:beforeAutospacing="1" w:after="100" w:afterAutospacing="1"/>
      <w:textAlignment w:val="top"/>
    </w:pPr>
    <w:rPr>
      <w:rFonts w:ascii="Lato" w:eastAsia="Times New Roman" w:hAnsi="Lato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5438</Words>
  <Characters>29912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4° Trimestre 2023 ENTREGA.xlsx</vt:lpstr>
    </vt:vector>
  </TitlesOfParts>
  <Company/>
  <LinksUpToDate>false</LinksUpToDate>
  <CharactersWithSpaces>35280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4° Trimestre 2023 ENTREGA.xlsx</dc:title>
  <dc:creator>Nelly Patricia Camacho Pinto</dc:creator>
  <cp:lastModifiedBy>Sharon Yanelli Lara Medrano</cp:lastModifiedBy>
  <cp:revision>7</cp:revision>
  <cp:lastPrinted>2024-09-27T16:09:00Z</cp:lastPrinted>
  <dcterms:created xsi:type="dcterms:W3CDTF">2025-04-22T17:28:00Z</dcterms:created>
  <dcterms:modified xsi:type="dcterms:W3CDTF">2026-04-27T19:04:00Z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2024-02-02T00:00:00Z</vt:filetime>
  </property>
</Properties>
</file>