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69CE" w14:textId="77777777" w:rsidR="006E62D3" w:rsidRDefault="006E62D3" w:rsidP="006E62D3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 xml:space="preserve">Indicadores de resultados </w:t>
      </w:r>
    </w:p>
    <w:p w14:paraId="6627FE7E" w14:textId="514DD543" w:rsidR="006E62D3" w:rsidRDefault="006E62D3" w:rsidP="006E62D3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Al 31 de marzo de 2026</w:t>
      </w:r>
    </w:p>
    <w:p w14:paraId="275B0EF4" w14:textId="77777777" w:rsidR="006E62D3" w:rsidRDefault="006E62D3" w:rsidP="006E62D3">
      <w:pPr>
        <w:spacing w:line="360" w:lineRule="auto"/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(Cifras en Pesos)</w:t>
      </w:r>
    </w:p>
    <w:p w14:paraId="6B595EAF" w14:textId="77777777" w:rsidR="006E62D3" w:rsidRDefault="006E62D3" w:rsidP="006E62D3">
      <w:pPr>
        <w:jc w:val="center"/>
        <w:rPr>
          <w:rFonts w:ascii="Lato" w:eastAsia="Times New Roman" w:hAnsi="Lato" w:cs="Arial"/>
          <w:b/>
          <w:sz w:val="20"/>
          <w:szCs w:val="20"/>
          <w:lang w:val="es-MX" w:eastAsia="en-US"/>
        </w:rPr>
      </w:pPr>
    </w:p>
    <w:p w14:paraId="5E925AAE" w14:textId="77777777" w:rsidR="006E62D3" w:rsidRDefault="006E62D3" w:rsidP="006E62D3">
      <w:pPr>
        <w:rPr>
          <w:rFonts w:ascii="Lato" w:eastAsia="Times New Roman" w:hAnsi="Lato" w:cs="Arial"/>
          <w:b/>
          <w:sz w:val="20"/>
          <w:szCs w:val="20"/>
          <w:lang w:val="es-MX" w:eastAsia="en-US"/>
        </w:rPr>
      </w:pPr>
      <w:r>
        <w:rPr>
          <w:rFonts w:ascii="Lato" w:eastAsia="Times New Roman" w:hAnsi="Lato" w:cs="Arial"/>
          <w:b/>
          <w:sz w:val="20"/>
          <w:szCs w:val="20"/>
          <w:lang w:val="es-MX" w:eastAsia="en-US"/>
        </w:rPr>
        <w:t>Ente Público: FIDEICOMISO PÚBLICO PARA LA ADMINISTRACIÓN DEL PALACIO DE LA MÚSICA</w:t>
      </w:r>
    </w:p>
    <w:p w14:paraId="21C50FB7" w14:textId="77777777" w:rsidR="009C223B" w:rsidRPr="001A5D78" w:rsidRDefault="009C223B" w:rsidP="009C223B">
      <w:pPr>
        <w:rPr>
          <w:rFonts w:ascii="Lato" w:eastAsia="Barlow" w:hAnsi="Lato" w:cs="Barlow"/>
          <w:sz w:val="20"/>
          <w:szCs w:val="20"/>
        </w:rPr>
      </w:pPr>
    </w:p>
    <w:p w14:paraId="1FF8AB16" w14:textId="77777777" w:rsidR="009C223B" w:rsidRPr="001A5D78" w:rsidRDefault="009C223B" w:rsidP="009C223B">
      <w:pPr>
        <w:jc w:val="center"/>
        <w:rPr>
          <w:rFonts w:ascii="Lato" w:eastAsia="Barlow" w:hAnsi="Lato" w:cs="Barlow"/>
          <w:b/>
          <w:sz w:val="20"/>
          <w:szCs w:val="20"/>
          <w:u w:val="single"/>
        </w:rPr>
      </w:pPr>
      <w:r w:rsidRPr="001A5D78">
        <w:rPr>
          <w:rFonts w:ascii="Lato" w:eastAsia="Barlow" w:hAnsi="Lato" w:cs="Barlow"/>
          <w:b/>
          <w:sz w:val="20"/>
          <w:szCs w:val="20"/>
          <w:u w:val="single"/>
        </w:rPr>
        <w:t>Realización de Eventos Artísticos en el Palacio de la Música</w:t>
      </w:r>
    </w:p>
    <w:p w14:paraId="4F663FEE" w14:textId="77777777" w:rsidR="002A0834" w:rsidRPr="001A5D78" w:rsidRDefault="002A0834">
      <w:pPr>
        <w:rPr>
          <w:rFonts w:ascii="Lato" w:hAnsi="Lato"/>
          <w:sz w:val="20"/>
          <w:szCs w:val="20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2468"/>
        <w:gridCol w:w="2480"/>
        <w:gridCol w:w="2480"/>
      </w:tblGrid>
      <w:tr w:rsidR="00DB328B" w:rsidRPr="006E62D3" w14:paraId="259BB91B" w14:textId="77777777" w:rsidTr="006E62D3">
        <w:trPr>
          <w:jc w:val="center"/>
        </w:trPr>
        <w:tc>
          <w:tcPr>
            <w:tcW w:w="2466" w:type="dxa"/>
          </w:tcPr>
          <w:p w14:paraId="5CB8D139" w14:textId="46E1503A" w:rsidR="00DB328B" w:rsidRPr="006E62D3" w:rsidRDefault="00E01072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bookmarkStart w:id="0" w:name="_GoBack"/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Directriz</w:t>
            </w:r>
            <w:r w:rsidR="00DB328B" w:rsidRPr="006E62D3">
              <w:rPr>
                <w:rFonts w:ascii="Lato" w:eastAsia="Barlow" w:hAnsi="Lato" w:cs="Barlow"/>
                <w:b/>
                <w:sz w:val="20"/>
                <w:szCs w:val="20"/>
              </w:rPr>
              <w:t xml:space="preserve"> PED</w:t>
            </w:r>
          </w:p>
        </w:tc>
        <w:tc>
          <w:tcPr>
            <w:tcW w:w="2468" w:type="dxa"/>
          </w:tcPr>
          <w:p w14:paraId="393F713E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Política pública</w:t>
            </w:r>
          </w:p>
        </w:tc>
        <w:tc>
          <w:tcPr>
            <w:tcW w:w="2480" w:type="dxa"/>
          </w:tcPr>
          <w:p w14:paraId="51E822D3" w14:textId="26A6931C" w:rsidR="00DB328B" w:rsidRPr="006E62D3" w:rsidRDefault="00E01072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Objetivo Estratégico</w:t>
            </w:r>
          </w:p>
        </w:tc>
        <w:tc>
          <w:tcPr>
            <w:tcW w:w="2480" w:type="dxa"/>
          </w:tcPr>
          <w:p w14:paraId="518CE78C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Línea de acción</w:t>
            </w:r>
          </w:p>
        </w:tc>
      </w:tr>
      <w:tr w:rsidR="00DB328B" w:rsidRPr="006E62D3" w14:paraId="6AD6E1F4" w14:textId="77777777" w:rsidTr="006E62D3">
        <w:trPr>
          <w:jc w:val="center"/>
        </w:trPr>
        <w:tc>
          <w:tcPr>
            <w:tcW w:w="2466" w:type="dxa"/>
          </w:tcPr>
          <w:p w14:paraId="62191314" w14:textId="079876FA" w:rsidR="00DB328B" w:rsidRPr="006E62D3" w:rsidRDefault="001C1AB6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Educación, cultura y deporte Pilares del renacimiento.</w:t>
            </w:r>
          </w:p>
        </w:tc>
        <w:tc>
          <w:tcPr>
            <w:tcW w:w="2468" w:type="dxa"/>
          </w:tcPr>
          <w:p w14:paraId="76FDD109" w14:textId="08217572" w:rsidR="00DB328B" w:rsidRPr="006E62D3" w:rsidRDefault="00DB328B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 xml:space="preserve">Acceso </w:t>
            </w:r>
            <w:r w:rsidR="00E01072" w:rsidRPr="006E62D3">
              <w:rPr>
                <w:rFonts w:ascii="Lato" w:eastAsia="Barlow" w:hAnsi="Lato" w:cs="Barlow"/>
                <w:sz w:val="20"/>
                <w:szCs w:val="20"/>
              </w:rPr>
              <w:t>equitativo</w:t>
            </w:r>
            <w:r w:rsidRPr="006E62D3">
              <w:rPr>
                <w:rFonts w:ascii="Lato" w:eastAsia="Barlow" w:hAnsi="Lato" w:cs="Barlow"/>
                <w:sz w:val="20"/>
                <w:szCs w:val="20"/>
              </w:rPr>
              <w:t xml:space="preserve"> a la cultura</w:t>
            </w:r>
          </w:p>
        </w:tc>
        <w:tc>
          <w:tcPr>
            <w:tcW w:w="2480" w:type="dxa"/>
          </w:tcPr>
          <w:p w14:paraId="02494042" w14:textId="2914CD24" w:rsidR="00DB328B" w:rsidRPr="006E62D3" w:rsidRDefault="001A1A60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Mejorar la infraestructura y equipamiento de los espacios culturales en los municipios del estado.</w:t>
            </w:r>
          </w:p>
        </w:tc>
        <w:tc>
          <w:tcPr>
            <w:tcW w:w="2480" w:type="dxa"/>
          </w:tcPr>
          <w:p w14:paraId="4F32CC5D" w14:textId="487058CB" w:rsidR="00DB328B" w:rsidRPr="006E62D3" w:rsidRDefault="001A1A60" w:rsidP="00044B6A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Promover la programación de las actividades artísticas y culturales en los municipios y escuelas públicas del estado.</w:t>
            </w:r>
          </w:p>
        </w:tc>
      </w:tr>
      <w:tr w:rsidR="001C1AB6" w:rsidRPr="006E62D3" w14:paraId="60FF81FE" w14:textId="77777777" w:rsidTr="006E62D3">
        <w:trPr>
          <w:jc w:val="center"/>
        </w:trPr>
        <w:tc>
          <w:tcPr>
            <w:tcW w:w="2466" w:type="dxa"/>
          </w:tcPr>
          <w:p w14:paraId="50A73A23" w14:textId="2668B343" w:rsidR="001C1AB6" w:rsidRPr="006E62D3" w:rsidRDefault="001C1AB6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Educación, cultura y deporte Pilares del renacimiento.</w:t>
            </w:r>
          </w:p>
        </w:tc>
        <w:tc>
          <w:tcPr>
            <w:tcW w:w="2468" w:type="dxa"/>
          </w:tcPr>
          <w:p w14:paraId="3A6E2B27" w14:textId="3D1541D4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Fortalecimiento a la profesionalización, obras e iniciativas del sector cultural</w:t>
            </w:r>
          </w:p>
        </w:tc>
        <w:tc>
          <w:tcPr>
            <w:tcW w:w="2480" w:type="dxa"/>
          </w:tcPr>
          <w:p w14:paraId="2F7A5A39" w14:textId="025BE71E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Aumentar en los espacios culturales, obras e iniciativas de los artistas y creadores</w:t>
            </w:r>
          </w:p>
        </w:tc>
        <w:tc>
          <w:tcPr>
            <w:tcW w:w="2480" w:type="dxa"/>
          </w:tcPr>
          <w:p w14:paraId="03E41B7F" w14:textId="2C72E6AD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Promover eventos y exposiciones en los espacios culturales y las casas de cultura del estado para que los artistas locales muestren sus obras y logren mayor presencia de mercado.</w:t>
            </w:r>
          </w:p>
        </w:tc>
      </w:tr>
      <w:bookmarkEnd w:id="0"/>
    </w:tbl>
    <w:p w14:paraId="3FC3AC05" w14:textId="77777777" w:rsidR="009C223B" w:rsidRPr="001A5D78" w:rsidRDefault="009C223B">
      <w:pPr>
        <w:rPr>
          <w:rFonts w:ascii="Lato" w:hAnsi="Lato"/>
          <w:sz w:val="20"/>
          <w:szCs w:val="20"/>
        </w:rPr>
      </w:pPr>
    </w:p>
    <w:p w14:paraId="0061342B" w14:textId="77777777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  <w:r w:rsidRPr="001A5D78">
        <w:rPr>
          <w:rFonts w:ascii="Lato" w:eastAsia="Barlow" w:hAnsi="Lato" w:cs="Barlow"/>
          <w:b/>
          <w:sz w:val="20"/>
          <w:szCs w:val="20"/>
        </w:rPr>
        <w:t xml:space="preserve">Entregables </w:t>
      </w:r>
    </w:p>
    <w:p w14:paraId="2C1B062D" w14:textId="77777777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35"/>
        <w:gridCol w:w="1624"/>
        <w:gridCol w:w="2463"/>
        <w:gridCol w:w="2472"/>
      </w:tblGrid>
      <w:tr w:rsidR="00DB328B" w:rsidRPr="006E62D3" w14:paraId="06B7B2BC" w14:textId="77777777" w:rsidTr="006E62D3">
        <w:trPr>
          <w:jc w:val="center"/>
        </w:trPr>
        <w:tc>
          <w:tcPr>
            <w:tcW w:w="3335" w:type="dxa"/>
          </w:tcPr>
          <w:p w14:paraId="23C8BACD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Entregable</w:t>
            </w:r>
          </w:p>
        </w:tc>
        <w:tc>
          <w:tcPr>
            <w:tcW w:w="1624" w:type="dxa"/>
          </w:tcPr>
          <w:p w14:paraId="66B31327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Meta</w:t>
            </w:r>
          </w:p>
        </w:tc>
        <w:tc>
          <w:tcPr>
            <w:tcW w:w="2463" w:type="dxa"/>
          </w:tcPr>
          <w:p w14:paraId="7EF2A059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Avance</w:t>
            </w:r>
          </w:p>
        </w:tc>
        <w:tc>
          <w:tcPr>
            <w:tcW w:w="2472" w:type="dxa"/>
          </w:tcPr>
          <w:p w14:paraId="3CFE66BA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Porcentaje avance</w:t>
            </w:r>
          </w:p>
        </w:tc>
      </w:tr>
      <w:tr w:rsidR="00DB328B" w:rsidRPr="006E62D3" w14:paraId="38F8A6DF" w14:textId="77777777" w:rsidTr="006E62D3">
        <w:trPr>
          <w:jc w:val="center"/>
        </w:trPr>
        <w:tc>
          <w:tcPr>
            <w:tcW w:w="3335" w:type="dxa"/>
          </w:tcPr>
          <w:p w14:paraId="50507C82" w14:textId="77777777" w:rsidR="00DB328B" w:rsidRPr="006E62D3" w:rsidRDefault="00DB328B" w:rsidP="00044B6A">
            <w:pPr>
              <w:numPr>
                <w:ilvl w:val="0"/>
                <w:numId w:val="1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Eventos artísticos al público</w:t>
            </w:r>
          </w:p>
        </w:tc>
        <w:tc>
          <w:tcPr>
            <w:tcW w:w="1624" w:type="dxa"/>
          </w:tcPr>
          <w:p w14:paraId="3AC5797E" w14:textId="390573F8" w:rsidR="00DB328B" w:rsidRPr="006E62D3" w:rsidRDefault="00FE421C" w:rsidP="00044B6A">
            <w:pPr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72</w:t>
            </w:r>
          </w:p>
        </w:tc>
        <w:tc>
          <w:tcPr>
            <w:tcW w:w="2463" w:type="dxa"/>
          </w:tcPr>
          <w:p w14:paraId="44D2B0B0" w14:textId="7776BD95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40</w:t>
            </w:r>
          </w:p>
        </w:tc>
        <w:tc>
          <w:tcPr>
            <w:tcW w:w="2472" w:type="dxa"/>
          </w:tcPr>
          <w:p w14:paraId="61D12893" w14:textId="0A42699C" w:rsidR="00DB328B" w:rsidRPr="006E62D3" w:rsidRDefault="00AE66D2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55.55%</w:t>
            </w:r>
          </w:p>
          <w:p w14:paraId="300E8B09" w14:textId="77777777" w:rsidR="00DB328B" w:rsidRPr="006E62D3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</w:tr>
      <w:tr w:rsidR="00DB328B" w:rsidRPr="006E62D3" w14:paraId="7D87F4C6" w14:textId="77777777" w:rsidTr="006E62D3">
        <w:trPr>
          <w:jc w:val="center"/>
        </w:trPr>
        <w:tc>
          <w:tcPr>
            <w:tcW w:w="3335" w:type="dxa"/>
          </w:tcPr>
          <w:p w14:paraId="3626813E" w14:textId="77777777" w:rsidR="00DB328B" w:rsidRPr="006E62D3" w:rsidRDefault="00DB328B" w:rsidP="00044B6A">
            <w:pPr>
              <w:numPr>
                <w:ilvl w:val="0"/>
                <w:numId w:val="1"/>
              </w:num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 xml:space="preserve">Eventos artísticos privados </w:t>
            </w:r>
          </w:p>
        </w:tc>
        <w:tc>
          <w:tcPr>
            <w:tcW w:w="1624" w:type="dxa"/>
          </w:tcPr>
          <w:p w14:paraId="7E390541" w14:textId="7900A2F7" w:rsidR="00DB328B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92</w:t>
            </w:r>
          </w:p>
        </w:tc>
        <w:tc>
          <w:tcPr>
            <w:tcW w:w="2463" w:type="dxa"/>
          </w:tcPr>
          <w:p w14:paraId="6C8B97BB" w14:textId="3561B64D" w:rsidR="00DB328B" w:rsidRPr="006E62D3" w:rsidRDefault="00545B55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69</w:t>
            </w:r>
          </w:p>
        </w:tc>
        <w:tc>
          <w:tcPr>
            <w:tcW w:w="2472" w:type="dxa"/>
          </w:tcPr>
          <w:p w14:paraId="4248CA5C" w14:textId="568F1223" w:rsidR="00DB328B" w:rsidRPr="006E62D3" w:rsidRDefault="00AE66D2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75%</w:t>
            </w:r>
          </w:p>
        </w:tc>
      </w:tr>
      <w:tr w:rsidR="00DB328B" w:rsidRPr="006E62D3" w14:paraId="5D672905" w14:textId="77777777" w:rsidTr="006E62D3">
        <w:trPr>
          <w:jc w:val="center"/>
        </w:trPr>
        <w:tc>
          <w:tcPr>
            <w:tcW w:w="3335" w:type="dxa"/>
          </w:tcPr>
          <w:p w14:paraId="63C64976" w14:textId="77777777" w:rsidR="00DB328B" w:rsidRPr="006E62D3" w:rsidRDefault="00DB328B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Transmisiones virtuales artísticas</w:t>
            </w:r>
          </w:p>
        </w:tc>
        <w:tc>
          <w:tcPr>
            <w:tcW w:w="1624" w:type="dxa"/>
          </w:tcPr>
          <w:p w14:paraId="48FD25AF" w14:textId="188356CE" w:rsidR="00DB328B" w:rsidRPr="006E62D3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29B810B" w14:textId="63D8331E" w:rsidR="00DB328B" w:rsidRPr="006E62D3" w:rsidRDefault="00545B55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53</w:t>
            </w:r>
          </w:p>
        </w:tc>
        <w:tc>
          <w:tcPr>
            <w:tcW w:w="2472" w:type="dxa"/>
          </w:tcPr>
          <w:p w14:paraId="12B24E01" w14:textId="25FD640F" w:rsidR="00DB328B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NA</w:t>
            </w:r>
          </w:p>
        </w:tc>
      </w:tr>
      <w:tr w:rsidR="00FE421C" w:rsidRPr="006E62D3" w14:paraId="6E12E8F7" w14:textId="77777777" w:rsidTr="006E62D3">
        <w:trPr>
          <w:jc w:val="center"/>
        </w:trPr>
        <w:tc>
          <w:tcPr>
            <w:tcW w:w="3335" w:type="dxa"/>
          </w:tcPr>
          <w:p w14:paraId="27023037" w14:textId="172F3399" w:rsidR="00FE421C" w:rsidRPr="006E62D3" w:rsidRDefault="00FE421C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Conciertos Didácticos</w:t>
            </w:r>
          </w:p>
        </w:tc>
        <w:tc>
          <w:tcPr>
            <w:tcW w:w="1624" w:type="dxa"/>
          </w:tcPr>
          <w:p w14:paraId="1A00843A" w14:textId="5E533C8C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47</w:t>
            </w:r>
          </w:p>
        </w:tc>
        <w:tc>
          <w:tcPr>
            <w:tcW w:w="2463" w:type="dxa"/>
          </w:tcPr>
          <w:p w14:paraId="20DD5B2C" w14:textId="0049AE15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5</w:t>
            </w:r>
            <w:r w:rsidR="00545B55" w:rsidRPr="006E62D3">
              <w:rPr>
                <w:rFonts w:ascii="Lato" w:eastAsia="Barlow" w:hAnsi="Lato" w:cs="Barlow"/>
                <w:sz w:val="20"/>
                <w:szCs w:val="20"/>
              </w:rPr>
              <w:t>4</w:t>
            </w:r>
          </w:p>
        </w:tc>
        <w:tc>
          <w:tcPr>
            <w:tcW w:w="2472" w:type="dxa"/>
          </w:tcPr>
          <w:p w14:paraId="66FF6001" w14:textId="11D8654E" w:rsidR="00FE421C" w:rsidRPr="006E62D3" w:rsidRDefault="00AE66D2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114.89%</w:t>
            </w:r>
          </w:p>
        </w:tc>
      </w:tr>
      <w:tr w:rsidR="00FE421C" w:rsidRPr="006E62D3" w14:paraId="34D885DA" w14:textId="77777777" w:rsidTr="006E62D3">
        <w:trPr>
          <w:jc w:val="center"/>
        </w:trPr>
        <w:tc>
          <w:tcPr>
            <w:tcW w:w="3335" w:type="dxa"/>
          </w:tcPr>
          <w:p w14:paraId="52DC997A" w14:textId="4CAF7FBE" w:rsidR="00FE421C" w:rsidRPr="006E62D3" w:rsidRDefault="00FE421C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Recorridos Especiales</w:t>
            </w:r>
          </w:p>
        </w:tc>
        <w:tc>
          <w:tcPr>
            <w:tcW w:w="1624" w:type="dxa"/>
          </w:tcPr>
          <w:p w14:paraId="73F8B6A2" w14:textId="77777777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  <w:tc>
          <w:tcPr>
            <w:tcW w:w="2463" w:type="dxa"/>
          </w:tcPr>
          <w:p w14:paraId="27835279" w14:textId="60AFCDEC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7</w:t>
            </w:r>
          </w:p>
        </w:tc>
        <w:tc>
          <w:tcPr>
            <w:tcW w:w="2472" w:type="dxa"/>
          </w:tcPr>
          <w:p w14:paraId="73FFBBE7" w14:textId="46193BF6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NA</w:t>
            </w:r>
          </w:p>
        </w:tc>
      </w:tr>
      <w:tr w:rsidR="00FE421C" w:rsidRPr="006E62D3" w14:paraId="7C172556" w14:textId="77777777" w:rsidTr="006E62D3">
        <w:trPr>
          <w:jc w:val="center"/>
        </w:trPr>
        <w:tc>
          <w:tcPr>
            <w:tcW w:w="3335" w:type="dxa"/>
          </w:tcPr>
          <w:p w14:paraId="169A8773" w14:textId="426578F2" w:rsidR="00FE421C" w:rsidRPr="006E62D3" w:rsidRDefault="00FE421C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Charlas</w:t>
            </w:r>
          </w:p>
        </w:tc>
        <w:tc>
          <w:tcPr>
            <w:tcW w:w="1624" w:type="dxa"/>
          </w:tcPr>
          <w:p w14:paraId="414B1740" w14:textId="77777777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  <w:tc>
          <w:tcPr>
            <w:tcW w:w="2463" w:type="dxa"/>
          </w:tcPr>
          <w:p w14:paraId="78C7CF3C" w14:textId="537BCE2B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14:paraId="24661A99" w14:textId="0D89E6F9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NA</w:t>
            </w:r>
          </w:p>
        </w:tc>
      </w:tr>
      <w:tr w:rsidR="00FE421C" w:rsidRPr="006E62D3" w14:paraId="05B3159C" w14:textId="77777777" w:rsidTr="006E62D3">
        <w:trPr>
          <w:jc w:val="center"/>
        </w:trPr>
        <w:tc>
          <w:tcPr>
            <w:tcW w:w="3335" w:type="dxa"/>
          </w:tcPr>
          <w:p w14:paraId="16B1242A" w14:textId="20114F5F" w:rsidR="00FE421C" w:rsidRPr="006E62D3" w:rsidRDefault="00FE421C" w:rsidP="00044B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Desarrollo y Prestación de Servicios Culturales y Educativos</w:t>
            </w:r>
          </w:p>
        </w:tc>
        <w:tc>
          <w:tcPr>
            <w:tcW w:w="1624" w:type="dxa"/>
          </w:tcPr>
          <w:p w14:paraId="24C50B78" w14:textId="77777777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</w:p>
        </w:tc>
        <w:tc>
          <w:tcPr>
            <w:tcW w:w="2463" w:type="dxa"/>
          </w:tcPr>
          <w:p w14:paraId="3655B484" w14:textId="4FA135FD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2</w:t>
            </w:r>
          </w:p>
        </w:tc>
        <w:tc>
          <w:tcPr>
            <w:tcW w:w="2472" w:type="dxa"/>
          </w:tcPr>
          <w:p w14:paraId="10FAEF18" w14:textId="7140823F" w:rsidR="00FE421C" w:rsidRPr="006E62D3" w:rsidRDefault="00FE421C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NA</w:t>
            </w:r>
          </w:p>
        </w:tc>
      </w:tr>
    </w:tbl>
    <w:p w14:paraId="7109A9EF" w14:textId="77777777" w:rsidR="00DB328B" w:rsidRPr="001A5D78" w:rsidRDefault="00DB328B">
      <w:pPr>
        <w:rPr>
          <w:rFonts w:ascii="Lato" w:hAnsi="Lato"/>
          <w:sz w:val="20"/>
          <w:szCs w:val="20"/>
        </w:rPr>
      </w:pPr>
    </w:p>
    <w:p w14:paraId="30CC2317" w14:textId="77777777" w:rsidR="00DB328B" w:rsidRPr="001A5D78" w:rsidRDefault="00DB328B">
      <w:pPr>
        <w:rPr>
          <w:rFonts w:ascii="Lato" w:hAnsi="Lato"/>
          <w:sz w:val="20"/>
          <w:szCs w:val="20"/>
        </w:rPr>
      </w:pPr>
    </w:p>
    <w:p w14:paraId="2C35FBCC" w14:textId="77777777" w:rsidR="009C223B" w:rsidRPr="001A5D78" w:rsidRDefault="009C223B" w:rsidP="009C223B">
      <w:pPr>
        <w:jc w:val="center"/>
        <w:rPr>
          <w:rFonts w:ascii="Lato" w:eastAsia="Barlow" w:hAnsi="Lato" w:cs="Barlow"/>
          <w:b/>
          <w:sz w:val="20"/>
          <w:szCs w:val="20"/>
          <w:u w:val="single"/>
        </w:rPr>
      </w:pPr>
      <w:r w:rsidRPr="001A5D78">
        <w:rPr>
          <w:rFonts w:ascii="Lato" w:eastAsia="Barlow" w:hAnsi="Lato" w:cs="Barlow"/>
          <w:b/>
          <w:sz w:val="20"/>
          <w:szCs w:val="20"/>
          <w:u w:val="single"/>
        </w:rPr>
        <w:t>Fomento de actividades de desarrollo cultural y educativo.</w:t>
      </w:r>
    </w:p>
    <w:p w14:paraId="2A42CF65" w14:textId="77777777" w:rsidR="00DB328B" w:rsidRPr="001A5D78" w:rsidRDefault="00DB328B" w:rsidP="00DB328B">
      <w:pPr>
        <w:rPr>
          <w:rFonts w:ascii="Lato" w:eastAsia="Barlow" w:hAnsi="Lato" w:cs="Barlow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2316"/>
        <w:gridCol w:w="2787"/>
      </w:tblGrid>
      <w:tr w:rsidR="00DB328B" w:rsidRPr="006E62D3" w14:paraId="7971DBB8" w14:textId="77777777" w:rsidTr="006E62D3">
        <w:trPr>
          <w:jc w:val="center"/>
        </w:trPr>
        <w:tc>
          <w:tcPr>
            <w:tcW w:w="2547" w:type="dxa"/>
          </w:tcPr>
          <w:p w14:paraId="601B19CD" w14:textId="6C3AB47C" w:rsidR="00DB328B" w:rsidRPr="006E62D3" w:rsidRDefault="00E01072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Directriz</w:t>
            </w:r>
            <w:r w:rsidR="00DB328B" w:rsidRPr="006E62D3">
              <w:rPr>
                <w:rFonts w:ascii="Lato" w:eastAsia="Barlow" w:hAnsi="Lato" w:cs="Barlow"/>
                <w:b/>
                <w:sz w:val="20"/>
                <w:szCs w:val="20"/>
              </w:rPr>
              <w:t xml:space="preserve"> PED</w:t>
            </w:r>
          </w:p>
        </w:tc>
        <w:tc>
          <w:tcPr>
            <w:tcW w:w="2551" w:type="dxa"/>
          </w:tcPr>
          <w:p w14:paraId="0AB9AB96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Política pública</w:t>
            </w:r>
          </w:p>
        </w:tc>
        <w:tc>
          <w:tcPr>
            <w:tcW w:w="2316" w:type="dxa"/>
          </w:tcPr>
          <w:p w14:paraId="0FF8525E" w14:textId="0F0F7B2D" w:rsidR="00DB328B" w:rsidRPr="006E62D3" w:rsidRDefault="00E01072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 xml:space="preserve">Objetivos </w:t>
            </w:r>
            <w:r w:rsidR="00DB328B" w:rsidRPr="006E62D3">
              <w:rPr>
                <w:rFonts w:ascii="Lato" w:eastAsia="Barlow" w:hAnsi="Lato" w:cs="Barlow"/>
                <w:b/>
                <w:sz w:val="20"/>
                <w:szCs w:val="20"/>
              </w:rPr>
              <w:t>Estrat</w:t>
            </w: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égicos</w:t>
            </w:r>
          </w:p>
        </w:tc>
        <w:tc>
          <w:tcPr>
            <w:tcW w:w="2787" w:type="dxa"/>
          </w:tcPr>
          <w:p w14:paraId="447C8E74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Línea de acción</w:t>
            </w:r>
          </w:p>
        </w:tc>
      </w:tr>
      <w:tr w:rsidR="001C1AB6" w:rsidRPr="006E62D3" w14:paraId="1977A837" w14:textId="77777777" w:rsidTr="006E62D3">
        <w:trPr>
          <w:jc w:val="center"/>
        </w:trPr>
        <w:tc>
          <w:tcPr>
            <w:tcW w:w="2547" w:type="dxa"/>
          </w:tcPr>
          <w:p w14:paraId="20070B0C" w14:textId="2B4EFC1F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Educación, cultura y deporte Pilares del renacimiento.</w:t>
            </w:r>
          </w:p>
        </w:tc>
        <w:tc>
          <w:tcPr>
            <w:tcW w:w="2551" w:type="dxa"/>
          </w:tcPr>
          <w:p w14:paraId="493F7FBC" w14:textId="78D7753F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Acceso equitativo a la cultura</w:t>
            </w:r>
          </w:p>
        </w:tc>
        <w:tc>
          <w:tcPr>
            <w:tcW w:w="2316" w:type="dxa"/>
          </w:tcPr>
          <w:p w14:paraId="241427DD" w14:textId="288D708D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Mejorar la infraestructura y equipamiento de los espacios culturales en los municipios del estado.</w:t>
            </w:r>
          </w:p>
        </w:tc>
        <w:tc>
          <w:tcPr>
            <w:tcW w:w="2787" w:type="dxa"/>
          </w:tcPr>
          <w:p w14:paraId="344A1796" w14:textId="3A598DF9" w:rsidR="001C1AB6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Fomentar en las escuelas púbicas de nivel básico, la visita a os centros culturales y museos comunitarios.</w:t>
            </w:r>
          </w:p>
        </w:tc>
      </w:tr>
      <w:tr w:rsidR="00E01072" w:rsidRPr="006E62D3" w14:paraId="201D8766" w14:textId="77777777" w:rsidTr="006E62D3">
        <w:trPr>
          <w:jc w:val="center"/>
        </w:trPr>
        <w:tc>
          <w:tcPr>
            <w:tcW w:w="2547" w:type="dxa"/>
          </w:tcPr>
          <w:p w14:paraId="1EFDA63A" w14:textId="5695A7F4" w:rsidR="00E01072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Educación, cultura y deporte Pilares del renacimiento.</w:t>
            </w:r>
          </w:p>
        </w:tc>
        <w:tc>
          <w:tcPr>
            <w:tcW w:w="2551" w:type="dxa"/>
          </w:tcPr>
          <w:p w14:paraId="03DEC9DA" w14:textId="40E88232" w:rsidR="00E01072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Acceso equitativo a la cultura</w:t>
            </w:r>
          </w:p>
        </w:tc>
        <w:tc>
          <w:tcPr>
            <w:tcW w:w="2316" w:type="dxa"/>
          </w:tcPr>
          <w:p w14:paraId="14F26E50" w14:textId="78C2F291" w:rsidR="00E01072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Ampliar la infraestructura y patrimonio cultural del estado</w:t>
            </w:r>
          </w:p>
        </w:tc>
        <w:tc>
          <w:tcPr>
            <w:tcW w:w="2787" w:type="dxa"/>
          </w:tcPr>
          <w:p w14:paraId="337EBCCB" w14:textId="67AEE7F8" w:rsidR="00E01072" w:rsidRPr="006E62D3" w:rsidRDefault="00E01072" w:rsidP="001C1AB6">
            <w:pPr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Promover la apropiación social del patrimonio cultural a través de actividades educativas y culturales.</w:t>
            </w:r>
          </w:p>
        </w:tc>
      </w:tr>
    </w:tbl>
    <w:p w14:paraId="1E7D0DD7" w14:textId="77777777" w:rsidR="00DB328B" w:rsidRPr="001A5D78" w:rsidRDefault="00DB328B" w:rsidP="00DB328B">
      <w:pPr>
        <w:rPr>
          <w:rFonts w:ascii="Lato" w:eastAsia="Barlow" w:hAnsi="Lato" w:cs="Barlow"/>
          <w:sz w:val="20"/>
          <w:szCs w:val="20"/>
        </w:rPr>
      </w:pPr>
    </w:p>
    <w:p w14:paraId="3E88AC00" w14:textId="2A75F53C" w:rsidR="00DB328B" w:rsidRDefault="00DB328B" w:rsidP="00DB328B">
      <w:pPr>
        <w:rPr>
          <w:rFonts w:ascii="Lato" w:eastAsia="Barlow" w:hAnsi="Lato" w:cs="Barlow"/>
          <w:b/>
          <w:sz w:val="20"/>
          <w:szCs w:val="20"/>
        </w:rPr>
      </w:pPr>
    </w:p>
    <w:p w14:paraId="0A4DCC0D" w14:textId="6599CC9D" w:rsidR="006E62D3" w:rsidRDefault="006E62D3" w:rsidP="00DB328B">
      <w:pPr>
        <w:rPr>
          <w:rFonts w:ascii="Lato" w:eastAsia="Barlow" w:hAnsi="Lato" w:cs="Barlow"/>
          <w:b/>
          <w:sz w:val="20"/>
          <w:szCs w:val="20"/>
        </w:rPr>
      </w:pPr>
    </w:p>
    <w:p w14:paraId="584B7E39" w14:textId="63362CB8" w:rsidR="006E62D3" w:rsidRDefault="006E62D3" w:rsidP="00DB328B">
      <w:pPr>
        <w:rPr>
          <w:rFonts w:ascii="Lato" w:eastAsia="Barlow" w:hAnsi="Lato" w:cs="Barlow"/>
          <w:b/>
          <w:sz w:val="20"/>
          <w:szCs w:val="20"/>
        </w:rPr>
      </w:pPr>
    </w:p>
    <w:p w14:paraId="305E6AC8" w14:textId="31334FA0" w:rsidR="006E62D3" w:rsidRDefault="006E62D3" w:rsidP="00DB328B">
      <w:pPr>
        <w:rPr>
          <w:rFonts w:ascii="Lato" w:eastAsia="Barlow" w:hAnsi="Lato" w:cs="Barlow"/>
          <w:b/>
          <w:sz w:val="20"/>
          <w:szCs w:val="20"/>
        </w:rPr>
      </w:pPr>
    </w:p>
    <w:p w14:paraId="18828638" w14:textId="6263C4B2" w:rsidR="006E62D3" w:rsidRDefault="006E62D3" w:rsidP="00DB328B">
      <w:pPr>
        <w:rPr>
          <w:rFonts w:ascii="Lato" w:eastAsia="Barlow" w:hAnsi="Lato" w:cs="Barlow"/>
          <w:b/>
          <w:sz w:val="20"/>
          <w:szCs w:val="20"/>
        </w:rPr>
      </w:pPr>
    </w:p>
    <w:p w14:paraId="287DBCE7" w14:textId="77777777" w:rsidR="006E62D3" w:rsidRPr="001A5D78" w:rsidRDefault="006E62D3" w:rsidP="00DB328B">
      <w:pPr>
        <w:rPr>
          <w:rFonts w:ascii="Lato" w:eastAsia="Barlow" w:hAnsi="Lato" w:cs="Barlow"/>
          <w:b/>
          <w:sz w:val="20"/>
          <w:szCs w:val="20"/>
        </w:rPr>
      </w:pPr>
    </w:p>
    <w:p w14:paraId="6A64A50F" w14:textId="77777777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</w:p>
    <w:p w14:paraId="1C3B4D00" w14:textId="77777777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  <w:r w:rsidRPr="001A5D78">
        <w:rPr>
          <w:rFonts w:ascii="Lato" w:eastAsia="Barlow" w:hAnsi="Lato" w:cs="Barlow"/>
          <w:b/>
          <w:sz w:val="20"/>
          <w:szCs w:val="20"/>
        </w:rPr>
        <w:t xml:space="preserve">Entregables </w:t>
      </w:r>
    </w:p>
    <w:p w14:paraId="2A05BA0A" w14:textId="77777777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35"/>
        <w:gridCol w:w="1624"/>
        <w:gridCol w:w="2463"/>
        <w:gridCol w:w="2472"/>
      </w:tblGrid>
      <w:tr w:rsidR="00DB328B" w:rsidRPr="006E62D3" w14:paraId="547F8804" w14:textId="77777777" w:rsidTr="006E62D3">
        <w:trPr>
          <w:jc w:val="center"/>
        </w:trPr>
        <w:tc>
          <w:tcPr>
            <w:tcW w:w="3335" w:type="dxa"/>
          </w:tcPr>
          <w:p w14:paraId="38BEDE96" w14:textId="5B01668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Entregable</w:t>
            </w:r>
          </w:p>
        </w:tc>
        <w:tc>
          <w:tcPr>
            <w:tcW w:w="1624" w:type="dxa"/>
          </w:tcPr>
          <w:p w14:paraId="0D6DE8E0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Meta</w:t>
            </w:r>
          </w:p>
        </w:tc>
        <w:tc>
          <w:tcPr>
            <w:tcW w:w="2463" w:type="dxa"/>
          </w:tcPr>
          <w:p w14:paraId="4C8B9EAF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Avance</w:t>
            </w:r>
          </w:p>
        </w:tc>
        <w:tc>
          <w:tcPr>
            <w:tcW w:w="2472" w:type="dxa"/>
          </w:tcPr>
          <w:p w14:paraId="23537A17" w14:textId="77777777" w:rsidR="00DB328B" w:rsidRPr="006E62D3" w:rsidRDefault="00DB328B" w:rsidP="00044B6A">
            <w:pPr>
              <w:jc w:val="center"/>
              <w:rPr>
                <w:rFonts w:ascii="Lato" w:eastAsia="Barlow" w:hAnsi="Lato" w:cs="Barlow"/>
                <w:b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b/>
                <w:sz w:val="20"/>
                <w:szCs w:val="20"/>
              </w:rPr>
              <w:t>Porcentaje avance</w:t>
            </w:r>
          </w:p>
        </w:tc>
      </w:tr>
      <w:tr w:rsidR="00DB328B" w:rsidRPr="006E62D3" w14:paraId="71049537" w14:textId="77777777" w:rsidTr="006E62D3">
        <w:trPr>
          <w:jc w:val="center"/>
        </w:trPr>
        <w:tc>
          <w:tcPr>
            <w:tcW w:w="3335" w:type="dxa"/>
          </w:tcPr>
          <w:p w14:paraId="0E776BA4" w14:textId="545E91F7" w:rsidR="00DB328B" w:rsidRPr="006E62D3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Recorridos Escolares</w:t>
            </w:r>
          </w:p>
        </w:tc>
        <w:tc>
          <w:tcPr>
            <w:tcW w:w="1624" w:type="dxa"/>
          </w:tcPr>
          <w:p w14:paraId="16693322" w14:textId="2AB77A23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71</w:t>
            </w:r>
          </w:p>
        </w:tc>
        <w:tc>
          <w:tcPr>
            <w:tcW w:w="2463" w:type="dxa"/>
          </w:tcPr>
          <w:p w14:paraId="5CDB5230" w14:textId="167EC01C" w:rsidR="00DB328B" w:rsidRPr="006E62D3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7</w:t>
            </w:r>
            <w:r w:rsidR="00660940" w:rsidRPr="006E62D3">
              <w:rPr>
                <w:rFonts w:ascii="Lato" w:eastAsia="Barlow" w:hAnsi="Lato" w:cs="Barlow"/>
                <w:sz w:val="20"/>
                <w:szCs w:val="20"/>
              </w:rPr>
              <w:t>1</w:t>
            </w:r>
          </w:p>
        </w:tc>
        <w:tc>
          <w:tcPr>
            <w:tcW w:w="2472" w:type="dxa"/>
          </w:tcPr>
          <w:p w14:paraId="64ECF1C9" w14:textId="3ED7CF32" w:rsidR="00DB328B" w:rsidRPr="006E62D3" w:rsidRDefault="00AE66D2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100.00%</w:t>
            </w:r>
          </w:p>
        </w:tc>
      </w:tr>
      <w:tr w:rsidR="00DB328B" w:rsidRPr="006E62D3" w14:paraId="259155B4" w14:textId="77777777" w:rsidTr="006E62D3">
        <w:trPr>
          <w:jc w:val="center"/>
        </w:trPr>
        <w:tc>
          <w:tcPr>
            <w:tcW w:w="3335" w:type="dxa"/>
          </w:tcPr>
          <w:p w14:paraId="57DD6015" w14:textId="6075E34B" w:rsidR="00DB328B" w:rsidRPr="006E62D3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Talleres para adultos</w:t>
            </w:r>
          </w:p>
        </w:tc>
        <w:tc>
          <w:tcPr>
            <w:tcW w:w="1624" w:type="dxa"/>
          </w:tcPr>
          <w:p w14:paraId="62BBDE44" w14:textId="467E80CB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28</w:t>
            </w:r>
          </w:p>
        </w:tc>
        <w:tc>
          <w:tcPr>
            <w:tcW w:w="2463" w:type="dxa"/>
          </w:tcPr>
          <w:p w14:paraId="5C4AD255" w14:textId="7496D7C5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23</w:t>
            </w:r>
          </w:p>
        </w:tc>
        <w:tc>
          <w:tcPr>
            <w:tcW w:w="2472" w:type="dxa"/>
          </w:tcPr>
          <w:p w14:paraId="3D73FBD8" w14:textId="7EA6944E" w:rsidR="00DB328B" w:rsidRPr="006E62D3" w:rsidRDefault="00AE66D2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82.14</w:t>
            </w:r>
            <w:r w:rsidR="00DB328B" w:rsidRPr="006E62D3">
              <w:rPr>
                <w:rFonts w:ascii="Lato" w:eastAsia="Barlow" w:hAnsi="Lato" w:cs="Barlow"/>
                <w:sz w:val="20"/>
                <w:szCs w:val="20"/>
              </w:rPr>
              <w:t>%</w:t>
            </w:r>
          </w:p>
        </w:tc>
      </w:tr>
      <w:tr w:rsidR="00DB328B" w:rsidRPr="006E62D3" w14:paraId="3DA93221" w14:textId="77777777" w:rsidTr="006E62D3">
        <w:trPr>
          <w:jc w:val="center"/>
        </w:trPr>
        <w:tc>
          <w:tcPr>
            <w:tcW w:w="3335" w:type="dxa"/>
          </w:tcPr>
          <w:p w14:paraId="539191C3" w14:textId="259D8B8A" w:rsidR="00DB328B" w:rsidRPr="006E62D3" w:rsidRDefault="00DB328B" w:rsidP="00044B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Barlow" w:hAnsi="Lato" w:cs="Barlow"/>
                <w:color w:val="000000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color w:val="000000"/>
                <w:sz w:val="20"/>
                <w:szCs w:val="20"/>
              </w:rPr>
              <w:t>Talleres para niños</w:t>
            </w:r>
          </w:p>
        </w:tc>
        <w:tc>
          <w:tcPr>
            <w:tcW w:w="1624" w:type="dxa"/>
          </w:tcPr>
          <w:p w14:paraId="1291C899" w14:textId="0ED7EEDF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28</w:t>
            </w:r>
          </w:p>
        </w:tc>
        <w:tc>
          <w:tcPr>
            <w:tcW w:w="2463" w:type="dxa"/>
          </w:tcPr>
          <w:p w14:paraId="7DC9587D" w14:textId="27719A70" w:rsidR="00DB328B" w:rsidRPr="006E62D3" w:rsidRDefault="00660940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32</w:t>
            </w:r>
          </w:p>
        </w:tc>
        <w:tc>
          <w:tcPr>
            <w:tcW w:w="2472" w:type="dxa"/>
          </w:tcPr>
          <w:p w14:paraId="3054BB7B" w14:textId="47877195" w:rsidR="00DB328B" w:rsidRPr="006E62D3" w:rsidRDefault="00DB328B" w:rsidP="00044B6A">
            <w:pPr>
              <w:spacing w:line="259" w:lineRule="auto"/>
              <w:jc w:val="center"/>
              <w:rPr>
                <w:rFonts w:ascii="Lato" w:eastAsia="Barlow" w:hAnsi="Lato" w:cs="Barlow"/>
                <w:sz w:val="20"/>
                <w:szCs w:val="20"/>
              </w:rPr>
            </w:pPr>
            <w:r w:rsidRPr="006E62D3">
              <w:rPr>
                <w:rFonts w:ascii="Lato" w:eastAsia="Barlow" w:hAnsi="Lato" w:cs="Barlow"/>
                <w:sz w:val="20"/>
                <w:szCs w:val="20"/>
              </w:rPr>
              <w:t>1</w:t>
            </w:r>
            <w:r w:rsidR="00AE66D2" w:rsidRPr="006E62D3">
              <w:rPr>
                <w:rFonts w:ascii="Lato" w:eastAsia="Barlow" w:hAnsi="Lato" w:cs="Barlow"/>
                <w:sz w:val="20"/>
                <w:szCs w:val="20"/>
              </w:rPr>
              <w:t>14.28</w:t>
            </w:r>
            <w:r w:rsidRPr="006E62D3">
              <w:rPr>
                <w:rFonts w:ascii="Lato" w:eastAsia="Barlow" w:hAnsi="Lato" w:cs="Barlow"/>
                <w:sz w:val="20"/>
                <w:szCs w:val="20"/>
              </w:rPr>
              <w:t>%</w:t>
            </w:r>
          </w:p>
        </w:tc>
      </w:tr>
    </w:tbl>
    <w:p w14:paraId="313E495D" w14:textId="11A649BA" w:rsidR="00DB328B" w:rsidRPr="001A5D78" w:rsidRDefault="00DB328B" w:rsidP="00DB328B">
      <w:pPr>
        <w:rPr>
          <w:rFonts w:ascii="Lato" w:eastAsia="Barlow" w:hAnsi="Lato" w:cs="Barlow"/>
          <w:b/>
          <w:sz w:val="20"/>
          <w:szCs w:val="20"/>
        </w:rPr>
      </w:pPr>
    </w:p>
    <w:p w14:paraId="4F1E4F7D" w14:textId="3FB15D7B" w:rsidR="009C223B" w:rsidRPr="001A5D78" w:rsidRDefault="009C223B">
      <w:pPr>
        <w:rPr>
          <w:rFonts w:ascii="Lato" w:hAnsi="Lato"/>
          <w:sz w:val="20"/>
          <w:szCs w:val="20"/>
        </w:rPr>
      </w:pPr>
    </w:p>
    <w:p w14:paraId="540151B3" w14:textId="3A417A89" w:rsidR="009C223B" w:rsidRPr="001A5D78" w:rsidRDefault="009C223B">
      <w:pPr>
        <w:rPr>
          <w:rFonts w:ascii="Lato" w:hAnsi="Lato"/>
          <w:sz w:val="20"/>
          <w:szCs w:val="20"/>
        </w:rPr>
      </w:pPr>
    </w:p>
    <w:p w14:paraId="37881BBF" w14:textId="41C144B1" w:rsidR="009C223B" w:rsidRDefault="009C223B">
      <w:pPr>
        <w:rPr>
          <w:rFonts w:ascii="Lato" w:hAnsi="Lato"/>
          <w:sz w:val="20"/>
          <w:szCs w:val="20"/>
        </w:rPr>
      </w:pPr>
      <w:r w:rsidRPr="001A5D78">
        <w:rPr>
          <w:rFonts w:ascii="Lato" w:hAnsi="Lato"/>
          <w:sz w:val="20"/>
          <w:szCs w:val="20"/>
        </w:rPr>
        <w:t xml:space="preserve">Bajo protesta de decir verdad declaramos que los Estados Financieros y sus Notas son razonablemente correctos y </w:t>
      </w:r>
      <w:r w:rsidR="006E62D3">
        <w:rPr>
          <w:rFonts w:ascii="Lato" w:hAnsi="Lato"/>
          <w:sz w:val="20"/>
          <w:szCs w:val="20"/>
        </w:rPr>
        <w:t xml:space="preserve">son </w:t>
      </w:r>
      <w:r w:rsidRPr="001A5D78">
        <w:rPr>
          <w:rFonts w:ascii="Lato" w:hAnsi="Lato"/>
          <w:sz w:val="20"/>
          <w:szCs w:val="20"/>
        </w:rPr>
        <w:t>responsabilidad del emisor.</w:t>
      </w:r>
    </w:p>
    <w:p w14:paraId="3193BF71" w14:textId="29040775" w:rsidR="003A105E" w:rsidRDefault="003A105E">
      <w:pPr>
        <w:rPr>
          <w:rFonts w:ascii="Lato" w:hAnsi="Lato"/>
          <w:sz w:val="20"/>
          <w:szCs w:val="20"/>
        </w:rPr>
      </w:pPr>
    </w:p>
    <w:p w14:paraId="5FA6BEAD" w14:textId="420ED80E" w:rsidR="003A105E" w:rsidRDefault="003A105E">
      <w:pPr>
        <w:rPr>
          <w:rFonts w:ascii="Lato" w:hAnsi="Lato"/>
          <w:sz w:val="20"/>
          <w:szCs w:val="20"/>
        </w:rPr>
      </w:pPr>
    </w:p>
    <w:p w14:paraId="3102FFE7" w14:textId="6BAF6E47" w:rsidR="003A105E" w:rsidRPr="001A5D78" w:rsidRDefault="003A105E">
      <w:pPr>
        <w:rPr>
          <w:rFonts w:ascii="Lato" w:hAnsi="Lato"/>
          <w:sz w:val="20"/>
          <w:szCs w:val="20"/>
        </w:rPr>
      </w:pPr>
    </w:p>
    <w:sectPr w:rsidR="003A105E" w:rsidRPr="001A5D78" w:rsidSect="006E62D3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8C5"/>
    <w:multiLevelType w:val="multilevel"/>
    <w:tmpl w:val="C9C66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88D"/>
    <w:multiLevelType w:val="multilevel"/>
    <w:tmpl w:val="E9949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3B"/>
    <w:rsid w:val="000B0EE9"/>
    <w:rsid w:val="00173211"/>
    <w:rsid w:val="00186D62"/>
    <w:rsid w:val="001A1A60"/>
    <w:rsid w:val="001A5D78"/>
    <w:rsid w:val="001C1AB6"/>
    <w:rsid w:val="0027501E"/>
    <w:rsid w:val="002A0834"/>
    <w:rsid w:val="002A4749"/>
    <w:rsid w:val="002C07F1"/>
    <w:rsid w:val="00311E3D"/>
    <w:rsid w:val="00346619"/>
    <w:rsid w:val="00381C7A"/>
    <w:rsid w:val="003A105E"/>
    <w:rsid w:val="00403683"/>
    <w:rsid w:val="00474001"/>
    <w:rsid w:val="00497D44"/>
    <w:rsid w:val="004A10D1"/>
    <w:rsid w:val="004A38AD"/>
    <w:rsid w:val="00545B55"/>
    <w:rsid w:val="00572EBB"/>
    <w:rsid w:val="00584814"/>
    <w:rsid w:val="00601468"/>
    <w:rsid w:val="00660940"/>
    <w:rsid w:val="006E62D3"/>
    <w:rsid w:val="0075505F"/>
    <w:rsid w:val="00764FD3"/>
    <w:rsid w:val="007B50AB"/>
    <w:rsid w:val="007D0550"/>
    <w:rsid w:val="007F04F1"/>
    <w:rsid w:val="0081167C"/>
    <w:rsid w:val="00831BCD"/>
    <w:rsid w:val="009C223B"/>
    <w:rsid w:val="009E0D43"/>
    <w:rsid w:val="00A5278C"/>
    <w:rsid w:val="00AE66D2"/>
    <w:rsid w:val="00AF15F0"/>
    <w:rsid w:val="00B82DB1"/>
    <w:rsid w:val="00BC725C"/>
    <w:rsid w:val="00BD0AF2"/>
    <w:rsid w:val="00BE0FBE"/>
    <w:rsid w:val="00C3184D"/>
    <w:rsid w:val="00CE5488"/>
    <w:rsid w:val="00D752EC"/>
    <w:rsid w:val="00DB328B"/>
    <w:rsid w:val="00E01072"/>
    <w:rsid w:val="00E2147E"/>
    <w:rsid w:val="00E558E6"/>
    <w:rsid w:val="00EB281D"/>
    <w:rsid w:val="00F50FA7"/>
    <w:rsid w:val="00F946EA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6EB4"/>
  <w15:chartTrackingRefBased/>
  <w15:docId w15:val="{5252CFEA-ED05-44E2-8DF1-C35EF116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3B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22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2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2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2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2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2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2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2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2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2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C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22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C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22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C2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22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C2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2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105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</dc:creator>
  <cp:keywords/>
  <dc:description/>
  <cp:lastModifiedBy>Sharon Yanelli Lara Medrano</cp:lastModifiedBy>
  <cp:revision>2</cp:revision>
  <cp:lastPrinted>2026-01-14T21:03:00Z</cp:lastPrinted>
  <dcterms:created xsi:type="dcterms:W3CDTF">2026-04-27T17:01:00Z</dcterms:created>
  <dcterms:modified xsi:type="dcterms:W3CDTF">2026-04-27T17:01:00Z</dcterms:modified>
</cp:coreProperties>
</file>