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23EBF" w14:textId="03C35E84" w:rsidR="003E52D9" w:rsidRPr="002B21CF" w:rsidRDefault="003E52D9" w:rsidP="002B21CF">
      <w:pPr>
        <w:autoSpaceDE w:val="0"/>
        <w:autoSpaceDN w:val="0"/>
        <w:adjustRightInd w:val="0"/>
        <w:spacing w:line="360" w:lineRule="auto"/>
        <w:jc w:val="center"/>
        <w:rPr>
          <w:rFonts w:ascii="Lato" w:hAnsi="Lato"/>
          <w:b/>
          <w:sz w:val="20"/>
          <w:szCs w:val="20"/>
        </w:rPr>
      </w:pPr>
      <w:r w:rsidRPr="002B21CF">
        <w:rPr>
          <w:rFonts w:ascii="Lato" w:hAnsi="Lato"/>
          <w:b/>
          <w:sz w:val="20"/>
          <w:szCs w:val="20"/>
        </w:rPr>
        <w:t>Notas a los Estados Financieros</w:t>
      </w:r>
    </w:p>
    <w:p w14:paraId="38550DC7" w14:textId="600E840F" w:rsidR="003102BA" w:rsidRPr="002B21CF" w:rsidRDefault="0086690E" w:rsidP="00E07BE3">
      <w:pPr>
        <w:autoSpaceDE w:val="0"/>
        <w:autoSpaceDN w:val="0"/>
        <w:adjustRightInd w:val="0"/>
        <w:spacing w:line="360" w:lineRule="auto"/>
        <w:jc w:val="center"/>
        <w:rPr>
          <w:rFonts w:ascii="Lato" w:hAnsi="Lato"/>
          <w:b/>
          <w:sz w:val="20"/>
          <w:szCs w:val="20"/>
        </w:rPr>
      </w:pPr>
      <w:r w:rsidRPr="002B21CF">
        <w:rPr>
          <w:rFonts w:ascii="Lato" w:hAnsi="Lato"/>
          <w:b/>
          <w:sz w:val="20"/>
          <w:szCs w:val="20"/>
        </w:rPr>
        <w:t>Al 28 de febrero de 2026</w:t>
      </w:r>
    </w:p>
    <w:p w14:paraId="4B6260D4" w14:textId="6DFE5048" w:rsidR="003E52D9" w:rsidRPr="002B21CF" w:rsidRDefault="003E52D9" w:rsidP="00E07BE3">
      <w:pPr>
        <w:autoSpaceDE w:val="0"/>
        <w:autoSpaceDN w:val="0"/>
        <w:adjustRightInd w:val="0"/>
        <w:spacing w:line="360" w:lineRule="auto"/>
        <w:jc w:val="center"/>
        <w:rPr>
          <w:rFonts w:ascii="Lato" w:hAnsi="Lato"/>
          <w:b/>
          <w:sz w:val="20"/>
          <w:szCs w:val="20"/>
        </w:rPr>
      </w:pPr>
      <w:r w:rsidRPr="002B21CF">
        <w:rPr>
          <w:rFonts w:ascii="Lato" w:hAnsi="Lato"/>
          <w:b/>
          <w:sz w:val="20"/>
          <w:szCs w:val="20"/>
        </w:rPr>
        <w:t>(Cifras en Pesos)</w:t>
      </w:r>
    </w:p>
    <w:p w14:paraId="49EE1EB9" w14:textId="77777777" w:rsidR="00026DDA" w:rsidRPr="002B21CF" w:rsidRDefault="00026DDA" w:rsidP="003E52D9">
      <w:pPr>
        <w:autoSpaceDE w:val="0"/>
        <w:autoSpaceDN w:val="0"/>
        <w:adjustRightInd w:val="0"/>
        <w:spacing w:line="360" w:lineRule="auto"/>
        <w:rPr>
          <w:rFonts w:ascii="Lato" w:hAnsi="Lato"/>
          <w:b/>
          <w:sz w:val="20"/>
          <w:szCs w:val="20"/>
        </w:rPr>
      </w:pPr>
    </w:p>
    <w:p w14:paraId="385AB74D" w14:textId="6AAB7E50" w:rsidR="00026DDA" w:rsidRPr="002B21CF" w:rsidRDefault="002B21CF" w:rsidP="002B21CF">
      <w:pPr>
        <w:autoSpaceDE w:val="0"/>
        <w:autoSpaceDN w:val="0"/>
        <w:adjustRightInd w:val="0"/>
        <w:spacing w:line="360" w:lineRule="auto"/>
        <w:rPr>
          <w:rFonts w:ascii="Lato" w:hAnsi="Lato" w:cstheme="minorHAnsi"/>
          <w:sz w:val="20"/>
          <w:szCs w:val="20"/>
        </w:rPr>
      </w:pPr>
      <w:r w:rsidRPr="002B21CF">
        <w:rPr>
          <w:rFonts w:ascii="Lato" w:hAnsi="Lato"/>
          <w:b/>
          <w:sz w:val="20"/>
          <w:szCs w:val="20"/>
        </w:rPr>
        <w:t>Ente Público: FIDEICOMISO FONDO DE SEGURIDAD PÚBLICA DEL ESTADO DE YUCATÁN</w:t>
      </w:r>
    </w:p>
    <w:p w14:paraId="2C696431" w14:textId="4C06E2D9" w:rsidR="008273DF" w:rsidRPr="002B21CF" w:rsidRDefault="00C4137E" w:rsidP="00906A55">
      <w:pPr>
        <w:autoSpaceDE w:val="0"/>
        <w:autoSpaceDN w:val="0"/>
        <w:adjustRightInd w:val="0"/>
        <w:jc w:val="both"/>
        <w:rPr>
          <w:rFonts w:ascii="Lato" w:hAnsi="Lato" w:cstheme="minorHAnsi"/>
          <w:sz w:val="20"/>
          <w:szCs w:val="20"/>
        </w:rPr>
      </w:pPr>
      <w:r w:rsidRPr="002B21CF">
        <w:rPr>
          <w:rFonts w:ascii="Lato" w:hAnsi="Lato" w:cstheme="minorHAnsi"/>
          <w:sz w:val="20"/>
          <w:szCs w:val="20"/>
        </w:rPr>
        <w:t xml:space="preserve">Con el </w:t>
      </w:r>
      <w:r w:rsidR="00291770" w:rsidRPr="002B21CF">
        <w:rPr>
          <w:rFonts w:ascii="Lato" w:hAnsi="Lato" w:cstheme="minorHAnsi"/>
          <w:sz w:val="20"/>
          <w:szCs w:val="20"/>
        </w:rPr>
        <w:t>propósito</w:t>
      </w:r>
      <w:r w:rsidRPr="002B21CF">
        <w:rPr>
          <w:rFonts w:ascii="Lato" w:hAnsi="Lato" w:cstheme="minorHAnsi"/>
          <w:sz w:val="20"/>
          <w:szCs w:val="20"/>
        </w:rPr>
        <w:t xml:space="preserve"> de dar cumplimiento a los </w:t>
      </w:r>
      <w:r w:rsidR="00291770" w:rsidRPr="002B21CF">
        <w:rPr>
          <w:rFonts w:ascii="Lato" w:hAnsi="Lato" w:cstheme="minorHAnsi"/>
          <w:sz w:val="20"/>
          <w:szCs w:val="20"/>
        </w:rPr>
        <w:t>artículos</w:t>
      </w:r>
      <w:r w:rsidR="005A2D1D" w:rsidRPr="002B21CF">
        <w:rPr>
          <w:rFonts w:ascii="Lato" w:hAnsi="Lato" w:cstheme="minorHAnsi"/>
          <w:sz w:val="20"/>
          <w:szCs w:val="20"/>
        </w:rPr>
        <w:t xml:space="preserve"> 4</w:t>
      </w:r>
      <w:r w:rsidR="00361866" w:rsidRPr="002B21CF">
        <w:rPr>
          <w:rFonts w:ascii="Lato" w:hAnsi="Lato" w:cstheme="minorHAnsi"/>
          <w:sz w:val="20"/>
          <w:szCs w:val="20"/>
        </w:rPr>
        <w:t>6 y</w:t>
      </w:r>
      <w:r w:rsidR="005A2D1D" w:rsidRPr="002B21CF">
        <w:rPr>
          <w:rFonts w:ascii="Lato" w:hAnsi="Lato" w:cstheme="minorHAnsi"/>
          <w:sz w:val="20"/>
          <w:szCs w:val="20"/>
        </w:rPr>
        <w:t xml:space="preserve"> 49</w:t>
      </w:r>
      <w:r w:rsidR="00F91142" w:rsidRPr="002B21CF">
        <w:rPr>
          <w:rFonts w:ascii="Lato" w:hAnsi="Lato" w:cstheme="minorHAnsi"/>
          <w:sz w:val="20"/>
          <w:szCs w:val="20"/>
        </w:rPr>
        <w:t xml:space="preserve"> </w:t>
      </w:r>
      <w:r w:rsidR="005A2D1D" w:rsidRPr="002B21CF">
        <w:rPr>
          <w:rFonts w:ascii="Lato" w:hAnsi="Lato" w:cstheme="minorHAnsi"/>
          <w:sz w:val="20"/>
          <w:szCs w:val="20"/>
        </w:rPr>
        <w:t>de la Ley General de Contabilidad Gubernamental, artículo 31 fracciones XXVI y XXXII del Código de Administración Pública de Yucatán y al artículo 59 fracciones XXV y XXVII del Reglamento del Código de la Administración Pública de Yucatán</w:t>
      </w:r>
      <w:r w:rsidRPr="002B21CF">
        <w:rPr>
          <w:rFonts w:ascii="Lato" w:hAnsi="Lato" w:cstheme="minorHAnsi"/>
          <w:sz w:val="20"/>
          <w:szCs w:val="20"/>
        </w:rPr>
        <w:t xml:space="preserve">, el </w:t>
      </w:r>
      <w:r w:rsidR="000320C2" w:rsidRPr="002B21CF">
        <w:rPr>
          <w:rFonts w:ascii="Lato" w:hAnsi="Lato" w:cstheme="minorHAnsi"/>
          <w:sz w:val="20"/>
          <w:szCs w:val="20"/>
        </w:rPr>
        <w:t xml:space="preserve">Fondo de Seguridad Pública </w:t>
      </w:r>
      <w:r w:rsidRPr="002B21CF">
        <w:rPr>
          <w:rFonts w:ascii="Lato" w:hAnsi="Lato" w:cstheme="minorHAnsi"/>
          <w:sz w:val="20"/>
          <w:szCs w:val="20"/>
        </w:rPr>
        <w:t>del Estado de Yucatán, ha preparado los Estados Financieros incluyendo</w:t>
      </w:r>
      <w:r w:rsidR="00672BB0" w:rsidRPr="002B21CF">
        <w:rPr>
          <w:rFonts w:ascii="Lato" w:hAnsi="Lato" w:cstheme="minorHAnsi"/>
          <w:sz w:val="20"/>
          <w:szCs w:val="20"/>
        </w:rPr>
        <w:t xml:space="preserve"> </w:t>
      </w:r>
      <w:r w:rsidR="00CE3092" w:rsidRPr="002B21CF">
        <w:rPr>
          <w:rFonts w:ascii="Lato" w:hAnsi="Lato" w:cstheme="minorHAnsi"/>
          <w:sz w:val="20"/>
          <w:szCs w:val="20"/>
        </w:rPr>
        <w:t xml:space="preserve">las operaciones efectuadas </w:t>
      </w:r>
      <w:r w:rsidR="0086690E" w:rsidRPr="002B21CF">
        <w:rPr>
          <w:rFonts w:ascii="Lato" w:hAnsi="Lato" w:cstheme="minorHAnsi"/>
          <w:sz w:val="20"/>
          <w:szCs w:val="20"/>
        </w:rPr>
        <w:t>al 28 de febrero de 2026</w:t>
      </w:r>
      <w:r w:rsidRPr="002B21CF">
        <w:rPr>
          <w:rFonts w:ascii="Lato" w:hAnsi="Lato" w:cstheme="minorHAnsi"/>
          <w:sz w:val="20"/>
          <w:szCs w:val="20"/>
        </w:rPr>
        <w:t>.</w:t>
      </w:r>
    </w:p>
    <w:p w14:paraId="4E8A5B7F" w14:textId="77777777" w:rsidR="009D77C0" w:rsidRPr="002B21CF" w:rsidRDefault="009D77C0" w:rsidP="009D77C0">
      <w:pPr>
        <w:autoSpaceDE w:val="0"/>
        <w:autoSpaceDN w:val="0"/>
        <w:adjustRightInd w:val="0"/>
        <w:jc w:val="both"/>
        <w:rPr>
          <w:rFonts w:ascii="Lato" w:hAnsi="Lato" w:cstheme="minorHAnsi"/>
          <w:b/>
          <w:sz w:val="20"/>
          <w:szCs w:val="20"/>
        </w:rPr>
      </w:pPr>
    </w:p>
    <w:p w14:paraId="6D54EE22" w14:textId="6CABBCE7" w:rsidR="00F13E54" w:rsidRPr="002B21CF" w:rsidRDefault="00F13E54" w:rsidP="00F13E54">
      <w:pPr>
        <w:autoSpaceDE w:val="0"/>
        <w:autoSpaceDN w:val="0"/>
        <w:adjustRightInd w:val="0"/>
        <w:jc w:val="both"/>
        <w:rPr>
          <w:rFonts w:ascii="Lato" w:hAnsi="Lato" w:cstheme="minorHAnsi"/>
          <w:sz w:val="20"/>
          <w:szCs w:val="20"/>
        </w:rPr>
      </w:pPr>
      <w:r w:rsidRPr="002B21CF">
        <w:rPr>
          <w:rFonts w:ascii="Lato" w:hAnsi="Lato" w:cstheme="minorHAnsi"/>
          <w:sz w:val="20"/>
          <w:szCs w:val="20"/>
        </w:rPr>
        <w:t xml:space="preserve">Los Estados Financieros del Fondo de </w:t>
      </w:r>
      <w:r w:rsidR="003814C1" w:rsidRPr="002B21CF">
        <w:rPr>
          <w:rFonts w:ascii="Lato" w:hAnsi="Lato" w:cstheme="minorHAnsi"/>
          <w:sz w:val="20"/>
          <w:szCs w:val="20"/>
        </w:rPr>
        <w:t>S</w:t>
      </w:r>
      <w:r w:rsidRPr="002B21CF">
        <w:rPr>
          <w:rFonts w:ascii="Lato" w:hAnsi="Lato" w:cstheme="minorHAnsi"/>
          <w:sz w:val="20"/>
          <w:szCs w:val="20"/>
        </w:rPr>
        <w:t>eguridad Pública</w:t>
      </w:r>
      <w:r w:rsidR="003814C1" w:rsidRPr="002B21CF">
        <w:rPr>
          <w:rFonts w:ascii="Lato" w:hAnsi="Lato" w:cstheme="minorHAnsi"/>
          <w:sz w:val="20"/>
          <w:szCs w:val="20"/>
        </w:rPr>
        <w:t xml:space="preserve"> del Estado de Yucatán</w:t>
      </w:r>
      <w:r w:rsidRPr="002B21CF">
        <w:rPr>
          <w:rFonts w:ascii="Lato" w:hAnsi="Lato" w:cstheme="minorHAnsi"/>
          <w:sz w:val="20"/>
          <w:szCs w:val="20"/>
        </w:rPr>
        <w:t>, proveen de información financiera a los principales usuarios de la misma, la ciudadanía, a los administradores de la</w:t>
      </w:r>
      <w:r w:rsidR="00723BCC" w:rsidRPr="002B21CF">
        <w:rPr>
          <w:rFonts w:ascii="Lato" w:hAnsi="Lato" w:cstheme="minorHAnsi"/>
          <w:sz w:val="20"/>
          <w:szCs w:val="20"/>
        </w:rPr>
        <w:t>s</w:t>
      </w:r>
      <w:r w:rsidRPr="002B21CF">
        <w:rPr>
          <w:rFonts w:ascii="Lato" w:hAnsi="Lato" w:cstheme="minorHAnsi"/>
          <w:sz w:val="20"/>
          <w:szCs w:val="20"/>
        </w:rPr>
        <w:t xml:space="preserve"> Secretarías que integran el Poder Ejecutivo del Gobierno del Estado, al H. Congreso del Estado de Yucatán, a las Entidades Fiscalizadoras, a las Instituciones Bancarias y a las Calificadoras, entre otros.</w:t>
      </w:r>
    </w:p>
    <w:p w14:paraId="6E408449" w14:textId="77777777" w:rsidR="00F13E54" w:rsidRPr="002B21CF" w:rsidRDefault="00F13E54" w:rsidP="00F13E54">
      <w:pPr>
        <w:autoSpaceDE w:val="0"/>
        <w:autoSpaceDN w:val="0"/>
        <w:adjustRightInd w:val="0"/>
        <w:ind w:firstLine="360"/>
        <w:jc w:val="both"/>
        <w:rPr>
          <w:rFonts w:ascii="Lato" w:hAnsi="Lato" w:cstheme="minorHAnsi"/>
          <w:sz w:val="20"/>
          <w:szCs w:val="20"/>
        </w:rPr>
      </w:pPr>
    </w:p>
    <w:p w14:paraId="3C1FE120" w14:textId="77777777" w:rsidR="00F13E54" w:rsidRPr="002B21CF" w:rsidRDefault="00F13E54" w:rsidP="00F13E54">
      <w:pPr>
        <w:autoSpaceDE w:val="0"/>
        <w:autoSpaceDN w:val="0"/>
        <w:adjustRightInd w:val="0"/>
        <w:jc w:val="both"/>
        <w:rPr>
          <w:rFonts w:ascii="Lato" w:hAnsi="Lato" w:cstheme="minorHAnsi"/>
          <w:sz w:val="20"/>
          <w:szCs w:val="20"/>
        </w:rPr>
      </w:pPr>
      <w:r w:rsidRPr="002B21CF">
        <w:rPr>
          <w:rFonts w:ascii="Lato" w:hAnsi="Lato" w:cstheme="minorHAnsi"/>
          <w:sz w:val="20"/>
          <w:szCs w:val="20"/>
        </w:rPr>
        <w:t>El objetivo del presente documento es la revelación del contexto y de los aspectos económicos-financieros más relevantes que influyeron en las decisiones del período y que fueron considerados en la elaboración de los estados financieros para mayor comprensión de los mismos y sus particularidades.</w:t>
      </w:r>
    </w:p>
    <w:p w14:paraId="2E0C652A" w14:textId="77777777" w:rsidR="00F13E54" w:rsidRPr="002B21CF" w:rsidRDefault="00F13E54" w:rsidP="00F13E54">
      <w:pPr>
        <w:autoSpaceDE w:val="0"/>
        <w:autoSpaceDN w:val="0"/>
        <w:adjustRightInd w:val="0"/>
        <w:jc w:val="both"/>
        <w:rPr>
          <w:rFonts w:ascii="Lato" w:hAnsi="Lato" w:cstheme="minorHAnsi"/>
          <w:sz w:val="20"/>
          <w:szCs w:val="20"/>
        </w:rPr>
      </w:pPr>
      <w:r w:rsidRPr="002B21CF">
        <w:rPr>
          <w:rFonts w:ascii="Lato" w:hAnsi="Lato" w:cstheme="minorHAnsi"/>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2CE504E8" w14:textId="7EFBBE0B" w:rsidR="009D77C0" w:rsidRPr="002B21CF" w:rsidRDefault="009D77C0" w:rsidP="009D77C0">
      <w:pPr>
        <w:autoSpaceDE w:val="0"/>
        <w:autoSpaceDN w:val="0"/>
        <w:adjustRightInd w:val="0"/>
        <w:jc w:val="both"/>
        <w:rPr>
          <w:rFonts w:ascii="Lato" w:hAnsi="Lato" w:cstheme="minorHAnsi"/>
          <w:b/>
          <w:sz w:val="20"/>
          <w:szCs w:val="20"/>
        </w:rPr>
      </w:pPr>
    </w:p>
    <w:p w14:paraId="396191D4" w14:textId="77777777" w:rsidR="00397FC3" w:rsidRPr="002B21CF" w:rsidRDefault="00397FC3" w:rsidP="009D77C0">
      <w:pPr>
        <w:autoSpaceDE w:val="0"/>
        <w:autoSpaceDN w:val="0"/>
        <w:adjustRightInd w:val="0"/>
        <w:jc w:val="both"/>
        <w:rPr>
          <w:rFonts w:ascii="Lato" w:hAnsi="Lato" w:cstheme="minorHAnsi"/>
          <w:b/>
          <w:sz w:val="20"/>
          <w:szCs w:val="20"/>
        </w:rPr>
      </w:pPr>
    </w:p>
    <w:p w14:paraId="5BEBB513" w14:textId="77777777" w:rsidR="00397FC3" w:rsidRPr="002B21CF" w:rsidRDefault="00397FC3" w:rsidP="009D77C0">
      <w:pPr>
        <w:autoSpaceDE w:val="0"/>
        <w:autoSpaceDN w:val="0"/>
        <w:adjustRightInd w:val="0"/>
        <w:jc w:val="both"/>
        <w:rPr>
          <w:rFonts w:ascii="Lato" w:hAnsi="Lato" w:cstheme="minorHAnsi"/>
          <w:b/>
          <w:sz w:val="20"/>
          <w:szCs w:val="20"/>
        </w:rPr>
      </w:pPr>
    </w:p>
    <w:p w14:paraId="696B289E" w14:textId="5019AA8A" w:rsidR="00397FC3" w:rsidRDefault="00397FC3" w:rsidP="009D77C0">
      <w:pPr>
        <w:autoSpaceDE w:val="0"/>
        <w:autoSpaceDN w:val="0"/>
        <w:adjustRightInd w:val="0"/>
        <w:jc w:val="both"/>
        <w:rPr>
          <w:rFonts w:ascii="Lato" w:hAnsi="Lato" w:cstheme="minorHAnsi"/>
          <w:b/>
          <w:sz w:val="20"/>
          <w:szCs w:val="20"/>
        </w:rPr>
      </w:pPr>
    </w:p>
    <w:p w14:paraId="03B0440E" w14:textId="1C2F9159" w:rsidR="002B21CF" w:rsidRDefault="002B21CF" w:rsidP="009D77C0">
      <w:pPr>
        <w:autoSpaceDE w:val="0"/>
        <w:autoSpaceDN w:val="0"/>
        <w:adjustRightInd w:val="0"/>
        <w:jc w:val="both"/>
        <w:rPr>
          <w:rFonts w:ascii="Lato" w:hAnsi="Lato" w:cstheme="minorHAnsi"/>
          <w:b/>
          <w:sz w:val="20"/>
          <w:szCs w:val="20"/>
        </w:rPr>
      </w:pPr>
    </w:p>
    <w:p w14:paraId="67E7C903" w14:textId="42177572" w:rsidR="002B21CF" w:rsidRDefault="002B21CF" w:rsidP="009D77C0">
      <w:pPr>
        <w:autoSpaceDE w:val="0"/>
        <w:autoSpaceDN w:val="0"/>
        <w:adjustRightInd w:val="0"/>
        <w:jc w:val="both"/>
        <w:rPr>
          <w:rFonts w:ascii="Lato" w:hAnsi="Lato" w:cstheme="minorHAnsi"/>
          <w:b/>
          <w:sz w:val="20"/>
          <w:szCs w:val="20"/>
        </w:rPr>
      </w:pPr>
    </w:p>
    <w:p w14:paraId="19016BD6" w14:textId="6692A6EA" w:rsidR="002B21CF" w:rsidRDefault="002B21CF" w:rsidP="009D77C0">
      <w:pPr>
        <w:autoSpaceDE w:val="0"/>
        <w:autoSpaceDN w:val="0"/>
        <w:adjustRightInd w:val="0"/>
        <w:jc w:val="both"/>
        <w:rPr>
          <w:rFonts w:ascii="Lato" w:hAnsi="Lato" w:cstheme="minorHAnsi"/>
          <w:b/>
          <w:sz w:val="20"/>
          <w:szCs w:val="20"/>
        </w:rPr>
      </w:pPr>
    </w:p>
    <w:p w14:paraId="231A455D" w14:textId="41E3B8E8" w:rsidR="002B21CF" w:rsidRDefault="002B21CF" w:rsidP="009D77C0">
      <w:pPr>
        <w:autoSpaceDE w:val="0"/>
        <w:autoSpaceDN w:val="0"/>
        <w:adjustRightInd w:val="0"/>
        <w:jc w:val="both"/>
        <w:rPr>
          <w:rFonts w:ascii="Lato" w:hAnsi="Lato" w:cstheme="minorHAnsi"/>
          <w:b/>
          <w:sz w:val="20"/>
          <w:szCs w:val="20"/>
        </w:rPr>
      </w:pPr>
    </w:p>
    <w:p w14:paraId="583977FE" w14:textId="77777777" w:rsidR="002B21CF" w:rsidRPr="002B21CF" w:rsidRDefault="002B21CF" w:rsidP="009D77C0">
      <w:pPr>
        <w:autoSpaceDE w:val="0"/>
        <w:autoSpaceDN w:val="0"/>
        <w:adjustRightInd w:val="0"/>
        <w:jc w:val="both"/>
        <w:rPr>
          <w:rFonts w:ascii="Lato" w:hAnsi="Lato" w:cstheme="minorHAnsi"/>
          <w:b/>
          <w:sz w:val="20"/>
          <w:szCs w:val="20"/>
        </w:rPr>
      </w:pPr>
    </w:p>
    <w:p w14:paraId="4F021CCD" w14:textId="77777777" w:rsidR="00397FC3" w:rsidRPr="002B21CF" w:rsidRDefault="00397FC3" w:rsidP="009D77C0">
      <w:pPr>
        <w:autoSpaceDE w:val="0"/>
        <w:autoSpaceDN w:val="0"/>
        <w:adjustRightInd w:val="0"/>
        <w:jc w:val="both"/>
        <w:rPr>
          <w:rFonts w:ascii="Lato" w:hAnsi="Lato" w:cstheme="minorHAnsi"/>
          <w:b/>
          <w:sz w:val="20"/>
          <w:szCs w:val="20"/>
        </w:rPr>
      </w:pPr>
    </w:p>
    <w:p w14:paraId="1F17C86E" w14:textId="77777777" w:rsidR="00397FC3" w:rsidRPr="002B21CF" w:rsidRDefault="00397FC3" w:rsidP="009D77C0">
      <w:pPr>
        <w:autoSpaceDE w:val="0"/>
        <w:autoSpaceDN w:val="0"/>
        <w:adjustRightInd w:val="0"/>
        <w:jc w:val="both"/>
        <w:rPr>
          <w:rFonts w:ascii="Lato" w:hAnsi="Lato" w:cstheme="minorHAnsi"/>
          <w:b/>
          <w:sz w:val="20"/>
          <w:szCs w:val="20"/>
        </w:rPr>
      </w:pPr>
    </w:p>
    <w:p w14:paraId="6E70E346" w14:textId="3F488F72" w:rsidR="00397FC3" w:rsidRPr="002B21CF" w:rsidRDefault="00397FC3" w:rsidP="009D77C0">
      <w:pPr>
        <w:autoSpaceDE w:val="0"/>
        <w:autoSpaceDN w:val="0"/>
        <w:adjustRightInd w:val="0"/>
        <w:jc w:val="both"/>
        <w:rPr>
          <w:rFonts w:ascii="Lato" w:hAnsi="Lato" w:cstheme="minorHAnsi"/>
          <w:b/>
          <w:sz w:val="20"/>
          <w:szCs w:val="20"/>
        </w:rPr>
      </w:pPr>
    </w:p>
    <w:p w14:paraId="68FA1617" w14:textId="77777777" w:rsidR="009D77C0" w:rsidRPr="002B21CF" w:rsidRDefault="009D77C0" w:rsidP="009D77C0">
      <w:pPr>
        <w:pStyle w:val="Prrafodelista"/>
        <w:numPr>
          <w:ilvl w:val="0"/>
          <w:numId w:val="7"/>
        </w:numPr>
        <w:spacing w:after="200"/>
        <w:jc w:val="center"/>
        <w:rPr>
          <w:rFonts w:ascii="Lato" w:hAnsi="Lato" w:cstheme="minorHAnsi"/>
          <w:b/>
          <w:sz w:val="20"/>
          <w:szCs w:val="20"/>
        </w:rPr>
      </w:pPr>
      <w:r w:rsidRPr="002B21CF">
        <w:rPr>
          <w:rFonts w:ascii="Lato" w:hAnsi="Lato" w:cstheme="minorHAnsi"/>
          <w:b/>
          <w:sz w:val="20"/>
          <w:szCs w:val="20"/>
        </w:rPr>
        <w:lastRenderedPageBreak/>
        <w:t>NOTAS DE GESTIÓN ADMINISTRATIVA</w:t>
      </w:r>
    </w:p>
    <w:p w14:paraId="565E4338" w14:textId="21E6ED4D" w:rsidR="00687BDF" w:rsidRPr="002B21CF" w:rsidRDefault="00687BDF" w:rsidP="00687BDF">
      <w:pPr>
        <w:autoSpaceDE w:val="0"/>
        <w:autoSpaceDN w:val="0"/>
        <w:adjustRightInd w:val="0"/>
        <w:jc w:val="both"/>
        <w:rPr>
          <w:rFonts w:ascii="Lato" w:hAnsi="Lato" w:cstheme="minorHAnsi"/>
          <w:b/>
          <w:sz w:val="20"/>
          <w:szCs w:val="20"/>
        </w:rPr>
      </w:pPr>
      <w:r w:rsidRPr="002B21CF">
        <w:rPr>
          <w:rFonts w:ascii="Lato" w:hAnsi="Lato" w:cstheme="minorHAnsi"/>
          <w:b/>
          <w:sz w:val="20"/>
          <w:szCs w:val="20"/>
        </w:rPr>
        <w:t>1.- Autorización e Historia</w:t>
      </w:r>
    </w:p>
    <w:p w14:paraId="79459FE5" w14:textId="77777777" w:rsidR="00687BDF" w:rsidRPr="002B21CF" w:rsidRDefault="00687BDF" w:rsidP="00687BDF">
      <w:pPr>
        <w:autoSpaceDE w:val="0"/>
        <w:autoSpaceDN w:val="0"/>
        <w:adjustRightInd w:val="0"/>
        <w:jc w:val="both"/>
        <w:rPr>
          <w:rFonts w:ascii="Lato" w:hAnsi="Lato" w:cstheme="minorHAnsi"/>
          <w:b/>
          <w:sz w:val="20"/>
          <w:szCs w:val="20"/>
        </w:rPr>
      </w:pPr>
    </w:p>
    <w:p w14:paraId="7F140B40" w14:textId="0336EFA4" w:rsidR="00687BDF" w:rsidRPr="002B21CF" w:rsidRDefault="00687BDF" w:rsidP="00687BDF">
      <w:pPr>
        <w:numPr>
          <w:ilvl w:val="0"/>
          <w:numId w:val="2"/>
        </w:numPr>
        <w:autoSpaceDE w:val="0"/>
        <w:autoSpaceDN w:val="0"/>
        <w:adjustRightInd w:val="0"/>
        <w:jc w:val="both"/>
        <w:rPr>
          <w:rFonts w:ascii="Lato" w:hAnsi="Lato" w:cstheme="minorHAnsi"/>
          <w:b/>
          <w:sz w:val="20"/>
          <w:szCs w:val="20"/>
        </w:rPr>
      </w:pPr>
      <w:r w:rsidRPr="002B21CF">
        <w:rPr>
          <w:rFonts w:ascii="Lato" w:hAnsi="Lato" w:cstheme="minorHAnsi"/>
          <w:b/>
          <w:sz w:val="20"/>
          <w:szCs w:val="20"/>
        </w:rPr>
        <w:t xml:space="preserve">Fecha de creación del ente. </w:t>
      </w:r>
    </w:p>
    <w:p w14:paraId="6D94085E" w14:textId="77777777" w:rsidR="00D52C18" w:rsidRPr="002B21CF" w:rsidRDefault="00D52C18" w:rsidP="00D52C18">
      <w:pPr>
        <w:autoSpaceDE w:val="0"/>
        <w:autoSpaceDN w:val="0"/>
        <w:adjustRightInd w:val="0"/>
        <w:ind w:left="720"/>
        <w:jc w:val="both"/>
        <w:rPr>
          <w:rFonts w:ascii="Lato" w:hAnsi="Lato" w:cstheme="minorHAnsi"/>
          <w:b/>
          <w:sz w:val="20"/>
          <w:szCs w:val="20"/>
        </w:rPr>
      </w:pPr>
    </w:p>
    <w:p w14:paraId="52473BC0" w14:textId="13934351" w:rsidR="005211AD" w:rsidRPr="002B21CF" w:rsidRDefault="005211AD" w:rsidP="00687BDF">
      <w:pPr>
        <w:autoSpaceDE w:val="0"/>
        <w:autoSpaceDN w:val="0"/>
        <w:adjustRightInd w:val="0"/>
        <w:jc w:val="both"/>
        <w:rPr>
          <w:rFonts w:ascii="Lato" w:hAnsi="Lato" w:cstheme="minorHAnsi"/>
          <w:sz w:val="20"/>
          <w:szCs w:val="20"/>
        </w:rPr>
      </w:pPr>
      <w:r w:rsidRPr="002B21CF">
        <w:rPr>
          <w:rFonts w:ascii="Lato" w:hAnsi="Lato" w:cstheme="minorHAnsi"/>
          <w:sz w:val="20"/>
          <w:szCs w:val="20"/>
        </w:rPr>
        <w:t>En el Marco del Sistema Nacional de Seguridad Pública, el Gobierno Federal por conducto de la Secretaría de Gobernación, las entidades federativas y el Distrito Federal suscribieron con fecha 4 de noviembre de 1996, el Convenio General de Colaboración en materia de seguridad pública, para coordinar políticas, estrategias y acciones legales y administrativas necesarias para el eficaz funcionamiento del Sistema Nacional de Seguridad Pública.</w:t>
      </w:r>
    </w:p>
    <w:p w14:paraId="44362937" w14:textId="47FEC861" w:rsidR="005211AD" w:rsidRPr="002B21CF" w:rsidRDefault="005211AD" w:rsidP="00687BDF">
      <w:pPr>
        <w:autoSpaceDE w:val="0"/>
        <w:autoSpaceDN w:val="0"/>
        <w:adjustRightInd w:val="0"/>
        <w:jc w:val="both"/>
        <w:rPr>
          <w:rFonts w:ascii="Lato" w:hAnsi="Lato" w:cstheme="minorHAnsi"/>
          <w:sz w:val="20"/>
          <w:szCs w:val="20"/>
        </w:rPr>
      </w:pPr>
      <w:r w:rsidRPr="002B21CF">
        <w:rPr>
          <w:rFonts w:ascii="Lato" w:hAnsi="Lato" w:cstheme="minorHAnsi"/>
          <w:sz w:val="20"/>
          <w:szCs w:val="20"/>
        </w:rPr>
        <w:t>Con fecha 8 de agosto de 1998, el Gobierno Federal y El Estado de Yucatán, suscribieron el Convenio de Coordinación para la realización de acciones en Materia de Seguridad Pública de ese año, en el cual se acordó la constitución del Fideicomiso denominado Fondo de Seguridad Pública del Estado de Yucatán (FOSEG), el cual quedó formalizado el 4 de septiembre de 1998 con el Banco de Crédito Rural Peninsular S.N.C., en el que se depositaron los recursos conjuntos aportados por el Gobierno Federal y por la entidad federativa, para el financiamiento de las acciones en materia de Seguridad Pública establecidas en el mismo instrumento y sus anexos técnicos.</w:t>
      </w:r>
    </w:p>
    <w:p w14:paraId="27C96852" w14:textId="77777777" w:rsidR="005211AD" w:rsidRPr="002B21CF" w:rsidRDefault="005211AD" w:rsidP="00687BDF">
      <w:pPr>
        <w:autoSpaceDE w:val="0"/>
        <w:autoSpaceDN w:val="0"/>
        <w:adjustRightInd w:val="0"/>
        <w:jc w:val="both"/>
        <w:rPr>
          <w:rFonts w:ascii="Lato" w:hAnsi="Lato" w:cstheme="minorHAnsi"/>
          <w:sz w:val="20"/>
          <w:szCs w:val="20"/>
        </w:rPr>
      </w:pPr>
    </w:p>
    <w:p w14:paraId="4D64784D" w14:textId="6FF56C02" w:rsidR="005211AD" w:rsidRPr="002B21CF" w:rsidRDefault="005211AD" w:rsidP="005211AD">
      <w:pPr>
        <w:shd w:val="clear" w:color="auto" w:fill="FFFFFF"/>
        <w:jc w:val="both"/>
        <w:rPr>
          <w:rFonts w:ascii="Lato" w:hAnsi="Lato" w:cstheme="minorHAnsi"/>
          <w:sz w:val="20"/>
          <w:szCs w:val="20"/>
        </w:rPr>
      </w:pPr>
      <w:r w:rsidRPr="002B21CF">
        <w:rPr>
          <w:rFonts w:ascii="Lato" w:hAnsi="Lato" w:cstheme="minorHAnsi"/>
          <w:sz w:val="20"/>
          <w:szCs w:val="20"/>
        </w:rPr>
        <w:t>A partir de 1999 y hasta el año 2007, el Gobierno Federal y El Estado de Yucatán estuvieron  formaliza</w:t>
      </w:r>
      <w:r w:rsidR="00DF4686" w:rsidRPr="002B21CF">
        <w:rPr>
          <w:rFonts w:ascii="Lato" w:hAnsi="Lato" w:cstheme="minorHAnsi"/>
          <w:sz w:val="20"/>
          <w:szCs w:val="20"/>
        </w:rPr>
        <w:t>n</w:t>
      </w:r>
      <w:r w:rsidRPr="002B21CF">
        <w:rPr>
          <w:rFonts w:ascii="Lato" w:hAnsi="Lato" w:cstheme="minorHAnsi"/>
          <w:sz w:val="20"/>
          <w:szCs w:val="20"/>
        </w:rPr>
        <w:t>do anualmente un Convenio de Coordinación para la realización de acciones en materia de seguridad pública, en los que se pact</w:t>
      </w:r>
      <w:r w:rsidR="00DF4686" w:rsidRPr="002B21CF">
        <w:rPr>
          <w:rFonts w:ascii="Lato" w:hAnsi="Lato" w:cstheme="minorHAnsi"/>
          <w:sz w:val="20"/>
          <w:szCs w:val="20"/>
        </w:rPr>
        <w:t>ó</w:t>
      </w:r>
      <w:r w:rsidRPr="002B21CF">
        <w:rPr>
          <w:rFonts w:ascii="Lato" w:hAnsi="Lato" w:cstheme="minorHAnsi"/>
          <w:sz w:val="20"/>
          <w:szCs w:val="20"/>
        </w:rPr>
        <w:t xml:space="preserve"> que la administración de los recursos provenientes del Fondo de Aportaciones para la Seguridad Pública de los Estados y del Distrito Federal, así como los aportados por El Estado de Yucatán</w:t>
      </w:r>
      <w:r w:rsidR="00BD289F" w:rsidRPr="002B21CF">
        <w:rPr>
          <w:rFonts w:ascii="Lato" w:hAnsi="Lato" w:cstheme="minorHAnsi"/>
          <w:sz w:val="20"/>
          <w:szCs w:val="20"/>
        </w:rPr>
        <w:t>, se efectuara</w:t>
      </w:r>
      <w:r w:rsidRPr="002B21CF">
        <w:rPr>
          <w:rFonts w:ascii="Lato" w:hAnsi="Lato" w:cstheme="minorHAnsi"/>
          <w:sz w:val="20"/>
          <w:szCs w:val="20"/>
        </w:rPr>
        <w:t xml:space="preserve"> a través del Fideicomiso Fondo de Seguridad Pública del Estado de Yucatán a que se refiere el párrafo anterior.</w:t>
      </w:r>
    </w:p>
    <w:p w14:paraId="4BB883FE" w14:textId="77777777" w:rsidR="005211AD" w:rsidRPr="002B21CF" w:rsidRDefault="005211AD" w:rsidP="00687BDF">
      <w:pPr>
        <w:autoSpaceDE w:val="0"/>
        <w:autoSpaceDN w:val="0"/>
        <w:adjustRightInd w:val="0"/>
        <w:jc w:val="both"/>
        <w:rPr>
          <w:rFonts w:ascii="Lato" w:hAnsi="Lato" w:cstheme="minorHAnsi"/>
          <w:sz w:val="20"/>
          <w:szCs w:val="20"/>
        </w:rPr>
      </w:pPr>
    </w:p>
    <w:p w14:paraId="0C8FD79B" w14:textId="2487C3D8" w:rsidR="005211AD" w:rsidRPr="002B21CF" w:rsidRDefault="005211AD" w:rsidP="00687BDF">
      <w:pPr>
        <w:autoSpaceDE w:val="0"/>
        <w:autoSpaceDN w:val="0"/>
        <w:adjustRightInd w:val="0"/>
        <w:jc w:val="both"/>
        <w:rPr>
          <w:rFonts w:ascii="Lato" w:hAnsi="Lato" w:cstheme="minorHAnsi"/>
          <w:sz w:val="20"/>
          <w:szCs w:val="20"/>
        </w:rPr>
      </w:pPr>
      <w:r w:rsidRPr="002B21CF">
        <w:rPr>
          <w:rFonts w:ascii="Lato" w:hAnsi="Lato" w:cstheme="minorHAnsi"/>
          <w:sz w:val="20"/>
          <w:szCs w:val="20"/>
        </w:rPr>
        <w:t>Con motivo de la desaparición del Sistema Banrural derivado de la publicación en el Diario Oficial de la Federación, de la Ley Orgánica de la Financiera Rural, el 26 de diciembre de 2002, el Consejo Nacional de Seguridad Pública en su XIII Sesión del 24 de enero de 2003, acordó el cambio de Institución Fiduciaria, por lo que con fecha 15 de julio de 2003, El Estado de Yucatán y Nacional Financiera, S.N.C., suscribieron el contrato para la Constitución del Fideicomiso Fondo de Seguridad Pública del Estado de Yucatán (FOSEG), al cual fueron transferidos los recursos del Fideicomiso a cargo de la institución fiduciaria que se extinguió, con el fin de que se continúen administrando los mismos; así como los que se sigan aportando para la realización de acciones en materia de seguridad pública.</w:t>
      </w:r>
    </w:p>
    <w:p w14:paraId="1A916957" w14:textId="5782E959" w:rsidR="00D52C18" w:rsidRPr="002B21CF" w:rsidRDefault="00D52C18" w:rsidP="00687BDF">
      <w:pPr>
        <w:autoSpaceDE w:val="0"/>
        <w:autoSpaceDN w:val="0"/>
        <w:adjustRightInd w:val="0"/>
        <w:jc w:val="both"/>
        <w:rPr>
          <w:rFonts w:ascii="Lato" w:hAnsi="Lato" w:cstheme="minorHAnsi"/>
          <w:sz w:val="20"/>
          <w:szCs w:val="20"/>
        </w:rPr>
      </w:pPr>
    </w:p>
    <w:p w14:paraId="172C1086" w14:textId="42B6D9EF" w:rsidR="007D7165" w:rsidRPr="002B21CF" w:rsidRDefault="00F13E54" w:rsidP="00F13E54">
      <w:pPr>
        <w:pStyle w:val="Prrafodelista"/>
        <w:numPr>
          <w:ilvl w:val="0"/>
          <w:numId w:val="2"/>
        </w:numPr>
        <w:autoSpaceDE w:val="0"/>
        <w:autoSpaceDN w:val="0"/>
        <w:adjustRightInd w:val="0"/>
        <w:jc w:val="both"/>
        <w:rPr>
          <w:rFonts w:ascii="Lato" w:hAnsi="Lato" w:cstheme="minorHAnsi"/>
          <w:b/>
          <w:sz w:val="20"/>
          <w:szCs w:val="20"/>
        </w:rPr>
      </w:pPr>
      <w:r w:rsidRPr="002B21CF">
        <w:rPr>
          <w:rFonts w:ascii="Lato" w:hAnsi="Lato" w:cstheme="minorHAnsi"/>
          <w:b/>
          <w:sz w:val="20"/>
          <w:szCs w:val="20"/>
        </w:rPr>
        <w:t>Principales cambios en su estructura.</w:t>
      </w:r>
    </w:p>
    <w:p w14:paraId="7BD383EE" w14:textId="77777777" w:rsidR="00EF7733" w:rsidRPr="002B21CF" w:rsidRDefault="00EF7733" w:rsidP="00EF7733">
      <w:pPr>
        <w:pStyle w:val="Prrafodelista"/>
        <w:autoSpaceDE w:val="0"/>
        <w:autoSpaceDN w:val="0"/>
        <w:adjustRightInd w:val="0"/>
        <w:jc w:val="both"/>
        <w:rPr>
          <w:rFonts w:ascii="Lato" w:hAnsi="Lato" w:cstheme="minorHAnsi"/>
          <w:b/>
          <w:sz w:val="20"/>
          <w:szCs w:val="20"/>
        </w:rPr>
      </w:pPr>
    </w:p>
    <w:p w14:paraId="27E7A370" w14:textId="3FD07C6E" w:rsidR="00AC6A25" w:rsidRPr="002B21CF" w:rsidRDefault="00EF7733" w:rsidP="00EF7733">
      <w:pPr>
        <w:autoSpaceDE w:val="0"/>
        <w:autoSpaceDN w:val="0"/>
        <w:adjustRightInd w:val="0"/>
        <w:jc w:val="both"/>
        <w:rPr>
          <w:rFonts w:ascii="Lato" w:hAnsi="Lato" w:cstheme="minorHAnsi"/>
          <w:sz w:val="20"/>
          <w:szCs w:val="20"/>
        </w:rPr>
      </w:pPr>
      <w:r w:rsidRPr="002B21CF">
        <w:rPr>
          <w:rFonts w:ascii="Lato" w:hAnsi="Lato" w:cstheme="minorHAnsi"/>
          <w:sz w:val="20"/>
          <w:szCs w:val="20"/>
        </w:rPr>
        <w:t>Mediante oficio de instrucción No. SAF/0014/2026 de fecha 08 de enero de 2026, suscrito por el Ing. Juan Gabriel Sánchez Álvarez, en representación de la Secretaría de Administración y Finanzas (Fideicomitente), se instruyó</w:t>
      </w:r>
      <w:r w:rsidR="005D0E44" w:rsidRPr="002B21CF">
        <w:rPr>
          <w:rFonts w:ascii="Lato" w:hAnsi="Lato" w:cstheme="minorHAnsi"/>
          <w:sz w:val="20"/>
          <w:szCs w:val="20"/>
        </w:rPr>
        <w:t xml:space="preserve"> </w:t>
      </w:r>
      <w:r w:rsidRPr="002B21CF">
        <w:rPr>
          <w:rFonts w:ascii="Lato" w:hAnsi="Lato" w:cstheme="minorHAnsi"/>
          <w:sz w:val="20"/>
          <w:szCs w:val="20"/>
        </w:rPr>
        <w:t>a</w:t>
      </w:r>
      <w:r w:rsidR="005D0E44" w:rsidRPr="002B21CF">
        <w:rPr>
          <w:rFonts w:ascii="Lato" w:hAnsi="Lato" w:cstheme="minorHAnsi"/>
          <w:sz w:val="20"/>
          <w:szCs w:val="20"/>
        </w:rPr>
        <w:t xml:space="preserve"> Nacional Financiera, Sociedad Nacional de Crédito (</w:t>
      </w:r>
      <w:r w:rsidRPr="002B21CF">
        <w:rPr>
          <w:rFonts w:ascii="Lato" w:hAnsi="Lato" w:cstheme="minorHAnsi"/>
          <w:sz w:val="20"/>
          <w:szCs w:val="20"/>
        </w:rPr>
        <w:t>Fiduciaria</w:t>
      </w:r>
      <w:r w:rsidR="005D0E44" w:rsidRPr="002B21CF">
        <w:rPr>
          <w:rFonts w:ascii="Lato" w:hAnsi="Lato" w:cstheme="minorHAnsi"/>
          <w:sz w:val="20"/>
          <w:szCs w:val="20"/>
        </w:rPr>
        <w:t>)</w:t>
      </w:r>
      <w:r w:rsidRPr="002B21CF">
        <w:rPr>
          <w:rFonts w:ascii="Lato" w:hAnsi="Lato" w:cstheme="minorHAnsi"/>
          <w:sz w:val="20"/>
          <w:szCs w:val="20"/>
        </w:rPr>
        <w:t>, solicitando entre otros, la revocaci</w:t>
      </w:r>
      <w:r w:rsidR="005D0E44" w:rsidRPr="002B21CF">
        <w:rPr>
          <w:rFonts w:ascii="Lato" w:hAnsi="Lato" w:cstheme="minorHAnsi"/>
          <w:sz w:val="20"/>
          <w:szCs w:val="20"/>
        </w:rPr>
        <w:t>ó</w:t>
      </w:r>
      <w:r w:rsidRPr="002B21CF">
        <w:rPr>
          <w:rFonts w:ascii="Lato" w:hAnsi="Lato" w:cstheme="minorHAnsi"/>
          <w:sz w:val="20"/>
          <w:szCs w:val="20"/>
        </w:rPr>
        <w:t>n de los poderes vigentes,</w:t>
      </w:r>
      <w:r w:rsidR="005D0E44" w:rsidRPr="002B21CF">
        <w:rPr>
          <w:rFonts w:ascii="Lato" w:hAnsi="Lato" w:cstheme="minorHAnsi"/>
          <w:sz w:val="20"/>
          <w:szCs w:val="20"/>
        </w:rPr>
        <w:t xml:space="preserve"> </w:t>
      </w:r>
      <w:r w:rsidRPr="002B21CF">
        <w:rPr>
          <w:rFonts w:ascii="Lato" w:hAnsi="Lato" w:cstheme="minorHAnsi"/>
          <w:sz w:val="20"/>
          <w:szCs w:val="20"/>
        </w:rPr>
        <w:t xml:space="preserve">realizar el pago de honorarios fiduciarios pendientes, revertir los remanentes de los recursos a favor de la </w:t>
      </w:r>
      <w:r w:rsidRPr="002B21CF">
        <w:rPr>
          <w:rFonts w:ascii="Lato" w:hAnsi="Lato" w:cstheme="minorHAnsi"/>
          <w:sz w:val="20"/>
          <w:szCs w:val="20"/>
        </w:rPr>
        <w:lastRenderedPageBreak/>
        <w:t>Secretar</w:t>
      </w:r>
      <w:r w:rsidR="005D0E44" w:rsidRPr="002B21CF">
        <w:rPr>
          <w:rFonts w:ascii="Lato" w:hAnsi="Lato" w:cstheme="minorHAnsi"/>
          <w:sz w:val="20"/>
          <w:szCs w:val="20"/>
        </w:rPr>
        <w:t>í</w:t>
      </w:r>
      <w:r w:rsidRPr="002B21CF">
        <w:rPr>
          <w:rFonts w:ascii="Lato" w:hAnsi="Lato" w:cstheme="minorHAnsi"/>
          <w:sz w:val="20"/>
          <w:szCs w:val="20"/>
        </w:rPr>
        <w:t>a de Administraci</w:t>
      </w:r>
      <w:r w:rsidR="005D0E44" w:rsidRPr="002B21CF">
        <w:rPr>
          <w:rFonts w:ascii="Lato" w:hAnsi="Lato" w:cstheme="minorHAnsi"/>
          <w:sz w:val="20"/>
          <w:szCs w:val="20"/>
        </w:rPr>
        <w:t>ó</w:t>
      </w:r>
      <w:r w:rsidRPr="002B21CF">
        <w:rPr>
          <w:rFonts w:ascii="Lato" w:hAnsi="Lato" w:cstheme="minorHAnsi"/>
          <w:sz w:val="20"/>
          <w:szCs w:val="20"/>
        </w:rPr>
        <w:t>n y</w:t>
      </w:r>
      <w:r w:rsidR="005D0E44" w:rsidRPr="002B21CF">
        <w:rPr>
          <w:rFonts w:ascii="Lato" w:hAnsi="Lato" w:cstheme="minorHAnsi"/>
          <w:sz w:val="20"/>
          <w:szCs w:val="20"/>
        </w:rPr>
        <w:t xml:space="preserve"> </w:t>
      </w:r>
      <w:r w:rsidRPr="002B21CF">
        <w:rPr>
          <w:rFonts w:ascii="Lato" w:hAnsi="Lato" w:cstheme="minorHAnsi"/>
          <w:sz w:val="20"/>
          <w:szCs w:val="20"/>
        </w:rPr>
        <w:t>Finanzas</w:t>
      </w:r>
      <w:r w:rsidR="005D0E44" w:rsidRPr="002B21CF">
        <w:rPr>
          <w:rFonts w:ascii="Lato" w:hAnsi="Lato" w:cstheme="minorHAnsi"/>
          <w:sz w:val="20"/>
          <w:szCs w:val="20"/>
        </w:rPr>
        <w:t xml:space="preserve"> </w:t>
      </w:r>
      <w:r w:rsidRPr="002B21CF">
        <w:rPr>
          <w:rFonts w:ascii="Lato" w:hAnsi="Lato" w:cstheme="minorHAnsi"/>
          <w:sz w:val="20"/>
          <w:szCs w:val="20"/>
        </w:rPr>
        <w:t>y</w:t>
      </w:r>
      <w:r w:rsidR="005D0E44" w:rsidRPr="002B21CF">
        <w:rPr>
          <w:rFonts w:ascii="Lato" w:hAnsi="Lato" w:cstheme="minorHAnsi"/>
          <w:sz w:val="20"/>
          <w:szCs w:val="20"/>
        </w:rPr>
        <w:t xml:space="preserve"> </w:t>
      </w:r>
      <w:r w:rsidRPr="002B21CF">
        <w:rPr>
          <w:rFonts w:ascii="Lato" w:hAnsi="Lato" w:cstheme="minorHAnsi"/>
          <w:sz w:val="20"/>
          <w:szCs w:val="20"/>
        </w:rPr>
        <w:t>elaborar y  suscribir el  Convenio</w:t>
      </w:r>
      <w:r w:rsidR="005D0E44" w:rsidRPr="002B21CF">
        <w:rPr>
          <w:rFonts w:ascii="Lato" w:hAnsi="Lato" w:cstheme="minorHAnsi"/>
          <w:sz w:val="20"/>
          <w:szCs w:val="20"/>
        </w:rPr>
        <w:t xml:space="preserve"> </w:t>
      </w:r>
      <w:r w:rsidRPr="002B21CF">
        <w:rPr>
          <w:rFonts w:ascii="Lato" w:hAnsi="Lato" w:cstheme="minorHAnsi"/>
          <w:sz w:val="20"/>
          <w:szCs w:val="20"/>
        </w:rPr>
        <w:t>de</w:t>
      </w:r>
      <w:r w:rsidR="005D0E44" w:rsidRPr="002B21CF">
        <w:rPr>
          <w:rFonts w:ascii="Lato" w:hAnsi="Lato" w:cstheme="minorHAnsi"/>
          <w:sz w:val="20"/>
          <w:szCs w:val="20"/>
        </w:rPr>
        <w:t xml:space="preserve"> </w:t>
      </w:r>
      <w:r w:rsidRPr="002B21CF">
        <w:rPr>
          <w:rFonts w:ascii="Lato" w:hAnsi="Lato" w:cstheme="minorHAnsi"/>
          <w:sz w:val="20"/>
          <w:szCs w:val="20"/>
        </w:rPr>
        <w:t>extinci</w:t>
      </w:r>
      <w:r w:rsidR="005D0E44" w:rsidRPr="002B21CF">
        <w:rPr>
          <w:rFonts w:ascii="Lato" w:hAnsi="Lato" w:cstheme="minorHAnsi"/>
          <w:sz w:val="20"/>
          <w:szCs w:val="20"/>
        </w:rPr>
        <w:t>ó</w:t>
      </w:r>
      <w:r w:rsidRPr="002B21CF">
        <w:rPr>
          <w:rFonts w:ascii="Lato" w:hAnsi="Lato" w:cstheme="minorHAnsi"/>
          <w:sz w:val="20"/>
          <w:szCs w:val="20"/>
        </w:rPr>
        <w:t>n</w:t>
      </w:r>
      <w:r w:rsidR="005D0E44" w:rsidRPr="002B21CF">
        <w:rPr>
          <w:rFonts w:ascii="Lato" w:hAnsi="Lato" w:cstheme="minorHAnsi"/>
          <w:sz w:val="20"/>
          <w:szCs w:val="20"/>
        </w:rPr>
        <w:t xml:space="preserve"> </w:t>
      </w:r>
      <w:r w:rsidRPr="002B21CF">
        <w:rPr>
          <w:rFonts w:ascii="Lato" w:hAnsi="Lato" w:cstheme="minorHAnsi"/>
          <w:sz w:val="20"/>
          <w:szCs w:val="20"/>
        </w:rPr>
        <w:t>del Fideicomiso</w:t>
      </w:r>
      <w:r w:rsidR="00AC6A25" w:rsidRPr="002B21CF">
        <w:rPr>
          <w:rFonts w:ascii="Lato" w:hAnsi="Lato" w:cstheme="minorHAnsi"/>
          <w:sz w:val="20"/>
          <w:szCs w:val="20"/>
        </w:rPr>
        <w:t xml:space="preserve"> Fondo de Seguridad Pública del Estado de Yucatán (FOSEG)</w:t>
      </w:r>
      <w:r w:rsidRPr="002B21CF">
        <w:rPr>
          <w:rFonts w:ascii="Lato" w:hAnsi="Lato" w:cstheme="minorHAnsi"/>
          <w:sz w:val="20"/>
          <w:szCs w:val="20"/>
        </w:rPr>
        <w:t>,</w:t>
      </w:r>
      <w:r w:rsidR="005D0E44" w:rsidRPr="002B21CF">
        <w:rPr>
          <w:rFonts w:ascii="Lato" w:hAnsi="Lato" w:cstheme="minorHAnsi"/>
          <w:sz w:val="20"/>
          <w:szCs w:val="20"/>
        </w:rPr>
        <w:t xml:space="preserve"> </w:t>
      </w:r>
      <w:r w:rsidRPr="002B21CF">
        <w:rPr>
          <w:rFonts w:ascii="Lato" w:hAnsi="Lato" w:cstheme="minorHAnsi"/>
          <w:sz w:val="20"/>
          <w:szCs w:val="20"/>
        </w:rPr>
        <w:t>de conformidad</w:t>
      </w:r>
      <w:r w:rsidR="005D0E44" w:rsidRPr="002B21CF">
        <w:rPr>
          <w:rFonts w:ascii="Lato" w:hAnsi="Lato" w:cstheme="minorHAnsi"/>
          <w:sz w:val="20"/>
          <w:szCs w:val="20"/>
        </w:rPr>
        <w:t xml:space="preserve"> </w:t>
      </w:r>
      <w:r w:rsidRPr="002B21CF">
        <w:rPr>
          <w:rFonts w:ascii="Lato" w:hAnsi="Lato" w:cstheme="minorHAnsi"/>
          <w:sz w:val="20"/>
          <w:szCs w:val="20"/>
        </w:rPr>
        <w:t>con</w:t>
      </w:r>
      <w:r w:rsidR="005D0E44" w:rsidRPr="002B21CF">
        <w:rPr>
          <w:rFonts w:ascii="Lato" w:hAnsi="Lato" w:cstheme="minorHAnsi"/>
          <w:sz w:val="20"/>
          <w:szCs w:val="20"/>
        </w:rPr>
        <w:t xml:space="preserve"> </w:t>
      </w:r>
      <w:r w:rsidRPr="002B21CF">
        <w:rPr>
          <w:rFonts w:ascii="Lato" w:hAnsi="Lato" w:cstheme="minorHAnsi"/>
          <w:sz w:val="20"/>
          <w:szCs w:val="20"/>
        </w:rPr>
        <w:t>lo establecido</w:t>
      </w:r>
      <w:r w:rsidR="005D0E44" w:rsidRPr="002B21CF">
        <w:rPr>
          <w:rFonts w:ascii="Lato" w:hAnsi="Lato" w:cstheme="minorHAnsi"/>
          <w:sz w:val="20"/>
          <w:szCs w:val="20"/>
        </w:rPr>
        <w:t xml:space="preserve"> </w:t>
      </w:r>
      <w:r w:rsidRPr="002B21CF">
        <w:rPr>
          <w:rFonts w:ascii="Lato" w:hAnsi="Lato" w:cstheme="minorHAnsi"/>
          <w:sz w:val="20"/>
          <w:szCs w:val="20"/>
        </w:rPr>
        <w:t>en la</w:t>
      </w:r>
      <w:r w:rsidR="005D0E44" w:rsidRPr="002B21CF">
        <w:rPr>
          <w:rFonts w:ascii="Lato" w:hAnsi="Lato" w:cstheme="minorHAnsi"/>
          <w:sz w:val="20"/>
          <w:szCs w:val="20"/>
        </w:rPr>
        <w:t xml:space="preserve"> </w:t>
      </w:r>
      <w:r w:rsidRPr="002B21CF">
        <w:rPr>
          <w:rFonts w:ascii="Lato" w:hAnsi="Lato" w:cstheme="minorHAnsi"/>
          <w:sz w:val="20"/>
          <w:szCs w:val="20"/>
        </w:rPr>
        <w:t>cl</w:t>
      </w:r>
      <w:r w:rsidR="005D0E44" w:rsidRPr="002B21CF">
        <w:rPr>
          <w:rFonts w:ascii="Lato" w:hAnsi="Lato" w:cstheme="minorHAnsi"/>
          <w:sz w:val="20"/>
          <w:szCs w:val="20"/>
        </w:rPr>
        <w:t>á</w:t>
      </w:r>
      <w:r w:rsidRPr="002B21CF">
        <w:rPr>
          <w:rFonts w:ascii="Lato" w:hAnsi="Lato" w:cstheme="minorHAnsi"/>
          <w:sz w:val="20"/>
          <w:szCs w:val="20"/>
        </w:rPr>
        <w:t>usula vig</w:t>
      </w:r>
      <w:r w:rsidR="005D0E44" w:rsidRPr="002B21CF">
        <w:rPr>
          <w:rFonts w:ascii="Lato" w:hAnsi="Lato" w:cstheme="minorHAnsi"/>
          <w:sz w:val="20"/>
          <w:szCs w:val="20"/>
        </w:rPr>
        <w:t>é</w:t>
      </w:r>
      <w:r w:rsidRPr="002B21CF">
        <w:rPr>
          <w:rFonts w:ascii="Lato" w:hAnsi="Lato" w:cstheme="minorHAnsi"/>
          <w:sz w:val="20"/>
          <w:szCs w:val="20"/>
        </w:rPr>
        <w:t>sima tercera del</w:t>
      </w:r>
      <w:r w:rsidR="005D0E44" w:rsidRPr="002B21CF">
        <w:rPr>
          <w:rFonts w:ascii="Lato" w:hAnsi="Lato" w:cstheme="minorHAnsi"/>
          <w:sz w:val="20"/>
          <w:szCs w:val="20"/>
        </w:rPr>
        <w:t xml:space="preserve"> </w:t>
      </w:r>
      <w:r w:rsidRPr="002B21CF">
        <w:rPr>
          <w:rFonts w:ascii="Lato" w:hAnsi="Lato" w:cstheme="minorHAnsi"/>
          <w:sz w:val="20"/>
          <w:szCs w:val="20"/>
        </w:rPr>
        <w:t>propio Contrato de Fideicomiso y en las fracciones</w:t>
      </w:r>
      <w:r w:rsidR="005D0E44" w:rsidRPr="002B21CF">
        <w:rPr>
          <w:rFonts w:ascii="Lato" w:hAnsi="Lato" w:cstheme="minorHAnsi"/>
          <w:sz w:val="20"/>
          <w:szCs w:val="20"/>
        </w:rPr>
        <w:t xml:space="preserve"> </w:t>
      </w:r>
      <w:r w:rsidRPr="002B21CF">
        <w:rPr>
          <w:rFonts w:ascii="Lato" w:hAnsi="Lato" w:cstheme="minorHAnsi"/>
          <w:sz w:val="20"/>
          <w:szCs w:val="20"/>
        </w:rPr>
        <w:t>I</w:t>
      </w:r>
      <w:r w:rsidR="005D0E44" w:rsidRPr="002B21CF">
        <w:rPr>
          <w:rFonts w:ascii="Lato" w:hAnsi="Lato" w:cstheme="minorHAnsi"/>
          <w:sz w:val="20"/>
          <w:szCs w:val="20"/>
        </w:rPr>
        <w:t xml:space="preserve"> </w:t>
      </w:r>
      <w:r w:rsidRPr="002B21CF">
        <w:rPr>
          <w:rFonts w:ascii="Lato" w:hAnsi="Lato" w:cstheme="minorHAnsi"/>
          <w:sz w:val="20"/>
          <w:szCs w:val="20"/>
        </w:rPr>
        <w:t>y V del art</w:t>
      </w:r>
      <w:r w:rsidR="005D0E44" w:rsidRPr="002B21CF">
        <w:rPr>
          <w:rFonts w:ascii="Lato" w:hAnsi="Lato" w:cstheme="minorHAnsi"/>
          <w:sz w:val="20"/>
          <w:szCs w:val="20"/>
        </w:rPr>
        <w:t>í</w:t>
      </w:r>
      <w:r w:rsidRPr="002B21CF">
        <w:rPr>
          <w:rFonts w:ascii="Lato" w:hAnsi="Lato" w:cstheme="minorHAnsi"/>
          <w:sz w:val="20"/>
          <w:szCs w:val="20"/>
        </w:rPr>
        <w:t>culo 392 de la Ley General de</w:t>
      </w:r>
      <w:r w:rsidR="005D0E44" w:rsidRPr="002B21CF">
        <w:rPr>
          <w:rFonts w:ascii="Lato" w:hAnsi="Lato" w:cstheme="minorHAnsi"/>
          <w:sz w:val="20"/>
          <w:szCs w:val="20"/>
        </w:rPr>
        <w:t xml:space="preserve"> </w:t>
      </w:r>
      <w:r w:rsidRPr="002B21CF">
        <w:rPr>
          <w:rFonts w:ascii="Lato" w:hAnsi="Lato" w:cstheme="minorHAnsi"/>
          <w:sz w:val="20"/>
          <w:szCs w:val="20"/>
        </w:rPr>
        <w:t>T</w:t>
      </w:r>
      <w:r w:rsidR="005D0E44" w:rsidRPr="002B21CF">
        <w:rPr>
          <w:rFonts w:ascii="Lato" w:hAnsi="Lato" w:cstheme="minorHAnsi"/>
          <w:sz w:val="20"/>
          <w:szCs w:val="20"/>
        </w:rPr>
        <w:t>í</w:t>
      </w:r>
      <w:r w:rsidRPr="002B21CF">
        <w:rPr>
          <w:rFonts w:ascii="Lato" w:hAnsi="Lato" w:cstheme="minorHAnsi"/>
          <w:sz w:val="20"/>
          <w:szCs w:val="20"/>
        </w:rPr>
        <w:t>tulos y Operaciones de Cr</w:t>
      </w:r>
      <w:r w:rsidR="005D0E44" w:rsidRPr="002B21CF">
        <w:rPr>
          <w:rFonts w:ascii="Lato" w:hAnsi="Lato" w:cstheme="minorHAnsi"/>
          <w:sz w:val="20"/>
          <w:szCs w:val="20"/>
        </w:rPr>
        <w:t>é</w:t>
      </w:r>
      <w:r w:rsidRPr="002B21CF">
        <w:rPr>
          <w:rFonts w:ascii="Lato" w:hAnsi="Lato" w:cstheme="minorHAnsi"/>
          <w:sz w:val="20"/>
          <w:szCs w:val="20"/>
        </w:rPr>
        <w:t>dito.</w:t>
      </w:r>
    </w:p>
    <w:p w14:paraId="37044631" w14:textId="0FC2313D" w:rsidR="00EF7733" w:rsidRPr="002B21CF" w:rsidRDefault="00EF7733" w:rsidP="00EF7733">
      <w:pPr>
        <w:autoSpaceDE w:val="0"/>
        <w:autoSpaceDN w:val="0"/>
        <w:adjustRightInd w:val="0"/>
        <w:jc w:val="both"/>
        <w:rPr>
          <w:rFonts w:ascii="Lato" w:hAnsi="Lato" w:cstheme="minorHAnsi"/>
          <w:sz w:val="20"/>
          <w:szCs w:val="20"/>
        </w:rPr>
      </w:pPr>
      <w:r w:rsidRPr="002B21CF">
        <w:rPr>
          <w:rFonts w:ascii="Lato" w:hAnsi="Lato" w:cstheme="minorHAnsi"/>
          <w:sz w:val="20"/>
          <w:szCs w:val="20"/>
        </w:rPr>
        <w:t xml:space="preserve"> </w:t>
      </w:r>
    </w:p>
    <w:p w14:paraId="661554F6" w14:textId="5DF9660A" w:rsidR="00EF7733" w:rsidRPr="002B21CF" w:rsidRDefault="00AC6A25" w:rsidP="00EF7733">
      <w:pPr>
        <w:autoSpaceDE w:val="0"/>
        <w:autoSpaceDN w:val="0"/>
        <w:adjustRightInd w:val="0"/>
        <w:jc w:val="both"/>
        <w:rPr>
          <w:rFonts w:ascii="Lato" w:hAnsi="Lato" w:cstheme="minorHAnsi"/>
          <w:sz w:val="20"/>
          <w:szCs w:val="20"/>
        </w:rPr>
      </w:pPr>
      <w:r w:rsidRPr="002B21CF">
        <w:rPr>
          <w:rFonts w:ascii="Lato" w:hAnsi="Lato" w:cstheme="minorHAnsi"/>
          <w:sz w:val="20"/>
          <w:szCs w:val="20"/>
        </w:rPr>
        <w:t>Derivado del oficio mencionado en el párrafo anterior, a</w:t>
      </w:r>
      <w:r w:rsidR="00EF7733" w:rsidRPr="002B21CF">
        <w:rPr>
          <w:rFonts w:ascii="Lato" w:hAnsi="Lato" w:cstheme="minorHAnsi"/>
          <w:sz w:val="20"/>
          <w:szCs w:val="20"/>
        </w:rPr>
        <w:t xml:space="preserve"> los 20 (veinte) días del mes de febrero del año 2026 (dos mil veintiséis)</w:t>
      </w:r>
      <w:r w:rsidR="00387789" w:rsidRPr="002B21CF">
        <w:rPr>
          <w:rFonts w:ascii="Lato" w:hAnsi="Lato" w:cstheme="minorHAnsi"/>
          <w:sz w:val="20"/>
          <w:szCs w:val="20"/>
        </w:rPr>
        <w:t>,</w:t>
      </w:r>
      <w:r w:rsidR="00EF7733" w:rsidRPr="002B21CF">
        <w:rPr>
          <w:rFonts w:ascii="Lato" w:hAnsi="Lato" w:cstheme="minorHAnsi"/>
          <w:sz w:val="20"/>
          <w:szCs w:val="20"/>
        </w:rPr>
        <w:t xml:space="preserve"> </w:t>
      </w:r>
      <w:r w:rsidR="008C73C4" w:rsidRPr="002B21CF">
        <w:rPr>
          <w:rFonts w:ascii="Lato" w:hAnsi="Lato" w:cstheme="minorHAnsi"/>
          <w:sz w:val="20"/>
          <w:szCs w:val="20"/>
        </w:rPr>
        <w:t>con sujeción a las disposiciones jurídicas aplicables</w:t>
      </w:r>
      <w:r w:rsidR="00387789" w:rsidRPr="002B21CF">
        <w:rPr>
          <w:rFonts w:ascii="Lato" w:hAnsi="Lato" w:cstheme="minorHAnsi"/>
          <w:sz w:val="20"/>
          <w:szCs w:val="20"/>
        </w:rPr>
        <w:t xml:space="preserve">, el Gobierno del Estado de Yucatán, a través de la Secretaría de Administración y Finanzas, y Nacional Financiera, Sociedad Nacional de Crédito, </w:t>
      </w:r>
      <w:r w:rsidR="00EF7733" w:rsidRPr="002B21CF">
        <w:rPr>
          <w:rFonts w:ascii="Lato" w:hAnsi="Lato" w:cstheme="minorHAnsi"/>
          <w:sz w:val="20"/>
          <w:szCs w:val="20"/>
        </w:rPr>
        <w:t>conv</w:t>
      </w:r>
      <w:r w:rsidR="00387789" w:rsidRPr="002B21CF">
        <w:rPr>
          <w:rFonts w:ascii="Lato" w:hAnsi="Lato" w:cstheme="minorHAnsi"/>
          <w:sz w:val="20"/>
          <w:szCs w:val="20"/>
        </w:rPr>
        <w:t>ienen expresamente</w:t>
      </w:r>
      <w:r w:rsidR="00EF7733" w:rsidRPr="002B21CF">
        <w:rPr>
          <w:rFonts w:ascii="Lato" w:hAnsi="Lato" w:cstheme="minorHAnsi"/>
          <w:sz w:val="20"/>
          <w:szCs w:val="20"/>
        </w:rPr>
        <w:t xml:space="preserve"> extin</w:t>
      </w:r>
      <w:r w:rsidR="00387789" w:rsidRPr="002B21CF">
        <w:rPr>
          <w:rFonts w:ascii="Lato" w:hAnsi="Lato" w:cstheme="minorHAnsi"/>
          <w:sz w:val="20"/>
          <w:szCs w:val="20"/>
        </w:rPr>
        <w:t>guir el Contrato</w:t>
      </w:r>
      <w:r w:rsidR="00EF7733" w:rsidRPr="002B21CF">
        <w:rPr>
          <w:rFonts w:ascii="Lato" w:hAnsi="Lato" w:cstheme="minorHAnsi"/>
          <w:sz w:val="20"/>
          <w:szCs w:val="20"/>
        </w:rPr>
        <w:t xml:space="preserve"> del Fideicomiso Fondo de Seguridad Pública del Estado de Yucatán (FOSEG), identificado administrativamente con el número 80317, siendo este reintegrado el saldo remanente así como los rendimientos a favor de la Secretaría de Administración y Finanzas.</w:t>
      </w:r>
    </w:p>
    <w:p w14:paraId="43CC81C6" w14:textId="179B513D" w:rsidR="00523299" w:rsidRPr="002B21CF" w:rsidRDefault="00523299" w:rsidP="00EF7733">
      <w:pPr>
        <w:autoSpaceDE w:val="0"/>
        <w:autoSpaceDN w:val="0"/>
        <w:adjustRightInd w:val="0"/>
        <w:jc w:val="both"/>
        <w:rPr>
          <w:rFonts w:ascii="Lato" w:hAnsi="Lato" w:cstheme="minorHAnsi"/>
          <w:sz w:val="20"/>
          <w:szCs w:val="20"/>
        </w:rPr>
      </w:pPr>
    </w:p>
    <w:p w14:paraId="3C884F80" w14:textId="50C5A8EE" w:rsidR="00523299" w:rsidRPr="002B21CF" w:rsidRDefault="00523299" w:rsidP="00EF7733">
      <w:pPr>
        <w:autoSpaceDE w:val="0"/>
        <w:autoSpaceDN w:val="0"/>
        <w:adjustRightInd w:val="0"/>
        <w:jc w:val="both"/>
        <w:rPr>
          <w:rFonts w:ascii="Lato" w:hAnsi="Lato" w:cstheme="minorHAnsi"/>
          <w:sz w:val="20"/>
          <w:szCs w:val="20"/>
        </w:rPr>
      </w:pPr>
      <w:r w:rsidRPr="002B21CF">
        <w:rPr>
          <w:rFonts w:ascii="Lato" w:hAnsi="Lato" w:cstheme="minorHAnsi"/>
          <w:sz w:val="20"/>
          <w:szCs w:val="20"/>
        </w:rPr>
        <w:t>En virtud de la entrega de remanentes del patrimonio del Fideicomiso Fondo de Seguridad Pública del Estado de Yucatán (FOSEG), el Gobierno del Estado de Yucatán, a través de la Secretaría de Administración y Finanzas otorga a Nacional Financiera, Sociedad Nacional de Crédito, el finiquito más amplio que en derecho proceda por la entrega de los recursos que formaban parte del patrimonio del Fideicomiso Fondo de Seguridad Pública del Estado de Yucatán (FOSEG), que en este acto se extingue, para todos los efectos legales a que haya lugar</w:t>
      </w:r>
      <w:r w:rsidR="00A34D23" w:rsidRPr="002B21CF">
        <w:rPr>
          <w:rFonts w:ascii="Lato" w:hAnsi="Lato" w:cstheme="minorHAnsi"/>
          <w:sz w:val="20"/>
          <w:szCs w:val="20"/>
        </w:rPr>
        <w:t>, y en este acto la libera de cualquier responsabilidad relacionada con la entrega de los recursos, no reservándose derecho o acción alguna contra de Nacional Financiera, Sociedad Nacional de Crédito.</w:t>
      </w:r>
    </w:p>
    <w:p w14:paraId="2B82EF39" w14:textId="77777777" w:rsidR="002F33FF" w:rsidRPr="002B21CF" w:rsidRDefault="002F33FF" w:rsidP="007D7165">
      <w:pPr>
        <w:autoSpaceDE w:val="0"/>
        <w:autoSpaceDN w:val="0"/>
        <w:adjustRightInd w:val="0"/>
        <w:jc w:val="both"/>
        <w:rPr>
          <w:rFonts w:ascii="Lato" w:hAnsi="Lato" w:cstheme="minorHAnsi"/>
          <w:b/>
          <w:sz w:val="20"/>
          <w:szCs w:val="20"/>
          <w:highlight w:val="yellow"/>
        </w:rPr>
      </w:pPr>
    </w:p>
    <w:p w14:paraId="1D11EB03" w14:textId="7B2CF2F3" w:rsidR="009D77C0" w:rsidRPr="002B21CF" w:rsidRDefault="009D77C0" w:rsidP="009D77C0">
      <w:pPr>
        <w:autoSpaceDE w:val="0"/>
        <w:autoSpaceDN w:val="0"/>
        <w:adjustRightInd w:val="0"/>
        <w:jc w:val="both"/>
        <w:rPr>
          <w:rFonts w:ascii="Lato" w:hAnsi="Lato" w:cstheme="minorHAnsi"/>
          <w:b/>
          <w:sz w:val="20"/>
          <w:szCs w:val="20"/>
        </w:rPr>
      </w:pPr>
      <w:r w:rsidRPr="002B21CF">
        <w:rPr>
          <w:rFonts w:ascii="Lato" w:hAnsi="Lato" w:cstheme="minorHAnsi"/>
          <w:b/>
          <w:sz w:val="20"/>
          <w:szCs w:val="20"/>
        </w:rPr>
        <w:t>2.- Panorama Económico y Financiero</w:t>
      </w:r>
    </w:p>
    <w:p w14:paraId="06714F04" w14:textId="43F0EDF2" w:rsidR="00387789" w:rsidRPr="002B21CF" w:rsidRDefault="00387789" w:rsidP="009D77C0">
      <w:pPr>
        <w:autoSpaceDE w:val="0"/>
        <w:autoSpaceDN w:val="0"/>
        <w:adjustRightInd w:val="0"/>
        <w:jc w:val="both"/>
        <w:rPr>
          <w:rFonts w:ascii="Lato" w:hAnsi="Lato" w:cstheme="minorHAnsi"/>
          <w:b/>
          <w:sz w:val="20"/>
          <w:szCs w:val="20"/>
        </w:rPr>
      </w:pPr>
    </w:p>
    <w:p w14:paraId="0CE53E2D" w14:textId="2A201440" w:rsidR="00387789" w:rsidRPr="002B21CF" w:rsidRDefault="00387789" w:rsidP="009D77C0">
      <w:pPr>
        <w:autoSpaceDE w:val="0"/>
        <w:autoSpaceDN w:val="0"/>
        <w:adjustRightInd w:val="0"/>
        <w:jc w:val="both"/>
        <w:rPr>
          <w:rFonts w:ascii="Lato" w:hAnsi="Lato" w:cstheme="minorHAnsi"/>
          <w:bCs/>
          <w:sz w:val="20"/>
          <w:szCs w:val="20"/>
        </w:rPr>
      </w:pPr>
      <w:r w:rsidRPr="002B21CF">
        <w:rPr>
          <w:rFonts w:ascii="Lato" w:hAnsi="Lato" w:cstheme="minorHAnsi"/>
          <w:bCs/>
          <w:sz w:val="20"/>
          <w:szCs w:val="20"/>
        </w:rPr>
        <w:t>De conformidad y en cumplimiento a las instrucciones de</w:t>
      </w:r>
      <w:r w:rsidRPr="002B21CF">
        <w:rPr>
          <w:rFonts w:ascii="Lato" w:hAnsi="Lato" w:cstheme="minorHAnsi"/>
          <w:sz w:val="20"/>
          <w:szCs w:val="20"/>
        </w:rPr>
        <w:t>l Gobierno del Estado de Yucatán, a través de la Secretaría de Administración y Finanzas</w:t>
      </w:r>
      <w:r w:rsidR="00184626" w:rsidRPr="002B21CF">
        <w:rPr>
          <w:rFonts w:ascii="Lato" w:hAnsi="Lato" w:cstheme="minorHAnsi"/>
          <w:sz w:val="20"/>
          <w:szCs w:val="20"/>
        </w:rPr>
        <w:t xml:space="preserve">, representada por el Ing. Juan Gabriel Sánchez Álvarez, </w:t>
      </w:r>
      <w:r w:rsidR="009E09D7" w:rsidRPr="002B21CF">
        <w:rPr>
          <w:rFonts w:ascii="Lato" w:hAnsi="Lato" w:cstheme="minorHAnsi"/>
          <w:sz w:val="20"/>
          <w:szCs w:val="20"/>
        </w:rPr>
        <w:t xml:space="preserve">quien suscribe el oficio de instrucción No. SAF/0048/2026  de fecha 26 de enero de 2026 mediante el cual se instruye a </w:t>
      </w:r>
      <w:r w:rsidR="00184626" w:rsidRPr="002B21CF">
        <w:rPr>
          <w:rFonts w:ascii="Lato" w:hAnsi="Lato" w:cstheme="minorHAnsi"/>
          <w:sz w:val="20"/>
          <w:szCs w:val="20"/>
        </w:rPr>
        <w:t>Nacional Financiera, Sociedad Nacional de Crédito</w:t>
      </w:r>
      <w:r w:rsidR="00923C29" w:rsidRPr="002B21CF">
        <w:rPr>
          <w:rFonts w:ascii="Lato" w:hAnsi="Lato" w:cstheme="minorHAnsi"/>
          <w:sz w:val="20"/>
          <w:szCs w:val="20"/>
        </w:rPr>
        <w:t>, que a la firma del convenio de extinción,</w:t>
      </w:r>
      <w:r w:rsidR="009E09D7" w:rsidRPr="002B21CF">
        <w:rPr>
          <w:rFonts w:ascii="Lato" w:hAnsi="Lato" w:cstheme="minorHAnsi"/>
          <w:sz w:val="20"/>
          <w:szCs w:val="20"/>
        </w:rPr>
        <w:t xml:space="preserve"> revertir a favor del</w:t>
      </w:r>
      <w:r w:rsidR="00184626" w:rsidRPr="002B21CF">
        <w:rPr>
          <w:rFonts w:ascii="Lato" w:hAnsi="Lato" w:cstheme="minorHAnsi"/>
          <w:sz w:val="20"/>
          <w:szCs w:val="20"/>
        </w:rPr>
        <w:t xml:space="preserve">  Gobierno del Estado de Yucatán, a través de la Secretaría de Administración y Finanzas la totalidad de los recursos remanentes del patrimonio del Fideicomiso Fondo de Seguridad Pública del Estado de Yucatán (FOSEG), de conformidad con los estados de cuenta al 20 de febrero de 2026, previa deducción </w:t>
      </w:r>
      <w:r w:rsidR="009E09D7" w:rsidRPr="002B21CF">
        <w:rPr>
          <w:rFonts w:ascii="Lato" w:hAnsi="Lato" w:cstheme="minorHAnsi"/>
          <w:sz w:val="20"/>
          <w:szCs w:val="20"/>
        </w:rPr>
        <w:t xml:space="preserve">de los pagos por servicios notariales por revocación de poderes, así como </w:t>
      </w:r>
      <w:r w:rsidR="00184626" w:rsidRPr="002B21CF">
        <w:rPr>
          <w:rFonts w:ascii="Lato" w:hAnsi="Lato" w:cstheme="minorHAnsi"/>
          <w:sz w:val="20"/>
          <w:szCs w:val="20"/>
        </w:rPr>
        <w:t>los honorarios</w:t>
      </w:r>
      <w:r w:rsidR="003A18DB" w:rsidRPr="002B21CF">
        <w:rPr>
          <w:rFonts w:ascii="Lato" w:hAnsi="Lato" w:cstheme="minorHAnsi"/>
          <w:sz w:val="20"/>
          <w:szCs w:val="20"/>
        </w:rPr>
        <w:t xml:space="preserve"> fiduciarios, más los intereses que se gener</w:t>
      </w:r>
      <w:r w:rsidR="009809A0" w:rsidRPr="002B21CF">
        <w:rPr>
          <w:rFonts w:ascii="Lato" w:hAnsi="Lato" w:cstheme="minorHAnsi"/>
          <w:sz w:val="20"/>
          <w:szCs w:val="20"/>
        </w:rPr>
        <w:t>aron</w:t>
      </w:r>
      <w:r w:rsidR="003A18DB" w:rsidRPr="002B21CF">
        <w:rPr>
          <w:rFonts w:ascii="Lato" w:hAnsi="Lato" w:cstheme="minorHAnsi"/>
          <w:sz w:val="20"/>
          <w:szCs w:val="20"/>
        </w:rPr>
        <w:t xml:space="preserve"> hasta la fecha de entrega de dichos recursos. </w:t>
      </w:r>
    </w:p>
    <w:p w14:paraId="592105D2" w14:textId="7F445668" w:rsidR="009D77C0" w:rsidRPr="002B21CF" w:rsidRDefault="00164BB0" w:rsidP="009D77C0">
      <w:pPr>
        <w:autoSpaceDE w:val="0"/>
        <w:autoSpaceDN w:val="0"/>
        <w:adjustRightInd w:val="0"/>
        <w:jc w:val="both"/>
        <w:rPr>
          <w:rFonts w:ascii="Lato" w:hAnsi="Lato" w:cstheme="minorHAnsi"/>
          <w:b/>
          <w:sz w:val="20"/>
          <w:szCs w:val="20"/>
        </w:rPr>
      </w:pPr>
      <w:r w:rsidRPr="002B21CF">
        <w:rPr>
          <w:rFonts w:ascii="Lato" w:hAnsi="Lato" w:cstheme="minorHAnsi"/>
          <w:b/>
          <w:sz w:val="20"/>
          <w:szCs w:val="20"/>
        </w:rPr>
        <w:br/>
      </w:r>
      <w:r w:rsidR="00687BDF" w:rsidRPr="002B21CF">
        <w:rPr>
          <w:rFonts w:ascii="Lato" w:hAnsi="Lato" w:cstheme="minorHAnsi"/>
          <w:b/>
          <w:sz w:val="20"/>
          <w:szCs w:val="20"/>
        </w:rPr>
        <w:t>3</w:t>
      </w:r>
      <w:r w:rsidR="009D77C0" w:rsidRPr="002B21CF">
        <w:rPr>
          <w:rFonts w:ascii="Lato" w:hAnsi="Lato" w:cstheme="minorHAnsi"/>
          <w:b/>
          <w:sz w:val="20"/>
          <w:szCs w:val="20"/>
        </w:rPr>
        <w:t>.- Organización y Objeto Social</w:t>
      </w:r>
    </w:p>
    <w:p w14:paraId="62E91DE2" w14:textId="77777777" w:rsidR="009D77C0" w:rsidRPr="002B21CF" w:rsidRDefault="009D77C0" w:rsidP="009D77C0">
      <w:pPr>
        <w:autoSpaceDE w:val="0"/>
        <w:autoSpaceDN w:val="0"/>
        <w:adjustRightInd w:val="0"/>
        <w:jc w:val="both"/>
        <w:rPr>
          <w:rFonts w:ascii="Lato" w:hAnsi="Lato" w:cstheme="minorHAnsi"/>
          <w:b/>
          <w:sz w:val="20"/>
          <w:szCs w:val="20"/>
        </w:rPr>
      </w:pPr>
    </w:p>
    <w:p w14:paraId="242C43B7" w14:textId="77777777" w:rsidR="009D77C0" w:rsidRPr="002B21CF" w:rsidRDefault="009D77C0" w:rsidP="009D77C0">
      <w:pPr>
        <w:numPr>
          <w:ilvl w:val="0"/>
          <w:numId w:val="3"/>
        </w:numPr>
        <w:tabs>
          <w:tab w:val="left" w:pos="1065"/>
        </w:tabs>
        <w:autoSpaceDE w:val="0"/>
        <w:autoSpaceDN w:val="0"/>
        <w:adjustRightInd w:val="0"/>
        <w:jc w:val="both"/>
        <w:rPr>
          <w:rFonts w:ascii="Lato" w:hAnsi="Lato" w:cstheme="minorHAnsi"/>
          <w:b/>
          <w:sz w:val="20"/>
          <w:szCs w:val="20"/>
        </w:rPr>
      </w:pPr>
      <w:r w:rsidRPr="002B21CF">
        <w:rPr>
          <w:rFonts w:ascii="Lato" w:hAnsi="Lato" w:cstheme="minorHAnsi"/>
          <w:b/>
          <w:sz w:val="20"/>
          <w:szCs w:val="20"/>
        </w:rPr>
        <w:t>Objeto social.</w:t>
      </w:r>
    </w:p>
    <w:p w14:paraId="353E184D" w14:textId="520BB55C" w:rsidR="00482B06" w:rsidRPr="002B21CF" w:rsidRDefault="00333AF6" w:rsidP="00482B06">
      <w:pPr>
        <w:tabs>
          <w:tab w:val="left" w:pos="1065"/>
        </w:tabs>
        <w:autoSpaceDE w:val="0"/>
        <w:autoSpaceDN w:val="0"/>
        <w:adjustRightInd w:val="0"/>
        <w:jc w:val="both"/>
        <w:rPr>
          <w:rFonts w:ascii="Lato" w:hAnsi="Lato" w:cstheme="minorHAnsi"/>
          <w:sz w:val="20"/>
          <w:szCs w:val="20"/>
        </w:rPr>
      </w:pPr>
      <w:r w:rsidRPr="002B21CF">
        <w:rPr>
          <w:rFonts w:ascii="Lato" w:hAnsi="Lato" w:cstheme="minorHAnsi"/>
          <w:sz w:val="20"/>
          <w:szCs w:val="20"/>
        </w:rPr>
        <w:t>El objeto del Fideicomiso Fondo de Seguridad Pública del Estado de Yucatán (FOSEG) durante su vigencia</w:t>
      </w:r>
      <w:r w:rsidR="00255938" w:rsidRPr="002B21CF">
        <w:rPr>
          <w:rFonts w:ascii="Lato" w:hAnsi="Lato" w:cstheme="minorHAnsi"/>
          <w:sz w:val="20"/>
          <w:szCs w:val="20"/>
        </w:rPr>
        <w:t>,</w:t>
      </w:r>
      <w:r w:rsidRPr="002B21CF">
        <w:rPr>
          <w:rFonts w:ascii="Lato" w:hAnsi="Lato" w:cstheme="minorHAnsi"/>
          <w:sz w:val="20"/>
          <w:szCs w:val="20"/>
        </w:rPr>
        <w:t xml:space="preserve"> fue c</w:t>
      </w:r>
      <w:r w:rsidR="00482B06" w:rsidRPr="002B21CF">
        <w:rPr>
          <w:rFonts w:ascii="Lato" w:hAnsi="Lato" w:cstheme="minorHAnsi"/>
          <w:sz w:val="20"/>
          <w:szCs w:val="20"/>
        </w:rPr>
        <w:t>oordinar políticas, lineamientos y acciones entre el Estado y el Gobierno Federal, para el desarrollo y ejecución de acciones en el Marco del Sistema Nacional de Seguridad Pública, conforme a los acuerdos y resoluciones del Consejo Nacional de Seguridad Pública, aplicando al efecto los recursos convenidos del Fondo de Aportaciones para la Seguridad Pública de los Estados y del Distrito Federal.</w:t>
      </w:r>
    </w:p>
    <w:p w14:paraId="3D364E70" w14:textId="77777777" w:rsidR="00482B06" w:rsidRPr="002B21CF" w:rsidRDefault="00482B06" w:rsidP="009D77C0">
      <w:pPr>
        <w:tabs>
          <w:tab w:val="left" w:pos="1065"/>
        </w:tabs>
        <w:autoSpaceDE w:val="0"/>
        <w:autoSpaceDN w:val="0"/>
        <w:adjustRightInd w:val="0"/>
        <w:jc w:val="both"/>
        <w:rPr>
          <w:rFonts w:ascii="Lato" w:hAnsi="Lato" w:cstheme="minorHAnsi"/>
          <w:sz w:val="20"/>
          <w:szCs w:val="20"/>
        </w:rPr>
      </w:pPr>
    </w:p>
    <w:p w14:paraId="4FF7276B" w14:textId="77777777" w:rsidR="009D77C0" w:rsidRPr="002B21CF" w:rsidRDefault="009D77C0" w:rsidP="009D77C0">
      <w:pPr>
        <w:numPr>
          <w:ilvl w:val="0"/>
          <w:numId w:val="3"/>
        </w:numPr>
        <w:tabs>
          <w:tab w:val="left" w:pos="1065"/>
        </w:tabs>
        <w:autoSpaceDE w:val="0"/>
        <w:autoSpaceDN w:val="0"/>
        <w:adjustRightInd w:val="0"/>
        <w:jc w:val="both"/>
        <w:rPr>
          <w:rFonts w:ascii="Lato" w:hAnsi="Lato" w:cstheme="minorHAnsi"/>
          <w:b/>
          <w:sz w:val="20"/>
          <w:szCs w:val="20"/>
        </w:rPr>
      </w:pPr>
      <w:r w:rsidRPr="002B21CF">
        <w:rPr>
          <w:rFonts w:ascii="Lato" w:hAnsi="Lato" w:cstheme="minorHAnsi"/>
          <w:b/>
          <w:sz w:val="20"/>
          <w:szCs w:val="20"/>
        </w:rPr>
        <w:t>Principal actividad</w:t>
      </w:r>
    </w:p>
    <w:p w14:paraId="7DD2494C" w14:textId="357EA795" w:rsidR="00482B06" w:rsidRPr="002B21CF" w:rsidRDefault="00482B06" w:rsidP="00482B06">
      <w:pPr>
        <w:tabs>
          <w:tab w:val="left" w:pos="1065"/>
        </w:tabs>
        <w:autoSpaceDE w:val="0"/>
        <w:autoSpaceDN w:val="0"/>
        <w:adjustRightInd w:val="0"/>
        <w:jc w:val="both"/>
        <w:rPr>
          <w:rFonts w:ascii="Lato" w:hAnsi="Lato" w:cstheme="minorHAnsi"/>
          <w:sz w:val="20"/>
          <w:szCs w:val="20"/>
        </w:rPr>
      </w:pPr>
      <w:r w:rsidRPr="002B21CF">
        <w:rPr>
          <w:rFonts w:ascii="Lato" w:hAnsi="Lato" w:cstheme="minorHAnsi"/>
          <w:sz w:val="20"/>
          <w:szCs w:val="20"/>
        </w:rPr>
        <w:t>No aplica debido a que la fecha el</w:t>
      </w:r>
      <w:r w:rsidR="0022650D" w:rsidRPr="002B21CF">
        <w:rPr>
          <w:rFonts w:ascii="Lato" w:hAnsi="Lato" w:cstheme="minorHAnsi"/>
          <w:sz w:val="20"/>
          <w:szCs w:val="20"/>
        </w:rPr>
        <w:t xml:space="preserve"> Gobierno del Estado de Yucatán, a través de la Secretaría de Administración y Finanzas, y Nacional Financiera, Sociedad Nacional de Crédito, convinieron expresamente extinguir el Contrato del Fideicomiso Fondo de Seguridad Pública del Estado de Yucatán (FOSEG).</w:t>
      </w:r>
    </w:p>
    <w:p w14:paraId="1B9FA15E" w14:textId="0752E598" w:rsidR="009D77C0" w:rsidRPr="002B21CF" w:rsidRDefault="009D77C0" w:rsidP="00482B06">
      <w:pPr>
        <w:tabs>
          <w:tab w:val="left" w:pos="1065"/>
        </w:tabs>
        <w:autoSpaceDE w:val="0"/>
        <w:autoSpaceDN w:val="0"/>
        <w:adjustRightInd w:val="0"/>
        <w:jc w:val="both"/>
        <w:rPr>
          <w:rFonts w:ascii="Lato" w:hAnsi="Lato" w:cstheme="minorHAnsi"/>
          <w:sz w:val="20"/>
          <w:szCs w:val="20"/>
        </w:rPr>
      </w:pPr>
      <w:r w:rsidRPr="002B21CF">
        <w:rPr>
          <w:rFonts w:ascii="Lato" w:hAnsi="Lato" w:cstheme="minorHAnsi"/>
          <w:sz w:val="20"/>
          <w:szCs w:val="20"/>
        </w:rPr>
        <w:t xml:space="preserve"> </w:t>
      </w:r>
    </w:p>
    <w:p w14:paraId="27D6DF93" w14:textId="2104D478" w:rsidR="009D77C0" w:rsidRPr="002B21CF" w:rsidRDefault="00EF4F94" w:rsidP="009D77C0">
      <w:pPr>
        <w:numPr>
          <w:ilvl w:val="0"/>
          <w:numId w:val="3"/>
        </w:numPr>
        <w:tabs>
          <w:tab w:val="left" w:pos="1065"/>
        </w:tabs>
        <w:autoSpaceDE w:val="0"/>
        <w:autoSpaceDN w:val="0"/>
        <w:adjustRightInd w:val="0"/>
        <w:jc w:val="both"/>
        <w:rPr>
          <w:rFonts w:ascii="Lato" w:hAnsi="Lato" w:cstheme="minorHAnsi"/>
          <w:b/>
          <w:sz w:val="20"/>
          <w:szCs w:val="20"/>
        </w:rPr>
      </w:pPr>
      <w:r w:rsidRPr="002B21CF">
        <w:rPr>
          <w:rFonts w:ascii="Lato" w:hAnsi="Lato" w:cstheme="minorHAnsi"/>
          <w:b/>
          <w:sz w:val="20"/>
          <w:szCs w:val="20"/>
        </w:rPr>
        <w:t>Ejercicio Fiscal</w:t>
      </w:r>
    </w:p>
    <w:p w14:paraId="6A55ABAF" w14:textId="145EA961" w:rsidR="009D77C0" w:rsidRPr="002B21CF" w:rsidRDefault="00AF61A9" w:rsidP="009D77C0">
      <w:pPr>
        <w:autoSpaceDE w:val="0"/>
        <w:autoSpaceDN w:val="0"/>
        <w:adjustRightInd w:val="0"/>
        <w:jc w:val="both"/>
        <w:rPr>
          <w:rFonts w:ascii="Lato" w:hAnsi="Lato" w:cstheme="minorHAnsi"/>
          <w:sz w:val="20"/>
          <w:szCs w:val="20"/>
        </w:rPr>
      </w:pPr>
      <w:r w:rsidRPr="002B21CF">
        <w:rPr>
          <w:rFonts w:ascii="Lato" w:hAnsi="Lato" w:cstheme="minorHAnsi"/>
          <w:sz w:val="20"/>
          <w:szCs w:val="20"/>
        </w:rPr>
        <w:t>El ejercicio f</w:t>
      </w:r>
      <w:r w:rsidR="00A31DFE" w:rsidRPr="002B21CF">
        <w:rPr>
          <w:rFonts w:ascii="Lato" w:hAnsi="Lato" w:cstheme="minorHAnsi"/>
          <w:sz w:val="20"/>
          <w:szCs w:val="20"/>
        </w:rPr>
        <w:t xml:space="preserve">iscal del Fondo de </w:t>
      </w:r>
      <w:r w:rsidRPr="002B21CF">
        <w:rPr>
          <w:rFonts w:ascii="Lato" w:hAnsi="Lato" w:cstheme="minorHAnsi"/>
          <w:sz w:val="20"/>
          <w:szCs w:val="20"/>
        </w:rPr>
        <w:t>Seguridad Pública</w:t>
      </w:r>
      <w:r w:rsidR="00A31DFE" w:rsidRPr="002B21CF">
        <w:rPr>
          <w:rFonts w:ascii="Lato" w:hAnsi="Lato" w:cstheme="minorHAnsi"/>
          <w:sz w:val="20"/>
          <w:szCs w:val="20"/>
        </w:rPr>
        <w:t xml:space="preserve"> del Estado de Yucatán</w:t>
      </w:r>
      <w:r w:rsidR="00333AF6" w:rsidRPr="002B21CF">
        <w:rPr>
          <w:rFonts w:ascii="Lato" w:hAnsi="Lato" w:cstheme="minorHAnsi"/>
          <w:sz w:val="20"/>
          <w:szCs w:val="20"/>
        </w:rPr>
        <w:t xml:space="preserve"> por su extinción</w:t>
      </w:r>
      <w:r w:rsidRPr="002B21CF">
        <w:rPr>
          <w:rFonts w:ascii="Lato" w:hAnsi="Lato" w:cstheme="minorHAnsi"/>
          <w:sz w:val="20"/>
          <w:szCs w:val="20"/>
        </w:rPr>
        <w:t xml:space="preserve"> es el que comprend</w:t>
      </w:r>
      <w:r w:rsidR="00333AF6" w:rsidRPr="002B21CF">
        <w:rPr>
          <w:rFonts w:ascii="Lato" w:hAnsi="Lato" w:cstheme="minorHAnsi"/>
          <w:sz w:val="20"/>
          <w:szCs w:val="20"/>
        </w:rPr>
        <w:t>ió</w:t>
      </w:r>
      <w:r w:rsidRPr="002B21CF">
        <w:rPr>
          <w:rFonts w:ascii="Lato" w:hAnsi="Lato" w:cstheme="minorHAnsi"/>
          <w:sz w:val="20"/>
          <w:szCs w:val="20"/>
        </w:rPr>
        <w:t xml:space="preserve"> del 1 de enero al </w:t>
      </w:r>
      <w:r w:rsidR="00333AF6" w:rsidRPr="002B21CF">
        <w:rPr>
          <w:rFonts w:ascii="Lato" w:hAnsi="Lato" w:cstheme="minorHAnsi"/>
          <w:sz w:val="20"/>
          <w:szCs w:val="20"/>
        </w:rPr>
        <w:t>2</w:t>
      </w:r>
      <w:r w:rsidR="008E7F6A" w:rsidRPr="002B21CF">
        <w:rPr>
          <w:rFonts w:ascii="Lato" w:hAnsi="Lato" w:cstheme="minorHAnsi"/>
          <w:sz w:val="20"/>
          <w:szCs w:val="20"/>
        </w:rPr>
        <w:t>0</w:t>
      </w:r>
      <w:r w:rsidRPr="002B21CF">
        <w:rPr>
          <w:rFonts w:ascii="Lato" w:hAnsi="Lato" w:cstheme="minorHAnsi"/>
          <w:sz w:val="20"/>
          <w:szCs w:val="20"/>
        </w:rPr>
        <w:t xml:space="preserve"> de </w:t>
      </w:r>
      <w:r w:rsidR="00333AF6" w:rsidRPr="002B21CF">
        <w:rPr>
          <w:rFonts w:ascii="Lato" w:hAnsi="Lato" w:cstheme="minorHAnsi"/>
          <w:sz w:val="20"/>
          <w:szCs w:val="20"/>
        </w:rPr>
        <w:t>febrero</w:t>
      </w:r>
      <w:r w:rsidRPr="002B21CF">
        <w:rPr>
          <w:rFonts w:ascii="Lato" w:hAnsi="Lato" w:cstheme="minorHAnsi"/>
          <w:sz w:val="20"/>
          <w:szCs w:val="20"/>
        </w:rPr>
        <w:t xml:space="preserve"> de </w:t>
      </w:r>
      <w:r w:rsidR="00333AF6" w:rsidRPr="002B21CF">
        <w:rPr>
          <w:rFonts w:ascii="Lato" w:hAnsi="Lato" w:cstheme="minorHAnsi"/>
          <w:sz w:val="20"/>
          <w:szCs w:val="20"/>
        </w:rPr>
        <w:t>2026</w:t>
      </w:r>
      <w:r w:rsidR="00EF4F94" w:rsidRPr="002B21CF">
        <w:rPr>
          <w:rFonts w:ascii="Lato" w:hAnsi="Lato" w:cstheme="minorHAnsi"/>
          <w:sz w:val="20"/>
          <w:szCs w:val="20"/>
        </w:rPr>
        <w:t>, y l</w:t>
      </w:r>
      <w:r w:rsidR="009D77C0" w:rsidRPr="002B21CF">
        <w:rPr>
          <w:rFonts w:ascii="Lato" w:hAnsi="Lato" w:cstheme="minorHAnsi"/>
          <w:sz w:val="20"/>
          <w:szCs w:val="20"/>
        </w:rPr>
        <w:t xml:space="preserve">as cifras contenidas en los Estados Financieros y que se mencionan en estas notas se presentan al </w:t>
      </w:r>
      <w:bookmarkStart w:id="0" w:name="m17"/>
      <w:bookmarkEnd w:id="0"/>
      <w:r w:rsidR="00333AF6" w:rsidRPr="002B21CF">
        <w:rPr>
          <w:rFonts w:ascii="Lato" w:hAnsi="Lato" w:cstheme="minorHAnsi"/>
          <w:sz w:val="20"/>
          <w:szCs w:val="20"/>
        </w:rPr>
        <w:t>28</w:t>
      </w:r>
      <w:r w:rsidR="000F5D63" w:rsidRPr="002B21CF">
        <w:rPr>
          <w:rFonts w:ascii="Lato" w:hAnsi="Lato" w:cstheme="minorHAnsi"/>
          <w:sz w:val="20"/>
          <w:szCs w:val="20"/>
        </w:rPr>
        <w:t xml:space="preserve"> de </w:t>
      </w:r>
      <w:r w:rsidR="00333AF6" w:rsidRPr="002B21CF">
        <w:rPr>
          <w:rFonts w:ascii="Lato" w:hAnsi="Lato" w:cstheme="minorHAnsi"/>
          <w:sz w:val="20"/>
          <w:szCs w:val="20"/>
        </w:rPr>
        <w:t>febrero</w:t>
      </w:r>
      <w:r w:rsidR="00485CDE" w:rsidRPr="002B21CF">
        <w:rPr>
          <w:rFonts w:ascii="Lato" w:hAnsi="Lato" w:cstheme="minorHAnsi"/>
          <w:sz w:val="20"/>
          <w:szCs w:val="20"/>
        </w:rPr>
        <w:t xml:space="preserve"> </w:t>
      </w:r>
      <w:r w:rsidR="009D77C0" w:rsidRPr="002B21CF">
        <w:rPr>
          <w:rFonts w:ascii="Lato" w:hAnsi="Lato" w:cstheme="minorHAnsi"/>
          <w:sz w:val="20"/>
          <w:szCs w:val="20"/>
        </w:rPr>
        <w:t>del Ejercicio Fiscal 202</w:t>
      </w:r>
      <w:r w:rsidR="00B44AD3" w:rsidRPr="002B21CF">
        <w:rPr>
          <w:rFonts w:ascii="Lato" w:hAnsi="Lato" w:cstheme="minorHAnsi"/>
          <w:sz w:val="20"/>
          <w:szCs w:val="20"/>
        </w:rPr>
        <w:t>6</w:t>
      </w:r>
    </w:p>
    <w:p w14:paraId="400D02A4" w14:textId="77777777" w:rsidR="005228DC" w:rsidRPr="002B21CF" w:rsidRDefault="005228DC" w:rsidP="009D77C0">
      <w:pPr>
        <w:autoSpaceDE w:val="0"/>
        <w:autoSpaceDN w:val="0"/>
        <w:adjustRightInd w:val="0"/>
        <w:jc w:val="both"/>
        <w:rPr>
          <w:rFonts w:ascii="Lato" w:hAnsi="Lato" w:cstheme="minorHAnsi"/>
          <w:sz w:val="20"/>
          <w:szCs w:val="20"/>
        </w:rPr>
      </w:pPr>
    </w:p>
    <w:p w14:paraId="18F8C348" w14:textId="77777777" w:rsidR="009D77C0" w:rsidRPr="002B21CF" w:rsidRDefault="009D77C0" w:rsidP="009D77C0">
      <w:pPr>
        <w:pStyle w:val="Prrafodelista"/>
        <w:numPr>
          <w:ilvl w:val="0"/>
          <w:numId w:val="3"/>
        </w:numPr>
        <w:tabs>
          <w:tab w:val="left" w:pos="1065"/>
        </w:tabs>
        <w:autoSpaceDE w:val="0"/>
        <w:autoSpaceDN w:val="0"/>
        <w:adjustRightInd w:val="0"/>
        <w:jc w:val="both"/>
        <w:rPr>
          <w:rFonts w:ascii="Lato" w:hAnsi="Lato" w:cstheme="minorHAnsi"/>
          <w:b/>
          <w:sz w:val="20"/>
          <w:szCs w:val="20"/>
        </w:rPr>
      </w:pPr>
      <w:r w:rsidRPr="002B21CF">
        <w:rPr>
          <w:rFonts w:ascii="Lato" w:hAnsi="Lato" w:cstheme="minorHAnsi"/>
          <w:b/>
          <w:sz w:val="20"/>
          <w:szCs w:val="20"/>
        </w:rPr>
        <w:t>Régimen Jurídico</w:t>
      </w:r>
    </w:p>
    <w:p w14:paraId="333DF197" w14:textId="103C5946" w:rsidR="009D77C0" w:rsidRPr="002B21CF" w:rsidRDefault="009D77C0" w:rsidP="009D77C0">
      <w:pPr>
        <w:tabs>
          <w:tab w:val="left" w:pos="1065"/>
        </w:tabs>
        <w:autoSpaceDE w:val="0"/>
        <w:autoSpaceDN w:val="0"/>
        <w:adjustRightInd w:val="0"/>
        <w:jc w:val="both"/>
        <w:rPr>
          <w:rFonts w:ascii="Lato" w:hAnsi="Lato" w:cstheme="minorHAnsi"/>
          <w:sz w:val="20"/>
          <w:szCs w:val="20"/>
        </w:rPr>
      </w:pPr>
      <w:r w:rsidRPr="002B21CF">
        <w:rPr>
          <w:rFonts w:ascii="Lato" w:hAnsi="Lato" w:cstheme="minorHAnsi"/>
          <w:sz w:val="20"/>
          <w:szCs w:val="20"/>
        </w:rPr>
        <w:t>El Fondo de Seguridad Pública está regulado por:</w:t>
      </w:r>
    </w:p>
    <w:p w14:paraId="6A69EDC4" w14:textId="77777777" w:rsidR="009D77C0" w:rsidRPr="002B21CF" w:rsidRDefault="009D77C0" w:rsidP="009D77C0">
      <w:pPr>
        <w:pStyle w:val="Prrafodelista"/>
        <w:numPr>
          <w:ilvl w:val="0"/>
          <w:numId w:val="6"/>
        </w:numPr>
        <w:tabs>
          <w:tab w:val="left" w:pos="1065"/>
        </w:tabs>
        <w:autoSpaceDE w:val="0"/>
        <w:autoSpaceDN w:val="0"/>
        <w:adjustRightInd w:val="0"/>
        <w:jc w:val="both"/>
        <w:rPr>
          <w:rFonts w:ascii="Lato" w:eastAsia="Calibri" w:hAnsi="Lato" w:cstheme="minorHAnsi"/>
          <w:sz w:val="20"/>
          <w:szCs w:val="20"/>
        </w:rPr>
      </w:pPr>
      <w:r w:rsidRPr="002B21CF">
        <w:rPr>
          <w:rFonts w:ascii="Lato" w:eastAsia="Calibri" w:hAnsi="Lato" w:cstheme="minorHAnsi"/>
          <w:sz w:val="20"/>
          <w:szCs w:val="20"/>
        </w:rPr>
        <w:t>La Constitución de los Estados Unidos Mexicanos</w:t>
      </w:r>
    </w:p>
    <w:p w14:paraId="7CD37614" w14:textId="77777777" w:rsidR="009D77C0" w:rsidRPr="002B21CF" w:rsidRDefault="009D77C0" w:rsidP="009D77C0">
      <w:pPr>
        <w:pStyle w:val="Prrafodelista"/>
        <w:numPr>
          <w:ilvl w:val="0"/>
          <w:numId w:val="6"/>
        </w:numPr>
        <w:tabs>
          <w:tab w:val="left" w:pos="1065"/>
        </w:tabs>
        <w:autoSpaceDE w:val="0"/>
        <w:autoSpaceDN w:val="0"/>
        <w:adjustRightInd w:val="0"/>
        <w:jc w:val="both"/>
        <w:rPr>
          <w:rFonts w:ascii="Lato" w:eastAsia="Calibri" w:hAnsi="Lato" w:cstheme="minorHAnsi"/>
          <w:sz w:val="20"/>
          <w:szCs w:val="20"/>
        </w:rPr>
      </w:pPr>
      <w:r w:rsidRPr="002B21CF">
        <w:rPr>
          <w:rFonts w:ascii="Lato" w:eastAsia="Calibri" w:hAnsi="Lato" w:cstheme="minorHAnsi"/>
          <w:sz w:val="20"/>
          <w:szCs w:val="20"/>
        </w:rPr>
        <w:t>La Constitución Política del Estado de Yucatán.</w:t>
      </w:r>
    </w:p>
    <w:p w14:paraId="5765E376" w14:textId="77777777" w:rsidR="009D77C0" w:rsidRPr="002B21CF" w:rsidRDefault="009D77C0" w:rsidP="009D77C0">
      <w:pPr>
        <w:pStyle w:val="Prrafodelista"/>
        <w:numPr>
          <w:ilvl w:val="0"/>
          <w:numId w:val="6"/>
        </w:numPr>
        <w:tabs>
          <w:tab w:val="left" w:pos="1065"/>
        </w:tabs>
        <w:autoSpaceDE w:val="0"/>
        <w:autoSpaceDN w:val="0"/>
        <w:adjustRightInd w:val="0"/>
        <w:jc w:val="both"/>
        <w:rPr>
          <w:rFonts w:ascii="Lato" w:eastAsia="Calibri" w:hAnsi="Lato" w:cstheme="minorHAnsi"/>
          <w:sz w:val="20"/>
          <w:szCs w:val="20"/>
        </w:rPr>
      </w:pPr>
      <w:r w:rsidRPr="002B21CF">
        <w:rPr>
          <w:rFonts w:ascii="Lato" w:eastAsia="Calibri" w:hAnsi="Lato" w:cstheme="minorHAnsi"/>
          <w:sz w:val="20"/>
          <w:szCs w:val="20"/>
        </w:rPr>
        <w:t>Ley de Coordinación Fiscal</w:t>
      </w:r>
    </w:p>
    <w:p w14:paraId="4037C935" w14:textId="77777777" w:rsidR="009D77C0" w:rsidRPr="002B21CF" w:rsidRDefault="009D77C0" w:rsidP="009D77C0">
      <w:pPr>
        <w:pStyle w:val="Prrafodelista"/>
        <w:numPr>
          <w:ilvl w:val="0"/>
          <w:numId w:val="6"/>
        </w:numPr>
        <w:tabs>
          <w:tab w:val="left" w:pos="1065"/>
        </w:tabs>
        <w:autoSpaceDE w:val="0"/>
        <w:autoSpaceDN w:val="0"/>
        <w:adjustRightInd w:val="0"/>
        <w:jc w:val="both"/>
        <w:rPr>
          <w:rFonts w:ascii="Lato" w:eastAsia="Calibri" w:hAnsi="Lato" w:cstheme="minorHAnsi"/>
          <w:sz w:val="20"/>
          <w:szCs w:val="20"/>
        </w:rPr>
      </w:pPr>
      <w:r w:rsidRPr="002B21CF">
        <w:rPr>
          <w:rFonts w:ascii="Lato" w:eastAsia="Calibri" w:hAnsi="Lato" w:cstheme="minorHAnsi"/>
          <w:sz w:val="20"/>
          <w:szCs w:val="20"/>
        </w:rPr>
        <w:t>Ley General de Contabilidad Gubernamental</w:t>
      </w:r>
    </w:p>
    <w:p w14:paraId="372EC322" w14:textId="77777777" w:rsidR="009D77C0" w:rsidRPr="002B21CF" w:rsidRDefault="009D77C0" w:rsidP="009D77C0">
      <w:pPr>
        <w:pStyle w:val="Prrafodelista"/>
        <w:numPr>
          <w:ilvl w:val="0"/>
          <w:numId w:val="6"/>
        </w:numPr>
        <w:tabs>
          <w:tab w:val="left" w:pos="1065"/>
        </w:tabs>
        <w:autoSpaceDE w:val="0"/>
        <w:autoSpaceDN w:val="0"/>
        <w:adjustRightInd w:val="0"/>
        <w:jc w:val="both"/>
        <w:rPr>
          <w:rFonts w:ascii="Lato" w:eastAsia="Calibri" w:hAnsi="Lato" w:cstheme="minorHAnsi"/>
          <w:sz w:val="20"/>
          <w:szCs w:val="20"/>
        </w:rPr>
      </w:pPr>
      <w:r w:rsidRPr="002B21CF">
        <w:rPr>
          <w:rFonts w:ascii="Lato" w:eastAsia="Calibri" w:hAnsi="Lato" w:cstheme="minorHAnsi"/>
          <w:sz w:val="20"/>
          <w:szCs w:val="20"/>
        </w:rPr>
        <w:t>La Ley del Presupuesto y Contabilidad Gubernamental del Estado de Yucatán y su reglamento.</w:t>
      </w:r>
    </w:p>
    <w:p w14:paraId="1800B0C4" w14:textId="77777777" w:rsidR="009D77C0" w:rsidRPr="002B21CF" w:rsidRDefault="009D77C0" w:rsidP="009D77C0">
      <w:pPr>
        <w:pStyle w:val="Prrafodelista"/>
        <w:numPr>
          <w:ilvl w:val="0"/>
          <w:numId w:val="6"/>
        </w:numPr>
        <w:tabs>
          <w:tab w:val="left" w:pos="1065"/>
        </w:tabs>
        <w:autoSpaceDE w:val="0"/>
        <w:autoSpaceDN w:val="0"/>
        <w:adjustRightInd w:val="0"/>
        <w:jc w:val="both"/>
        <w:rPr>
          <w:rFonts w:ascii="Lato" w:eastAsia="Calibri" w:hAnsi="Lato" w:cstheme="minorHAnsi"/>
          <w:sz w:val="20"/>
          <w:szCs w:val="20"/>
        </w:rPr>
      </w:pPr>
      <w:r w:rsidRPr="002B21CF">
        <w:rPr>
          <w:rFonts w:ascii="Lato" w:eastAsia="Calibri" w:hAnsi="Lato" w:cstheme="minorHAnsi"/>
          <w:sz w:val="20"/>
          <w:szCs w:val="20"/>
        </w:rPr>
        <w:t>La Ley de Responsabilidades de los Servidores Públicos del Estado de Yucatán.</w:t>
      </w:r>
    </w:p>
    <w:p w14:paraId="6D8A18A1" w14:textId="77777777" w:rsidR="009D77C0" w:rsidRPr="002B21CF" w:rsidRDefault="009D77C0" w:rsidP="009D77C0">
      <w:pPr>
        <w:pStyle w:val="Prrafodelista"/>
        <w:numPr>
          <w:ilvl w:val="0"/>
          <w:numId w:val="6"/>
        </w:numPr>
        <w:tabs>
          <w:tab w:val="left" w:pos="1065"/>
        </w:tabs>
        <w:autoSpaceDE w:val="0"/>
        <w:autoSpaceDN w:val="0"/>
        <w:adjustRightInd w:val="0"/>
        <w:jc w:val="both"/>
        <w:rPr>
          <w:rFonts w:ascii="Lato" w:eastAsia="Calibri" w:hAnsi="Lato" w:cstheme="minorHAnsi"/>
          <w:sz w:val="20"/>
          <w:szCs w:val="20"/>
        </w:rPr>
      </w:pPr>
      <w:r w:rsidRPr="002B21CF">
        <w:rPr>
          <w:rFonts w:ascii="Lato" w:eastAsia="Calibri" w:hAnsi="Lato" w:cstheme="minorHAnsi"/>
          <w:sz w:val="20"/>
          <w:szCs w:val="20"/>
        </w:rPr>
        <w:t>La Ley Federal de Responsabilidades de los Servidores Públicos</w:t>
      </w:r>
    </w:p>
    <w:p w14:paraId="65DFD8FD" w14:textId="77777777" w:rsidR="009D77C0" w:rsidRPr="002B21CF" w:rsidRDefault="009D77C0" w:rsidP="009D77C0">
      <w:pPr>
        <w:pStyle w:val="Prrafodelista"/>
        <w:numPr>
          <w:ilvl w:val="0"/>
          <w:numId w:val="6"/>
        </w:numPr>
        <w:tabs>
          <w:tab w:val="left" w:pos="1065"/>
        </w:tabs>
        <w:autoSpaceDE w:val="0"/>
        <w:autoSpaceDN w:val="0"/>
        <w:adjustRightInd w:val="0"/>
        <w:jc w:val="both"/>
        <w:rPr>
          <w:rFonts w:ascii="Lato" w:eastAsia="Calibri" w:hAnsi="Lato" w:cstheme="minorHAnsi"/>
          <w:sz w:val="20"/>
          <w:szCs w:val="20"/>
        </w:rPr>
      </w:pPr>
      <w:r w:rsidRPr="002B21CF">
        <w:rPr>
          <w:rFonts w:ascii="Lato" w:eastAsia="Calibri" w:hAnsi="Lato" w:cstheme="minorHAnsi"/>
          <w:sz w:val="20"/>
          <w:szCs w:val="20"/>
        </w:rPr>
        <w:t>La Ley de Adquisiciones, Arrendamientos y Prestación de Servicios relacionados con Bienes Muebles.</w:t>
      </w:r>
    </w:p>
    <w:p w14:paraId="57944F87" w14:textId="77777777" w:rsidR="009D77C0" w:rsidRPr="002B21CF" w:rsidRDefault="009D77C0" w:rsidP="009D77C0">
      <w:pPr>
        <w:pStyle w:val="Prrafodelista"/>
        <w:numPr>
          <w:ilvl w:val="0"/>
          <w:numId w:val="6"/>
        </w:numPr>
        <w:tabs>
          <w:tab w:val="left" w:pos="1065"/>
        </w:tabs>
        <w:autoSpaceDE w:val="0"/>
        <w:autoSpaceDN w:val="0"/>
        <w:adjustRightInd w:val="0"/>
        <w:jc w:val="both"/>
        <w:rPr>
          <w:rFonts w:ascii="Lato" w:eastAsia="Calibri" w:hAnsi="Lato" w:cstheme="minorHAnsi"/>
          <w:sz w:val="20"/>
          <w:szCs w:val="20"/>
        </w:rPr>
      </w:pPr>
      <w:r w:rsidRPr="002B21CF">
        <w:rPr>
          <w:rFonts w:ascii="Lato" w:eastAsia="Calibri" w:hAnsi="Lato" w:cstheme="minorHAnsi"/>
          <w:sz w:val="20"/>
          <w:szCs w:val="20"/>
        </w:rPr>
        <w:t>La Ley de Fiscalización de la Cuenta Pública del Estado de Yucatán y su reglamento.</w:t>
      </w:r>
    </w:p>
    <w:p w14:paraId="6FBBE447" w14:textId="21DA15BA" w:rsidR="009D77C0" w:rsidRPr="002B21CF" w:rsidRDefault="009D77C0" w:rsidP="009D77C0">
      <w:pPr>
        <w:pStyle w:val="Prrafodelista"/>
        <w:numPr>
          <w:ilvl w:val="0"/>
          <w:numId w:val="6"/>
        </w:numPr>
        <w:tabs>
          <w:tab w:val="left" w:pos="1065"/>
        </w:tabs>
        <w:autoSpaceDE w:val="0"/>
        <w:autoSpaceDN w:val="0"/>
        <w:adjustRightInd w:val="0"/>
        <w:jc w:val="both"/>
        <w:rPr>
          <w:rFonts w:ascii="Lato" w:eastAsia="Calibri" w:hAnsi="Lato" w:cstheme="minorHAnsi"/>
          <w:sz w:val="20"/>
          <w:szCs w:val="20"/>
        </w:rPr>
      </w:pPr>
      <w:r w:rsidRPr="002B21CF">
        <w:rPr>
          <w:rFonts w:ascii="Lato" w:eastAsia="Calibri" w:hAnsi="Lato" w:cstheme="minorHAnsi"/>
          <w:sz w:val="20"/>
          <w:szCs w:val="20"/>
        </w:rPr>
        <w:t>Ley de Disciplina Financiera de las Entidades Federativas y Municipios</w:t>
      </w:r>
    </w:p>
    <w:p w14:paraId="46803DB6" w14:textId="77777777" w:rsidR="004B58A5" w:rsidRPr="002B21CF" w:rsidRDefault="004B58A5" w:rsidP="004B58A5">
      <w:pPr>
        <w:pStyle w:val="Prrafodelista"/>
        <w:tabs>
          <w:tab w:val="left" w:pos="1065"/>
        </w:tabs>
        <w:autoSpaceDE w:val="0"/>
        <w:autoSpaceDN w:val="0"/>
        <w:adjustRightInd w:val="0"/>
        <w:jc w:val="both"/>
        <w:rPr>
          <w:rFonts w:ascii="Lato" w:eastAsia="Calibri" w:hAnsi="Lato" w:cstheme="minorHAnsi"/>
          <w:sz w:val="20"/>
          <w:szCs w:val="20"/>
        </w:rPr>
      </w:pPr>
    </w:p>
    <w:p w14:paraId="00B31BF6" w14:textId="77777777" w:rsidR="009D77C0" w:rsidRPr="002B21CF" w:rsidRDefault="009D77C0" w:rsidP="009D77C0">
      <w:pPr>
        <w:pStyle w:val="Prrafodelista"/>
        <w:tabs>
          <w:tab w:val="left" w:pos="1065"/>
        </w:tabs>
        <w:autoSpaceDE w:val="0"/>
        <w:autoSpaceDN w:val="0"/>
        <w:adjustRightInd w:val="0"/>
        <w:jc w:val="both"/>
        <w:rPr>
          <w:rFonts w:ascii="Lato" w:hAnsi="Lato" w:cstheme="minorHAnsi"/>
          <w:sz w:val="20"/>
          <w:szCs w:val="20"/>
        </w:rPr>
      </w:pPr>
    </w:p>
    <w:p w14:paraId="72444FBB" w14:textId="77777777" w:rsidR="009D77C0" w:rsidRPr="002B21CF" w:rsidRDefault="009D77C0" w:rsidP="009D77C0">
      <w:pPr>
        <w:pStyle w:val="Prrafodelista"/>
        <w:numPr>
          <w:ilvl w:val="0"/>
          <w:numId w:val="3"/>
        </w:numPr>
        <w:tabs>
          <w:tab w:val="left" w:pos="1065"/>
        </w:tabs>
        <w:autoSpaceDE w:val="0"/>
        <w:autoSpaceDN w:val="0"/>
        <w:adjustRightInd w:val="0"/>
        <w:jc w:val="both"/>
        <w:rPr>
          <w:rFonts w:ascii="Lato" w:hAnsi="Lato" w:cstheme="minorHAnsi"/>
          <w:b/>
          <w:sz w:val="20"/>
          <w:szCs w:val="20"/>
        </w:rPr>
      </w:pPr>
      <w:r w:rsidRPr="002B21CF">
        <w:rPr>
          <w:rFonts w:ascii="Lato" w:hAnsi="Lato" w:cstheme="minorHAnsi"/>
          <w:b/>
          <w:sz w:val="20"/>
          <w:szCs w:val="20"/>
        </w:rPr>
        <w:t>Consideraciones fiscales</w:t>
      </w:r>
    </w:p>
    <w:p w14:paraId="254B6297" w14:textId="40348D0D" w:rsidR="009D77C0" w:rsidRPr="002B21CF" w:rsidRDefault="009D77C0" w:rsidP="009D77C0">
      <w:pPr>
        <w:tabs>
          <w:tab w:val="left" w:pos="1065"/>
        </w:tabs>
        <w:autoSpaceDE w:val="0"/>
        <w:autoSpaceDN w:val="0"/>
        <w:adjustRightInd w:val="0"/>
        <w:jc w:val="both"/>
        <w:rPr>
          <w:rFonts w:ascii="Lato" w:hAnsi="Lato" w:cstheme="minorHAnsi"/>
          <w:sz w:val="20"/>
          <w:szCs w:val="20"/>
        </w:rPr>
      </w:pPr>
      <w:r w:rsidRPr="002B21CF">
        <w:rPr>
          <w:rFonts w:ascii="Lato" w:hAnsi="Lato" w:cstheme="minorHAnsi"/>
          <w:sz w:val="20"/>
          <w:szCs w:val="20"/>
        </w:rPr>
        <w:t>La Secretaría de Administración y Finanzas de Yucatán es la encargada de cumplir con las obligaciones fiscales por cuenta del Fondo de Seguridad Pública, debido a que carece de personalidad jurídica propia y de registro ante la Secretaría de Hacienda y Crédito Público.</w:t>
      </w:r>
    </w:p>
    <w:p w14:paraId="3B13F095" w14:textId="77777777" w:rsidR="00A542BB" w:rsidRPr="002B21CF" w:rsidRDefault="00A542BB" w:rsidP="009D77C0">
      <w:pPr>
        <w:tabs>
          <w:tab w:val="left" w:pos="1065"/>
        </w:tabs>
        <w:autoSpaceDE w:val="0"/>
        <w:autoSpaceDN w:val="0"/>
        <w:adjustRightInd w:val="0"/>
        <w:jc w:val="both"/>
        <w:rPr>
          <w:rFonts w:ascii="Lato" w:hAnsi="Lato" w:cstheme="minorHAnsi"/>
          <w:sz w:val="20"/>
          <w:szCs w:val="20"/>
        </w:rPr>
      </w:pPr>
    </w:p>
    <w:p w14:paraId="4743B2C3" w14:textId="77777777" w:rsidR="009D77C0" w:rsidRPr="002B21CF" w:rsidRDefault="009D77C0" w:rsidP="009D77C0">
      <w:pPr>
        <w:pStyle w:val="Prrafodelista"/>
        <w:numPr>
          <w:ilvl w:val="0"/>
          <w:numId w:val="3"/>
        </w:numPr>
        <w:tabs>
          <w:tab w:val="left" w:pos="1065"/>
        </w:tabs>
        <w:autoSpaceDE w:val="0"/>
        <w:autoSpaceDN w:val="0"/>
        <w:adjustRightInd w:val="0"/>
        <w:jc w:val="both"/>
        <w:rPr>
          <w:rFonts w:ascii="Lato" w:hAnsi="Lato" w:cstheme="minorHAnsi"/>
          <w:b/>
          <w:sz w:val="20"/>
          <w:szCs w:val="20"/>
        </w:rPr>
      </w:pPr>
      <w:r w:rsidRPr="002B21CF">
        <w:rPr>
          <w:rFonts w:ascii="Lato" w:hAnsi="Lato" w:cstheme="minorHAnsi"/>
          <w:b/>
          <w:sz w:val="20"/>
          <w:szCs w:val="20"/>
        </w:rPr>
        <w:t>Estructura organizacional básica.</w:t>
      </w:r>
    </w:p>
    <w:p w14:paraId="22DFFA28" w14:textId="2FBD31B4" w:rsidR="009D77C0" w:rsidRDefault="00397FC3" w:rsidP="009D77C0">
      <w:pPr>
        <w:tabs>
          <w:tab w:val="left" w:pos="1065"/>
        </w:tabs>
        <w:autoSpaceDE w:val="0"/>
        <w:autoSpaceDN w:val="0"/>
        <w:adjustRightInd w:val="0"/>
        <w:jc w:val="both"/>
        <w:rPr>
          <w:rFonts w:ascii="Lato" w:hAnsi="Lato" w:cstheme="minorHAnsi"/>
          <w:sz w:val="20"/>
          <w:szCs w:val="20"/>
        </w:rPr>
      </w:pPr>
      <w:r w:rsidRPr="002B21CF">
        <w:rPr>
          <w:rFonts w:ascii="Lato" w:hAnsi="Lato" w:cstheme="minorHAnsi"/>
          <w:sz w:val="20"/>
          <w:szCs w:val="20"/>
        </w:rPr>
        <w:t xml:space="preserve">Sin información que revelar </w:t>
      </w:r>
      <w:r w:rsidR="008E7F6A" w:rsidRPr="002B21CF">
        <w:rPr>
          <w:rFonts w:ascii="Lato" w:hAnsi="Lato" w:cstheme="minorHAnsi"/>
          <w:sz w:val="20"/>
          <w:szCs w:val="20"/>
        </w:rPr>
        <w:t>a la fecha de su extinción.</w:t>
      </w:r>
    </w:p>
    <w:p w14:paraId="0828857C" w14:textId="77777777" w:rsidR="002B21CF" w:rsidRPr="002B21CF" w:rsidRDefault="002B21CF" w:rsidP="009D77C0">
      <w:pPr>
        <w:tabs>
          <w:tab w:val="left" w:pos="1065"/>
        </w:tabs>
        <w:autoSpaceDE w:val="0"/>
        <w:autoSpaceDN w:val="0"/>
        <w:adjustRightInd w:val="0"/>
        <w:jc w:val="both"/>
        <w:rPr>
          <w:rFonts w:ascii="Lato" w:hAnsi="Lato" w:cstheme="minorHAnsi"/>
          <w:sz w:val="20"/>
          <w:szCs w:val="20"/>
        </w:rPr>
      </w:pPr>
    </w:p>
    <w:p w14:paraId="574177FF" w14:textId="77777777" w:rsidR="008E7F6A" w:rsidRPr="002B21CF" w:rsidRDefault="008E7F6A" w:rsidP="009D77C0">
      <w:pPr>
        <w:tabs>
          <w:tab w:val="left" w:pos="1065"/>
        </w:tabs>
        <w:autoSpaceDE w:val="0"/>
        <w:autoSpaceDN w:val="0"/>
        <w:adjustRightInd w:val="0"/>
        <w:jc w:val="both"/>
        <w:rPr>
          <w:rFonts w:ascii="Lato" w:hAnsi="Lato" w:cstheme="minorHAnsi"/>
          <w:sz w:val="20"/>
          <w:szCs w:val="20"/>
        </w:rPr>
      </w:pPr>
    </w:p>
    <w:p w14:paraId="058CA4AE" w14:textId="6EE9BA60" w:rsidR="009D77C0" w:rsidRPr="002B21CF" w:rsidRDefault="009D77C0" w:rsidP="009D77C0">
      <w:pPr>
        <w:pStyle w:val="Prrafodelista"/>
        <w:numPr>
          <w:ilvl w:val="0"/>
          <w:numId w:val="3"/>
        </w:numPr>
        <w:tabs>
          <w:tab w:val="left" w:pos="1065"/>
        </w:tabs>
        <w:autoSpaceDE w:val="0"/>
        <w:autoSpaceDN w:val="0"/>
        <w:adjustRightInd w:val="0"/>
        <w:jc w:val="both"/>
        <w:rPr>
          <w:rFonts w:ascii="Lato" w:hAnsi="Lato" w:cstheme="minorHAnsi"/>
          <w:b/>
          <w:sz w:val="20"/>
          <w:szCs w:val="20"/>
        </w:rPr>
      </w:pPr>
      <w:r w:rsidRPr="002B21CF">
        <w:rPr>
          <w:rFonts w:ascii="Lato" w:hAnsi="Lato" w:cstheme="minorHAnsi"/>
          <w:b/>
          <w:sz w:val="20"/>
          <w:szCs w:val="20"/>
        </w:rPr>
        <w:t>Fideicomisos</w:t>
      </w:r>
      <w:r w:rsidR="00784295" w:rsidRPr="002B21CF">
        <w:rPr>
          <w:rFonts w:ascii="Lato" w:hAnsi="Lato" w:cstheme="minorHAnsi"/>
          <w:b/>
          <w:sz w:val="20"/>
          <w:szCs w:val="20"/>
        </w:rPr>
        <w:t xml:space="preserve"> </w:t>
      </w:r>
      <w:r w:rsidRPr="002B21CF">
        <w:rPr>
          <w:rFonts w:ascii="Lato" w:hAnsi="Lato" w:cstheme="minorHAnsi"/>
          <w:b/>
          <w:sz w:val="20"/>
          <w:szCs w:val="20"/>
        </w:rPr>
        <w:t>de los cuales es fideicomitente o fideicomisario</w:t>
      </w:r>
      <w:r w:rsidR="00784295" w:rsidRPr="002B21CF">
        <w:rPr>
          <w:rFonts w:ascii="Lato" w:hAnsi="Lato" w:cstheme="minorHAnsi"/>
          <w:b/>
          <w:sz w:val="20"/>
          <w:szCs w:val="20"/>
        </w:rPr>
        <w:t>, y contratos análogos, incluyendo mandatos de los cuales es parte.</w:t>
      </w:r>
      <w:r w:rsidRPr="002B21CF">
        <w:rPr>
          <w:rFonts w:ascii="Lato" w:hAnsi="Lato" w:cstheme="minorHAnsi"/>
          <w:b/>
          <w:sz w:val="20"/>
          <w:szCs w:val="20"/>
        </w:rPr>
        <w:t xml:space="preserve"> </w:t>
      </w:r>
    </w:p>
    <w:p w14:paraId="764E55AA" w14:textId="5E6502AE" w:rsidR="00AF61A9" w:rsidRPr="002B21CF" w:rsidRDefault="005F0D38" w:rsidP="00AF61A9">
      <w:pPr>
        <w:tabs>
          <w:tab w:val="left" w:pos="1065"/>
        </w:tabs>
        <w:autoSpaceDE w:val="0"/>
        <w:autoSpaceDN w:val="0"/>
        <w:adjustRightInd w:val="0"/>
        <w:jc w:val="both"/>
        <w:rPr>
          <w:rFonts w:ascii="Lato" w:hAnsi="Lato" w:cstheme="minorHAnsi"/>
          <w:sz w:val="20"/>
          <w:szCs w:val="20"/>
        </w:rPr>
      </w:pPr>
      <w:r w:rsidRPr="002B21CF">
        <w:rPr>
          <w:rFonts w:ascii="Lato" w:hAnsi="Lato" w:cstheme="minorHAnsi"/>
          <w:sz w:val="20"/>
          <w:szCs w:val="20"/>
        </w:rPr>
        <w:t>Sin información que revelar</w:t>
      </w:r>
      <w:r w:rsidR="008E7F6A" w:rsidRPr="002B21CF">
        <w:rPr>
          <w:rFonts w:ascii="Lato" w:hAnsi="Lato" w:cstheme="minorHAnsi"/>
          <w:sz w:val="20"/>
          <w:szCs w:val="20"/>
        </w:rPr>
        <w:t xml:space="preserve"> a la fecha de su extinción</w:t>
      </w:r>
      <w:r w:rsidRPr="002B21CF">
        <w:rPr>
          <w:rFonts w:ascii="Lato" w:hAnsi="Lato" w:cstheme="minorHAnsi"/>
          <w:sz w:val="20"/>
          <w:szCs w:val="20"/>
        </w:rPr>
        <w:t>.</w:t>
      </w:r>
    </w:p>
    <w:p w14:paraId="4589B2B6" w14:textId="77777777" w:rsidR="00651D0A" w:rsidRPr="002B21CF" w:rsidRDefault="00651D0A" w:rsidP="009D77C0">
      <w:pPr>
        <w:autoSpaceDE w:val="0"/>
        <w:autoSpaceDN w:val="0"/>
        <w:adjustRightInd w:val="0"/>
        <w:jc w:val="both"/>
        <w:rPr>
          <w:rFonts w:ascii="Lato" w:hAnsi="Lato" w:cstheme="minorHAnsi"/>
          <w:b/>
          <w:sz w:val="20"/>
          <w:szCs w:val="20"/>
        </w:rPr>
      </w:pPr>
    </w:p>
    <w:p w14:paraId="3CABF81F" w14:textId="3FFD5F69" w:rsidR="009D77C0" w:rsidRPr="002B21CF" w:rsidRDefault="00D65420" w:rsidP="009D77C0">
      <w:pPr>
        <w:autoSpaceDE w:val="0"/>
        <w:autoSpaceDN w:val="0"/>
        <w:adjustRightInd w:val="0"/>
        <w:jc w:val="both"/>
        <w:rPr>
          <w:rFonts w:ascii="Lato" w:hAnsi="Lato" w:cstheme="minorHAnsi"/>
          <w:b/>
          <w:sz w:val="20"/>
          <w:szCs w:val="20"/>
        </w:rPr>
      </w:pPr>
      <w:r w:rsidRPr="002B21CF">
        <w:rPr>
          <w:rFonts w:ascii="Lato" w:hAnsi="Lato" w:cstheme="minorHAnsi"/>
          <w:b/>
          <w:sz w:val="20"/>
          <w:szCs w:val="20"/>
        </w:rPr>
        <w:t>4</w:t>
      </w:r>
      <w:r w:rsidR="009D77C0" w:rsidRPr="002B21CF">
        <w:rPr>
          <w:rFonts w:ascii="Lato" w:hAnsi="Lato" w:cstheme="minorHAnsi"/>
          <w:b/>
          <w:sz w:val="20"/>
          <w:szCs w:val="20"/>
        </w:rPr>
        <w:t>.-</w:t>
      </w:r>
      <w:r w:rsidR="009D77C0" w:rsidRPr="002B21CF">
        <w:rPr>
          <w:rFonts w:ascii="Lato" w:hAnsi="Lato" w:cstheme="minorHAnsi"/>
          <w:sz w:val="20"/>
          <w:szCs w:val="20"/>
        </w:rPr>
        <w:t xml:space="preserve"> </w:t>
      </w:r>
      <w:r w:rsidR="009D77C0" w:rsidRPr="002B21CF">
        <w:rPr>
          <w:rFonts w:ascii="Lato" w:hAnsi="Lato" w:cstheme="minorHAnsi"/>
          <w:b/>
          <w:sz w:val="20"/>
          <w:szCs w:val="20"/>
        </w:rPr>
        <w:t xml:space="preserve">Bases </w:t>
      </w:r>
      <w:r w:rsidR="00CD00D9" w:rsidRPr="002B21CF">
        <w:rPr>
          <w:rFonts w:ascii="Lato" w:hAnsi="Lato" w:cstheme="minorHAnsi"/>
          <w:b/>
          <w:sz w:val="20"/>
          <w:szCs w:val="20"/>
        </w:rPr>
        <w:t xml:space="preserve">de </w:t>
      </w:r>
      <w:r w:rsidR="009D77C0" w:rsidRPr="002B21CF">
        <w:rPr>
          <w:rFonts w:ascii="Lato" w:hAnsi="Lato" w:cstheme="minorHAnsi"/>
          <w:b/>
          <w:sz w:val="20"/>
          <w:szCs w:val="20"/>
        </w:rPr>
        <w:t>Preparación de</w:t>
      </w:r>
      <w:r w:rsidR="00CD00D9" w:rsidRPr="002B21CF">
        <w:rPr>
          <w:rFonts w:ascii="Lato" w:hAnsi="Lato" w:cstheme="minorHAnsi"/>
          <w:b/>
          <w:sz w:val="20"/>
          <w:szCs w:val="20"/>
        </w:rPr>
        <w:t xml:space="preserve"> los</w:t>
      </w:r>
      <w:r w:rsidR="009D77C0" w:rsidRPr="002B21CF">
        <w:rPr>
          <w:rFonts w:ascii="Lato" w:hAnsi="Lato" w:cstheme="minorHAnsi"/>
          <w:b/>
          <w:sz w:val="20"/>
          <w:szCs w:val="20"/>
        </w:rPr>
        <w:t xml:space="preserve"> Estados Financieros.</w:t>
      </w:r>
    </w:p>
    <w:p w14:paraId="2C5A8F16" w14:textId="77777777" w:rsidR="009D77C0" w:rsidRPr="002B21CF" w:rsidRDefault="009D77C0" w:rsidP="009D77C0">
      <w:pPr>
        <w:autoSpaceDE w:val="0"/>
        <w:autoSpaceDN w:val="0"/>
        <w:adjustRightInd w:val="0"/>
        <w:jc w:val="both"/>
        <w:rPr>
          <w:rFonts w:ascii="Lato" w:hAnsi="Lato" w:cstheme="minorHAnsi"/>
          <w:sz w:val="20"/>
          <w:szCs w:val="20"/>
        </w:rPr>
      </w:pPr>
    </w:p>
    <w:p w14:paraId="292FFFF5" w14:textId="77F6AA13" w:rsidR="009D77C0" w:rsidRPr="002B21CF" w:rsidRDefault="009D77C0" w:rsidP="009D77C0">
      <w:pPr>
        <w:numPr>
          <w:ilvl w:val="0"/>
          <w:numId w:val="4"/>
        </w:numPr>
        <w:autoSpaceDE w:val="0"/>
        <w:autoSpaceDN w:val="0"/>
        <w:adjustRightInd w:val="0"/>
        <w:jc w:val="both"/>
        <w:rPr>
          <w:rFonts w:ascii="Lato" w:hAnsi="Lato" w:cstheme="minorHAnsi"/>
          <w:sz w:val="20"/>
          <w:szCs w:val="20"/>
        </w:rPr>
      </w:pPr>
      <w:r w:rsidRPr="002B21CF">
        <w:rPr>
          <w:rFonts w:ascii="Lato" w:hAnsi="Lato" w:cstheme="minorHAnsi"/>
          <w:sz w:val="20"/>
          <w:szCs w:val="20"/>
        </w:rPr>
        <w:t>En la preparación de los Estados Financieros del Fondo de Seguridad Pública</w:t>
      </w:r>
      <w:r w:rsidR="00A31DFE" w:rsidRPr="002B21CF">
        <w:rPr>
          <w:rFonts w:ascii="Lato" w:hAnsi="Lato" w:cstheme="minorHAnsi"/>
          <w:sz w:val="20"/>
          <w:szCs w:val="20"/>
        </w:rPr>
        <w:t xml:space="preserve"> del Estado de Yucatán</w:t>
      </w:r>
      <w:r w:rsidRPr="002B21CF">
        <w:rPr>
          <w:rFonts w:ascii="Lato" w:hAnsi="Lato" w:cstheme="minorHAnsi"/>
          <w:sz w:val="20"/>
          <w:szCs w:val="20"/>
        </w:rPr>
        <w:t>, se observó con lo establecido en la Ley General de Contabilidad Gubernamental, la Ley de Presupuesto y Contabilidad Gubernamental del Estado de Yucatán y demás disposiciones emitidas para tal efecto por el Consejo Nacional de Armonización Contable (CONAC) y realiza sus registros con base acumulativa para facilitar el registro, transparencia, la rendición de cuentas y la fiscalización de los activos, pasivos, patrimonio, ingresos y gastos y, en general, contribuir a medir la eficacia, economía y eficiencia del gasto e ingresos.</w:t>
      </w:r>
    </w:p>
    <w:p w14:paraId="2D6A46A0" w14:textId="77777777" w:rsidR="00397FC3" w:rsidRPr="002B21CF" w:rsidRDefault="00397FC3" w:rsidP="00397FC3">
      <w:pPr>
        <w:autoSpaceDE w:val="0"/>
        <w:autoSpaceDN w:val="0"/>
        <w:adjustRightInd w:val="0"/>
        <w:ind w:left="720"/>
        <w:jc w:val="both"/>
        <w:rPr>
          <w:rFonts w:ascii="Lato" w:hAnsi="Lato" w:cstheme="minorHAnsi"/>
          <w:sz w:val="20"/>
          <w:szCs w:val="20"/>
        </w:rPr>
      </w:pPr>
    </w:p>
    <w:p w14:paraId="317B1FFD" w14:textId="62CC781B" w:rsidR="009D77C0" w:rsidRPr="002B21CF" w:rsidRDefault="009D77C0" w:rsidP="009D77C0">
      <w:pPr>
        <w:numPr>
          <w:ilvl w:val="0"/>
          <w:numId w:val="4"/>
        </w:numPr>
        <w:autoSpaceDE w:val="0"/>
        <w:autoSpaceDN w:val="0"/>
        <w:adjustRightInd w:val="0"/>
        <w:jc w:val="both"/>
        <w:rPr>
          <w:rFonts w:ascii="Lato" w:hAnsi="Lato" w:cstheme="minorHAnsi"/>
          <w:sz w:val="20"/>
          <w:szCs w:val="20"/>
        </w:rPr>
      </w:pPr>
      <w:r w:rsidRPr="002B21CF">
        <w:rPr>
          <w:rFonts w:ascii="Lato" w:hAnsi="Lato" w:cstheme="minorHAnsi"/>
          <w:sz w:val="20"/>
          <w:szCs w:val="20"/>
        </w:rPr>
        <w:t>La base de medición utilizada en el registro de las operaciones para la elaboración d</w:t>
      </w:r>
      <w:r w:rsidR="002562DC" w:rsidRPr="002B21CF">
        <w:rPr>
          <w:rFonts w:ascii="Lato" w:hAnsi="Lato" w:cstheme="minorHAnsi"/>
          <w:sz w:val="20"/>
          <w:szCs w:val="20"/>
        </w:rPr>
        <w:t>e los Estados Financieros es a c</w:t>
      </w:r>
      <w:r w:rsidRPr="002B21CF">
        <w:rPr>
          <w:rFonts w:ascii="Lato" w:hAnsi="Lato" w:cstheme="minorHAnsi"/>
          <w:sz w:val="20"/>
          <w:szCs w:val="20"/>
        </w:rPr>
        <w:t>osto histórico.</w:t>
      </w:r>
    </w:p>
    <w:p w14:paraId="2C924A77" w14:textId="77777777" w:rsidR="007E063F" w:rsidRPr="002B21CF" w:rsidRDefault="007E063F" w:rsidP="007E063F">
      <w:pPr>
        <w:autoSpaceDE w:val="0"/>
        <w:autoSpaceDN w:val="0"/>
        <w:adjustRightInd w:val="0"/>
        <w:ind w:left="720"/>
        <w:jc w:val="both"/>
        <w:rPr>
          <w:rFonts w:ascii="Lato" w:hAnsi="Lato" w:cstheme="minorHAnsi"/>
          <w:sz w:val="20"/>
          <w:szCs w:val="20"/>
        </w:rPr>
      </w:pPr>
    </w:p>
    <w:p w14:paraId="641B1C71" w14:textId="4FBEE603" w:rsidR="009D77C0" w:rsidRPr="002B21CF" w:rsidRDefault="009D77C0" w:rsidP="00DA0411">
      <w:pPr>
        <w:numPr>
          <w:ilvl w:val="0"/>
          <w:numId w:val="4"/>
        </w:numPr>
        <w:autoSpaceDE w:val="0"/>
        <w:autoSpaceDN w:val="0"/>
        <w:adjustRightInd w:val="0"/>
        <w:jc w:val="both"/>
        <w:rPr>
          <w:rFonts w:ascii="Lato" w:hAnsi="Lato" w:cstheme="minorHAnsi"/>
          <w:sz w:val="20"/>
          <w:szCs w:val="20"/>
        </w:rPr>
      </w:pPr>
      <w:r w:rsidRPr="002B21CF">
        <w:rPr>
          <w:rFonts w:ascii="Lato" w:hAnsi="Lato" w:cstheme="minorHAnsi"/>
          <w:sz w:val="20"/>
          <w:szCs w:val="20"/>
        </w:rPr>
        <w:t>Postulados básicos de la Contabilidad gubernamental aprobados por la CONAC y Publicados en el Diario Ofic</w:t>
      </w:r>
      <w:r w:rsidR="007E063F" w:rsidRPr="002B21CF">
        <w:rPr>
          <w:rFonts w:ascii="Lato" w:hAnsi="Lato" w:cstheme="minorHAnsi"/>
          <w:sz w:val="20"/>
          <w:szCs w:val="20"/>
        </w:rPr>
        <w:t>ial del Estado para su di</w:t>
      </w:r>
      <w:r w:rsidR="00EF4F94" w:rsidRPr="002B21CF">
        <w:rPr>
          <w:rFonts w:ascii="Lato" w:hAnsi="Lato" w:cstheme="minorHAnsi"/>
          <w:sz w:val="20"/>
          <w:szCs w:val="20"/>
        </w:rPr>
        <w:t>fusión.</w:t>
      </w:r>
    </w:p>
    <w:p w14:paraId="44DE6B1B" w14:textId="77777777" w:rsidR="00397FC3" w:rsidRPr="002B21CF" w:rsidRDefault="00397FC3" w:rsidP="00EF4F94">
      <w:pPr>
        <w:pStyle w:val="Prrafodelista"/>
        <w:rPr>
          <w:rFonts w:ascii="Lato" w:hAnsi="Lato" w:cstheme="minorHAnsi"/>
          <w:sz w:val="20"/>
          <w:szCs w:val="20"/>
        </w:rPr>
      </w:pPr>
    </w:p>
    <w:p w14:paraId="7F1EF915" w14:textId="77777777" w:rsidR="009D77C0" w:rsidRPr="002B21CF" w:rsidRDefault="009D77C0" w:rsidP="009D77C0">
      <w:pPr>
        <w:numPr>
          <w:ilvl w:val="1"/>
          <w:numId w:val="4"/>
        </w:numPr>
        <w:autoSpaceDE w:val="0"/>
        <w:autoSpaceDN w:val="0"/>
        <w:adjustRightInd w:val="0"/>
        <w:jc w:val="both"/>
        <w:rPr>
          <w:rFonts w:ascii="Lato" w:hAnsi="Lato" w:cstheme="minorHAnsi"/>
          <w:sz w:val="20"/>
          <w:szCs w:val="20"/>
        </w:rPr>
      </w:pPr>
      <w:r w:rsidRPr="002B21CF">
        <w:rPr>
          <w:rFonts w:ascii="Lato" w:hAnsi="Lato" w:cstheme="minorHAnsi"/>
          <w:sz w:val="20"/>
          <w:szCs w:val="20"/>
        </w:rPr>
        <w:t>Sustancia Económica</w:t>
      </w:r>
    </w:p>
    <w:p w14:paraId="5AC48D77" w14:textId="1960CC45" w:rsidR="007E063F" w:rsidRPr="002B21CF" w:rsidRDefault="007E063F" w:rsidP="007E063F">
      <w:pPr>
        <w:autoSpaceDE w:val="0"/>
        <w:autoSpaceDN w:val="0"/>
        <w:adjustRightInd w:val="0"/>
        <w:ind w:left="1440"/>
        <w:jc w:val="both"/>
        <w:rPr>
          <w:rFonts w:ascii="Lato" w:hAnsi="Lato" w:cstheme="minorHAnsi"/>
          <w:sz w:val="20"/>
          <w:szCs w:val="20"/>
        </w:rPr>
      </w:pPr>
      <w:r w:rsidRPr="002B21CF">
        <w:rPr>
          <w:rFonts w:ascii="Lato" w:hAnsi="Lato" w:cstheme="minorHAnsi"/>
          <w:sz w:val="20"/>
          <w:szCs w:val="20"/>
        </w:rPr>
        <w:t>Es el reconocimiento contable de las transacciones, transformaciones internas y otros eventos, que afectan económicamente al ente público y delimitan la operación del Sistema de Contabilidad Gubernamental</w:t>
      </w:r>
    </w:p>
    <w:p w14:paraId="52C3CF89" w14:textId="77777777" w:rsidR="007E063F" w:rsidRPr="002B21CF" w:rsidRDefault="007E063F" w:rsidP="007E063F">
      <w:pPr>
        <w:autoSpaceDE w:val="0"/>
        <w:autoSpaceDN w:val="0"/>
        <w:adjustRightInd w:val="0"/>
        <w:ind w:left="1440"/>
        <w:jc w:val="both"/>
        <w:rPr>
          <w:rFonts w:ascii="Lato" w:hAnsi="Lato" w:cstheme="minorHAnsi"/>
          <w:b/>
          <w:sz w:val="20"/>
          <w:szCs w:val="20"/>
        </w:rPr>
      </w:pPr>
    </w:p>
    <w:p w14:paraId="62469942" w14:textId="77777777" w:rsidR="009D77C0" w:rsidRPr="002B21CF" w:rsidRDefault="009D77C0" w:rsidP="009D77C0">
      <w:pPr>
        <w:numPr>
          <w:ilvl w:val="1"/>
          <w:numId w:val="4"/>
        </w:numPr>
        <w:autoSpaceDE w:val="0"/>
        <w:autoSpaceDN w:val="0"/>
        <w:adjustRightInd w:val="0"/>
        <w:jc w:val="both"/>
        <w:rPr>
          <w:rFonts w:ascii="Lato" w:hAnsi="Lato" w:cstheme="minorHAnsi"/>
          <w:sz w:val="20"/>
          <w:szCs w:val="20"/>
        </w:rPr>
      </w:pPr>
      <w:r w:rsidRPr="002B21CF">
        <w:rPr>
          <w:rFonts w:ascii="Lato" w:hAnsi="Lato" w:cstheme="minorHAnsi"/>
          <w:sz w:val="20"/>
          <w:szCs w:val="20"/>
        </w:rPr>
        <w:t>Entes Públicos</w:t>
      </w:r>
    </w:p>
    <w:p w14:paraId="467BD1C2" w14:textId="1E34382E" w:rsidR="003467F7" w:rsidRPr="002B21CF" w:rsidRDefault="003467F7" w:rsidP="003467F7">
      <w:pPr>
        <w:autoSpaceDE w:val="0"/>
        <w:autoSpaceDN w:val="0"/>
        <w:adjustRightInd w:val="0"/>
        <w:ind w:left="1440"/>
        <w:jc w:val="both"/>
        <w:rPr>
          <w:rFonts w:ascii="Lato" w:hAnsi="Lato" w:cstheme="minorHAnsi"/>
          <w:sz w:val="20"/>
          <w:szCs w:val="20"/>
        </w:rPr>
      </w:pPr>
      <w:r w:rsidRPr="002B21CF">
        <w:rPr>
          <w:rFonts w:ascii="Lato" w:hAnsi="Lato" w:cstheme="minorHAnsi"/>
          <w:sz w:val="20"/>
          <w:szCs w:val="20"/>
        </w:rPr>
        <w:t>El Fondo de Seguridad Pública</w:t>
      </w:r>
      <w:r w:rsidR="00A31DFE" w:rsidRPr="002B21CF">
        <w:rPr>
          <w:rFonts w:ascii="Lato" w:hAnsi="Lato" w:cstheme="minorHAnsi"/>
          <w:sz w:val="20"/>
          <w:szCs w:val="20"/>
        </w:rPr>
        <w:t xml:space="preserve"> </w:t>
      </w:r>
      <w:r w:rsidR="00397FC3" w:rsidRPr="002B21CF">
        <w:rPr>
          <w:rFonts w:ascii="Lato" w:hAnsi="Lato" w:cstheme="minorHAnsi"/>
          <w:sz w:val="20"/>
          <w:szCs w:val="20"/>
        </w:rPr>
        <w:t>del Estado de Yucatán</w:t>
      </w:r>
      <w:r w:rsidR="00FF094B" w:rsidRPr="002B21CF">
        <w:rPr>
          <w:rFonts w:ascii="Lato" w:hAnsi="Lato" w:cstheme="minorHAnsi"/>
          <w:sz w:val="20"/>
          <w:szCs w:val="20"/>
        </w:rPr>
        <w:t>,</w:t>
      </w:r>
      <w:r w:rsidRPr="002B21CF">
        <w:rPr>
          <w:rFonts w:ascii="Lato" w:hAnsi="Lato" w:cstheme="minorHAnsi"/>
          <w:sz w:val="20"/>
          <w:szCs w:val="20"/>
        </w:rPr>
        <w:t xml:space="preserve"> es establecido por un marco normativo específico, el cual determina sus objetivos, su ámbito de acción y sus limitaciones</w:t>
      </w:r>
      <w:r w:rsidR="00EF4F94" w:rsidRPr="002B21CF">
        <w:rPr>
          <w:rFonts w:ascii="Lato" w:hAnsi="Lato" w:cstheme="minorHAnsi"/>
          <w:sz w:val="20"/>
          <w:szCs w:val="20"/>
        </w:rPr>
        <w:t>.</w:t>
      </w:r>
    </w:p>
    <w:p w14:paraId="52F32962" w14:textId="77777777" w:rsidR="0040708F" w:rsidRPr="002B21CF" w:rsidRDefault="0040708F" w:rsidP="003467F7">
      <w:pPr>
        <w:autoSpaceDE w:val="0"/>
        <w:autoSpaceDN w:val="0"/>
        <w:adjustRightInd w:val="0"/>
        <w:ind w:left="1440"/>
        <w:jc w:val="both"/>
        <w:rPr>
          <w:rFonts w:ascii="Lato" w:hAnsi="Lato" w:cstheme="minorHAnsi"/>
          <w:sz w:val="20"/>
          <w:szCs w:val="20"/>
        </w:rPr>
      </w:pPr>
    </w:p>
    <w:p w14:paraId="497251EB" w14:textId="77777777" w:rsidR="009D77C0" w:rsidRPr="002B21CF" w:rsidRDefault="009D77C0" w:rsidP="009D77C0">
      <w:pPr>
        <w:numPr>
          <w:ilvl w:val="1"/>
          <w:numId w:val="4"/>
        </w:numPr>
        <w:autoSpaceDE w:val="0"/>
        <w:autoSpaceDN w:val="0"/>
        <w:adjustRightInd w:val="0"/>
        <w:jc w:val="both"/>
        <w:rPr>
          <w:rFonts w:ascii="Lato" w:hAnsi="Lato" w:cstheme="minorHAnsi"/>
          <w:sz w:val="20"/>
          <w:szCs w:val="20"/>
        </w:rPr>
      </w:pPr>
      <w:r w:rsidRPr="002B21CF">
        <w:rPr>
          <w:rFonts w:ascii="Lato" w:hAnsi="Lato" w:cstheme="minorHAnsi"/>
          <w:sz w:val="20"/>
          <w:szCs w:val="20"/>
        </w:rPr>
        <w:t>Existencia Permanente</w:t>
      </w:r>
    </w:p>
    <w:p w14:paraId="04D2C6DD" w14:textId="0203EE90" w:rsidR="003467F7" w:rsidRPr="002B21CF" w:rsidRDefault="00397FC3" w:rsidP="003467F7">
      <w:pPr>
        <w:autoSpaceDE w:val="0"/>
        <w:autoSpaceDN w:val="0"/>
        <w:adjustRightInd w:val="0"/>
        <w:ind w:left="1440"/>
        <w:jc w:val="both"/>
        <w:rPr>
          <w:rFonts w:ascii="Lato" w:hAnsi="Lato" w:cstheme="minorHAnsi"/>
          <w:sz w:val="20"/>
          <w:szCs w:val="20"/>
        </w:rPr>
      </w:pPr>
      <w:r w:rsidRPr="002B21CF">
        <w:rPr>
          <w:rFonts w:ascii="Lato" w:hAnsi="Lato" w:cstheme="minorHAnsi"/>
          <w:sz w:val="20"/>
          <w:szCs w:val="20"/>
        </w:rPr>
        <w:t>El</w:t>
      </w:r>
      <w:r w:rsidR="003467F7" w:rsidRPr="002B21CF">
        <w:rPr>
          <w:rFonts w:ascii="Lato" w:hAnsi="Lato" w:cstheme="minorHAnsi"/>
          <w:sz w:val="20"/>
          <w:szCs w:val="20"/>
        </w:rPr>
        <w:t xml:space="preserve"> Fondo de </w:t>
      </w:r>
      <w:r w:rsidR="00A31DFE" w:rsidRPr="002B21CF">
        <w:rPr>
          <w:rFonts w:ascii="Lato" w:hAnsi="Lato" w:cstheme="minorHAnsi"/>
          <w:sz w:val="20"/>
          <w:szCs w:val="20"/>
        </w:rPr>
        <w:t>S</w:t>
      </w:r>
      <w:r w:rsidR="003467F7" w:rsidRPr="002B21CF">
        <w:rPr>
          <w:rFonts w:ascii="Lato" w:hAnsi="Lato" w:cstheme="minorHAnsi"/>
          <w:sz w:val="20"/>
          <w:szCs w:val="20"/>
        </w:rPr>
        <w:t>eguridad Pública</w:t>
      </w:r>
      <w:r w:rsidR="00A31DFE" w:rsidRPr="002B21CF">
        <w:rPr>
          <w:rFonts w:ascii="Lato" w:hAnsi="Lato" w:cstheme="minorHAnsi"/>
          <w:sz w:val="20"/>
          <w:szCs w:val="20"/>
        </w:rPr>
        <w:t xml:space="preserve"> del Estado de Yucatán</w:t>
      </w:r>
      <w:r w:rsidRPr="002B21CF">
        <w:rPr>
          <w:rFonts w:ascii="Lato" w:hAnsi="Lato" w:cstheme="minorHAnsi"/>
          <w:sz w:val="20"/>
          <w:szCs w:val="20"/>
        </w:rPr>
        <w:t xml:space="preserve"> se encuentra en proceso de extinción.</w:t>
      </w:r>
    </w:p>
    <w:p w14:paraId="36597F24" w14:textId="77777777" w:rsidR="00397FC3" w:rsidRPr="002B21CF" w:rsidRDefault="00397FC3" w:rsidP="003467F7">
      <w:pPr>
        <w:autoSpaceDE w:val="0"/>
        <w:autoSpaceDN w:val="0"/>
        <w:adjustRightInd w:val="0"/>
        <w:ind w:left="1440"/>
        <w:jc w:val="both"/>
        <w:rPr>
          <w:rFonts w:ascii="Lato" w:hAnsi="Lato" w:cstheme="minorHAnsi"/>
          <w:sz w:val="20"/>
          <w:szCs w:val="20"/>
        </w:rPr>
      </w:pPr>
    </w:p>
    <w:p w14:paraId="41BD6F26" w14:textId="77777777" w:rsidR="009D77C0" w:rsidRPr="002B21CF" w:rsidRDefault="009D77C0" w:rsidP="009D77C0">
      <w:pPr>
        <w:numPr>
          <w:ilvl w:val="1"/>
          <w:numId w:val="4"/>
        </w:numPr>
        <w:autoSpaceDE w:val="0"/>
        <w:autoSpaceDN w:val="0"/>
        <w:adjustRightInd w:val="0"/>
        <w:jc w:val="both"/>
        <w:rPr>
          <w:rFonts w:ascii="Lato" w:hAnsi="Lato" w:cstheme="minorHAnsi"/>
          <w:sz w:val="20"/>
          <w:szCs w:val="20"/>
        </w:rPr>
      </w:pPr>
      <w:r w:rsidRPr="002B21CF">
        <w:rPr>
          <w:rFonts w:ascii="Lato" w:hAnsi="Lato" w:cstheme="minorHAnsi"/>
          <w:sz w:val="20"/>
          <w:szCs w:val="20"/>
        </w:rPr>
        <w:t>Revelación Suficiente</w:t>
      </w:r>
    </w:p>
    <w:p w14:paraId="1CABA4A5" w14:textId="07015B33" w:rsidR="003467F7" w:rsidRPr="002B21CF" w:rsidRDefault="003467F7" w:rsidP="003467F7">
      <w:pPr>
        <w:autoSpaceDE w:val="0"/>
        <w:autoSpaceDN w:val="0"/>
        <w:adjustRightInd w:val="0"/>
        <w:ind w:left="1440"/>
        <w:jc w:val="both"/>
        <w:rPr>
          <w:rFonts w:ascii="Lato" w:hAnsi="Lato" w:cstheme="minorHAnsi"/>
          <w:sz w:val="20"/>
          <w:szCs w:val="20"/>
        </w:rPr>
      </w:pPr>
      <w:r w:rsidRPr="002B21CF">
        <w:rPr>
          <w:rFonts w:ascii="Lato" w:hAnsi="Lato" w:cstheme="minorHAnsi"/>
          <w:sz w:val="20"/>
          <w:szCs w:val="20"/>
        </w:rPr>
        <w:t>Los estados y la información financiera presentan de forma amplia y claramente la situación financiera del Fondo de Seguridad Pública</w:t>
      </w:r>
      <w:r w:rsidR="00A31DFE" w:rsidRPr="002B21CF">
        <w:rPr>
          <w:rFonts w:ascii="Lato" w:hAnsi="Lato" w:cstheme="minorHAnsi"/>
          <w:sz w:val="20"/>
          <w:szCs w:val="20"/>
        </w:rPr>
        <w:t xml:space="preserve"> del Estado de Yucatán</w:t>
      </w:r>
      <w:r w:rsidRPr="002B21CF">
        <w:rPr>
          <w:rFonts w:ascii="Lato" w:hAnsi="Lato" w:cstheme="minorHAnsi"/>
          <w:sz w:val="20"/>
          <w:szCs w:val="20"/>
        </w:rPr>
        <w:t>.</w:t>
      </w:r>
    </w:p>
    <w:p w14:paraId="1B5DE949" w14:textId="77777777" w:rsidR="009D77C0" w:rsidRPr="002B21CF" w:rsidRDefault="009D77C0" w:rsidP="009D77C0">
      <w:pPr>
        <w:numPr>
          <w:ilvl w:val="1"/>
          <w:numId w:val="4"/>
        </w:numPr>
        <w:autoSpaceDE w:val="0"/>
        <w:autoSpaceDN w:val="0"/>
        <w:adjustRightInd w:val="0"/>
        <w:jc w:val="both"/>
        <w:rPr>
          <w:rFonts w:ascii="Lato" w:hAnsi="Lato" w:cstheme="minorHAnsi"/>
          <w:sz w:val="20"/>
          <w:szCs w:val="20"/>
        </w:rPr>
      </w:pPr>
      <w:r w:rsidRPr="002B21CF">
        <w:rPr>
          <w:rFonts w:ascii="Lato" w:hAnsi="Lato" w:cstheme="minorHAnsi"/>
          <w:sz w:val="20"/>
          <w:szCs w:val="20"/>
        </w:rPr>
        <w:t>Importancia Relativa</w:t>
      </w:r>
    </w:p>
    <w:p w14:paraId="26D838CF" w14:textId="26D93F3C" w:rsidR="003467F7" w:rsidRPr="002B21CF" w:rsidRDefault="003467F7" w:rsidP="002B21CF">
      <w:pPr>
        <w:autoSpaceDE w:val="0"/>
        <w:autoSpaceDN w:val="0"/>
        <w:adjustRightInd w:val="0"/>
        <w:ind w:left="1440"/>
        <w:jc w:val="both"/>
        <w:rPr>
          <w:rFonts w:ascii="Lato" w:hAnsi="Lato" w:cstheme="minorHAnsi"/>
          <w:sz w:val="20"/>
          <w:szCs w:val="20"/>
        </w:rPr>
      </w:pPr>
      <w:r w:rsidRPr="002B21CF">
        <w:rPr>
          <w:rFonts w:ascii="Lato" w:hAnsi="Lato" w:cstheme="minorHAnsi"/>
          <w:sz w:val="20"/>
          <w:szCs w:val="20"/>
        </w:rPr>
        <w:t>La información muestra los aspectos importantes del Fondo de Seguridad Pública</w:t>
      </w:r>
      <w:r w:rsidR="00A31DFE" w:rsidRPr="002B21CF">
        <w:rPr>
          <w:rFonts w:ascii="Lato" w:hAnsi="Lato" w:cstheme="minorHAnsi"/>
          <w:sz w:val="20"/>
          <w:szCs w:val="20"/>
        </w:rPr>
        <w:t xml:space="preserve"> del Estado de Yucatán</w:t>
      </w:r>
      <w:r w:rsidRPr="002B21CF">
        <w:rPr>
          <w:rFonts w:ascii="Lato" w:hAnsi="Lato" w:cstheme="minorHAnsi"/>
          <w:sz w:val="20"/>
          <w:szCs w:val="20"/>
        </w:rPr>
        <w:t xml:space="preserve"> que fueron reconocidos contablemente.</w:t>
      </w:r>
    </w:p>
    <w:p w14:paraId="7CCB5F3F" w14:textId="77777777" w:rsidR="009D77C0" w:rsidRPr="002B21CF" w:rsidRDefault="009D77C0" w:rsidP="009D77C0">
      <w:pPr>
        <w:numPr>
          <w:ilvl w:val="1"/>
          <w:numId w:val="4"/>
        </w:numPr>
        <w:autoSpaceDE w:val="0"/>
        <w:autoSpaceDN w:val="0"/>
        <w:adjustRightInd w:val="0"/>
        <w:jc w:val="both"/>
        <w:rPr>
          <w:rFonts w:ascii="Lato" w:hAnsi="Lato" w:cstheme="minorHAnsi"/>
          <w:sz w:val="20"/>
          <w:szCs w:val="20"/>
        </w:rPr>
      </w:pPr>
      <w:r w:rsidRPr="002B21CF">
        <w:rPr>
          <w:rFonts w:ascii="Lato" w:hAnsi="Lato" w:cstheme="minorHAnsi"/>
          <w:sz w:val="20"/>
          <w:szCs w:val="20"/>
        </w:rPr>
        <w:t>Registro e Integración Presupuestaria</w:t>
      </w:r>
    </w:p>
    <w:p w14:paraId="43A5BADC" w14:textId="23392806" w:rsidR="003467F7" w:rsidRPr="002B21CF" w:rsidRDefault="003467F7" w:rsidP="003467F7">
      <w:pPr>
        <w:autoSpaceDE w:val="0"/>
        <w:autoSpaceDN w:val="0"/>
        <w:adjustRightInd w:val="0"/>
        <w:ind w:left="1440"/>
        <w:jc w:val="both"/>
        <w:rPr>
          <w:rFonts w:ascii="Lato" w:hAnsi="Lato" w:cstheme="minorHAnsi"/>
          <w:sz w:val="20"/>
          <w:szCs w:val="20"/>
        </w:rPr>
      </w:pPr>
      <w:r w:rsidRPr="002B21CF">
        <w:rPr>
          <w:rFonts w:ascii="Lato" w:hAnsi="Lato" w:cstheme="minorHAnsi"/>
          <w:sz w:val="20"/>
          <w:szCs w:val="20"/>
        </w:rPr>
        <w:t>La información presupues</w:t>
      </w:r>
      <w:r w:rsidR="00A31DFE" w:rsidRPr="002B21CF">
        <w:rPr>
          <w:rFonts w:ascii="Lato" w:hAnsi="Lato" w:cstheme="minorHAnsi"/>
          <w:sz w:val="20"/>
          <w:szCs w:val="20"/>
        </w:rPr>
        <w:t xml:space="preserve">taria del Fondo de </w:t>
      </w:r>
      <w:r w:rsidRPr="002B21CF">
        <w:rPr>
          <w:rFonts w:ascii="Lato" w:hAnsi="Lato" w:cstheme="minorHAnsi"/>
          <w:sz w:val="20"/>
          <w:szCs w:val="20"/>
        </w:rPr>
        <w:t>Seguridad Pública</w:t>
      </w:r>
      <w:r w:rsidR="00A31DFE" w:rsidRPr="002B21CF">
        <w:rPr>
          <w:rFonts w:ascii="Lato" w:hAnsi="Lato" w:cstheme="minorHAnsi"/>
          <w:sz w:val="20"/>
          <w:szCs w:val="20"/>
        </w:rPr>
        <w:t xml:space="preserve"> del Estado de Yucatán</w:t>
      </w:r>
      <w:r w:rsidRPr="002B21CF">
        <w:rPr>
          <w:rFonts w:ascii="Lato" w:hAnsi="Lato" w:cstheme="minorHAnsi"/>
          <w:sz w:val="20"/>
          <w:szCs w:val="20"/>
        </w:rPr>
        <w:t xml:space="preserve"> se integra automáticamente con los registros contables</w:t>
      </w:r>
      <w:r w:rsidR="00EF4F94" w:rsidRPr="002B21CF">
        <w:rPr>
          <w:rFonts w:ascii="Lato" w:hAnsi="Lato" w:cstheme="minorHAnsi"/>
          <w:sz w:val="20"/>
          <w:szCs w:val="20"/>
        </w:rPr>
        <w:t>.</w:t>
      </w:r>
    </w:p>
    <w:p w14:paraId="3B835981" w14:textId="77777777" w:rsidR="003467F7" w:rsidRPr="002B21CF" w:rsidRDefault="003467F7" w:rsidP="003467F7">
      <w:pPr>
        <w:autoSpaceDE w:val="0"/>
        <w:autoSpaceDN w:val="0"/>
        <w:adjustRightInd w:val="0"/>
        <w:ind w:left="1440"/>
        <w:jc w:val="both"/>
        <w:rPr>
          <w:rFonts w:ascii="Lato" w:hAnsi="Lato" w:cstheme="minorHAnsi"/>
          <w:sz w:val="20"/>
          <w:szCs w:val="20"/>
        </w:rPr>
      </w:pPr>
    </w:p>
    <w:p w14:paraId="2111E9E7" w14:textId="77777777" w:rsidR="009D77C0" w:rsidRPr="002B21CF" w:rsidRDefault="009D77C0" w:rsidP="009D77C0">
      <w:pPr>
        <w:numPr>
          <w:ilvl w:val="1"/>
          <w:numId w:val="4"/>
        </w:numPr>
        <w:autoSpaceDE w:val="0"/>
        <w:autoSpaceDN w:val="0"/>
        <w:adjustRightInd w:val="0"/>
        <w:jc w:val="both"/>
        <w:rPr>
          <w:rFonts w:ascii="Lato" w:hAnsi="Lato" w:cstheme="minorHAnsi"/>
          <w:sz w:val="20"/>
          <w:szCs w:val="20"/>
        </w:rPr>
      </w:pPr>
      <w:r w:rsidRPr="002B21CF">
        <w:rPr>
          <w:rFonts w:ascii="Lato" w:hAnsi="Lato" w:cstheme="minorHAnsi"/>
          <w:sz w:val="20"/>
          <w:szCs w:val="20"/>
        </w:rPr>
        <w:t>Consolidación de la Información Financiera</w:t>
      </w:r>
    </w:p>
    <w:p w14:paraId="2738517C" w14:textId="793ABCD5" w:rsidR="00A02BBD" w:rsidRPr="002B21CF" w:rsidRDefault="005F0D38" w:rsidP="00A02BBD">
      <w:pPr>
        <w:autoSpaceDE w:val="0"/>
        <w:autoSpaceDN w:val="0"/>
        <w:adjustRightInd w:val="0"/>
        <w:ind w:left="1416"/>
        <w:jc w:val="both"/>
        <w:rPr>
          <w:rFonts w:ascii="Lato" w:hAnsi="Lato" w:cstheme="minorHAnsi"/>
          <w:sz w:val="20"/>
          <w:szCs w:val="20"/>
        </w:rPr>
      </w:pPr>
      <w:r w:rsidRPr="002B21CF">
        <w:rPr>
          <w:rFonts w:ascii="Lato" w:hAnsi="Lato" w:cstheme="minorHAnsi"/>
          <w:sz w:val="20"/>
          <w:szCs w:val="20"/>
        </w:rPr>
        <w:t>Sin información que revelar.</w:t>
      </w:r>
    </w:p>
    <w:p w14:paraId="36766C71" w14:textId="77777777" w:rsidR="00A02BBD" w:rsidRPr="002B21CF" w:rsidRDefault="00A02BBD" w:rsidP="00A02BBD">
      <w:pPr>
        <w:autoSpaceDE w:val="0"/>
        <w:autoSpaceDN w:val="0"/>
        <w:adjustRightInd w:val="0"/>
        <w:ind w:left="1416"/>
        <w:jc w:val="both"/>
        <w:rPr>
          <w:rFonts w:ascii="Lato" w:hAnsi="Lato" w:cstheme="minorHAnsi"/>
          <w:sz w:val="20"/>
          <w:szCs w:val="20"/>
        </w:rPr>
      </w:pPr>
    </w:p>
    <w:p w14:paraId="4746F9B1" w14:textId="77777777" w:rsidR="009D77C0" w:rsidRPr="002B21CF" w:rsidRDefault="009D77C0" w:rsidP="009D77C0">
      <w:pPr>
        <w:numPr>
          <w:ilvl w:val="1"/>
          <w:numId w:val="4"/>
        </w:numPr>
        <w:autoSpaceDE w:val="0"/>
        <w:autoSpaceDN w:val="0"/>
        <w:adjustRightInd w:val="0"/>
        <w:jc w:val="both"/>
        <w:rPr>
          <w:rFonts w:ascii="Lato" w:hAnsi="Lato" w:cstheme="minorHAnsi"/>
          <w:sz w:val="20"/>
          <w:szCs w:val="20"/>
        </w:rPr>
      </w:pPr>
      <w:r w:rsidRPr="002B21CF">
        <w:rPr>
          <w:rFonts w:ascii="Lato" w:hAnsi="Lato" w:cstheme="minorHAnsi"/>
          <w:sz w:val="20"/>
          <w:szCs w:val="20"/>
        </w:rPr>
        <w:t>Devengo Contable</w:t>
      </w:r>
    </w:p>
    <w:p w14:paraId="144C9F8B" w14:textId="0E57B2EE" w:rsidR="00A02BBD" w:rsidRPr="002B21CF" w:rsidRDefault="00A02BBD" w:rsidP="00A02BBD">
      <w:pPr>
        <w:autoSpaceDE w:val="0"/>
        <w:autoSpaceDN w:val="0"/>
        <w:adjustRightInd w:val="0"/>
        <w:ind w:left="1440"/>
        <w:jc w:val="both"/>
        <w:rPr>
          <w:rFonts w:ascii="Lato" w:hAnsi="Lato" w:cstheme="minorHAnsi"/>
          <w:sz w:val="20"/>
          <w:szCs w:val="20"/>
        </w:rPr>
      </w:pPr>
      <w:r w:rsidRPr="002B21CF">
        <w:rPr>
          <w:rFonts w:ascii="Lato" w:hAnsi="Lato" w:cstheme="minorHAnsi"/>
          <w:sz w:val="20"/>
          <w:szCs w:val="20"/>
        </w:rPr>
        <w:t>Los registros contables del Fondo de Seguridad Pública</w:t>
      </w:r>
      <w:r w:rsidR="00A31DFE" w:rsidRPr="002B21CF">
        <w:rPr>
          <w:rFonts w:ascii="Lato" w:hAnsi="Lato" w:cstheme="minorHAnsi"/>
          <w:sz w:val="20"/>
          <w:szCs w:val="20"/>
        </w:rPr>
        <w:t xml:space="preserve"> del Estado de Yucatán</w:t>
      </w:r>
      <w:r w:rsidRPr="002B21CF">
        <w:rPr>
          <w:rFonts w:ascii="Lato" w:hAnsi="Lato" w:cstheme="minorHAnsi"/>
          <w:sz w:val="20"/>
          <w:szCs w:val="20"/>
        </w:rPr>
        <w:t xml:space="preserve"> se llevan con base acumulativa. El momento contable del ingreso devengado se realiza cuando existe jurídicamente el derecho de cobro y el momento contable del gasto devengado se registra cuando se reconoce una obligación de pago a favor de terceros por la recepción de conformidad de bienes, servicios y obra pública contratados</w:t>
      </w:r>
      <w:r w:rsidR="00EF4F94" w:rsidRPr="002B21CF">
        <w:rPr>
          <w:rFonts w:ascii="Lato" w:hAnsi="Lato" w:cstheme="minorHAnsi"/>
          <w:sz w:val="20"/>
          <w:szCs w:val="20"/>
        </w:rPr>
        <w:t>.</w:t>
      </w:r>
    </w:p>
    <w:p w14:paraId="348B80FB" w14:textId="77777777" w:rsidR="00A02BBD" w:rsidRPr="002B21CF" w:rsidRDefault="00A02BBD" w:rsidP="00A02BBD">
      <w:pPr>
        <w:autoSpaceDE w:val="0"/>
        <w:autoSpaceDN w:val="0"/>
        <w:adjustRightInd w:val="0"/>
        <w:ind w:left="1440"/>
        <w:jc w:val="both"/>
        <w:rPr>
          <w:rFonts w:ascii="Lato" w:hAnsi="Lato" w:cstheme="minorHAnsi"/>
          <w:sz w:val="20"/>
          <w:szCs w:val="20"/>
        </w:rPr>
      </w:pPr>
    </w:p>
    <w:p w14:paraId="08E5CCAD" w14:textId="77777777" w:rsidR="009D77C0" w:rsidRPr="002B21CF" w:rsidRDefault="009D77C0" w:rsidP="009D77C0">
      <w:pPr>
        <w:numPr>
          <w:ilvl w:val="1"/>
          <w:numId w:val="4"/>
        </w:numPr>
        <w:autoSpaceDE w:val="0"/>
        <w:autoSpaceDN w:val="0"/>
        <w:adjustRightInd w:val="0"/>
        <w:jc w:val="both"/>
        <w:rPr>
          <w:rFonts w:ascii="Lato" w:hAnsi="Lato" w:cstheme="minorHAnsi"/>
          <w:sz w:val="20"/>
          <w:szCs w:val="20"/>
        </w:rPr>
      </w:pPr>
      <w:r w:rsidRPr="002B21CF">
        <w:rPr>
          <w:rFonts w:ascii="Lato" w:hAnsi="Lato" w:cstheme="minorHAnsi"/>
          <w:sz w:val="20"/>
          <w:szCs w:val="20"/>
        </w:rPr>
        <w:t>Valuación</w:t>
      </w:r>
    </w:p>
    <w:p w14:paraId="49456272" w14:textId="58E55357" w:rsidR="00A02BBD" w:rsidRPr="002B21CF" w:rsidRDefault="00A02BBD" w:rsidP="00A02BBD">
      <w:pPr>
        <w:autoSpaceDE w:val="0"/>
        <w:autoSpaceDN w:val="0"/>
        <w:adjustRightInd w:val="0"/>
        <w:ind w:left="1440"/>
        <w:jc w:val="both"/>
        <w:rPr>
          <w:rFonts w:ascii="Lato" w:hAnsi="Lato" w:cstheme="minorHAnsi"/>
          <w:sz w:val="20"/>
          <w:szCs w:val="20"/>
        </w:rPr>
      </w:pPr>
      <w:r w:rsidRPr="002B21CF">
        <w:rPr>
          <w:rFonts w:ascii="Lato" w:hAnsi="Lato" w:cstheme="minorHAnsi"/>
          <w:sz w:val="20"/>
          <w:szCs w:val="20"/>
        </w:rPr>
        <w:t xml:space="preserve">Todos los eventos que afecten económicamente al </w:t>
      </w:r>
      <w:r w:rsidR="002D1448" w:rsidRPr="002B21CF">
        <w:rPr>
          <w:rFonts w:ascii="Lato" w:hAnsi="Lato" w:cstheme="minorHAnsi"/>
          <w:sz w:val="20"/>
          <w:szCs w:val="20"/>
        </w:rPr>
        <w:t>Fondo de Seguridad Pública</w:t>
      </w:r>
      <w:r w:rsidR="00A31DFE" w:rsidRPr="002B21CF">
        <w:rPr>
          <w:rFonts w:ascii="Lato" w:hAnsi="Lato" w:cstheme="minorHAnsi"/>
          <w:sz w:val="20"/>
          <w:szCs w:val="20"/>
        </w:rPr>
        <w:t xml:space="preserve"> del Estado de Yucatán</w:t>
      </w:r>
      <w:r w:rsidRPr="002B21CF">
        <w:rPr>
          <w:rFonts w:ascii="Lato" w:hAnsi="Lato" w:cstheme="minorHAnsi"/>
          <w:sz w:val="20"/>
          <w:szCs w:val="20"/>
        </w:rPr>
        <w:t xml:space="preserve"> se cuantifica</w:t>
      </w:r>
      <w:r w:rsidR="002D1448" w:rsidRPr="002B21CF">
        <w:rPr>
          <w:rFonts w:ascii="Lato" w:hAnsi="Lato" w:cstheme="minorHAnsi"/>
          <w:sz w:val="20"/>
          <w:szCs w:val="20"/>
        </w:rPr>
        <w:t>n</w:t>
      </w:r>
      <w:r w:rsidRPr="002B21CF">
        <w:rPr>
          <w:rFonts w:ascii="Lato" w:hAnsi="Lato" w:cstheme="minorHAnsi"/>
          <w:sz w:val="20"/>
          <w:szCs w:val="20"/>
        </w:rPr>
        <w:t xml:space="preserve"> en términos m</w:t>
      </w:r>
      <w:r w:rsidR="002D1448" w:rsidRPr="002B21CF">
        <w:rPr>
          <w:rFonts w:ascii="Lato" w:hAnsi="Lato" w:cstheme="minorHAnsi"/>
          <w:sz w:val="20"/>
          <w:szCs w:val="20"/>
        </w:rPr>
        <w:t>onetarios y se registran</w:t>
      </w:r>
      <w:r w:rsidR="00EF4F94" w:rsidRPr="002B21CF">
        <w:rPr>
          <w:rFonts w:ascii="Lato" w:hAnsi="Lato" w:cstheme="minorHAnsi"/>
          <w:sz w:val="20"/>
          <w:szCs w:val="20"/>
        </w:rPr>
        <w:t xml:space="preserve"> al costo histórico.</w:t>
      </w:r>
    </w:p>
    <w:p w14:paraId="05DE9CD0" w14:textId="77777777" w:rsidR="00A02BBD" w:rsidRPr="002B21CF" w:rsidRDefault="00A02BBD" w:rsidP="00A02BBD">
      <w:pPr>
        <w:autoSpaceDE w:val="0"/>
        <w:autoSpaceDN w:val="0"/>
        <w:adjustRightInd w:val="0"/>
        <w:ind w:left="1440"/>
        <w:jc w:val="both"/>
        <w:rPr>
          <w:rFonts w:ascii="Lato" w:hAnsi="Lato" w:cstheme="minorHAnsi"/>
          <w:sz w:val="20"/>
          <w:szCs w:val="20"/>
        </w:rPr>
      </w:pPr>
    </w:p>
    <w:p w14:paraId="72E9C65C" w14:textId="77777777" w:rsidR="009D77C0" w:rsidRPr="002B21CF" w:rsidRDefault="009D77C0" w:rsidP="009D77C0">
      <w:pPr>
        <w:numPr>
          <w:ilvl w:val="1"/>
          <w:numId w:val="4"/>
        </w:numPr>
        <w:autoSpaceDE w:val="0"/>
        <w:autoSpaceDN w:val="0"/>
        <w:adjustRightInd w:val="0"/>
        <w:jc w:val="both"/>
        <w:rPr>
          <w:rFonts w:ascii="Lato" w:hAnsi="Lato" w:cstheme="minorHAnsi"/>
          <w:sz w:val="20"/>
          <w:szCs w:val="20"/>
        </w:rPr>
      </w:pPr>
      <w:r w:rsidRPr="002B21CF">
        <w:rPr>
          <w:rFonts w:ascii="Lato" w:hAnsi="Lato" w:cstheme="minorHAnsi"/>
          <w:sz w:val="20"/>
          <w:szCs w:val="20"/>
        </w:rPr>
        <w:t>Dualidad Económica</w:t>
      </w:r>
    </w:p>
    <w:p w14:paraId="0AE56BC3" w14:textId="436B6565" w:rsidR="002D1448" w:rsidRPr="002B21CF" w:rsidRDefault="002D1448" w:rsidP="002D1448">
      <w:pPr>
        <w:autoSpaceDE w:val="0"/>
        <w:autoSpaceDN w:val="0"/>
        <w:adjustRightInd w:val="0"/>
        <w:ind w:left="1440"/>
        <w:jc w:val="both"/>
        <w:rPr>
          <w:rFonts w:ascii="Lato" w:hAnsi="Lato" w:cstheme="minorHAnsi"/>
          <w:sz w:val="20"/>
          <w:szCs w:val="20"/>
        </w:rPr>
      </w:pPr>
      <w:r w:rsidRPr="002B21CF">
        <w:rPr>
          <w:rFonts w:ascii="Lato" w:hAnsi="Lato" w:cstheme="minorHAnsi"/>
          <w:sz w:val="20"/>
          <w:szCs w:val="20"/>
        </w:rPr>
        <w:t>El Fondo de Seguridad Pública</w:t>
      </w:r>
      <w:r w:rsidR="00A31DFE" w:rsidRPr="002B21CF">
        <w:rPr>
          <w:rFonts w:ascii="Lato" w:hAnsi="Lato" w:cstheme="minorHAnsi"/>
          <w:sz w:val="20"/>
          <w:szCs w:val="20"/>
        </w:rPr>
        <w:t xml:space="preserve"> del Estado de Yucatán</w:t>
      </w:r>
      <w:r w:rsidRPr="002B21CF">
        <w:rPr>
          <w:rFonts w:ascii="Lato" w:hAnsi="Lato" w:cstheme="minorHAnsi"/>
          <w:sz w:val="20"/>
          <w:szCs w:val="20"/>
        </w:rPr>
        <w:t xml:space="preserve"> reconoce en la contabilidad, la representación de las transacciones y algún otro evento que afecte su situación financiera, su composición por los recursos asignados para el logro de sus fines y por sus fuentes, conforme a los derechos y obligaciones.</w:t>
      </w:r>
    </w:p>
    <w:p w14:paraId="4543D486" w14:textId="563CF909" w:rsidR="0040708F" w:rsidRPr="002B21CF" w:rsidRDefault="0040708F" w:rsidP="002D1448">
      <w:pPr>
        <w:autoSpaceDE w:val="0"/>
        <w:autoSpaceDN w:val="0"/>
        <w:adjustRightInd w:val="0"/>
        <w:ind w:left="1440"/>
        <w:jc w:val="both"/>
        <w:rPr>
          <w:rFonts w:ascii="Lato" w:hAnsi="Lato" w:cstheme="minorHAnsi"/>
          <w:sz w:val="20"/>
          <w:szCs w:val="20"/>
        </w:rPr>
      </w:pPr>
    </w:p>
    <w:p w14:paraId="0D6BBC7F" w14:textId="3C9662EA" w:rsidR="009D77C0" w:rsidRPr="002B21CF" w:rsidRDefault="009D77C0" w:rsidP="009D77C0">
      <w:pPr>
        <w:numPr>
          <w:ilvl w:val="1"/>
          <w:numId w:val="4"/>
        </w:numPr>
        <w:autoSpaceDE w:val="0"/>
        <w:autoSpaceDN w:val="0"/>
        <w:adjustRightInd w:val="0"/>
        <w:jc w:val="both"/>
        <w:rPr>
          <w:rFonts w:ascii="Lato" w:hAnsi="Lato" w:cstheme="minorHAnsi"/>
          <w:sz w:val="20"/>
          <w:szCs w:val="20"/>
        </w:rPr>
      </w:pPr>
      <w:r w:rsidRPr="002B21CF">
        <w:rPr>
          <w:rFonts w:ascii="Lato" w:hAnsi="Lato" w:cstheme="minorHAnsi"/>
          <w:sz w:val="20"/>
          <w:szCs w:val="20"/>
        </w:rPr>
        <w:t>Consistencia</w:t>
      </w:r>
    </w:p>
    <w:p w14:paraId="705D733C" w14:textId="2B2DEBB0" w:rsidR="00C53F1B" w:rsidRPr="002B21CF" w:rsidRDefault="002D1448" w:rsidP="00C53F1B">
      <w:pPr>
        <w:autoSpaceDE w:val="0"/>
        <w:autoSpaceDN w:val="0"/>
        <w:adjustRightInd w:val="0"/>
        <w:ind w:left="1440"/>
        <w:jc w:val="both"/>
        <w:rPr>
          <w:rFonts w:ascii="Lato" w:hAnsi="Lato" w:cstheme="minorHAnsi"/>
          <w:sz w:val="20"/>
          <w:szCs w:val="20"/>
        </w:rPr>
      </w:pPr>
      <w:r w:rsidRPr="002B21CF">
        <w:rPr>
          <w:rFonts w:ascii="Lato" w:hAnsi="Lato" w:cstheme="minorHAnsi"/>
          <w:sz w:val="20"/>
          <w:szCs w:val="20"/>
        </w:rPr>
        <w:t>Ante la existencia de operaciones similares el Fondo de Seguridad Pública</w:t>
      </w:r>
      <w:r w:rsidR="00A31DFE" w:rsidRPr="002B21CF">
        <w:rPr>
          <w:rFonts w:ascii="Lato" w:hAnsi="Lato" w:cstheme="minorHAnsi"/>
          <w:sz w:val="20"/>
          <w:szCs w:val="20"/>
        </w:rPr>
        <w:t xml:space="preserve"> del Estado de Yucatán</w:t>
      </w:r>
      <w:r w:rsidRPr="002B21CF">
        <w:rPr>
          <w:rFonts w:ascii="Lato" w:hAnsi="Lato" w:cstheme="minorHAnsi"/>
          <w:sz w:val="20"/>
          <w:szCs w:val="20"/>
        </w:rPr>
        <w:t>, otorga el mismo tratamiento contable, el cual permanece a través del tiempo, en tanto no cambie la esencia económica de las operaciones.</w:t>
      </w:r>
    </w:p>
    <w:p w14:paraId="21EA29DD" w14:textId="77777777" w:rsidR="002D1448" w:rsidRPr="002B21CF" w:rsidRDefault="002D1448" w:rsidP="00C53F1B">
      <w:pPr>
        <w:autoSpaceDE w:val="0"/>
        <w:autoSpaceDN w:val="0"/>
        <w:adjustRightInd w:val="0"/>
        <w:ind w:left="1440"/>
        <w:jc w:val="both"/>
        <w:rPr>
          <w:rFonts w:ascii="Lato" w:hAnsi="Lato" w:cstheme="minorHAnsi"/>
          <w:sz w:val="20"/>
          <w:szCs w:val="20"/>
        </w:rPr>
      </w:pPr>
    </w:p>
    <w:p w14:paraId="28040090" w14:textId="0AAE31BF" w:rsidR="00C53F1B" w:rsidRPr="002B21CF" w:rsidRDefault="00C53F1B" w:rsidP="00C53F1B">
      <w:pPr>
        <w:numPr>
          <w:ilvl w:val="0"/>
          <w:numId w:val="4"/>
        </w:numPr>
        <w:autoSpaceDE w:val="0"/>
        <w:autoSpaceDN w:val="0"/>
        <w:adjustRightInd w:val="0"/>
        <w:jc w:val="both"/>
        <w:rPr>
          <w:rFonts w:ascii="Lato" w:hAnsi="Lato" w:cstheme="minorHAnsi"/>
          <w:sz w:val="20"/>
          <w:szCs w:val="20"/>
        </w:rPr>
      </w:pPr>
      <w:r w:rsidRPr="002B21CF">
        <w:rPr>
          <w:rFonts w:ascii="Lato" w:hAnsi="Lato" w:cstheme="minorHAnsi"/>
          <w:sz w:val="20"/>
          <w:szCs w:val="20"/>
        </w:rPr>
        <w:t>Normatividad supletoria:</w:t>
      </w:r>
      <w:r w:rsidR="00BC4BFC" w:rsidRPr="002B21CF">
        <w:rPr>
          <w:rFonts w:ascii="Lato" w:hAnsi="Lato" w:cstheme="minorHAnsi"/>
          <w:sz w:val="20"/>
          <w:szCs w:val="20"/>
        </w:rPr>
        <w:t xml:space="preserve"> </w:t>
      </w:r>
    </w:p>
    <w:p w14:paraId="4711311C" w14:textId="69216AA2" w:rsidR="00BC4BFC" w:rsidRPr="002B21CF" w:rsidRDefault="00BC4BFC" w:rsidP="00BC4BFC">
      <w:pPr>
        <w:autoSpaceDE w:val="0"/>
        <w:autoSpaceDN w:val="0"/>
        <w:adjustRightInd w:val="0"/>
        <w:jc w:val="both"/>
        <w:rPr>
          <w:rFonts w:ascii="Lato" w:hAnsi="Lato" w:cstheme="minorHAnsi"/>
          <w:sz w:val="20"/>
          <w:szCs w:val="20"/>
          <w:highlight w:val="yellow"/>
        </w:rPr>
      </w:pPr>
    </w:p>
    <w:p w14:paraId="14914BF8" w14:textId="775B9C5D" w:rsidR="00BC4BFC" w:rsidRDefault="00DF5C47" w:rsidP="008E7F6A">
      <w:pPr>
        <w:autoSpaceDE w:val="0"/>
        <w:autoSpaceDN w:val="0"/>
        <w:adjustRightInd w:val="0"/>
        <w:ind w:left="709"/>
        <w:jc w:val="both"/>
        <w:rPr>
          <w:rFonts w:ascii="Lato" w:hAnsi="Lato" w:cstheme="minorHAnsi"/>
          <w:sz w:val="20"/>
          <w:szCs w:val="20"/>
        </w:rPr>
      </w:pPr>
      <w:r w:rsidRPr="002B21CF">
        <w:rPr>
          <w:rFonts w:ascii="Lato" w:hAnsi="Lato" w:cstheme="minorHAnsi"/>
          <w:sz w:val="20"/>
          <w:szCs w:val="20"/>
        </w:rPr>
        <w:t xml:space="preserve">Sin información que revelar </w:t>
      </w:r>
      <w:r w:rsidR="008E7F6A" w:rsidRPr="002B21CF">
        <w:rPr>
          <w:rFonts w:ascii="Lato" w:hAnsi="Lato" w:cstheme="minorHAnsi"/>
          <w:sz w:val="20"/>
          <w:szCs w:val="20"/>
        </w:rPr>
        <w:t>a la fecha de su extinción.</w:t>
      </w:r>
    </w:p>
    <w:p w14:paraId="108A8523" w14:textId="2D22522D" w:rsidR="002B21CF" w:rsidRDefault="002B21CF" w:rsidP="008E7F6A">
      <w:pPr>
        <w:autoSpaceDE w:val="0"/>
        <w:autoSpaceDN w:val="0"/>
        <w:adjustRightInd w:val="0"/>
        <w:ind w:left="709"/>
        <w:jc w:val="both"/>
        <w:rPr>
          <w:rFonts w:ascii="Lato" w:hAnsi="Lato" w:cstheme="minorHAnsi"/>
          <w:sz w:val="20"/>
          <w:szCs w:val="20"/>
        </w:rPr>
      </w:pPr>
    </w:p>
    <w:p w14:paraId="18B7669C" w14:textId="77777777" w:rsidR="002B21CF" w:rsidRPr="002B21CF" w:rsidRDefault="002B21CF" w:rsidP="008E7F6A">
      <w:pPr>
        <w:autoSpaceDE w:val="0"/>
        <w:autoSpaceDN w:val="0"/>
        <w:adjustRightInd w:val="0"/>
        <w:ind w:left="709"/>
        <w:jc w:val="both"/>
        <w:rPr>
          <w:rFonts w:ascii="Lato" w:hAnsi="Lato" w:cstheme="minorHAnsi"/>
          <w:sz w:val="20"/>
          <w:szCs w:val="20"/>
        </w:rPr>
      </w:pPr>
    </w:p>
    <w:p w14:paraId="242FF6BA" w14:textId="77777777" w:rsidR="008E7F6A" w:rsidRPr="002B21CF" w:rsidRDefault="008E7F6A" w:rsidP="008E7F6A">
      <w:pPr>
        <w:autoSpaceDE w:val="0"/>
        <w:autoSpaceDN w:val="0"/>
        <w:adjustRightInd w:val="0"/>
        <w:ind w:left="709"/>
        <w:jc w:val="both"/>
        <w:rPr>
          <w:rFonts w:ascii="Lato" w:hAnsi="Lato" w:cstheme="minorHAnsi"/>
          <w:sz w:val="20"/>
          <w:szCs w:val="20"/>
          <w:highlight w:val="yellow"/>
        </w:rPr>
      </w:pPr>
    </w:p>
    <w:p w14:paraId="3779E7F0" w14:textId="77777777" w:rsidR="001C07EE" w:rsidRPr="002B21CF" w:rsidRDefault="002E1A3A" w:rsidP="00C53F1B">
      <w:pPr>
        <w:numPr>
          <w:ilvl w:val="0"/>
          <w:numId w:val="4"/>
        </w:numPr>
        <w:autoSpaceDE w:val="0"/>
        <w:autoSpaceDN w:val="0"/>
        <w:adjustRightInd w:val="0"/>
        <w:jc w:val="both"/>
        <w:rPr>
          <w:rFonts w:ascii="Lato" w:hAnsi="Lato" w:cstheme="minorHAnsi"/>
          <w:sz w:val="20"/>
          <w:szCs w:val="20"/>
        </w:rPr>
      </w:pPr>
      <w:r w:rsidRPr="002B21CF">
        <w:rPr>
          <w:rFonts w:ascii="Lato" w:hAnsi="Lato" w:cstheme="minorHAnsi"/>
          <w:sz w:val="20"/>
          <w:szCs w:val="20"/>
        </w:rPr>
        <w:t xml:space="preserve">Entidad que por primera vez que está Implementando la </w:t>
      </w:r>
      <w:r w:rsidR="00C53F1B" w:rsidRPr="002B21CF">
        <w:rPr>
          <w:rFonts w:ascii="Lato" w:hAnsi="Lato" w:cstheme="minorHAnsi"/>
          <w:sz w:val="20"/>
          <w:szCs w:val="20"/>
        </w:rPr>
        <w:t>Base de devengado de a</w:t>
      </w:r>
      <w:r w:rsidR="002D1448" w:rsidRPr="002B21CF">
        <w:rPr>
          <w:rFonts w:ascii="Lato" w:hAnsi="Lato" w:cstheme="minorHAnsi"/>
          <w:sz w:val="20"/>
          <w:szCs w:val="20"/>
        </w:rPr>
        <w:t>cuerdo a la Ley de Contabilidad.</w:t>
      </w:r>
      <w:r w:rsidRPr="002B21CF">
        <w:rPr>
          <w:rFonts w:ascii="Lato" w:hAnsi="Lato" w:cstheme="minorHAnsi"/>
          <w:sz w:val="20"/>
          <w:szCs w:val="20"/>
        </w:rPr>
        <w:t xml:space="preserve"> </w:t>
      </w:r>
    </w:p>
    <w:p w14:paraId="2205AABC" w14:textId="77777777" w:rsidR="001C07EE" w:rsidRPr="002B21CF" w:rsidRDefault="001C07EE" w:rsidP="001C07EE">
      <w:pPr>
        <w:autoSpaceDE w:val="0"/>
        <w:autoSpaceDN w:val="0"/>
        <w:adjustRightInd w:val="0"/>
        <w:ind w:left="720"/>
        <w:jc w:val="both"/>
        <w:rPr>
          <w:rFonts w:ascii="Lato" w:hAnsi="Lato" w:cstheme="minorHAnsi"/>
          <w:sz w:val="20"/>
          <w:szCs w:val="20"/>
        </w:rPr>
      </w:pPr>
    </w:p>
    <w:p w14:paraId="3A99DC06" w14:textId="3365BAFA" w:rsidR="00C53F1B" w:rsidRPr="002B21CF" w:rsidRDefault="005F0D38" w:rsidP="001C07EE">
      <w:pPr>
        <w:autoSpaceDE w:val="0"/>
        <w:autoSpaceDN w:val="0"/>
        <w:adjustRightInd w:val="0"/>
        <w:ind w:left="720"/>
        <w:jc w:val="both"/>
        <w:rPr>
          <w:rFonts w:ascii="Lato" w:hAnsi="Lato" w:cstheme="minorHAnsi"/>
          <w:sz w:val="20"/>
          <w:szCs w:val="20"/>
        </w:rPr>
      </w:pPr>
      <w:r w:rsidRPr="002B21CF">
        <w:rPr>
          <w:rFonts w:ascii="Lato" w:hAnsi="Lato" w:cstheme="minorHAnsi"/>
          <w:sz w:val="20"/>
          <w:szCs w:val="20"/>
        </w:rPr>
        <w:t>Sin información que revelar</w:t>
      </w:r>
      <w:r w:rsidR="008E7F6A" w:rsidRPr="002B21CF">
        <w:rPr>
          <w:rFonts w:ascii="Lato" w:hAnsi="Lato" w:cstheme="minorHAnsi"/>
          <w:sz w:val="20"/>
          <w:szCs w:val="20"/>
        </w:rPr>
        <w:t xml:space="preserve"> a la fecha de su extinción.</w:t>
      </w:r>
    </w:p>
    <w:p w14:paraId="792B1E63" w14:textId="671CD47D" w:rsidR="009D77C0" w:rsidRPr="002B21CF" w:rsidRDefault="009D77C0" w:rsidP="009D77C0">
      <w:pPr>
        <w:autoSpaceDE w:val="0"/>
        <w:autoSpaceDN w:val="0"/>
        <w:adjustRightInd w:val="0"/>
        <w:jc w:val="both"/>
        <w:rPr>
          <w:rFonts w:ascii="Lato" w:hAnsi="Lato" w:cstheme="minorHAnsi"/>
          <w:sz w:val="20"/>
          <w:szCs w:val="20"/>
        </w:rPr>
      </w:pPr>
    </w:p>
    <w:p w14:paraId="0639BC65" w14:textId="4E73B1CF" w:rsidR="009D77C0" w:rsidRPr="002B21CF" w:rsidRDefault="00D65420" w:rsidP="009D77C0">
      <w:pPr>
        <w:autoSpaceDE w:val="0"/>
        <w:autoSpaceDN w:val="0"/>
        <w:adjustRightInd w:val="0"/>
        <w:jc w:val="both"/>
        <w:rPr>
          <w:rFonts w:ascii="Lato" w:hAnsi="Lato" w:cstheme="minorHAnsi"/>
          <w:b/>
          <w:sz w:val="20"/>
          <w:szCs w:val="20"/>
        </w:rPr>
      </w:pPr>
      <w:r w:rsidRPr="002B21CF">
        <w:rPr>
          <w:rFonts w:ascii="Lato" w:hAnsi="Lato" w:cstheme="minorHAnsi"/>
          <w:b/>
          <w:sz w:val="20"/>
          <w:szCs w:val="20"/>
        </w:rPr>
        <w:t>5</w:t>
      </w:r>
      <w:r w:rsidR="009D77C0" w:rsidRPr="002B21CF">
        <w:rPr>
          <w:rFonts w:ascii="Lato" w:hAnsi="Lato" w:cstheme="minorHAnsi"/>
          <w:b/>
          <w:sz w:val="20"/>
          <w:szCs w:val="20"/>
        </w:rPr>
        <w:t>.- Políticas de Contabilidad Significativas.</w:t>
      </w:r>
    </w:p>
    <w:p w14:paraId="47791EED" w14:textId="77777777" w:rsidR="001C07EE" w:rsidRPr="002B21CF" w:rsidRDefault="001C07EE" w:rsidP="009D77C0">
      <w:pPr>
        <w:autoSpaceDE w:val="0"/>
        <w:autoSpaceDN w:val="0"/>
        <w:adjustRightInd w:val="0"/>
        <w:jc w:val="both"/>
        <w:rPr>
          <w:rFonts w:ascii="Lato" w:hAnsi="Lato" w:cstheme="minorHAnsi"/>
          <w:b/>
          <w:sz w:val="20"/>
          <w:szCs w:val="20"/>
        </w:rPr>
      </w:pPr>
    </w:p>
    <w:p w14:paraId="5F03070C" w14:textId="6F2FF335" w:rsidR="009D77C0" w:rsidRPr="002B21CF" w:rsidRDefault="009D77C0" w:rsidP="009D77C0">
      <w:pPr>
        <w:numPr>
          <w:ilvl w:val="0"/>
          <w:numId w:val="5"/>
        </w:numPr>
        <w:autoSpaceDE w:val="0"/>
        <w:autoSpaceDN w:val="0"/>
        <w:adjustRightInd w:val="0"/>
        <w:jc w:val="both"/>
        <w:rPr>
          <w:rFonts w:ascii="Lato" w:hAnsi="Lato" w:cstheme="minorHAnsi"/>
          <w:sz w:val="20"/>
          <w:szCs w:val="20"/>
        </w:rPr>
      </w:pPr>
      <w:r w:rsidRPr="002B21CF">
        <w:rPr>
          <w:rFonts w:ascii="Lato" w:hAnsi="Lato" w:cstheme="minorHAnsi"/>
          <w:sz w:val="20"/>
          <w:szCs w:val="20"/>
        </w:rPr>
        <w:t>Los Estados Financieros del Fondo de Seguridad Pública</w:t>
      </w:r>
      <w:r w:rsidR="00A31DFE" w:rsidRPr="002B21CF">
        <w:rPr>
          <w:rFonts w:ascii="Lato" w:hAnsi="Lato" w:cstheme="minorHAnsi"/>
          <w:sz w:val="20"/>
          <w:szCs w:val="20"/>
        </w:rPr>
        <w:t xml:space="preserve"> del Estado de Yucatán</w:t>
      </w:r>
      <w:r w:rsidRPr="002B21CF">
        <w:rPr>
          <w:rFonts w:ascii="Lato" w:hAnsi="Lato" w:cstheme="minorHAnsi"/>
          <w:sz w:val="20"/>
          <w:szCs w:val="20"/>
        </w:rPr>
        <w:t xml:space="preserve">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14:paraId="123244FC" w14:textId="60952D02" w:rsidR="009D77C0" w:rsidRPr="002B21CF" w:rsidRDefault="00910BA3" w:rsidP="009D77C0">
      <w:pPr>
        <w:numPr>
          <w:ilvl w:val="0"/>
          <w:numId w:val="5"/>
        </w:numPr>
        <w:autoSpaceDE w:val="0"/>
        <w:autoSpaceDN w:val="0"/>
        <w:adjustRightInd w:val="0"/>
        <w:jc w:val="both"/>
        <w:rPr>
          <w:rFonts w:ascii="Lato" w:hAnsi="Lato" w:cstheme="minorHAnsi"/>
          <w:sz w:val="20"/>
          <w:szCs w:val="20"/>
        </w:rPr>
      </w:pPr>
      <w:r w:rsidRPr="002B21CF">
        <w:rPr>
          <w:rFonts w:ascii="Lato" w:hAnsi="Lato" w:cstheme="minorHAnsi"/>
          <w:sz w:val="20"/>
          <w:szCs w:val="20"/>
        </w:rPr>
        <w:t>El Fondo de Se</w:t>
      </w:r>
      <w:r w:rsidR="009D77C0" w:rsidRPr="002B21CF">
        <w:rPr>
          <w:rFonts w:ascii="Lato" w:hAnsi="Lato" w:cstheme="minorHAnsi"/>
          <w:sz w:val="20"/>
          <w:szCs w:val="20"/>
        </w:rPr>
        <w:t>guridad Pública</w:t>
      </w:r>
      <w:r w:rsidRPr="002B21CF">
        <w:rPr>
          <w:rFonts w:ascii="Lato" w:hAnsi="Lato" w:cstheme="minorHAnsi"/>
          <w:sz w:val="20"/>
          <w:szCs w:val="20"/>
        </w:rPr>
        <w:t xml:space="preserve"> del Estado de Yucatán</w:t>
      </w:r>
      <w:r w:rsidR="009D77C0" w:rsidRPr="002B21CF">
        <w:rPr>
          <w:rFonts w:ascii="Lato" w:hAnsi="Lato" w:cstheme="minorHAnsi"/>
          <w:sz w:val="20"/>
          <w:szCs w:val="20"/>
        </w:rPr>
        <w:t>, no realizó operaciones en el extranjero.</w:t>
      </w:r>
    </w:p>
    <w:p w14:paraId="2D8D210F" w14:textId="2AF1C9F7" w:rsidR="009D77C0" w:rsidRPr="002B21CF" w:rsidRDefault="009D77C0" w:rsidP="009D77C0">
      <w:pPr>
        <w:numPr>
          <w:ilvl w:val="0"/>
          <w:numId w:val="5"/>
        </w:numPr>
        <w:autoSpaceDE w:val="0"/>
        <w:autoSpaceDN w:val="0"/>
        <w:adjustRightInd w:val="0"/>
        <w:jc w:val="both"/>
        <w:rPr>
          <w:rFonts w:ascii="Lato" w:hAnsi="Lato" w:cstheme="minorHAnsi"/>
          <w:sz w:val="20"/>
          <w:szCs w:val="20"/>
        </w:rPr>
      </w:pPr>
      <w:r w:rsidRPr="002B21CF">
        <w:rPr>
          <w:rFonts w:ascii="Lato" w:hAnsi="Lato" w:cstheme="minorHAnsi"/>
          <w:sz w:val="20"/>
          <w:szCs w:val="20"/>
        </w:rPr>
        <w:t xml:space="preserve">El Fondo de </w:t>
      </w:r>
      <w:r w:rsidR="00910BA3" w:rsidRPr="002B21CF">
        <w:rPr>
          <w:rFonts w:ascii="Lato" w:hAnsi="Lato" w:cstheme="minorHAnsi"/>
          <w:sz w:val="20"/>
          <w:szCs w:val="20"/>
        </w:rPr>
        <w:t>S</w:t>
      </w:r>
      <w:r w:rsidRPr="002B21CF">
        <w:rPr>
          <w:rFonts w:ascii="Lato" w:hAnsi="Lato" w:cstheme="minorHAnsi"/>
          <w:sz w:val="20"/>
          <w:szCs w:val="20"/>
        </w:rPr>
        <w:t>eguridad Pública del Estado de Yucatán no cuenta con inversión en acciones de Compañías subsidiarias no consolidadas y asociadas.</w:t>
      </w:r>
    </w:p>
    <w:p w14:paraId="1A3A080E" w14:textId="0EE5DF48" w:rsidR="009D77C0" w:rsidRPr="002B21CF" w:rsidRDefault="0040708F" w:rsidP="009D77C0">
      <w:pPr>
        <w:numPr>
          <w:ilvl w:val="0"/>
          <w:numId w:val="5"/>
        </w:numPr>
        <w:autoSpaceDE w:val="0"/>
        <w:autoSpaceDN w:val="0"/>
        <w:adjustRightInd w:val="0"/>
        <w:jc w:val="both"/>
        <w:rPr>
          <w:rFonts w:ascii="Lato" w:hAnsi="Lato" w:cstheme="minorHAnsi"/>
          <w:sz w:val="20"/>
          <w:szCs w:val="20"/>
        </w:rPr>
      </w:pPr>
      <w:r w:rsidRPr="002B21CF">
        <w:rPr>
          <w:rFonts w:ascii="Lato" w:hAnsi="Lato" w:cstheme="minorHAnsi"/>
          <w:sz w:val="20"/>
          <w:szCs w:val="20"/>
        </w:rPr>
        <w:t xml:space="preserve">A la fecha </w:t>
      </w:r>
      <w:r w:rsidR="009D77C0" w:rsidRPr="002B21CF">
        <w:rPr>
          <w:rFonts w:ascii="Lato" w:hAnsi="Lato" w:cstheme="minorHAnsi"/>
          <w:sz w:val="20"/>
          <w:szCs w:val="20"/>
        </w:rPr>
        <w:t>E</w:t>
      </w:r>
      <w:r w:rsidR="00910BA3" w:rsidRPr="002B21CF">
        <w:rPr>
          <w:rFonts w:ascii="Lato" w:hAnsi="Lato" w:cstheme="minorHAnsi"/>
          <w:sz w:val="20"/>
          <w:szCs w:val="20"/>
        </w:rPr>
        <w:t xml:space="preserve">l Fondo de </w:t>
      </w:r>
      <w:r w:rsidR="009D77C0" w:rsidRPr="002B21CF">
        <w:rPr>
          <w:rFonts w:ascii="Lato" w:hAnsi="Lato" w:cstheme="minorHAnsi"/>
          <w:sz w:val="20"/>
          <w:szCs w:val="20"/>
        </w:rPr>
        <w:t xml:space="preserve">Seguridad Pública del Estado de Yucatán no cuenta con ningún tipo de </w:t>
      </w:r>
      <w:r w:rsidR="00833D98" w:rsidRPr="002B21CF">
        <w:rPr>
          <w:rFonts w:ascii="Lato" w:hAnsi="Lato" w:cstheme="minorHAnsi"/>
          <w:sz w:val="20"/>
          <w:szCs w:val="20"/>
        </w:rPr>
        <w:t>inventario</w:t>
      </w:r>
      <w:r w:rsidR="009D77C0" w:rsidRPr="002B21CF">
        <w:rPr>
          <w:rFonts w:ascii="Lato" w:hAnsi="Lato" w:cstheme="minorHAnsi"/>
          <w:sz w:val="20"/>
          <w:szCs w:val="20"/>
        </w:rPr>
        <w:t>.</w:t>
      </w:r>
    </w:p>
    <w:p w14:paraId="3F53BF20" w14:textId="384C392C" w:rsidR="009D77C0" w:rsidRPr="002B21CF" w:rsidRDefault="009D77C0" w:rsidP="009D77C0">
      <w:pPr>
        <w:numPr>
          <w:ilvl w:val="0"/>
          <w:numId w:val="5"/>
        </w:numPr>
        <w:autoSpaceDE w:val="0"/>
        <w:autoSpaceDN w:val="0"/>
        <w:adjustRightInd w:val="0"/>
        <w:jc w:val="both"/>
        <w:rPr>
          <w:rFonts w:ascii="Lato" w:hAnsi="Lato" w:cstheme="minorHAnsi"/>
          <w:sz w:val="20"/>
          <w:szCs w:val="20"/>
        </w:rPr>
      </w:pPr>
      <w:r w:rsidRPr="002B21CF">
        <w:rPr>
          <w:rFonts w:ascii="Lato" w:hAnsi="Lato" w:cstheme="minorHAnsi"/>
          <w:sz w:val="20"/>
          <w:szCs w:val="20"/>
        </w:rPr>
        <w:t>E</w:t>
      </w:r>
      <w:r w:rsidR="00910BA3" w:rsidRPr="002B21CF">
        <w:rPr>
          <w:rFonts w:ascii="Lato" w:hAnsi="Lato" w:cstheme="minorHAnsi"/>
          <w:sz w:val="20"/>
          <w:szCs w:val="20"/>
        </w:rPr>
        <w:t xml:space="preserve">l Fondo de </w:t>
      </w:r>
      <w:r w:rsidRPr="002B21CF">
        <w:rPr>
          <w:rFonts w:ascii="Lato" w:hAnsi="Lato" w:cstheme="minorHAnsi"/>
          <w:sz w:val="20"/>
          <w:szCs w:val="20"/>
        </w:rPr>
        <w:t>Seguridad Pública del Estado de Yucatán no reali</w:t>
      </w:r>
      <w:r w:rsidR="0091151C" w:rsidRPr="002B21CF">
        <w:rPr>
          <w:rFonts w:ascii="Lato" w:hAnsi="Lato" w:cstheme="minorHAnsi"/>
          <w:sz w:val="20"/>
          <w:szCs w:val="20"/>
        </w:rPr>
        <w:t>za cálculo de reserva actuarial, ni la comparación del valor presente de los ingresos, en virtud de no tener ingresos propios ya que los ingresos provienen de ministraciones.</w:t>
      </w:r>
    </w:p>
    <w:p w14:paraId="0AD817C1" w14:textId="77777777" w:rsidR="009D77C0" w:rsidRPr="002B21CF" w:rsidRDefault="009D77C0" w:rsidP="009D77C0">
      <w:pPr>
        <w:numPr>
          <w:ilvl w:val="0"/>
          <w:numId w:val="5"/>
        </w:numPr>
        <w:autoSpaceDE w:val="0"/>
        <w:autoSpaceDN w:val="0"/>
        <w:adjustRightInd w:val="0"/>
        <w:jc w:val="both"/>
        <w:rPr>
          <w:rFonts w:ascii="Lato" w:hAnsi="Lato" w:cstheme="minorHAnsi"/>
          <w:sz w:val="20"/>
          <w:szCs w:val="20"/>
        </w:rPr>
      </w:pPr>
      <w:r w:rsidRPr="002B21CF">
        <w:rPr>
          <w:rFonts w:ascii="Lato" w:hAnsi="Lato" w:cstheme="minorHAnsi"/>
          <w:sz w:val="20"/>
          <w:szCs w:val="20"/>
        </w:rPr>
        <w:t>Los Estados financieros no presentan registros de provisiones.</w:t>
      </w:r>
    </w:p>
    <w:p w14:paraId="1F13F486" w14:textId="77777777" w:rsidR="009D77C0" w:rsidRPr="002B21CF" w:rsidRDefault="009D77C0" w:rsidP="009D77C0">
      <w:pPr>
        <w:numPr>
          <w:ilvl w:val="0"/>
          <w:numId w:val="5"/>
        </w:numPr>
        <w:autoSpaceDE w:val="0"/>
        <w:autoSpaceDN w:val="0"/>
        <w:adjustRightInd w:val="0"/>
        <w:jc w:val="both"/>
        <w:rPr>
          <w:rFonts w:ascii="Lato" w:hAnsi="Lato" w:cstheme="minorHAnsi"/>
          <w:sz w:val="20"/>
          <w:szCs w:val="20"/>
        </w:rPr>
      </w:pPr>
      <w:r w:rsidRPr="002B21CF">
        <w:rPr>
          <w:rFonts w:ascii="Lato" w:hAnsi="Lato" w:cstheme="minorHAnsi"/>
          <w:sz w:val="20"/>
          <w:szCs w:val="20"/>
        </w:rPr>
        <w:t>Los Estados financieros no presentan registros de reservas.</w:t>
      </w:r>
    </w:p>
    <w:p w14:paraId="5B986F00" w14:textId="4B7550EE" w:rsidR="009D77C0" w:rsidRPr="002B21CF" w:rsidRDefault="009D77C0" w:rsidP="009D77C0">
      <w:pPr>
        <w:numPr>
          <w:ilvl w:val="0"/>
          <w:numId w:val="5"/>
        </w:numPr>
        <w:autoSpaceDE w:val="0"/>
        <w:autoSpaceDN w:val="0"/>
        <w:adjustRightInd w:val="0"/>
        <w:jc w:val="both"/>
        <w:rPr>
          <w:rFonts w:ascii="Lato" w:hAnsi="Lato" w:cstheme="minorHAnsi"/>
          <w:sz w:val="20"/>
          <w:szCs w:val="20"/>
        </w:rPr>
      </w:pPr>
      <w:r w:rsidRPr="002B21CF">
        <w:rPr>
          <w:rFonts w:ascii="Lato" w:hAnsi="Lato" w:cstheme="minorHAnsi"/>
          <w:sz w:val="20"/>
          <w:szCs w:val="20"/>
        </w:rPr>
        <w:t>No se</w:t>
      </w:r>
      <w:r w:rsidR="0040708F" w:rsidRPr="002B21CF">
        <w:rPr>
          <w:rFonts w:ascii="Lato" w:hAnsi="Lato" w:cstheme="minorHAnsi"/>
          <w:sz w:val="20"/>
          <w:szCs w:val="20"/>
        </w:rPr>
        <w:t xml:space="preserve"> han</w:t>
      </w:r>
      <w:r w:rsidRPr="002B21CF">
        <w:rPr>
          <w:rFonts w:ascii="Lato" w:hAnsi="Lato" w:cstheme="minorHAnsi"/>
          <w:sz w:val="20"/>
          <w:szCs w:val="20"/>
        </w:rPr>
        <w:t xml:space="preserve"> realizaron cambios </w:t>
      </w:r>
      <w:r w:rsidR="00833D98" w:rsidRPr="002B21CF">
        <w:rPr>
          <w:rFonts w:ascii="Lato" w:hAnsi="Lato" w:cstheme="minorHAnsi"/>
          <w:sz w:val="20"/>
          <w:szCs w:val="20"/>
        </w:rPr>
        <w:t xml:space="preserve">en políticas </w:t>
      </w:r>
      <w:r w:rsidRPr="002B21CF">
        <w:rPr>
          <w:rFonts w:ascii="Lato" w:hAnsi="Lato" w:cstheme="minorHAnsi"/>
          <w:sz w:val="20"/>
          <w:szCs w:val="20"/>
        </w:rPr>
        <w:t>contables</w:t>
      </w:r>
      <w:r w:rsidR="00833D98" w:rsidRPr="002B21CF">
        <w:rPr>
          <w:rFonts w:ascii="Lato" w:hAnsi="Lato" w:cstheme="minorHAnsi"/>
          <w:sz w:val="20"/>
          <w:szCs w:val="20"/>
        </w:rPr>
        <w:t xml:space="preserve"> ni corrección de errores</w:t>
      </w:r>
      <w:r w:rsidRPr="002B21CF">
        <w:rPr>
          <w:rFonts w:ascii="Lato" w:hAnsi="Lato" w:cstheme="minorHAnsi"/>
          <w:sz w:val="20"/>
          <w:szCs w:val="20"/>
        </w:rPr>
        <w:t xml:space="preserve"> durante el p</w:t>
      </w:r>
      <w:r w:rsidR="0040708F" w:rsidRPr="002B21CF">
        <w:rPr>
          <w:rFonts w:ascii="Lato" w:hAnsi="Lato" w:cstheme="minorHAnsi"/>
          <w:sz w:val="20"/>
          <w:szCs w:val="20"/>
        </w:rPr>
        <w:t>resente ejercicio</w:t>
      </w:r>
      <w:r w:rsidRPr="002B21CF">
        <w:rPr>
          <w:rFonts w:ascii="Lato" w:hAnsi="Lato" w:cstheme="minorHAnsi"/>
          <w:sz w:val="20"/>
          <w:szCs w:val="20"/>
        </w:rPr>
        <w:t>.</w:t>
      </w:r>
    </w:p>
    <w:p w14:paraId="3DE5E5E9" w14:textId="486B9C26" w:rsidR="00E552BE" w:rsidRPr="002B21CF" w:rsidRDefault="009D77C0" w:rsidP="009D77C0">
      <w:pPr>
        <w:numPr>
          <w:ilvl w:val="0"/>
          <w:numId w:val="5"/>
        </w:numPr>
        <w:autoSpaceDE w:val="0"/>
        <w:autoSpaceDN w:val="0"/>
        <w:adjustRightInd w:val="0"/>
        <w:jc w:val="both"/>
        <w:rPr>
          <w:rFonts w:ascii="Lato" w:hAnsi="Lato" w:cstheme="minorHAnsi"/>
          <w:sz w:val="20"/>
          <w:szCs w:val="20"/>
        </w:rPr>
      </w:pPr>
      <w:r w:rsidRPr="002B21CF">
        <w:rPr>
          <w:rFonts w:ascii="Lato" w:hAnsi="Lato" w:cstheme="minorHAnsi"/>
          <w:sz w:val="20"/>
          <w:szCs w:val="20"/>
        </w:rPr>
        <w:t>Respec</w:t>
      </w:r>
      <w:r w:rsidR="00833D98" w:rsidRPr="002B21CF">
        <w:rPr>
          <w:rFonts w:ascii="Lato" w:hAnsi="Lato" w:cstheme="minorHAnsi"/>
          <w:sz w:val="20"/>
          <w:szCs w:val="20"/>
        </w:rPr>
        <w:t xml:space="preserve">to a las </w:t>
      </w:r>
      <w:r w:rsidRPr="002B21CF">
        <w:rPr>
          <w:rFonts w:ascii="Lato" w:hAnsi="Lato" w:cstheme="minorHAnsi"/>
          <w:sz w:val="20"/>
          <w:szCs w:val="20"/>
        </w:rPr>
        <w:t>reclasificaciones</w:t>
      </w:r>
      <w:r w:rsidR="00E552BE" w:rsidRPr="002B21CF">
        <w:rPr>
          <w:rFonts w:ascii="Lato" w:hAnsi="Lato" w:cstheme="minorHAnsi"/>
          <w:sz w:val="20"/>
          <w:szCs w:val="20"/>
        </w:rPr>
        <w:t>, si existieran, estos se ven reflejados en la cuenta</w:t>
      </w:r>
      <w:r w:rsidR="003D5B75" w:rsidRPr="002B21CF">
        <w:rPr>
          <w:rFonts w:ascii="Lato" w:hAnsi="Lato" w:cstheme="minorHAnsi"/>
          <w:sz w:val="20"/>
          <w:szCs w:val="20"/>
        </w:rPr>
        <w:t xml:space="preserve"> p</w:t>
      </w:r>
      <w:r w:rsidR="00E552BE" w:rsidRPr="002B21CF">
        <w:rPr>
          <w:rFonts w:ascii="Lato" w:hAnsi="Lato" w:cstheme="minorHAnsi"/>
          <w:sz w:val="20"/>
          <w:szCs w:val="20"/>
        </w:rPr>
        <w:t>ública.</w:t>
      </w:r>
    </w:p>
    <w:p w14:paraId="01E7474B" w14:textId="6EAE8B62" w:rsidR="009D77C0" w:rsidRPr="002B21CF" w:rsidRDefault="00E552BE" w:rsidP="009D77C0">
      <w:pPr>
        <w:numPr>
          <w:ilvl w:val="0"/>
          <w:numId w:val="5"/>
        </w:numPr>
        <w:autoSpaceDE w:val="0"/>
        <w:autoSpaceDN w:val="0"/>
        <w:adjustRightInd w:val="0"/>
        <w:jc w:val="both"/>
        <w:rPr>
          <w:rFonts w:ascii="Lato" w:hAnsi="Lato" w:cstheme="minorHAnsi"/>
          <w:sz w:val="20"/>
          <w:szCs w:val="20"/>
        </w:rPr>
      </w:pPr>
      <w:r w:rsidRPr="002B21CF">
        <w:rPr>
          <w:rFonts w:ascii="Lato" w:hAnsi="Lato" w:cstheme="minorHAnsi"/>
          <w:sz w:val="20"/>
          <w:szCs w:val="20"/>
        </w:rPr>
        <w:t>D</w:t>
      </w:r>
      <w:r w:rsidR="009D77C0" w:rsidRPr="002B21CF">
        <w:rPr>
          <w:rFonts w:ascii="Lato" w:hAnsi="Lato" w:cstheme="minorHAnsi"/>
          <w:sz w:val="20"/>
          <w:szCs w:val="20"/>
        </w:rPr>
        <w:t xml:space="preserve">epuración y cancelación de saldos, si existieran, estos se ven reflejados en la cuenta </w:t>
      </w:r>
      <w:r w:rsidR="006826C9" w:rsidRPr="002B21CF">
        <w:rPr>
          <w:rFonts w:ascii="Lato" w:hAnsi="Lato" w:cstheme="minorHAnsi"/>
          <w:sz w:val="20"/>
          <w:szCs w:val="20"/>
        </w:rPr>
        <w:t>p</w:t>
      </w:r>
      <w:r w:rsidR="009D77C0" w:rsidRPr="002B21CF">
        <w:rPr>
          <w:rFonts w:ascii="Lato" w:hAnsi="Lato" w:cstheme="minorHAnsi"/>
          <w:sz w:val="20"/>
          <w:szCs w:val="20"/>
        </w:rPr>
        <w:t>ública.</w:t>
      </w:r>
    </w:p>
    <w:p w14:paraId="39260F09" w14:textId="77777777" w:rsidR="0040708F" w:rsidRPr="002B21CF" w:rsidRDefault="0040708F" w:rsidP="0040708F">
      <w:pPr>
        <w:autoSpaceDE w:val="0"/>
        <w:autoSpaceDN w:val="0"/>
        <w:adjustRightInd w:val="0"/>
        <w:ind w:left="720"/>
        <w:jc w:val="both"/>
        <w:rPr>
          <w:rFonts w:ascii="Lato" w:hAnsi="Lato" w:cstheme="minorHAnsi"/>
          <w:sz w:val="20"/>
          <w:szCs w:val="20"/>
        </w:rPr>
      </w:pPr>
    </w:p>
    <w:p w14:paraId="36F28017" w14:textId="79E3A579" w:rsidR="009D77C0" w:rsidRPr="002B21CF" w:rsidRDefault="00D65420" w:rsidP="009D77C0">
      <w:pPr>
        <w:autoSpaceDE w:val="0"/>
        <w:autoSpaceDN w:val="0"/>
        <w:adjustRightInd w:val="0"/>
        <w:jc w:val="both"/>
        <w:rPr>
          <w:rFonts w:ascii="Lato" w:hAnsi="Lato" w:cstheme="minorHAnsi"/>
          <w:b/>
          <w:sz w:val="20"/>
          <w:szCs w:val="20"/>
        </w:rPr>
      </w:pPr>
      <w:r w:rsidRPr="002B21CF">
        <w:rPr>
          <w:rFonts w:ascii="Lato" w:hAnsi="Lato" w:cstheme="minorHAnsi"/>
          <w:b/>
          <w:sz w:val="20"/>
          <w:szCs w:val="20"/>
        </w:rPr>
        <w:t>6</w:t>
      </w:r>
      <w:r w:rsidR="009D77C0" w:rsidRPr="002B21CF">
        <w:rPr>
          <w:rFonts w:ascii="Lato" w:hAnsi="Lato" w:cstheme="minorHAnsi"/>
          <w:b/>
          <w:sz w:val="20"/>
          <w:szCs w:val="20"/>
        </w:rPr>
        <w:t>.- Posición en Moneda Extranjera y Protección por Riesgo Cambiario.</w:t>
      </w:r>
    </w:p>
    <w:p w14:paraId="2D500D17" w14:textId="73130830" w:rsidR="00FC56EE" w:rsidRPr="002B21CF" w:rsidRDefault="00FC56EE" w:rsidP="009D77C0">
      <w:pPr>
        <w:autoSpaceDE w:val="0"/>
        <w:autoSpaceDN w:val="0"/>
        <w:adjustRightInd w:val="0"/>
        <w:jc w:val="both"/>
        <w:rPr>
          <w:rFonts w:ascii="Lato" w:hAnsi="Lato" w:cstheme="minorHAnsi"/>
          <w:b/>
          <w:sz w:val="20"/>
          <w:szCs w:val="20"/>
        </w:rPr>
      </w:pPr>
    </w:p>
    <w:p w14:paraId="057D5536" w14:textId="605495B4" w:rsidR="00AA14F8" w:rsidRPr="002B21CF" w:rsidRDefault="00AA14F8" w:rsidP="000D5D69">
      <w:pPr>
        <w:pStyle w:val="Prrafodelista"/>
        <w:numPr>
          <w:ilvl w:val="0"/>
          <w:numId w:val="13"/>
        </w:numPr>
        <w:autoSpaceDE w:val="0"/>
        <w:autoSpaceDN w:val="0"/>
        <w:adjustRightInd w:val="0"/>
        <w:jc w:val="both"/>
        <w:rPr>
          <w:rFonts w:ascii="Lato" w:hAnsi="Lato" w:cstheme="minorHAnsi"/>
          <w:sz w:val="20"/>
          <w:szCs w:val="20"/>
        </w:rPr>
      </w:pPr>
      <w:r w:rsidRPr="002B21CF">
        <w:rPr>
          <w:rFonts w:ascii="Lato" w:hAnsi="Lato" w:cstheme="minorHAnsi"/>
          <w:sz w:val="20"/>
          <w:szCs w:val="20"/>
        </w:rPr>
        <w:t>El Fondo de Seguridad Pública del Estado de Yucatán</w:t>
      </w:r>
      <w:r w:rsidR="00C64420" w:rsidRPr="002B21CF">
        <w:rPr>
          <w:rFonts w:ascii="Lato" w:hAnsi="Lato" w:cstheme="minorHAnsi"/>
          <w:sz w:val="20"/>
          <w:szCs w:val="20"/>
        </w:rPr>
        <w:t>,</w:t>
      </w:r>
      <w:r w:rsidRPr="002B21CF">
        <w:rPr>
          <w:rFonts w:ascii="Lato" w:hAnsi="Lato" w:cstheme="minorHAnsi"/>
          <w:sz w:val="20"/>
          <w:szCs w:val="20"/>
        </w:rPr>
        <w:t xml:space="preserve"> no cuenta con ningún activo en moneda extranjera.</w:t>
      </w:r>
    </w:p>
    <w:p w14:paraId="08BF43C5" w14:textId="23B6312C" w:rsidR="00AA14F8" w:rsidRPr="002B21CF" w:rsidRDefault="00AA14F8" w:rsidP="000D5D69">
      <w:pPr>
        <w:pStyle w:val="Prrafodelista"/>
        <w:numPr>
          <w:ilvl w:val="0"/>
          <w:numId w:val="13"/>
        </w:numPr>
        <w:autoSpaceDE w:val="0"/>
        <w:autoSpaceDN w:val="0"/>
        <w:adjustRightInd w:val="0"/>
        <w:jc w:val="both"/>
        <w:rPr>
          <w:rFonts w:ascii="Lato" w:hAnsi="Lato" w:cstheme="minorHAnsi"/>
          <w:sz w:val="20"/>
          <w:szCs w:val="20"/>
        </w:rPr>
      </w:pPr>
      <w:r w:rsidRPr="002B21CF">
        <w:rPr>
          <w:rFonts w:ascii="Lato" w:hAnsi="Lato" w:cstheme="minorHAnsi"/>
          <w:sz w:val="20"/>
          <w:szCs w:val="20"/>
        </w:rPr>
        <w:t>E</w:t>
      </w:r>
      <w:r w:rsidR="00910BA3" w:rsidRPr="002B21CF">
        <w:rPr>
          <w:rFonts w:ascii="Lato" w:hAnsi="Lato" w:cstheme="minorHAnsi"/>
          <w:sz w:val="20"/>
          <w:szCs w:val="20"/>
        </w:rPr>
        <w:t xml:space="preserve">l Fondo de </w:t>
      </w:r>
      <w:r w:rsidRPr="002B21CF">
        <w:rPr>
          <w:rFonts w:ascii="Lato" w:hAnsi="Lato" w:cstheme="minorHAnsi"/>
          <w:sz w:val="20"/>
          <w:szCs w:val="20"/>
        </w:rPr>
        <w:t>Seguridad Pública del Estado de Yucatán</w:t>
      </w:r>
      <w:r w:rsidR="00C64420" w:rsidRPr="002B21CF">
        <w:rPr>
          <w:rFonts w:ascii="Lato" w:hAnsi="Lato" w:cstheme="minorHAnsi"/>
          <w:sz w:val="20"/>
          <w:szCs w:val="20"/>
        </w:rPr>
        <w:t>,</w:t>
      </w:r>
      <w:r w:rsidRPr="002B21CF">
        <w:rPr>
          <w:rFonts w:ascii="Lato" w:hAnsi="Lato" w:cstheme="minorHAnsi"/>
          <w:sz w:val="20"/>
          <w:szCs w:val="20"/>
        </w:rPr>
        <w:t xml:space="preserve"> no cuenta con ningún pasivo en moneda extranjera.</w:t>
      </w:r>
    </w:p>
    <w:p w14:paraId="2E7FE637" w14:textId="6DFFC48C" w:rsidR="00C64420" w:rsidRPr="002B21CF" w:rsidRDefault="00C64420" w:rsidP="000D5D69">
      <w:pPr>
        <w:pStyle w:val="Prrafodelista"/>
        <w:numPr>
          <w:ilvl w:val="0"/>
          <w:numId w:val="13"/>
        </w:numPr>
        <w:autoSpaceDE w:val="0"/>
        <w:autoSpaceDN w:val="0"/>
        <w:adjustRightInd w:val="0"/>
        <w:jc w:val="both"/>
        <w:rPr>
          <w:rFonts w:ascii="Lato" w:hAnsi="Lato" w:cstheme="minorHAnsi"/>
          <w:sz w:val="20"/>
          <w:szCs w:val="20"/>
        </w:rPr>
      </w:pPr>
      <w:r w:rsidRPr="002B21CF">
        <w:rPr>
          <w:rFonts w:ascii="Lato" w:hAnsi="Lato" w:cstheme="minorHAnsi"/>
          <w:sz w:val="20"/>
          <w:szCs w:val="20"/>
        </w:rPr>
        <w:t>E</w:t>
      </w:r>
      <w:r w:rsidR="00910BA3" w:rsidRPr="002B21CF">
        <w:rPr>
          <w:rFonts w:ascii="Lato" w:hAnsi="Lato" w:cstheme="minorHAnsi"/>
          <w:sz w:val="20"/>
          <w:szCs w:val="20"/>
        </w:rPr>
        <w:t xml:space="preserve">l Fondo de </w:t>
      </w:r>
      <w:r w:rsidRPr="002B21CF">
        <w:rPr>
          <w:rFonts w:ascii="Lato" w:hAnsi="Lato" w:cstheme="minorHAnsi"/>
          <w:sz w:val="20"/>
          <w:szCs w:val="20"/>
        </w:rPr>
        <w:t>Seguridad Pública del Estado de Yucatán, no cuenta con recursos en moneda extranjera.</w:t>
      </w:r>
    </w:p>
    <w:p w14:paraId="20C08966" w14:textId="1B332C05" w:rsidR="00C64420" w:rsidRPr="002B21CF" w:rsidRDefault="00C64420" w:rsidP="000D5D69">
      <w:pPr>
        <w:pStyle w:val="Prrafodelista"/>
        <w:numPr>
          <w:ilvl w:val="0"/>
          <w:numId w:val="13"/>
        </w:numPr>
        <w:autoSpaceDE w:val="0"/>
        <w:autoSpaceDN w:val="0"/>
        <w:adjustRightInd w:val="0"/>
        <w:jc w:val="both"/>
        <w:rPr>
          <w:rFonts w:ascii="Lato" w:hAnsi="Lato" w:cstheme="minorHAnsi"/>
          <w:sz w:val="20"/>
          <w:szCs w:val="20"/>
        </w:rPr>
      </w:pPr>
      <w:r w:rsidRPr="002B21CF">
        <w:rPr>
          <w:rFonts w:ascii="Lato" w:hAnsi="Lato" w:cstheme="minorHAnsi"/>
          <w:sz w:val="20"/>
          <w:szCs w:val="20"/>
        </w:rPr>
        <w:t xml:space="preserve">Tipo de cambio, el Fondo de </w:t>
      </w:r>
      <w:r w:rsidR="00910BA3" w:rsidRPr="002B21CF">
        <w:rPr>
          <w:rFonts w:ascii="Lato" w:hAnsi="Lato" w:cstheme="minorHAnsi"/>
          <w:sz w:val="20"/>
          <w:szCs w:val="20"/>
        </w:rPr>
        <w:t>S</w:t>
      </w:r>
      <w:r w:rsidRPr="002B21CF">
        <w:rPr>
          <w:rFonts w:ascii="Lato" w:hAnsi="Lato" w:cstheme="minorHAnsi"/>
          <w:sz w:val="20"/>
          <w:szCs w:val="20"/>
        </w:rPr>
        <w:t>eguridad Pública del Estado de Yucatán, no cuenta con recursos en moneda extranjera para valu</w:t>
      </w:r>
      <w:r w:rsidR="005F0D38" w:rsidRPr="002B21CF">
        <w:rPr>
          <w:rFonts w:ascii="Lato" w:hAnsi="Lato" w:cstheme="minorHAnsi"/>
          <w:sz w:val="20"/>
          <w:szCs w:val="20"/>
        </w:rPr>
        <w:t xml:space="preserve">ar al tipo de cambio vigente </w:t>
      </w:r>
      <w:r w:rsidR="0086690E" w:rsidRPr="002B21CF">
        <w:rPr>
          <w:rFonts w:ascii="Lato" w:hAnsi="Lato" w:cstheme="minorHAnsi"/>
          <w:sz w:val="20"/>
          <w:szCs w:val="20"/>
        </w:rPr>
        <w:t>al 28 de febrero de 2026</w:t>
      </w:r>
      <w:r w:rsidRPr="002B21CF">
        <w:rPr>
          <w:rFonts w:ascii="Lato" w:hAnsi="Lato" w:cstheme="minorHAnsi"/>
          <w:sz w:val="20"/>
          <w:szCs w:val="20"/>
        </w:rPr>
        <w:t>.</w:t>
      </w:r>
    </w:p>
    <w:p w14:paraId="22FF2413" w14:textId="67E0FD72" w:rsidR="00BF4FDC" w:rsidRPr="002B21CF" w:rsidRDefault="00BF4FDC" w:rsidP="000D5D69">
      <w:pPr>
        <w:pStyle w:val="Prrafodelista"/>
        <w:numPr>
          <w:ilvl w:val="0"/>
          <w:numId w:val="13"/>
        </w:numPr>
        <w:autoSpaceDE w:val="0"/>
        <w:autoSpaceDN w:val="0"/>
        <w:adjustRightInd w:val="0"/>
        <w:jc w:val="both"/>
        <w:rPr>
          <w:rFonts w:ascii="Lato" w:hAnsi="Lato" w:cstheme="minorHAnsi"/>
          <w:sz w:val="20"/>
          <w:szCs w:val="20"/>
        </w:rPr>
      </w:pPr>
      <w:r w:rsidRPr="002B21CF">
        <w:rPr>
          <w:rFonts w:ascii="Lato" w:hAnsi="Lato" w:cstheme="minorHAnsi"/>
          <w:sz w:val="20"/>
          <w:szCs w:val="20"/>
        </w:rPr>
        <w:t>E</w:t>
      </w:r>
      <w:r w:rsidR="00910BA3" w:rsidRPr="002B21CF">
        <w:rPr>
          <w:rFonts w:ascii="Lato" w:hAnsi="Lato" w:cstheme="minorHAnsi"/>
          <w:sz w:val="20"/>
          <w:szCs w:val="20"/>
        </w:rPr>
        <w:t xml:space="preserve">l Fondo de </w:t>
      </w:r>
      <w:r w:rsidRPr="002B21CF">
        <w:rPr>
          <w:rFonts w:ascii="Lato" w:hAnsi="Lato" w:cstheme="minorHAnsi"/>
          <w:sz w:val="20"/>
          <w:szCs w:val="20"/>
        </w:rPr>
        <w:t xml:space="preserve">Seguridad Pública del Estado de Yucatán, al no tener recursos en moneda extranjera y poder valuar al tipo de cambio vigente </w:t>
      </w:r>
      <w:r w:rsidR="0086690E" w:rsidRPr="002B21CF">
        <w:rPr>
          <w:rFonts w:ascii="Lato" w:hAnsi="Lato" w:cstheme="minorHAnsi"/>
          <w:sz w:val="20"/>
          <w:szCs w:val="20"/>
        </w:rPr>
        <w:t>al 28 de febrero de 2026</w:t>
      </w:r>
      <w:r w:rsidRPr="002B21CF">
        <w:rPr>
          <w:rFonts w:ascii="Lato" w:hAnsi="Lato" w:cstheme="minorHAnsi"/>
          <w:sz w:val="20"/>
          <w:szCs w:val="20"/>
        </w:rPr>
        <w:t>, no tiene un equivalente en moneda nacional.</w:t>
      </w:r>
    </w:p>
    <w:p w14:paraId="09E39A75" w14:textId="77777777" w:rsidR="009D77C0" w:rsidRPr="002B21CF" w:rsidRDefault="009D77C0" w:rsidP="009D77C0">
      <w:pPr>
        <w:autoSpaceDE w:val="0"/>
        <w:autoSpaceDN w:val="0"/>
        <w:adjustRightInd w:val="0"/>
        <w:jc w:val="both"/>
        <w:rPr>
          <w:rFonts w:ascii="Lato" w:hAnsi="Lato" w:cstheme="minorHAnsi"/>
          <w:b/>
          <w:sz w:val="20"/>
          <w:szCs w:val="20"/>
        </w:rPr>
      </w:pPr>
    </w:p>
    <w:p w14:paraId="10E7B182" w14:textId="77777777" w:rsidR="00FD08F0" w:rsidRPr="002B21CF" w:rsidRDefault="00FD08F0" w:rsidP="009D77C0">
      <w:pPr>
        <w:autoSpaceDE w:val="0"/>
        <w:autoSpaceDN w:val="0"/>
        <w:adjustRightInd w:val="0"/>
        <w:jc w:val="both"/>
        <w:rPr>
          <w:rFonts w:ascii="Lato" w:hAnsi="Lato" w:cstheme="minorHAnsi"/>
          <w:b/>
          <w:sz w:val="20"/>
          <w:szCs w:val="20"/>
        </w:rPr>
      </w:pPr>
    </w:p>
    <w:p w14:paraId="7BA93E03" w14:textId="5E0C1753" w:rsidR="009D77C0" w:rsidRPr="002B21CF" w:rsidRDefault="007C3F9B" w:rsidP="009D77C0">
      <w:pPr>
        <w:autoSpaceDE w:val="0"/>
        <w:autoSpaceDN w:val="0"/>
        <w:adjustRightInd w:val="0"/>
        <w:jc w:val="both"/>
        <w:rPr>
          <w:rFonts w:ascii="Lato" w:hAnsi="Lato" w:cstheme="minorHAnsi"/>
          <w:b/>
          <w:sz w:val="20"/>
          <w:szCs w:val="20"/>
        </w:rPr>
      </w:pPr>
      <w:r w:rsidRPr="002B21CF">
        <w:rPr>
          <w:rFonts w:ascii="Lato" w:hAnsi="Lato" w:cstheme="minorHAnsi"/>
          <w:b/>
          <w:sz w:val="20"/>
          <w:szCs w:val="20"/>
        </w:rPr>
        <w:t>7</w:t>
      </w:r>
      <w:r w:rsidR="009D77C0" w:rsidRPr="002B21CF">
        <w:rPr>
          <w:rFonts w:ascii="Lato" w:hAnsi="Lato" w:cstheme="minorHAnsi"/>
          <w:b/>
          <w:sz w:val="20"/>
          <w:szCs w:val="20"/>
        </w:rPr>
        <w:t>.- Reporte Analítico del Activo.</w:t>
      </w:r>
    </w:p>
    <w:p w14:paraId="26BCEC2E" w14:textId="77777777" w:rsidR="009D77C0" w:rsidRPr="002B21CF" w:rsidRDefault="009D77C0" w:rsidP="009D77C0">
      <w:pPr>
        <w:autoSpaceDE w:val="0"/>
        <w:autoSpaceDN w:val="0"/>
        <w:adjustRightInd w:val="0"/>
        <w:jc w:val="both"/>
        <w:rPr>
          <w:rFonts w:ascii="Lato" w:hAnsi="Lato" w:cstheme="minorHAnsi"/>
          <w:b/>
          <w:sz w:val="20"/>
          <w:szCs w:val="20"/>
        </w:rPr>
      </w:pPr>
    </w:p>
    <w:p w14:paraId="38BD7A8D" w14:textId="77777777" w:rsidR="009D77C0" w:rsidRPr="002B21CF" w:rsidRDefault="009D77C0" w:rsidP="009D77C0">
      <w:pPr>
        <w:autoSpaceDE w:val="0"/>
        <w:autoSpaceDN w:val="0"/>
        <w:adjustRightInd w:val="0"/>
        <w:jc w:val="both"/>
        <w:rPr>
          <w:rFonts w:ascii="Lato" w:hAnsi="Lato" w:cstheme="minorHAnsi"/>
          <w:sz w:val="20"/>
          <w:szCs w:val="20"/>
        </w:rPr>
      </w:pPr>
      <w:r w:rsidRPr="002B21CF">
        <w:rPr>
          <w:rFonts w:ascii="Lato" w:hAnsi="Lato" w:cstheme="minorHAnsi"/>
          <w:sz w:val="20"/>
          <w:szCs w:val="20"/>
        </w:rPr>
        <w:t>Con fecha 8 de agosto de 2013 se publicó en el Diario Oficial de la Federación el “Acuerdo por el que se determina la norma de información financiera para precisar los alcances del Acuerdo 1 aprobado por el Consejo Nacional de Armonización Contable, en reunión del 3 de mayo de 2013 y publicado el 16 de mayo de 2013”, en el cual se especifica que en lo que corresponde a realizar los registros contables con base en las Reglas de Registro y Valoración del Patrimonio, el inventario físico de los bienes muebles e inmuebles deberá estar integrado, valuado y debidamente conciliado con el registro contable a más tardar el 31 de diciembre de 2014.</w:t>
      </w:r>
    </w:p>
    <w:p w14:paraId="2C934725" w14:textId="77777777" w:rsidR="00D54564" w:rsidRPr="002B21CF" w:rsidRDefault="00D54564" w:rsidP="009D77C0">
      <w:pPr>
        <w:autoSpaceDE w:val="0"/>
        <w:autoSpaceDN w:val="0"/>
        <w:adjustRightInd w:val="0"/>
        <w:jc w:val="both"/>
        <w:rPr>
          <w:rFonts w:ascii="Lato" w:hAnsi="Lato" w:cstheme="minorHAnsi"/>
          <w:sz w:val="20"/>
          <w:szCs w:val="20"/>
        </w:rPr>
      </w:pPr>
    </w:p>
    <w:p w14:paraId="581344E5" w14:textId="3D3C3651" w:rsidR="009D77C0" w:rsidRPr="002B21CF" w:rsidRDefault="009D77C0" w:rsidP="009D77C0">
      <w:pPr>
        <w:autoSpaceDE w:val="0"/>
        <w:autoSpaceDN w:val="0"/>
        <w:adjustRightInd w:val="0"/>
        <w:jc w:val="both"/>
        <w:rPr>
          <w:rFonts w:ascii="Lato" w:hAnsi="Lato" w:cstheme="minorHAnsi"/>
          <w:sz w:val="20"/>
          <w:szCs w:val="20"/>
        </w:rPr>
      </w:pPr>
      <w:r w:rsidRPr="002B21CF">
        <w:rPr>
          <w:rFonts w:ascii="Lato" w:hAnsi="Lato" w:cstheme="minorHAnsi"/>
          <w:sz w:val="20"/>
          <w:szCs w:val="20"/>
        </w:rPr>
        <w:t xml:space="preserve">Por tal motivo cabe aclarar que de acuerdo </w:t>
      </w:r>
      <w:r w:rsidR="00D54564" w:rsidRPr="002B21CF">
        <w:rPr>
          <w:rFonts w:ascii="Lato" w:hAnsi="Lato" w:cstheme="minorHAnsi"/>
          <w:sz w:val="20"/>
          <w:szCs w:val="20"/>
        </w:rPr>
        <w:t>a la naturaleza y atribuciones del Fondo de Seguridad Pública del Estado de Yucatán</w:t>
      </w:r>
      <w:r w:rsidRPr="002B21CF">
        <w:rPr>
          <w:rFonts w:ascii="Lato" w:hAnsi="Lato" w:cstheme="minorHAnsi"/>
          <w:sz w:val="20"/>
          <w:szCs w:val="20"/>
        </w:rPr>
        <w:t xml:space="preserve"> el Inventario de Bienes Muebles e Inmuebles y lo referente a la depreciación y vida útil, es de competencia de</w:t>
      </w:r>
      <w:r w:rsidR="00D54564" w:rsidRPr="002B21CF">
        <w:rPr>
          <w:rFonts w:ascii="Lato" w:hAnsi="Lato" w:cstheme="minorHAnsi"/>
          <w:sz w:val="20"/>
          <w:szCs w:val="20"/>
        </w:rPr>
        <w:t xml:space="preserve"> los Beneficiarios del Fondo (</w:t>
      </w:r>
      <w:r w:rsidR="00E40D88" w:rsidRPr="002B21CF">
        <w:rPr>
          <w:rFonts w:ascii="Lato" w:hAnsi="Lato" w:cstheme="minorHAnsi"/>
          <w:sz w:val="20"/>
          <w:szCs w:val="20"/>
        </w:rPr>
        <w:t xml:space="preserve">instancias ejecutoras). </w:t>
      </w:r>
    </w:p>
    <w:p w14:paraId="54492507" w14:textId="151E4F71" w:rsidR="00453458" w:rsidRPr="002B21CF" w:rsidRDefault="00453458" w:rsidP="009D77C0">
      <w:pPr>
        <w:autoSpaceDE w:val="0"/>
        <w:autoSpaceDN w:val="0"/>
        <w:adjustRightInd w:val="0"/>
        <w:jc w:val="both"/>
        <w:rPr>
          <w:rFonts w:ascii="Lato" w:hAnsi="Lato" w:cstheme="minorHAnsi"/>
          <w:sz w:val="20"/>
          <w:szCs w:val="20"/>
        </w:rPr>
      </w:pPr>
    </w:p>
    <w:p w14:paraId="46DA69FB" w14:textId="35A8586D" w:rsidR="00453458" w:rsidRPr="002B21CF" w:rsidRDefault="00453458" w:rsidP="009D77C0">
      <w:pPr>
        <w:autoSpaceDE w:val="0"/>
        <w:autoSpaceDN w:val="0"/>
        <w:adjustRightInd w:val="0"/>
        <w:jc w:val="both"/>
        <w:rPr>
          <w:rFonts w:ascii="Lato" w:hAnsi="Lato" w:cstheme="minorHAnsi"/>
          <w:sz w:val="20"/>
          <w:szCs w:val="20"/>
        </w:rPr>
      </w:pPr>
      <w:r w:rsidRPr="002B21CF">
        <w:rPr>
          <w:rFonts w:ascii="Lato" w:hAnsi="Lato" w:cstheme="minorHAnsi"/>
          <w:sz w:val="20"/>
          <w:szCs w:val="20"/>
        </w:rPr>
        <w:t>De acuerdo al párrafo anterior, los siguientes incisos co</w:t>
      </w:r>
      <w:r w:rsidR="00E776EC" w:rsidRPr="002B21CF">
        <w:rPr>
          <w:rFonts w:ascii="Lato" w:hAnsi="Lato" w:cstheme="minorHAnsi"/>
          <w:sz w:val="20"/>
          <w:szCs w:val="20"/>
        </w:rPr>
        <w:t xml:space="preserve">mpeten </w:t>
      </w:r>
      <w:r w:rsidRPr="002B21CF">
        <w:rPr>
          <w:rFonts w:ascii="Lato" w:hAnsi="Lato" w:cstheme="minorHAnsi"/>
          <w:sz w:val="20"/>
          <w:szCs w:val="20"/>
        </w:rPr>
        <w:t>a los Beneficiarios del Fondo de Seguridad Pública del Estado de Yucatán (instancias ejecutoras).</w:t>
      </w:r>
    </w:p>
    <w:p w14:paraId="48320575" w14:textId="1D18A5A7" w:rsidR="000D5D69" w:rsidRPr="002B21CF" w:rsidRDefault="000D5D69" w:rsidP="000D5D69">
      <w:pPr>
        <w:pStyle w:val="Prrafodelista"/>
        <w:numPr>
          <w:ilvl w:val="0"/>
          <w:numId w:val="14"/>
        </w:numPr>
        <w:autoSpaceDE w:val="0"/>
        <w:autoSpaceDN w:val="0"/>
        <w:adjustRightInd w:val="0"/>
        <w:jc w:val="both"/>
        <w:rPr>
          <w:rFonts w:ascii="Lato" w:hAnsi="Lato" w:cstheme="minorHAnsi"/>
          <w:sz w:val="20"/>
          <w:szCs w:val="20"/>
        </w:rPr>
      </w:pPr>
      <w:r w:rsidRPr="002B21CF">
        <w:rPr>
          <w:rFonts w:ascii="Lato" w:hAnsi="Lato" w:cstheme="minorHAnsi"/>
          <w:sz w:val="20"/>
          <w:szCs w:val="20"/>
        </w:rPr>
        <w:t>Vida útil, porcentaje de depreciación y amortización en los diferentes tipos de</w:t>
      </w:r>
      <w:r w:rsidR="007A27BB" w:rsidRPr="002B21CF">
        <w:rPr>
          <w:rFonts w:ascii="Lato" w:hAnsi="Lato" w:cstheme="minorHAnsi"/>
          <w:sz w:val="20"/>
          <w:szCs w:val="20"/>
        </w:rPr>
        <w:t xml:space="preserve"> activos, o el importe de las pérdidas por deterioro reconocidas.</w:t>
      </w:r>
    </w:p>
    <w:p w14:paraId="5597B34F" w14:textId="28E95389" w:rsidR="007A27BB" w:rsidRPr="002B21CF" w:rsidRDefault="007A27BB" w:rsidP="000D5D69">
      <w:pPr>
        <w:pStyle w:val="Prrafodelista"/>
        <w:numPr>
          <w:ilvl w:val="0"/>
          <w:numId w:val="14"/>
        </w:numPr>
        <w:autoSpaceDE w:val="0"/>
        <w:autoSpaceDN w:val="0"/>
        <w:adjustRightInd w:val="0"/>
        <w:jc w:val="both"/>
        <w:rPr>
          <w:rFonts w:ascii="Lato" w:hAnsi="Lato" w:cstheme="minorHAnsi"/>
          <w:sz w:val="20"/>
          <w:szCs w:val="20"/>
        </w:rPr>
      </w:pPr>
      <w:r w:rsidRPr="002B21CF">
        <w:rPr>
          <w:rFonts w:ascii="Lato" w:hAnsi="Lato" w:cstheme="minorHAnsi"/>
          <w:sz w:val="20"/>
          <w:szCs w:val="20"/>
        </w:rPr>
        <w:t>Cambios en el porcentaje de depreciación y amortización y en el valor de los activos ocasionado por deterioro.</w:t>
      </w:r>
    </w:p>
    <w:p w14:paraId="1A366BEA" w14:textId="1F880226" w:rsidR="007A27BB" w:rsidRPr="002B21CF" w:rsidRDefault="007A27BB" w:rsidP="000D5D69">
      <w:pPr>
        <w:pStyle w:val="Prrafodelista"/>
        <w:numPr>
          <w:ilvl w:val="0"/>
          <w:numId w:val="14"/>
        </w:numPr>
        <w:autoSpaceDE w:val="0"/>
        <w:autoSpaceDN w:val="0"/>
        <w:adjustRightInd w:val="0"/>
        <w:jc w:val="both"/>
        <w:rPr>
          <w:rFonts w:ascii="Lato" w:hAnsi="Lato" w:cstheme="minorHAnsi"/>
          <w:sz w:val="20"/>
          <w:szCs w:val="20"/>
        </w:rPr>
      </w:pPr>
      <w:r w:rsidRPr="002B21CF">
        <w:rPr>
          <w:rFonts w:ascii="Lato" w:hAnsi="Lato" w:cstheme="minorHAnsi"/>
          <w:sz w:val="20"/>
          <w:szCs w:val="20"/>
        </w:rPr>
        <w:t>Importe de los gastos capitalizados en el ejercicio, tanto financieros como de investigación y desarrollo.</w:t>
      </w:r>
    </w:p>
    <w:p w14:paraId="3FC727AC" w14:textId="5A01D772" w:rsidR="007A27BB" w:rsidRPr="002B21CF" w:rsidRDefault="007A27BB" w:rsidP="000D5D69">
      <w:pPr>
        <w:pStyle w:val="Prrafodelista"/>
        <w:numPr>
          <w:ilvl w:val="0"/>
          <w:numId w:val="14"/>
        </w:numPr>
        <w:autoSpaceDE w:val="0"/>
        <w:autoSpaceDN w:val="0"/>
        <w:adjustRightInd w:val="0"/>
        <w:jc w:val="both"/>
        <w:rPr>
          <w:rFonts w:ascii="Lato" w:hAnsi="Lato" w:cstheme="minorHAnsi"/>
          <w:sz w:val="20"/>
          <w:szCs w:val="20"/>
        </w:rPr>
      </w:pPr>
      <w:r w:rsidRPr="002B21CF">
        <w:rPr>
          <w:rFonts w:ascii="Lato" w:hAnsi="Lato" w:cstheme="minorHAnsi"/>
          <w:sz w:val="20"/>
          <w:szCs w:val="20"/>
        </w:rPr>
        <w:t>Riesgos por tipo de cambio o tipo de interés de las inversiones financieras.</w:t>
      </w:r>
    </w:p>
    <w:p w14:paraId="13B322C2" w14:textId="563ACDC5" w:rsidR="007A27BB" w:rsidRPr="002B21CF" w:rsidRDefault="007A27BB" w:rsidP="000D5D69">
      <w:pPr>
        <w:pStyle w:val="Prrafodelista"/>
        <w:numPr>
          <w:ilvl w:val="0"/>
          <w:numId w:val="14"/>
        </w:numPr>
        <w:autoSpaceDE w:val="0"/>
        <w:autoSpaceDN w:val="0"/>
        <w:adjustRightInd w:val="0"/>
        <w:jc w:val="both"/>
        <w:rPr>
          <w:rFonts w:ascii="Lato" w:hAnsi="Lato" w:cstheme="minorHAnsi"/>
          <w:sz w:val="20"/>
          <w:szCs w:val="20"/>
        </w:rPr>
      </w:pPr>
      <w:r w:rsidRPr="002B21CF">
        <w:rPr>
          <w:rFonts w:ascii="Lato" w:hAnsi="Lato" w:cstheme="minorHAnsi"/>
          <w:sz w:val="20"/>
          <w:szCs w:val="20"/>
        </w:rPr>
        <w:t>Valor en el ej</w:t>
      </w:r>
      <w:r w:rsidR="00213381" w:rsidRPr="002B21CF">
        <w:rPr>
          <w:rFonts w:ascii="Lato" w:hAnsi="Lato" w:cstheme="minorHAnsi"/>
          <w:sz w:val="20"/>
          <w:szCs w:val="20"/>
        </w:rPr>
        <w:t>ercicio de los bienes construido</w:t>
      </w:r>
      <w:r w:rsidRPr="002B21CF">
        <w:rPr>
          <w:rFonts w:ascii="Lato" w:hAnsi="Lato" w:cstheme="minorHAnsi"/>
          <w:sz w:val="20"/>
          <w:szCs w:val="20"/>
        </w:rPr>
        <w:t>s por la entidad.</w:t>
      </w:r>
    </w:p>
    <w:p w14:paraId="21CE17A4" w14:textId="10187612" w:rsidR="007A27BB" w:rsidRPr="002B21CF" w:rsidRDefault="007A27BB" w:rsidP="000D5D69">
      <w:pPr>
        <w:pStyle w:val="Prrafodelista"/>
        <w:numPr>
          <w:ilvl w:val="0"/>
          <w:numId w:val="14"/>
        </w:numPr>
        <w:autoSpaceDE w:val="0"/>
        <w:autoSpaceDN w:val="0"/>
        <w:adjustRightInd w:val="0"/>
        <w:jc w:val="both"/>
        <w:rPr>
          <w:rFonts w:ascii="Lato" w:hAnsi="Lato" w:cstheme="minorHAnsi"/>
          <w:sz w:val="20"/>
          <w:szCs w:val="20"/>
        </w:rPr>
      </w:pPr>
      <w:r w:rsidRPr="002B21CF">
        <w:rPr>
          <w:rFonts w:ascii="Lato" w:hAnsi="Lato" w:cstheme="minorHAnsi"/>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14:paraId="157659E6" w14:textId="55BFC99B" w:rsidR="007A27BB" w:rsidRPr="002B21CF" w:rsidRDefault="007A27BB" w:rsidP="000D5D69">
      <w:pPr>
        <w:pStyle w:val="Prrafodelista"/>
        <w:numPr>
          <w:ilvl w:val="0"/>
          <w:numId w:val="14"/>
        </w:numPr>
        <w:autoSpaceDE w:val="0"/>
        <w:autoSpaceDN w:val="0"/>
        <w:adjustRightInd w:val="0"/>
        <w:jc w:val="both"/>
        <w:rPr>
          <w:rFonts w:ascii="Lato" w:hAnsi="Lato" w:cstheme="minorHAnsi"/>
          <w:sz w:val="20"/>
          <w:szCs w:val="20"/>
        </w:rPr>
      </w:pPr>
      <w:r w:rsidRPr="002B21CF">
        <w:rPr>
          <w:rFonts w:ascii="Lato" w:hAnsi="Lato" w:cstheme="minorHAnsi"/>
          <w:sz w:val="20"/>
          <w:szCs w:val="20"/>
        </w:rPr>
        <w:t>Desmantelamiento de activos, procedimientos, implicaciones, efectos contables.</w:t>
      </w:r>
    </w:p>
    <w:p w14:paraId="39A62297" w14:textId="397D27DA" w:rsidR="007A27BB" w:rsidRPr="002B21CF" w:rsidRDefault="007A27BB" w:rsidP="000D5D69">
      <w:pPr>
        <w:pStyle w:val="Prrafodelista"/>
        <w:numPr>
          <w:ilvl w:val="0"/>
          <w:numId w:val="14"/>
        </w:numPr>
        <w:autoSpaceDE w:val="0"/>
        <w:autoSpaceDN w:val="0"/>
        <w:adjustRightInd w:val="0"/>
        <w:jc w:val="both"/>
        <w:rPr>
          <w:rFonts w:ascii="Lato" w:hAnsi="Lato" w:cstheme="minorHAnsi"/>
          <w:sz w:val="20"/>
          <w:szCs w:val="20"/>
        </w:rPr>
      </w:pPr>
      <w:r w:rsidRPr="002B21CF">
        <w:rPr>
          <w:rFonts w:ascii="Lato" w:hAnsi="Lato" w:cstheme="minorHAnsi"/>
          <w:sz w:val="20"/>
          <w:szCs w:val="20"/>
        </w:rPr>
        <w:t>Administración de activos; planeación con el objetivo de que el ente los utilice de manera más efectiva.</w:t>
      </w:r>
    </w:p>
    <w:p w14:paraId="445DF070" w14:textId="1B345F9C" w:rsidR="007A27BB" w:rsidRPr="002B21CF" w:rsidRDefault="007A27BB" w:rsidP="007A27BB">
      <w:pPr>
        <w:autoSpaceDE w:val="0"/>
        <w:autoSpaceDN w:val="0"/>
        <w:adjustRightInd w:val="0"/>
        <w:jc w:val="both"/>
        <w:rPr>
          <w:rFonts w:ascii="Lato" w:hAnsi="Lato" w:cstheme="minorHAnsi"/>
          <w:sz w:val="20"/>
          <w:szCs w:val="20"/>
        </w:rPr>
      </w:pPr>
    </w:p>
    <w:p w14:paraId="79DFF660" w14:textId="57DF593E" w:rsidR="007A27BB" w:rsidRPr="002B21CF" w:rsidRDefault="00122129" w:rsidP="007A27BB">
      <w:pPr>
        <w:autoSpaceDE w:val="0"/>
        <w:autoSpaceDN w:val="0"/>
        <w:adjustRightInd w:val="0"/>
        <w:jc w:val="both"/>
        <w:rPr>
          <w:rFonts w:ascii="Lato" w:hAnsi="Lato" w:cstheme="minorHAnsi"/>
          <w:sz w:val="20"/>
          <w:szCs w:val="20"/>
        </w:rPr>
      </w:pPr>
      <w:r w:rsidRPr="002B21CF">
        <w:rPr>
          <w:rFonts w:ascii="Lato" w:hAnsi="Lato" w:cstheme="minorHAnsi"/>
          <w:sz w:val="20"/>
          <w:szCs w:val="20"/>
        </w:rPr>
        <w:t>R</w:t>
      </w:r>
      <w:r w:rsidR="00C8254D" w:rsidRPr="002B21CF">
        <w:rPr>
          <w:rFonts w:ascii="Lato" w:hAnsi="Lato" w:cstheme="minorHAnsi"/>
          <w:sz w:val="20"/>
          <w:szCs w:val="20"/>
        </w:rPr>
        <w:t>especto a</w:t>
      </w:r>
      <w:r w:rsidR="007A27BB" w:rsidRPr="002B21CF">
        <w:rPr>
          <w:rFonts w:ascii="Lato" w:hAnsi="Lato" w:cstheme="minorHAnsi"/>
          <w:sz w:val="20"/>
          <w:szCs w:val="20"/>
        </w:rPr>
        <w:t xml:space="preserve"> las principales variaciones en el activo</w:t>
      </w:r>
      <w:r w:rsidR="00C8254D" w:rsidRPr="002B21CF">
        <w:rPr>
          <w:rFonts w:ascii="Lato" w:hAnsi="Lato" w:cstheme="minorHAnsi"/>
          <w:sz w:val="20"/>
          <w:szCs w:val="20"/>
        </w:rPr>
        <w:t xml:space="preserve"> del Fondo de Seguridad Pública del Estado de Yucatán</w:t>
      </w:r>
      <w:r w:rsidR="007A27BB" w:rsidRPr="002B21CF">
        <w:rPr>
          <w:rFonts w:ascii="Lato" w:hAnsi="Lato" w:cstheme="minorHAnsi"/>
          <w:sz w:val="20"/>
          <w:szCs w:val="20"/>
        </w:rPr>
        <w:t xml:space="preserve">, </w:t>
      </w:r>
      <w:r w:rsidRPr="002B21CF">
        <w:rPr>
          <w:rFonts w:ascii="Lato" w:hAnsi="Lato" w:cstheme="minorHAnsi"/>
          <w:sz w:val="20"/>
          <w:szCs w:val="20"/>
        </w:rPr>
        <w:t xml:space="preserve">no se elaboran </w:t>
      </w:r>
      <w:r w:rsidR="007A27BB" w:rsidRPr="002B21CF">
        <w:rPr>
          <w:rFonts w:ascii="Lato" w:hAnsi="Lato" w:cstheme="minorHAnsi"/>
          <w:sz w:val="20"/>
          <w:szCs w:val="20"/>
        </w:rPr>
        <w:t>cuadros comparativos</w:t>
      </w:r>
      <w:r w:rsidRPr="002B21CF">
        <w:rPr>
          <w:rFonts w:ascii="Lato" w:hAnsi="Lato" w:cstheme="minorHAnsi"/>
          <w:sz w:val="20"/>
          <w:szCs w:val="20"/>
        </w:rPr>
        <w:t>, derivado a que</w:t>
      </w:r>
      <w:r w:rsidR="002E1A3A" w:rsidRPr="002B21CF">
        <w:rPr>
          <w:rFonts w:ascii="Lato" w:hAnsi="Lato" w:cstheme="minorHAnsi"/>
          <w:sz w:val="20"/>
          <w:szCs w:val="20"/>
        </w:rPr>
        <w:t xml:space="preserve"> </w:t>
      </w:r>
      <w:r w:rsidR="0086690E" w:rsidRPr="002B21CF">
        <w:rPr>
          <w:rFonts w:ascii="Lato" w:hAnsi="Lato" w:cstheme="minorHAnsi"/>
          <w:sz w:val="20"/>
          <w:szCs w:val="20"/>
        </w:rPr>
        <w:t>al 28 de febrero de 2026</w:t>
      </w:r>
      <w:r w:rsidRPr="002B21CF">
        <w:rPr>
          <w:rFonts w:ascii="Lato" w:hAnsi="Lato" w:cstheme="minorHAnsi"/>
          <w:sz w:val="20"/>
          <w:szCs w:val="20"/>
        </w:rPr>
        <w:t xml:space="preserve"> no se tienen saldos y/o movimientos en los siguientes incisos:</w:t>
      </w:r>
    </w:p>
    <w:p w14:paraId="0E3C68AE" w14:textId="77777777" w:rsidR="00122129" w:rsidRPr="002B21CF" w:rsidRDefault="00122129" w:rsidP="007A27BB">
      <w:pPr>
        <w:autoSpaceDE w:val="0"/>
        <w:autoSpaceDN w:val="0"/>
        <w:adjustRightInd w:val="0"/>
        <w:jc w:val="both"/>
        <w:rPr>
          <w:rFonts w:ascii="Lato" w:hAnsi="Lato" w:cstheme="minorHAnsi"/>
          <w:sz w:val="20"/>
          <w:szCs w:val="20"/>
        </w:rPr>
      </w:pPr>
    </w:p>
    <w:p w14:paraId="6AE2D931" w14:textId="03D6015C" w:rsidR="007A27BB" w:rsidRPr="002B21CF" w:rsidRDefault="007A27BB" w:rsidP="007A27BB">
      <w:pPr>
        <w:pStyle w:val="Prrafodelista"/>
        <w:numPr>
          <w:ilvl w:val="0"/>
          <w:numId w:val="15"/>
        </w:numPr>
        <w:autoSpaceDE w:val="0"/>
        <w:autoSpaceDN w:val="0"/>
        <w:adjustRightInd w:val="0"/>
        <w:jc w:val="both"/>
        <w:rPr>
          <w:rFonts w:ascii="Lato" w:hAnsi="Lato" w:cstheme="minorHAnsi"/>
          <w:sz w:val="20"/>
          <w:szCs w:val="20"/>
        </w:rPr>
      </w:pPr>
      <w:r w:rsidRPr="002B21CF">
        <w:rPr>
          <w:rFonts w:ascii="Lato" w:hAnsi="Lato" w:cstheme="minorHAnsi"/>
          <w:sz w:val="20"/>
          <w:szCs w:val="20"/>
        </w:rPr>
        <w:t>Inversiones en valores.</w:t>
      </w:r>
    </w:p>
    <w:p w14:paraId="319BA81F" w14:textId="77777777" w:rsidR="007A27BB" w:rsidRPr="002B21CF" w:rsidRDefault="007A27BB" w:rsidP="007A27BB">
      <w:pPr>
        <w:pStyle w:val="Prrafodelista"/>
        <w:numPr>
          <w:ilvl w:val="0"/>
          <w:numId w:val="15"/>
        </w:numPr>
        <w:autoSpaceDE w:val="0"/>
        <w:autoSpaceDN w:val="0"/>
        <w:adjustRightInd w:val="0"/>
        <w:jc w:val="both"/>
        <w:rPr>
          <w:rFonts w:ascii="Lato" w:hAnsi="Lato" w:cstheme="minorHAnsi"/>
          <w:sz w:val="20"/>
          <w:szCs w:val="20"/>
        </w:rPr>
      </w:pPr>
      <w:r w:rsidRPr="002B21CF">
        <w:rPr>
          <w:rFonts w:ascii="Lato" w:hAnsi="Lato" w:cstheme="minorHAnsi"/>
          <w:sz w:val="20"/>
          <w:szCs w:val="20"/>
        </w:rPr>
        <w:t>Patrimonio de Organismos Descentralizados de Control Presupuestario Indirecto.</w:t>
      </w:r>
    </w:p>
    <w:p w14:paraId="24F052A6" w14:textId="77777777" w:rsidR="00F42728" w:rsidRPr="002B21CF" w:rsidRDefault="00F42728" w:rsidP="007A27BB">
      <w:pPr>
        <w:pStyle w:val="Prrafodelista"/>
        <w:numPr>
          <w:ilvl w:val="0"/>
          <w:numId w:val="15"/>
        </w:numPr>
        <w:autoSpaceDE w:val="0"/>
        <w:autoSpaceDN w:val="0"/>
        <w:adjustRightInd w:val="0"/>
        <w:jc w:val="both"/>
        <w:rPr>
          <w:rFonts w:ascii="Lato" w:hAnsi="Lato" w:cstheme="minorHAnsi"/>
          <w:sz w:val="20"/>
          <w:szCs w:val="20"/>
        </w:rPr>
      </w:pPr>
      <w:r w:rsidRPr="002B21CF">
        <w:rPr>
          <w:rFonts w:ascii="Lato" w:hAnsi="Lato" w:cstheme="minorHAnsi"/>
          <w:sz w:val="20"/>
          <w:szCs w:val="20"/>
        </w:rPr>
        <w:t>Inversiones en empresas de participación mayoritaria.</w:t>
      </w:r>
    </w:p>
    <w:p w14:paraId="6545173F" w14:textId="77777777" w:rsidR="00F42728" w:rsidRPr="002B21CF" w:rsidRDefault="00F42728" w:rsidP="007A27BB">
      <w:pPr>
        <w:pStyle w:val="Prrafodelista"/>
        <w:numPr>
          <w:ilvl w:val="0"/>
          <w:numId w:val="15"/>
        </w:numPr>
        <w:autoSpaceDE w:val="0"/>
        <w:autoSpaceDN w:val="0"/>
        <w:adjustRightInd w:val="0"/>
        <w:jc w:val="both"/>
        <w:rPr>
          <w:rFonts w:ascii="Lato" w:hAnsi="Lato" w:cstheme="minorHAnsi"/>
          <w:sz w:val="20"/>
          <w:szCs w:val="20"/>
        </w:rPr>
      </w:pPr>
      <w:r w:rsidRPr="002B21CF">
        <w:rPr>
          <w:rFonts w:ascii="Lato" w:hAnsi="Lato" w:cstheme="minorHAnsi"/>
          <w:sz w:val="20"/>
          <w:szCs w:val="20"/>
        </w:rPr>
        <w:t>Inversiones en empresas de participación minoritaria.</w:t>
      </w:r>
    </w:p>
    <w:p w14:paraId="43FEE549" w14:textId="1A0C4C48" w:rsidR="007A27BB" w:rsidRPr="002B21CF" w:rsidRDefault="00F42728" w:rsidP="007A27BB">
      <w:pPr>
        <w:pStyle w:val="Prrafodelista"/>
        <w:numPr>
          <w:ilvl w:val="0"/>
          <w:numId w:val="15"/>
        </w:numPr>
        <w:autoSpaceDE w:val="0"/>
        <w:autoSpaceDN w:val="0"/>
        <w:adjustRightInd w:val="0"/>
        <w:jc w:val="both"/>
        <w:rPr>
          <w:rFonts w:ascii="Lato" w:hAnsi="Lato" w:cstheme="minorHAnsi"/>
          <w:sz w:val="20"/>
          <w:szCs w:val="20"/>
        </w:rPr>
      </w:pPr>
      <w:r w:rsidRPr="002B21CF">
        <w:rPr>
          <w:rFonts w:ascii="Lato" w:hAnsi="Lato" w:cstheme="minorHAnsi"/>
          <w:sz w:val="20"/>
          <w:szCs w:val="20"/>
        </w:rPr>
        <w:t>Patrimonio de Organismos Descentralizados de Control Presupuestario Directo, según corresponda.</w:t>
      </w:r>
      <w:r w:rsidR="007A27BB" w:rsidRPr="002B21CF">
        <w:rPr>
          <w:rFonts w:ascii="Lato" w:hAnsi="Lato" w:cstheme="minorHAnsi"/>
          <w:sz w:val="20"/>
          <w:szCs w:val="20"/>
        </w:rPr>
        <w:t xml:space="preserve">  </w:t>
      </w:r>
    </w:p>
    <w:p w14:paraId="64D71FC6" w14:textId="394ABD6A" w:rsidR="00DF5C47" w:rsidRPr="002B21CF" w:rsidRDefault="00DF5C47" w:rsidP="00DF5C47">
      <w:pPr>
        <w:autoSpaceDE w:val="0"/>
        <w:autoSpaceDN w:val="0"/>
        <w:adjustRightInd w:val="0"/>
        <w:jc w:val="both"/>
        <w:rPr>
          <w:rFonts w:ascii="Lato" w:hAnsi="Lato" w:cstheme="minorHAnsi"/>
          <w:sz w:val="20"/>
          <w:szCs w:val="20"/>
        </w:rPr>
      </w:pPr>
    </w:p>
    <w:p w14:paraId="03515757" w14:textId="0529E173" w:rsidR="00DF5C47" w:rsidRPr="002B21CF" w:rsidRDefault="00DF5C47" w:rsidP="00DF5C47">
      <w:pPr>
        <w:autoSpaceDE w:val="0"/>
        <w:autoSpaceDN w:val="0"/>
        <w:adjustRightInd w:val="0"/>
        <w:jc w:val="both"/>
        <w:rPr>
          <w:rFonts w:ascii="Lato" w:hAnsi="Lato" w:cstheme="minorHAnsi"/>
          <w:sz w:val="20"/>
          <w:szCs w:val="20"/>
        </w:rPr>
      </w:pPr>
      <w:r w:rsidRPr="002B21CF">
        <w:rPr>
          <w:rFonts w:ascii="Lato" w:hAnsi="Lato" w:cstheme="minorHAnsi"/>
          <w:sz w:val="20"/>
          <w:szCs w:val="20"/>
        </w:rPr>
        <w:t>Y porque a la fecha el Gobierno del Estado de Yucatán, a través de la Secretaría de Administración y Finanzas, y Nacional Financiera, Sociedad Nacional de Crédito, convinieron expresamente extinguir el Contrato del Fideicomiso Fondo de Seguridad Pública del Estado de Yucatán (FOSEG).</w:t>
      </w:r>
    </w:p>
    <w:p w14:paraId="17D5C85B" w14:textId="7A7580F6" w:rsidR="009D77C0" w:rsidRPr="002B21CF" w:rsidRDefault="00005D4F" w:rsidP="009D77C0">
      <w:pPr>
        <w:autoSpaceDE w:val="0"/>
        <w:autoSpaceDN w:val="0"/>
        <w:adjustRightInd w:val="0"/>
        <w:jc w:val="both"/>
        <w:rPr>
          <w:rFonts w:ascii="Lato" w:hAnsi="Lato" w:cstheme="minorHAnsi"/>
          <w:b/>
          <w:sz w:val="20"/>
          <w:szCs w:val="20"/>
        </w:rPr>
      </w:pPr>
      <w:r w:rsidRPr="002B21CF">
        <w:rPr>
          <w:rFonts w:ascii="Lato" w:hAnsi="Lato" w:cstheme="minorHAnsi"/>
          <w:b/>
          <w:sz w:val="20"/>
          <w:szCs w:val="20"/>
        </w:rPr>
        <w:t>8</w:t>
      </w:r>
      <w:r w:rsidR="009D77C0" w:rsidRPr="002B21CF">
        <w:rPr>
          <w:rFonts w:ascii="Lato" w:hAnsi="Lato" w:cstheme="minorHAnsi"/>
          <w:b/>
          <w:sz w:val="20"/>
          <w:szCs w:val="20"/>
        </w:rPr>
        <w:t>.- Fideicomisos, Mandatos y Análogos</w:t>
      </w:r>
    </w:p>
    <w:p w14:paraId="08E144D9" w14:textId="451AE677" w:rsidR="00563060" w:rsidRPr="002B21CF" w:rsidRDefault="00563060" w:rsidP="009D77C0">
      <w:pPr>
        <w:autoSpaceDE w:val="0"/>
        <w:autoSpaceDN w:val="0"/>
        <w:adjustRightInd w:val="0"/>
        <w:jc w:val="both"/>
        <w:rPr>
          <w:rFonts w:ascii="Lato" w:hAnsi="Lato" w:cstheme="minorHAnsi"/>
          <w:b/>
          <w:sz w:val="20"/>
          <w:szCs w:val="20"/>
        </w:rPr>
      </w:pPr>
    </w:p>
    <w:p w14:paraId="2389DCAA" w14:textId="4413095D" w:rsidR="00644BEC" w:rsidRPr="002B21CF" w:rsidRDefault="00563060" w:rsidP="00A61393">
      <w:pPr>
        <w:autoSpaceDE w:val="0"/>
        <w:autoSpaceDN w:val="0"/>
        <w:adjustRightInd w:val="0"/>
        <w:jc w:val="both"/>
        <w:rPr>
          <w:rFonts w:ascii="Lato" w:hAnsi="Lato" w:cstheme="minorHAnsi"/>
          <w:sz w:val="20"/>
          <w:szCs w:val="20"/>
        </w:rPr>
      </w:pPr>
      <w:r w:rsidRPr="002B21CF">
        <w:rPr>
          <w:rFonts w:ascii="Lato" w:hAnsi="Lato" w:cstheme="minorHAnsi"/>
          <w:sz w:val="20"/>
          <w:szCs w:val="20"/>
        </w:rPr>
        <w:t>Con el propósito de dar cumplimiento a lo dispuesto por el artículo 19, fracción V de la Ley General de Contabilidad Gubernamental, se manifiesta que en el caso del Fondo de Seguridad Pública del Estado de Yucatán</w:t>
      </w:r>
      <w:r w:rsidR="008E7F6A" w:rsidRPr="002B21CF">
        <w:rPr>
          <w:rFonts w:ascii="Lato" w:hAnsi="Lato" w:cstheme="minorHAnsi"/>
          <w:sz w:val="20"/>
          <w:szCs w:val="20"/>
        </w:rPr>
        <w:t xml:space="preserve"> a la fecha de su extinción</w:t>
      </w:r>
      <w:r w:rsidRPr="002B21CF">
        <w:rPr>
          <w:rFonts w:ascii="Lato" w:hAnsi="Lato" w:cstheme="minorHAnsi"/>
          <w:sz w:val="20"/>
          <w:szCs w:val="20"/>
        </w:rPr>
        <w:t xml:space="preserve"> no cuenta con </w:t>
      </w:r>
      <w:r w:rsidR="00A61393" w:rsidRPr="002B21CF">
        <w:rPr>
          <w:rFonts w:ascii="Lato" w:hAnsi="Lato" w:cstheme="minorHAnsi"/>
          <w:sz w:val="20"/>
          <w:szCs w:val="20"/>
        </w:rPr>
        <w:t xml:space="preserve">ningún tipo de </w:t>
      </w:r>
      <w:r w:rsidRPr="002B21CF">
        <w:rPr>
          <w:rFonts w:ascii="Lato" w:hAnsi="Lato" w:cstheme="minorHAnsi"/>
          <w:sz w:val="20"/>
          <w:szCs w:val="20"/>
        </w:rPr>
        <w:t>Fi</w:t>
      </w:r>
      <w:r w:rsidR="00A61393" w:rsidRPr="002B21CF">
        <w:rPr>
          <w:rFonts w:ascii="Lato" w:hAnsi="Lato" w:cstheme="minorHAnsi"/>
          <w:sz w:val="20"/>
          <w:szCs w:val="20"/>
        </w:rPr>
        <w:t>deicomisos, Mandatos y Análogos.</w:t>
      </w:r>
      <w:r w:rsidR="00644BEC" w:rsidRPr="002B21CF">
        <w:rPr>
          <w:rFonts w:ascii="Lato" w:hAnsi="Lato" w:cstheme="minorHAnsi"/>
          <w:sz w:val="20"/>
          <w:szCs w:val="20"/>
        </w:rPr>
        <w:t xml:space="preserve"> </w:t>
      </w:r>
    </w:p>
    <w:p w14:paraId="3A6A6810" w14:textId="77777777" w:rsidR="00A542BB" w:rsidRPr="002B21CF" w:rsidRDefault="00A542BB" w:rsidP="009D77C0">
      <w:pPr>
        <w:autoSpaceDE w:val="0"/>
        <w:autoSpaceDN w:val="0"/>
        <w:adjustRightInd w:val="0"/>
        <w:jc w:val="both"/>
        <w:rPr>
          <w:rFonts w:ascii="Lato" w:hAnsi="Lato" w:cstheme="minorHAnsi"/>
          <w:b/>
          <w:sz w:val="20"/>
          <w:szCs w:val="20"/>
        </w:rPr>
      </w:pPr>
    </w:p>
    <w:p w14:paraId="072DA2E3" w14:textId="03240BF6" w:rsidR="009D77C0" w:rsidRPr="002B21CF" w:rsidRDefault="00005D4F" w:rsidP="009D77C0">
      <w:pPr>
        <w:autoSpaceDE w:val="0"/>
        <w:autoSpaceDN w:val="0"/>
        <w:adjustRightInd w:val="0"/>
        <w:jc w:val="both"/>
        <w:rPr>
          <w:rFonts w:ascii="Lato" w:hAnsi="Lato" w:cstheme="minorHAnsi"/>
          <w:b/>
          <w:sz w:val="20"/>
          <w:szCs w:val="20"/>
        </w:rPr>
      </w:pPr>
      <w:r w:rsidRPr="002B21CF">
        <w:rPr>
          <w:rFonts w:ascii="Lato" w:hAnsi="Lato" w:cstheme="minorHAnsi"/>
          <w:b/>
          <w:sz w:val="20"/>
          <w:szCs w:val="20"/>
        </w:rPr>
        <w:t>9</w:t>
      </w:r>
      <w:r w:rsidR="009D77C0" w:rsidRPr="002B21CF">
        <w:rPr>
          <w:rFonts w:ascii="Lato" w:hAnsi="Lato" w:cstheme="minorHAnsi"/>
          <w:b/>
          <w:sz w:val="20"/>
          <w:szCs w:val="20"/>
        </w:rPr>
        <w:t>.- Reporte de la Recaudación.</w:t>
      </w:r>
    </w:p>
    <w:p w14:paraId="18EB819C" w14:textId="1DD7FBB8" w:rsidR="003E193F" w:rsidRPr="002B21CF" w:rsidRDefault="003E193F" w:rsidP="009D77C0">
      <w:pPr>
        <w:autoSpaceDE w:val="0"/>
        <w:autoSpaceDN w:val="0"/>
        <w:adjustRightInd w:val="0"/>
        <w:jc w:val="both"/>
        <w:rPr>
          <w:rFonts w:ascii="Lato" w:hAnsi="Lato" w:cstheme="minorHAnsi"/>
          <w:b/>
          <w:sz w:val="20"/>
          <w:szCs w:val="20"/>
        </w:rPr>
      </w:pPr>
    </w:p>
    <w:p w14:paraId="1AFEBC98" w14:textId="336DC138" w:rsidR="003E193F" w:rsidRPr="002B21CF" w:rsidRDefault="003E193F" w:rsidP="003E193F">
      <w:pPr>
        <w:autoSpaceDE w:val="0"/>
        <w:autoSpaceDN w:val="0"/>
        <w:adjustRightInd w:val="0"/>
        <w:jc w:val="both"/>
        <w:rPr>
          <w:rFonts w:ascii="Lato" w:hAnsi="Lato" w:cstheme="minorHAnsi"/>
          <w:sz w:val="20"/>
          <w:szCs w:val="20"/>
        </w:rPr>
      </w:pPr>
      <w:r w:rsidRPr="002B21CF">
        <w:rPr>
          <w:rFonts w:ascii="Lato" w:hAnsi="Lato" w:cstheme="minorHAnsi"/>
          <w:sz w:val="20"/>
          <w:szCs w:val="20"/>
        </w:rPr>
        <w:t>E</w:t>
      </w:r>
      <w:r w:rsidR="00270896" w:rsidRPr="002B21CF">
        <w:rPr>
          <w:rFonts w:ascii="Lato" w:hAnsi="Lato" w:cstheme="minorHAnsi"/>
          <w:sz w:val="20"/>
          <w:szCs w:val="20"/>
        </w:rPr>
        <w:t xml:space="preserve">l Fondo de </w:t>
      </w:r>
      <w:r w:rsidRPr="002B21CF">
        <w:rPr>
          <w:rFonts w:ascii="Lato" w:hAnsi="Lato" w:cstheme="minorHAnsi"/>
          <w:sz w:val="20"/>
          <w:szCs w:val="20"/>
        </w:rPr>
        <w:t>Seguridad Pública</w:t>
      </w:r>
      <w:r w:rsidR="007A3EF1" w:rsidRPr="002B21CF">
        <w:rPr>
          <w:rFonts w:ascii="Lato" w:hAnsi="Lato" w:cstheme="minorHAnsi"/>
          <w:sz w:val="20"/>
          <w:szCs w:val="20"/>
        </w:rPr>
        <w:t xml:space="preserve"> del Estado de Yucatán no fue</w:t>
      </w:r>
      <w:r w:rsidRPr="002B21CF">
        <w:rPr>
          <w:rFonts w:ascii="Lato" w:hAnsi="Lato" w:cstheme="minorHAnsi"/>
          <w:sz w:val="20"/>
          <w:szCs w:val="20"/>
        </w:rPr>
        <w:t xml:space="preserve"> entidad recaudadora de ningún tipo de impuesto o contribución.</w:t>
      </w:r>
      <w:r w:rsidR="00DF5C47" w:rsidRPr="002B21CF">
        <w:rPr>
          <w:rFonts w:ascii="Lato" w:hAnsi="Lato" w:cstheme="minorHAnsi"/>
          <w:sz w:val="20"/>
          <w:szCs w:val="20"/>
        </w:rPr>
        <w:t xml:space="preserve"> </w:t>
      </w:r>
    </w:p>
    <w:p w14:paraId="0D651A51" w14:textId="7AAF44C7" w:rsidR="00C45FFB" w:rsidRPr="002B21CF" w:rsidRDefault="00C45FFB" w:rsidP="009D77C0">
      <w:pPr>
        <w:autoSpaceDE w:val="0"/>
        <w:autoSpaceDN w:val="0"/>
        <w:adjustRightInd w:val="0"/>
        <w:jc w:val="both"/>
        <w:rPr>
          <w:rFonts w:ascii="Lato" w:hAnsi="Lato" w:cstheme="minorHAnsi"/>
          <w:b/>
          <w:sz w:val="20"/>
          <w:szCs w:val="20"/>
        </w:rPr>
      </w:pPr>
    </w:p>
    <w:p w14:paraId="5521A742" w14:textId="70FBF36B" w:rsidR="009D77C0" w:rsidRPr="002B21CF" w:rsidRDefault="009D77C0" w:rsidP="009D77C0">
      <w:pPr>
        <w:autoSpaceDE w:val="0"/>
        <w:autoSpaceDN w:val="0"/>
        <w:adjustRightInd w:val="0"/>
        <w:jc w:val="both"/>
        <w:rPr>
          <w:rFonts w:ascii="Lato" w:hAnsi="Lato" w:cstheme="minorHAnsi"/>
          <w:b/>
          <w:sz w:val="20"/>
          <w:szCs w:val="20"/>
        </w:rPr>
      </w:pPr>
      <w:r w:rsidRPr="002B21CF">
        <w:rPr>
          <w:rFonts w:ascii="Lato" w:hAnsi="Lato" w:cstheme="minorHAnsi"/>
          <w:b/>
          <w:sz w:val="20"/>
          <w:szCs w:val="20"/>
        </w:rPr>
        <w:t>1</w:t>
      </w:r>
      <w:r w:rsidR="00005D4F" w:rsidRPr="002B21CF">
        <w:rPr>
          <w:rFonts w:ascii="Lato" w:hAnsi="Lato" w:cstheme="minorHAnsi"/>
          <w:b/>
          <w:sz w:val="20"/>
          <w:szCs w:val="20"/>
        </w:rPr>
        <w:t>0</w:t>
      </w:r>
      <w:r w:rsidRPr="002B21CF">
        <w:rPr>
          <w:rFonts w:ascii="Lato" w:hAnsi="Lato" w:cstheme="minorHAnsi"/>
          <w:b/>
          <w:sz w:val="20"/>
          <w:szCs w:val="20"/>
        </w:rPr>
        <w:t>. Información sobre la Deuda y el Reporte Analítico de la Deuda</w:t>
      </w:r>
    </w:p>
    <w:p w14:paraId="0CB63A6C" w14:textId="45EC0019" w:rsidR="00D87616" w:rsidRPr="002B21CF" w:rsidRDefault="00D87616" w:rsidP="009D77C0">
      <w:pPr>
        <w:autoSpaceDE w:val="0"/>
        <w:autoSpaceDN w:val="0"/>
        <w:adjustRightInd w:val="0"/>
        <w:jc w:val="both"/>
        <w:rPr>
          <w:rFonts w:ascii="Lato" w:hAnsi="Lato" w:cstheme="minorHAnsi"/>
          <w:b/>
          <w:sz w:val="20"/>
          <w:szCs w:val="20"/>
        </w:rPr>
      </w:pPr>
    </w:p>
    <w:p w14:paraId="0B5AED28" w14:textId="30E18C04" w:rsidR="00D87616" w:rsidRPr="002B21CF" w:rsidRDefault="00D87616" w:rsidP="00D87616">
      <w:pPr>
        <w:autoSpaceDE w:val="0"/>
        <w:autoSpaceDN w:val="0"/>
        <w:adjustRightInd w:val="0"/>
        <w:jc w:val="both"/>
        <w:rPr>
          <w:rFonts w:ascii="Lato" w:hAnsi="Lato" w:cstheme="minorHAnsi"/>
          <w:sz w:val="20"/>
          <w:szCs w:val="20"/>
        </w:rPr>
      </w:pPr>
      <w:r w:rsidRPr="002B21CF">
        <w:rPr>
          <w:rFonts w:ascii="Lato" w:hAnsi="Lato" w:cstheme="minorHAnsi"/>
          <w:sz w:val="20"/>
          <w:szCs w:val="20"/>
        </w:rPr>
        <w:t>El Fondo de Seguridad Pública del</w:t>
      </w:r>
      <w:r w:rsidR="007A3EF1" w:rsidRPr="002B21CF">
        <w:rPr>
          <w:rFonts w:ascii="Lato" w:hAnsi="Lato" w:cstheme="minorHAnsi"/>
          <w:sz w:val="20"/>
          <w:szCs w:val="20"/>
        </w:rPr>
        <w:t xml:space="preserve"> Estado de Yucatán </w:t>
      </w:r>
      <w:r w:rsidR="008E7F6A" w:rsidRPr="002B21CF">
        <w:rPr>
          <w:rFonts w:ascii="Lato" w:hAnsi="Lato" w:cstheme="minorHAnsi"/>
          <w:sz w:val="20"/>
          <w:szCs w:val="20"/>
        </w:rPr>
        <w:t>a la fecha de su extinción</w:t>
      </w:r>
      <w:r w:rsidR="007A3EF1" w:rsidRPr="002B21CF">
        <w:rPr>
          <w:rFonts w:ascii="Lato" w:hAnsi="Lato" w:cstheme="minorHAnsi"/>
          <w:sz w:val="20"/>
          <w:szCs w:val="20"/>
        </w:rPr>
        <w:t xml:space="preserve"> nunca</w:t>
      </w:r>
      <w:r w:rsidRPr="002B21CF">
        <w:rPr>
          <w:rFonts w:ascii="Lato" w:hAnsi="Lato" w:cstheme="minorHAnsi"/>
          <w:sz w:val="20"/>
          <w:szCs w:val="20"/>
        </w:rPr>
        <w:t xml:space="preserve"> </w:t>
      </w:r>
      <w:r w:rsidR="007A3EF1" w:rsidRPr="002B21CF">
        <w:rPr>
          <w:rFonts w:ascii="Lato" w:hAnsi="Lato" w:cstheme="minorHAnsi"/>
          <w:sz w:val="20"/>
          <w:szCs w:val="20"/>
        </w:rPr>
        <w:t>contrajo</w:t>
      </w:r>
      <w:r w:rsidRPr="002B21CF">
        <w:rPr>
          <w:rFonts w:ascii="Lato" w:hAnsi="Lato" w:cstheme="minorHAnsi"/>
          <w:sz w:val="20"/>
          <w:szCs w:val="20"/>
        </w:rPr>
        <w:t xml:space="preserve"> ningún tipo de Deuda Pública.</w:t>
      </w:r>
    </w:p>
    <w:p w14:paraId="50B14AE9" w14:textId="77777777" w:rsidR="00270896" w:rsidRPr="002B21CF" w:rsidRDefault="00270896" w:rsidP="009D77C0">
      <w:pPr>
        <w:autoSpaceDE w:val="0"/>
        <w:autoSpaceDN w:val="0"/>
        <w:adjustRightInd w:val="0"/>
        <w:jc w:val="both"/>
        <w:rPr>
          <w:rFonts w:ascii="Lato" w:hAnsi="Lato" w:cstheme="minorHAnsi"/>
          <w:b/>
          <w:sz w:val="20"/>
          <w:szCs w:val="20"/>
        </w:rPr>
      </w:pPr>
    </w:p>
    <w:p w14:paraId="5B5E7776" w14:textId="7458F20A" w:rsidR="009D77C0" w:rsidRPr="002B21CF" w:rsidRDefault="009D77C0" w:rsidP="009D77C0">
      <w:pPr>
        <w:autoSpaceDE w:val="0"/>
        <w:autoSpaceDN w:val="0"/>
        <w:adjustRightInd w:val="0"/>
        <w:jc w:val="both"/>
        <w:rPr>
          <w:rFonts w:ascii="Lato" w:hAnsi="Lato" w:cstheme="minorHAnsi"/>
          <w:b/>
          <w:sz w:val="20"/>
          <w:szCs w:val="20"/>
        </w:rPr>
      </w:pPr>
      <w:r w:rsidRPr="002B21CF">
        <w:rPr>
          <w:rFonts w:ascii="Lato" w:hAnsi="Lato" w:cstheme="minorHAnsi"/>
          <w:b/>
          <w:sz w:val="20"/>
          <w:szCs w:val="20"/>
        </w:rPr>
        <w:t>1</w:t>
      </w:r>
      <w:r w:rsidR="00005D4F" w:rsidRPr="002B21CF">
        <w:rPr>
          <w:rFonts w:ascii="Lato" w:hAnsi="Lato" w:cstheme="minorHAnsi"/>
          <w:b/>
          <w:sz w:val="20"/>
          <w:szCs w:val="20"/>
        </w:rPr>
        <w:t>1</w:t>
      </w:r>
      <w:r w:rsidRPr="002B21CF">
        <w:rPr>
          <w:rFonts w:ascii="Lato" w:hAnsi="Lato" w:cstheme="minorHAnsi"/>
          <w:b/>
          <w:sz w:val="20"/>
          <w:szCs w:val="20"/>
        </w:rPr>
        <w:t>.- Calificaciones Otorgadas.</w:t>
      </w:r>
    </w:p>
    <w:p w14:paraId="5219C8F3" w14:textId="77777777" w:rsidR="009D77C0" w:rsidRPr="002B21CF" w:rsidRDefault="009D77C0" w:rsidP="009D77C0">
      <w:pPr>
        <w:autoSpaceDE w:val="0"/>
        <w:autoSpaceDN w:val="0"/>
        <w:adjustRightInd w:val="0"/>
        <w:jc w:val="both"/>
        <w:rPr>
          <w:rFonts w:ascii="Lato" w:hAnsi="Lato" w:cstheme="minorHAnsi"/>
          <w:sz w:val="20"/>
          <w:szCs w:val="20"/>
        </w:rPr>
      </w:pPr>
    </w:p>
    <w:p w14:paraId="423EFF60" w14:textId="7C82F3CC" w:rsidR="009D77C0" w:rsidRPr="002B21CF" w:rsidRDefault="009D77C0" w:rsidP="009D77C0">
      <w:pPr>
        <w:autoSpaceDE w:val="0"/>
        <w:autoSpaceDN w:val="0"/>
        <w:adjustRightInd w:val="0"/>
        <w:jc w:val="both"/>
        <w:rPr>
          <w:rFonts w:ascii="Lato" w:hAnsi="Lato" w:cstheme="minorHAnsi"/>
          <w:sz w:val="20"/>
          <w:szCs w:val="20"/>
        </w:rPr>
      </w:pPr>
      <w:r w:rsidRPr="002B21CF">
        <w:rPr>
          <w:rFonts w:ascii="Lato" w:hAnsi="Lato" w:cstheme="minorHAnsi"/>
          <w:sz w:val="20"/>
          <w:szCs w:val="20"/>
        </w:rPr>
        <w:t xml:space="preserve">El Fondo de Seguridad Pública del Estado de Yucatán </w:t>
      </w:r>
      <w:r w:rsidR="008E7F6A" w:rsidRPr="002B21CF">
        <w:rPr>
          <w:rFonts w:ascii="Lato" w:hAnsi="Lato" w:cstheme="minorHAnsi"/>
          <w:sz w:val="20"/>
          <w:szCs w:val="20"/>
        </w:rPr>
        <w:t xml:space="preserve">a la fecha de su extinción </w:t>
      </w:r>
      <w:r w:rsidR="007A3EF1" w:rsidRPr="002B21CF">
        <w:rPr>
          <w:rFonts w:ascii="Lato" w:hAnsi="Lato" w:cstheme="minorHAnsi"/>
          <w:sz w:val="20"/>
          <w:szCs w:val="20"/>
        </w:rPr>
        <w:t>nunca realizó</w:t>
      </w:r>
      <w:r w:rsidRPr="002B21CF">
        <w:rPr>
          <w:rFonts w:ascii="Lato" w:hAnsi="Lato" w:cstheme="minorHAnsi"/>
          <w:sz w:val="20"/>
          <w:szCs w:val="20"/>
        </w:rPr>
        <w:t xml:space="preserve"> ninguna transacción que haya sido sujeta a una calificación crediticia.</w:t>
      </w:r>
    </w:p>
    <w:p w14:paraId="05D7CB56" w14:textId="77777777" w:rsidR="009D77C0" w:rsidRPr="002B21CF" w:rsidRDefault="009D77C0" w:rsidP="009D77C0">
      <w:pPr>
        <w:autoSpaceDE w:val="0"/>
        <w:autoSpaceDN w:val="0"/>
        <w:adjustRightInd w:val="0"/>
        <w:jc w:val="both"/>
        <w:rPr>
          <w:rFonts w:ascii="Lato" w:hAnsi="Lato" w:cstheme="minorHAnsi"/>
          <w:b/>
          <w:sz w:val="20"/>
          <w:szCs w:val="20"/>
        </w:rPr>
      </w:pPr>
    </w:p>
    <w:p w14:paraId="18A9A19A" w14:textId="6AA655D3" w:rsidR="0090791D" w:rsidRPr="002B21CF" w:rsidRDefault="009D77C0" w:rsidP="0090791D">
      <w:pPr>
        <w:autoSpaceDE w:val="0"/>
        <w:autoSpaceDN w:val="0"/>
        <w:adjustRightInd w:val="0"/>
        <w:jc w:val="both"/>
        <w:rPr>
          <w:rFonts w:ascii="Lato" w:hAnsi="Lato" w:cstheme="minorHAnsi"/>
          <w:b/>
          <w:sz w:val="20"/>
          <w:szCs w:val="20"/>
        </w:rPr>
      </w:pPr>
      <w:r w:rsidRPr="002B21CF">
        <w:rPr>
          <w:rFonts w:ascii="Lato" w:hAnsi="Lato" w:cstheme="minorHAnsi"/>
          <w:b/>
          <w:sz w:val="20"/>
          <w:szCs w:val="20"/>
        </w:rPr>
        <w:t>1</w:t>
      </w:r>
      <w:r w:rsidR="00005D4F" w:rsidRPr="002B21CF">
        <w:rPr>
          <w:rFonts w:ascii="Lato" w:hAnsi="Lato" w:cstheme="minorHAnsi"/>
          <w:b/>
          <w:sz w:val="20"/>
          <w:szCs w:val="20"/>
        </w:rPr>
        <w:t>2</w:t>
      </w:r>
      <w:r w:rsidRPr="002B21CF">
        <w:rPr>
          <w:rFonts w:ascii="Lato" w:hAnsi="Lato" w:cstheme="minorHAnsi"/>
          <w:b/>
          <w:sz w:val="20"/>
          <w:szCs w:val="20"/>
        </w:rPr>
        <w:t>.- Proceso de Mejora</w:t>
      </w:r>
      <w:r w:rsidR="008E7F6A" w:rsidRPr="002B21CF">
        <w:rPr>
          <w:rFonts w:ascii="Lato" w:hAnsi="Lato" w:cstheme="minorHAnsi"/>
          <w:b/>
          <w:sz w:val="20"/>
          <w:szCs w:val="20"/>
        </w:rPr>
        <w:t xml:space="preserve">, </w:t>
      </w:r>
      <w:r w:rsidR="00DF5C47" w:rsidRPr="002B21CF">
        <w:rPr>
          <w:rFonts w:ascii="Lato" w:hAnsi="Lato" w:cstheme="minorHAnsi"/>
          <w:sz w:val="20"/>
          <w:szCs w:val="20"/>
        </w:rPr>
        <w:t xml:space="preserve">Sin información que revelar </w:t>
      </w:r>
      <w:r w:rsidR="008E7F6A" w:rsidRPr="002B21CF">
        <w:rPr>
          <w:rFonts w:ascii="Lato" w:hAnsi="Lato" w:cstheme="minorHAnsi"/>
          <w:sz w:val="20"/>
          <w:szCs w:val="20"/>
        </w:rPr>
        <w:t>a la fecha de su extinción.</w:t>
      </w:r>
    </w:p>
    <w:p w14:paraId="191CB8A3" w14:textId="7DE40400" w:rsidR="00183C54" w:rsidRPr="002B21CF" w:rsidRDefault="00183C54" w:rsidP="009D77C0">
      <w:pPr>
        <w:autoSpaceDE w:val="0"/>
        <w:autoSpaceDN w:val="0"/>
        <w:adjustRightInd w:val="0"/>
        <w:jc w:val="both"/>
        <w:rPr>
          <w:rFonts w:ascii="Lato" w:hAnsi="Lato" w:cstheme="minorHAnsi"/>
          <w:b/>
          <w:sz w:val="20"/>
          <w:szCs w:val="20"/>
        </w:rPr>
      </w:pPr>
    </w:p>
    <w:p w14:paraId="673B5EDE" w14:textId="359D3E8E" w:rsidR="009D77C0" w:rsidRPr="002B21CF" w:rsidRDefault="009D77C0" w:rsidP="009D77C0">
      <w:pPr>
        <w:autoSpaceDE w:val="0"/>
        <w:autoSpaceDN w:val="0"/>
        <w:adjustRightInd w:val="0"/>
        <w:jc w:val="both"/>
        <w:rPr>
          <w:rFonts w:ascii="Lato" w:hAnsi="Lato" w:cstheme="minorHAnsi"/>
          <w:b/>
          <w:sz w:val="20"/>
          <w:szCs w:val="20"/>
        </w:rPr>
      </w:pPr>
      <w:r w:rsidRPr="002B21CF">
        <w:rPr>
          <w:rFonts w:ascii="Lato" w:hAnsi="Lato" w:cstheme="minorHAnsi"/>
          <w:b/>
          <w:sz w:val="20"/>
          <w:szCs w:val="20"/>
        </w:rPr>
        <w:t>1</w:t>
      </w:r>
      <w:r w:rsidR="00005D4F" w:rsidRPr="002B21CF">
        <w:rPr>
          <w:rFonts w:ascii="Lato" w:hAnsi="Lato" w:cstheme="minorHAnsi"/>
          <w:b/>
          <w:sz w:val="20"/>
          <w:szCs w:val="20"/>
        </w:rPr>
        <w:t>3</w:t>
      </w:r>
      <w:r w:rsidRPr="002B21CF">
        <w:rPr>
          <w:rFonts w:ascii="Lato" w:hAnsi="Lato" w:cstheme="minorHAnsi"/>
          <w:b/>
          <w:sz w:val="20"/>
          <w:szCs w:val="20"/>
        </w:rPr>
        <w:t xml:space="preserve">. Información por Segmentos, </w:t>
      </w:r>
      <w:r w:rsidR="00DF5C47" w:rsidRPr="002B21CF">
        <w:rPr>
          <w:rFonts w:ascii="Lato" w:hAnsi="Lato" w:cstheme="minorHAnsi"/>
          <w:sz w:val="20"/>
          <w:szCs w:val="20"/>
        </w:rPr>
        <w:t xml:space="preserve">Sin información que revelar </w:t>
      </w:r>
      <w:r w:rsidR="008E7F6A" w:rsidRPr="002B21CF">
        <w:rPr>
          <w:rFonts w:ascii="Lato" w:hAnsi="Lato" w:cstheme="minorHAnsi"/>
          <w:sz w:val="20"/>
          <w:szCs w:val="20"/>
        </w:rPr>
        <w:t>a la fecha de su extinción.</w:t>
      </w:r>
    </w:p>
    <w:p w14:paraId="6BB3671A" w14:textId="77777777" w:rsidR="009D77C0" w:rsidRPr="002B21CF" w:rsidRDefault="009D77C0" w:rsidP="009D77C0">
      <w:pPr>
        <w:autoSpaceDE w:val="0"/>
        <w:autoSpaceDN w:val="0"/>
        <w:adjustRightInd w:val="0"/>
        <w:jc w:val="both"/>
        <w:rPr>
          <w:rFonts w:ascii="Lato" w:hAnsi="Lato" w:cstheme="minorHAnsi"/>
          <w:sz w:val="20"/>
          <w:szCs w:val="20"/>
        </w:rPr>
      </w:pPr>
    </w:p>
    <w:p w14:paraId="4C7BB581" w14:textId="682E1F9D" w:rsidR="009D77C0" w:rsidRPr="002B21CF" w:rsidRDefault="009D77C0" w:rsidP="009D77C0">
      <w:pPr>
        <w:autoSpaceDE w:val="0"/>
        <w:autoSpaceDN w:val="0"/>
        <w:adjustRightInd w:val="0"/>
        <w:jc w:val="both"/>
        <w:rPr>
          <w:rFonts w:ascii="Lato" w:hAnsi="Lato" w:cstheme="minorHAnsi"/>
          <w:sz w:val="20"/>
          <w:szCs w:val="20"/>
        </w:rPr>
      </w:pPr>
      <w:r w:rsidRPr="002B21CF">
        <w:rPr>
          <w:rFonts w:ascii="Lato" w:hAnsi="Lato" w:cstheme="minorHAnsi"/>
          <w:b/>
          <w:sz w:val="20"/>
          <w:szCs w:val="20"/>
        </w:rPr>
        <w:t>1</w:t>
      </w:r>
      <w:r w:rsidR="00005D4F" w:rsidRPr="002B21CF">
        <w:rPr>
          <w:rFonts w:ascii="Lato" w:hAnsi="Lato" w:cstheme="minorHAnsi"/>
          <w:b/>
          <w:sz w:val="20"/>
          <w:szCs w:val="20"/>
        </w:rPr>
        <w:t>4</w:t>
      </w:r>
      <w:r w:rsidRPr="002B21CF">
        <w:rPr>
          <w:rFonts w:ascii="Lato" w:hAnsi="Lato" w:cstheme="minorHAnsi"/>
          <w:b/>
          <w:sz w:val="20"/>
          <w:szCs w:val="20"/>
        </w:rPr>
        <w:t>.- Eventos Posteriores</w:t>
      </w:r>
      <w:r w:rsidR="00005D4F" w:rsidRPr="002B21CF">
        <w:rPr>
          <w:rFonts w:ascii="Lato" w:hAnsi="Lato" w:cstheme="minorHAnsi"/>
          <w:b/>
          <w:sz w:val="20"/>
          <w:szCs w:val="20"/>
        </w:rPr>
        <w:t xml:space="preserve"> al cierre,</w:t>
      </w:r>
      <w:r w:rsidRPr="002B21CF">
        <w:rPr>
          <w:rFonts w:ascii="Lato" w:hAnsi="Lato" w:cstheme="minorHAnsi"/>
          <w:b/>
          <w:sz w:val="20"/>
          <w:szCs w:val="20"/>
        </w:rPr>
        <w:t xml:space="preserve"> </w:t>
      </w:r>
      <w:r w:rsidR="00DF5C47" w:rsidRPr="002B21CF">
        <w:rPr>
          <w:rFonts w:ascii="Lato" w:hAnsi="Lato" w:cstheme="minorHAnsi"/>
          <w:sz w:val="20"/>
          <w:szCs w:val="20"/>
        </w:rPr>
        <w:t xml:space="preserve">Sin información que revelar </w:t>
      </w:r>
      <w:r w:rsidR="008E7F6A" w:rsidRPr="002B21CF">
        <w:rPr>
          <w:rFonts w:ascii="Lato" w:hAnsi="Lato" w:cstheme="minorHAnsi"/>
          <w:sz w:val="20"/>
          <w:szCs w:val="20"/>
        </w:rPr>
        <w:t>a la fecha de su extinción.</w:t>
      </w:r>
    </w:p>
    <w:p w14:paraId="4FB941EF" w14:textId="77777777" w:rsidR="008E7F6A" w:rsidRPr="002B21CF" w:rsidRDefault="008E7F6A" w:rsidP="009D77C0">
      <w:pPr>
        <w:autoSpaceDE w:val="0"/>
        <w:autoSpaceDN w:val="0"/>
        <w:adjustRightInd w:val="0"/>
        <w:jc w:val="both"/>
        <w:rPr>
          <w:rFonts w:ascii="Lato" w:hAnsi="Lato" w:cstheme="minorHAnsi"/>
          <w:sz w:val="20"/>
          <w:szCs w:val="20"/>
        </w:rPr>
      </w:pPr>
    </w:p>
    <w:p w14:paraId="40EEF7B8" w14:textId="2BDDD598" w:rsidR="009D77C0" w:rsidRPr="002B21CF" w:rsidRDefault="009D77C0" w:rsidP="009D77C0">
      <w:pPr>
        <w:autoSpaceDE w:val="0"/>
        <w:autoSpaceDN w:val="0"/>
        <w:adjustRightInd w:val="0"/>
        <w:jc w:val="both"/>
        <w:rPr>
          <w:rFonts w:ascii="Lato" w:hAnsi="Lato" w:cstheme="minorHAnsi"/>
          <w:sz w:val="20"/>
          <w:szCs w:val="20"/>
        </w:rPr>
      </w:pPr>
      <w:r w:rsidRPr="002B21CF">
        <w:rPr>
          <w:rFonts w:ascii="Lato" w:hAnsi="Lato" w:cstheme="minorHAnsi"/>
          <w:b/>
          <w:sz w:val="20"/>
          <w:szCs w:val="20"/>
        </w:rPr>
        <w:t>1</w:t>
      </w:r>
      <w:r w:rsidR="00005D4F" w:rsidRPr="002B21CF">
        <w:rPr>
          <w:rFonts w:ascii="Lato" w:hAnsi="Lato" w:cstheme="minorHAnsi"/>
          <w:b/>
          <w:sz w:val="20"/>
          <w:szCs w:val="20"/>
        </w:rPr>
        <w:t>5</w:t>
      </w:r>
      <w:r w:rsidRPr="002B21CF">
        <w:rPr>
          <w:rFonts w:ascii="Lato" w:hAnsi="Lato" w:cstheme="minorHAnsi"/>
          <w:b/>
          <w:sz w:val="20"/>
          <w:szCs w:val="20"/>
        </w:rPr>
        <w:t xml:space="preserve">.- Partes Relacionadas, </w:t>
      </w:r>
      <w:r w:rsidR="00DF5C47" w:rsidRPr="002B21CF">
        <w:rPr>
          <w:rFonts w:ascii="Lato" w:hAnsi="Lato" w:cstheme="minorHAnsi"/>
          <w:sz w:val="20"/>
          <w:szCs w:val="20"/>
        </w:rPr>
        <w:t>Sin información que revelar</w:t>
      </w:r>
      <w:r w:rsidR="008E7F6A" w:rsidRPr="002B21CF">
        <w:rPr>
          <w:rFonts w:ascii="Lato" w:hAnsi="Lato" w:cstheme="minorHAnsi"/>
          <w:sz w:val="20"/>
          <w:szCs w:val="20"/>
        </w:rPr>
        <w:t xml:space="preserve"> a la fecha de su extinción.</w:t>
      </w:r>
    </w:p>
    <w:p w14:paraId="742895E1" w14:textId="54A4C29C" w:rsidR="00005D4F" w:rsidRPr="002B21CF" w:rsidRDefault="00005D4F" w:rsidP="009D77C0">
      <w:pPr>
        <w:autoSpaceDE w:val="0"/>
        <w:autoSpaceDN w:val="0"/>
        <w:adjustRightInd w:val="0"/>
        <w:jc w:val="both"/>
        <w:rPr>
          <w:rFonts w:ascii="Lato" w:hAnsi="Lato" w:cstheme="minorHAnsi"/>
          <w:sz w:val="20"/>
          <w:szCs w:val="20"/>
        </w:rPr>
      </w:pPr>
    </w:p>
    <w:p w14:paraId="309855F4" w14:textId="6FF70058" w:rsidR="00005D4F" w:rsidRPr="002B21CF" w:rsidRDefault="00005D4F" w:rsidP="00005D4F">
      <w:pPr>
        <w:autoSpaceDE w:val="0"/>
        <w:autoSpaceDN w:val="0"/>
        <w:adjustRightInd w:val="0"/>
        <w:jc w:val="both"/>
        <w:rPr>
          <w:rFonts w:ascii="Lato" w:hAnsi="Lato" w:cstheme="minorHAnsi"/>
          <w:sz w:val="20"/>
          <w:szCs w:val="20"/>
        </w:rPr>
      </w:pPr>
      <w:r w:rsidRPr="002B21CF">
        <w:rPr>
          <w:rFonts w:ascii="Lato" w:hAnsi="Lato" w:cstheme="minorHAnsi"/>
          <w:b/>
          <w:sz w:val="20"/>
          <w:szCs w:val="20"/>
        </w:rPr>
        <w:t>16.- Responsabilidades Sobre la Presentación Razonable de la Información Contable,</w:t>
      </w:r>
    </w:p>
    <w:p w14:paraId="4FCAC299" w14:textId="6283253F" w:rsidR="00005D4F" w:rsidRPr="002B21CF" w:rsidRDefault="00005D4F" w:rsidP="009D77C0">
      <w:pPr>
        <w:autoSpaceDE w:val="0"/>
        <w:autoSpaceDN w:val="0"/>
        <w:adjustRightInd w:val="0"/>
        <w:jc w:val="both"/>
        <w:rPr>
          <w:rFonts w:ascii="Lato" w:hAnsi="Lato" w:cstheme="minorHAnsi"/>
          <w:sz w:val="20"/>
          <w:szCs w:val="20"/>
        </w:rPr>
      </w:pPr>
    </w:p>
    <w:p w14:paraId="62357A2D" w14:textId="2B20E781" w:rsidR="00C4137E" w:rsidRPr="002B21CF" w:rsidRDefault="009D77C0" w:rsidP="00560EAD">
      <w:pPr>
        <w:autoSpaceDE w:val="0"/>
        <w:autoSpaceDN w:val="0"/>
        <w:adjustRightInd w:val="0"/>
        <w:jc w:val="both"/>
        <w:rPr>
          <w:rFonts w:ascii="Lato" w:hAnsi="Lato" w:cstheme="minorHAnsi"/>
          <w:sz w:val="20"/>
          <w:szCs w:val="20"/>
        </w:rPr>
      </w:pPr>
      <w:r w:rsidRPr="002B21CF">
        <w:rPr>
          <w:rFonts w:ascii="Lato" w:hAnsi="Lato" w:cstheme="minorHAnsi"/>
          <w:sz w:val="20"/>
          <w:szCs w:val="20"/>
        </w:rPr>
        <w:t>Bajo protesta de decir verdad declaramos que los Estados Financieros y sus Notas son razonablemente correctos y son responsabilidad del emisor.</w:t>
      </w:r>
    </w:p>
    <w:p w14:paraId="5A608B1E" w14:textId="1F26EFD4" w:rsidR="002E1A3A" w:rsidRPr="002B21CF" w:rsidRDefault="002E1A3A" w:rsidP="002E1A3A">
      <w:pPr>
        <w:pStyle w:val="Prrafodelista"/>
        <w:autoSpaceDE w:val="0"/>
        <w:autoSpaceDN w:val="0"/>
        <w:adjustRightInd w:val="0"/>
        <w:spacing w:line="360" w:lineRule="auto"/>
        <w:rPr>
          <w:rFonts w:ascii="Lato" w:hAnsi="Lato" w:cstheme="minorHAnsi"/>
          <w:b/>
          <w:sz w:val="20"/>
          <w:szCs w:val="20"/>
        </w:rPr>
      </w:pPr>
    </w:p>
    <w:p w14:paraId="389CEA0A" w14:textId="77777777" w:rsidR="008273DF" w:rsidRPr="002B21CF" w:rsidRDefault="008273DF" w:rsidP="00440A84">
      <w:pPr>
        <w:pStyle w:val="Prrafodelista"/>
        <w:numPr>
          <w:ilvl w:val="0"/>
          <w:numId w:val="7"/>
        </w:numPr>
        <w:autoSpaceDE w:val="0"/>
        <w:autoSpaceDN w:val="0"/>
        <w:adjustRightInd w:val="0"/>
        <w:spacing w:line="360" w:lineRule="auto"/>
        <w:jc w:val="center"/>
        <w:rPr>
          <w:rFonts w:ascii="Lato" w:hAnsi="Lato" w:cstheme="minorHAnsi"/>
          <w:b/>
          <w:sz w:val="20"/>
          <w:szCs w:val="20"/>
        </w:rPr>
      </w:pPr>
      <w:r w:rsidRPr="002B21CF">
        <w:rPr>
          <w:rFonts w:ascii="Lato" w:hAnsi="Lato" w:cstheme="minorHAnsi"/>
          <w:b/>
          <w:sz w:val="20"/>
          <w:szCs w:val="20"/>
        </w:rPr>
        <w:t>NOTAS DE DESGLOCE</w:t>
      </w:r>
    </w:p>
    <w:p w14:paraId="072B47C4" w14:textId="77777777" w:rsidR="00005D4F" w:rsidRPr="002B21CF" w:rsidRDefault="00005D4F" w:rsidP="00C4137E">
      <w:pPr>
        <w:autoSpaceDE w:val="0"/>
        <w:autoSpaceDN w:val="0"/>
        <w:adjustRightInd w:val="0"/>
        <w:spacing w:line="360" w:lineRule="auto"/>
        <w:jc w:val="both"/>
        <w:rPr>
          <w:rFonts w:ascii="Lato" w:hAnsi="Lato" w:cstheme="minorHAnsi"/>
          <w:b/>
          <w:sz w:val="20"/>
          <w:szCs w:val="20"/>
        </w:rPr>
      </w:pPr>
    </w:p>
    <w:p w14:paraId="0D197774" w14:textId="59FE1E6F" w:rsidR="00005D4F" w:rsidRPr="002B21CF" w:rsidRDefault="00005D4F" w:rsidP="00005D4F">
      <w:pPr>
        <w:autoSpaceDE w:val="0"/>
        <w:autoSpaceDN w:val="0"/>
        <w:adjustRightInd w:val="0"/>
        <w:jc w:val="both"/>
        <w:rPr>
          <w:rFonts w:ascii="Lato" w:hAnsi="Lato" w:cstheme="minorHAnsi"/>
          <w:b/>
          <w:sz w:val="20"/>
          <w:szCs w:val="20"/>
        </w:rPr>
      </w:pPr>
      <w:r w:rsidRPr="002B21CF">
        <w:rPr>
          <w:rFonts w:ascii="Lato" w:hAnsi="Lato" w:cstheme="minorHAnsi"/>
          <w:b/>
          <w:sz w:val="20"/>
          <w:szCs w:val="20"/>
        </w:rPr>
        <w:t>I) NOTAS AL ESTADO DE ACTIVIDADES</w:t>
      </w:r>
    </w:p>
    <w:p w14:paraId="25085650" w14:textId="77777777" w:rsidR="00005D4F" w:rsidRPr="002B21CF" w:rsidRDefault="00005D4F" w:rsidP="00005D4F">
      <w:pPr>
        <w:autoSpaceDE w:val="0"/>
        <w:autoSpaceDN w:val="0"/>
        <w:adjustRightInd w:val="0"/>
        <w:jc w:val="both"/>
        <w:rPr>
          <w:rFonts w:ascii="Lato" w:hAnsi="Lato" w:cstheme="minorHAnsi"/>
          <w:b/>
          <w:sz w:val="20"/>
          <w:szCs w:val="20"/>
        </w:rPr>
      </w:pPr>
    </w:p>
    <w:p w14:paraId="4BE4053E" w14:textId="77777777" w:rsidR="00005D4F" w:rsidRPr="002B21CF" w:rsidRDefault="00005D4F" w:rsidP="00005D4F">
      <w:pPr>
        <w:autoSpaceDE w:val="0"/>
        <w:autoSpaceDN w:val="0"/>
        <w:adjustRightInd w:val="0"/>
        <w:jc w:val="both"/>
        <w:rPr>
          <w:rFonts w:ascii="Lato" w:hAnsi="Lato" w:cstheme="minorHAnsi"/>
          <w:b/>
          <w:sz w:val="20"/>
          <w:szCs w:val="20"/>
        </w:rPr>
      </w:pPr>
      <w:r w:rsidRPr="002B21CF">
        <w:rPr>
          <w:rFonts w:ascii="Lato" w:hAnsi="Lato" w:cstheme="minorHAnsi"/>
          <w:b/>
          <w:sz w:val="20"/>
          <w:szCs w:val="20"/>
        </w:rPr>
        <w:t>Ingresos y Otros Beneficios</w:t>
      </w:r>
    </w:p>
    <w:p w14:paraId="05A9EE9F" w14:textId="77777777" w:rsidR="00005D4F" w:rsidRPr="002B21CF" w:rsidRDefault="00005D4F" w:rsidP="00005D4F">
      <w:pPr>
        <w:autoSpaceDE w:val="0"/>
        <w:autoSpaceDN w:val="0"/>
        <w:adjustRightInd w:val="0"/>
        <w:jc w:val="both"/>
        <w:rPr>
          <w:rFonts w:ascii="Lato" w:hAnsi="Lato" w:cstheme="minorHAnsi"/>
          <w:b/>
          <w:sz w:val="2"/>
          <w:szCs w:val="2"/>
        </w:rPr>
      </w:pPr>
    </w:p>
    <w:p w14:paraId="63340E18" w14:textId="27AF6AA6" w:rsidR="00005D4F" w:rsidRPr="002B21CF" w:rsidRDefault="00DF5C47" w:rsidP="00005D4F">
      <w:pPr>
        <w:autoSpaceDE w:val="0"/>
        <w:autoSpaceDN w:val="0"/>
        <w:adjustRightInd w:val="0"/>
        <w:jc w:val="both"/>
        <w:rPr>
          <w:rFonts w:ascii="Lato" w:hAnsi="Lato" w:cstheme="minorHAnsi"/>
          <w:sz w:val="20"/>
          <w:szCs w:val="20"/>
        </w:rPr>
      </w:pPr>
      <w:r w:rsidRPr="002B21CF">
        <w:rPr>
          <w:rFonts w:ascii="Lato" w:hAnsi="Lato" w:cstheme="minorHAnsi"/>
          <w:sz w:val="20"/>
          <w:szCs w:val="20"/>
        </w:rPr>
        <w:t>El Gobierno del Estado de Yucatán, a través de la Secretaría de Administración y Finanzas, y Nacional Financiera, Sociedad Nacional de Crédito, convinieron expresamente extinguir el Contrato del Fideicomiso Fondo de Seguridad Pública del Estado de Yucatán (FOSEG), y por tal motivo</w:t>
      </w:r>
      <w:r w:rsidR="00D54564" w:rsidRPr="002B21CF">
        <w:rPr>
          <w:rFonts w:ascii="Lato" w:hAnsi="Lato" w:cstheme="minorHAnsi"/>
          <w:sz w:val="20"/>
          <w:szCs w:val="20"/>
        </w:rPr>
        <w:t xml:space="preserve"> ya no percib</w:t>
      </w:r>
      <w:r w:rsidRPr="002B21CF">
        <w:rPr>
          <w:rFonts w:ascii="Lato" w:hAnsi="Lato" w:cstheme="minorHAnsi"/>
          <w:sz w:val="20"/>
          <w:szCs w:val="20"/>
        </w:rPr>
        <w:t>ió</w:t>
      </w:r>
      <w:r w:rsidR="00D54564" w:rsidRPr="002B21CF">
        <w:rPr>
          <w:rFonts w:ascii="Lato" w:hAnsi="Lato" w:cstheme="minorHAnsi"/>
          <w:sz w:val="20"/>
          <w:szCs w:val="20"/>
        </w:rPr>
        <w:t xml:space="preserve"> </w:t>
      </w:r>
      <w:r w:rsidR="00C26766" w:rsidRPr="002B21CF">
        <w:rPr>
          <w:rFonts w:ascii="Lato" w:hAnsi="Lato" w:cstheme="minorHAnsi"/>
          <w:sz w:val="20"/>
          <w:szCs w:val="20"/>
        </w:rPr>
        <w:t xml:space="preserve">ningún tipo de ministración. </w:t>
      </w:r>
    </w:p>
    <w:p w14:paraId="29027C2B" w14:textId="77777777" w:rsidR="00005D4F" w:rsidRPr="002B21CF" w:rsidRDefault="00005D4F" w:rsidP="00005D4F">
      <w:pPr>
        <w:autoSpaceDE w:val="0"/>
        <w:autoSpaceDN w:val="0"/>
        <w:adjustRightInd w:val="0"/>
        <w:jc w:val="both"/>
        <w:rPr>
          <w:rFonts w:ascii="Lato" w:hAnsi="Lato" w:cstheme="minorHAnsi"/>
          <w:b/>
          <w:sz w:val="20"/>
          <w:szCs w:val="20"/>
        </w:rPr>
      </w:pPr>
    </w:p>
    <w:p w14:paraId="20CD006E" w14:textId="77777777" w:rsidR="00005D4F" w:rsidRPr="002B21CF" w:rsidRDefault="00005D4F" w:rsidP="00005D4F">
      <w:pPr>
        <w:autoSpaceDE w:val="0"/>
        <w:autoSpaceDN w:val="0"/>
        <w:adjustRightInd w:val="0"/>
        <w:jc w:val="both"/>
        <w:rPr>
          <w:rFonts w:ascii="Lato" w:hAnsi="Lato" w:cstheme="minorHAnsi"/>
          <w:b/>
          <w:sz w:val="20"/>
          <w:szCs w:val="20"/>
        </w:rPr>
      </w:pPr>
      <w:r w:rsidRPr="002B21CF">
        <w:rPr>
          <w:rFonts w:ascii="Lato" w:hAnsi="Lato" w:cstheme="minorHAnsi"/>
          <w:b/>
          <w:sz w:val="20"/>
          <w:szCs w:val="20"/>
        </w:rPr>
        <w:t>Ingresos de Gestión</w:t>
      </w:r>
    </w:p>
    <w:p w14:paraId="739635F4" w14:textId="77777777" w:rsidR="00005D4F" w:rsidRPr="002B21CF" w:rsidRDefault="00005D4F" w:rsidP="00005D4F">
      <w:pPr>
        <w:autoSpaceDE w:val="0"/>
        <w:autoSpaceDN w:val="0"/>
        <w:adjustRightInd w:val="0"/>
        <w:jc w:val="both"/>
        <w:rPr>
          <w:rFonts w:ascii="Lato" w:hAnsi="Lato" w:cstheme="minorHAnsi"/>
          <w:b/>
          <w:sz w:val="2"/>
          <w:szCs w:val="2"/>
        </w:rPr>
      </w:pPr>
    </w:p>
    <w:p w14:paraId="656DCA4C" w14:textId="34D65767" w:rsidR="00005D4F" w:rsidRPr="002B21CF" w:rsidRDefault="004B58A5" w:rsidP="001F768D">
      <w:pPr>
        <w:autoSpaceDE w:val="0"/>
        <w:autoSpaceDN w:val="0"/>
        <w:adjustRightInd w:val="0"/>
        <w:jc w:val="both"/>
        <w:rPr>
          <w:rFonts w:ascii="Lato" w:hAnsi="Lato" w:cstheme="minorHAnsi"/>
          <w:bCs/>
          <w:sz w:val="20"/>
          <w:szCs w:val="20"/>
        </w:rPr>
      </w:pPr>
      <w:r w:rsidRPr="002B21CF">
        <w:rPr>
          <w:rFonts w:ascii="Lato" w:hAnsi="Lato" w:cstheme="minorHAnsi"/>
          <w:sz w:val="20"/>
          <w:szCs w:val="20"/>
        </w:rPr>
        <w:t xml:space="preserve">1.- </w:t>
      </w:r>
      <w:r w:rsidR="008E7F6A" w:rsidRPr="002B21CF">
        <w:rPr>
          <w:rFonts w:ascii="Lato" w:hAnsi="Lato" w:cstheme="minorHAnsi"/>
          <w:sz w:val="20"/>
          <w:szCs w:val="20"/>
        </w:rPr>
        <w:t xml:space="preserve">A la fecha de su extinción </w:t>
      </w:r>
      <w:r w:rsidR="001F768D" w:rsidRPr="002B21CF">
        <w:rPr>
          <w:rFonts w:ascii="Lato" w:hAnsi="Lato" w:cstheme="minorHAnsi"/>
          <w:sz w:val="20"/>
          <w:szCs w:val="20"/>
        </w:rPr>
        <w:t>no se cuenta con ingresos por este concepto, que son representados por concepto de intereses bancarios</w:t>
      </w:r>
      <w:r w:rsidR="008E7F6A" w:rsidRPr="002B21CF">
        <w:rPr>
          <w:rFonts w:ascii="Lato" w:hAnsi="Lato" w:cstheme="minorHAnsi"/>
          <w:sz w:val="20"/>
          <w:szCs w:val="20"/>
        </w:rPr>
        <w:t>.</w:t>
      </w:r>
    </w:p>
    <w:p w14:paraId="101EE684" w14:textId="77777777" w:rsidR="00005D4F" w:rsidRPr="002B21CF" w:rsidRDefault="00005D4F" w:rsidP="00005D4F">
      <w:pPr>
        <w:autoSpaceDE w:val="0"/>
        <w:autoSpaceDN w:val="0"/>
        <w:adjustRightInd w:val="0"/>
        <w:jc w:val="both"/>
        <w:rPr>
          <w:rFonts w:ascii="Lato" w:hAnsi="Lato" w:cstheme="minorHAnsi"/>
          <w:bCs/>
          <w:sz w:val="20"/>
          <w:szCs w:val="20"/>
        </w:rPr>
      </w:pPr>
    </w:p>
    <w:p w14:paraId="0C7E198B" w14:textId="11694B35" w:rsidR="00005D4F" w:rsidRPr="002B21CF" w:rsidRDefault="00005D4F" w:rsidP="00005D4F">
      <w:pPr>
        <w:autoSpaceDE w:val="0"/>
        <w:autoSpaceDN w:val="0"/>
        <w:adjustRightInd w:val="0"/>
        <w:jc w:val="both"/>
        <w:rPr>
          <w:rFonts w:ascii="Lato" w:hAnsi="Lato" w:cstheme="minorHAnsi"/>
          <w:b/>
          <w:sz w:val="20"/>
          <w:szCs w:val="20"/>
        </w:rPr>
      </w:pPr>
      <w:bookmarkStart w:id="1" w:name="m12"/>
      <w:bookmarkEnd w:id="1"/>
      <w:r w:rsidRPr="002B21CF">
        <w:rPr>
          <w:rFonts w:ascii="Lato" w:hAnsi="Lato" w:cstheme="minorHAnsi"/>
          <w:b/>
          <w:sz w:val="20"/>
          <w:szCs w:val="20"/>
        </w:rPr>
        <w:t>Participaciones, Aportaciones,</w:t>
      </w:r>
      <w:r w:rsidR="007855F5" w:rsidRPr="002B21CF">
        <w:rPr>
          <w:rFonts w:ascii="Lato" w:hAnsi="Lato" w:cstheme="minorHAnsi"/>
          <w:b/>
          <w:sz w:val="20"/>
          <w:szCs w:val="20"/>
        </w:rPr>
        <w:t xml:space="preserve"> Convenios, Incentivos Derivados</w:t>
      </w:r>
      <w:r w:rsidR="00BC4943" w:rsidRPr="002B21CF">
        <w:rPr>
          <w:rFonts w:ascii="Lato" w:hAnsi="Lato" w:cstheme="minorHAnsi"/>
          <w:b/>
          <w:sz w:val="20"/>
          <w:szCs w:val="20"/>
        </w:rPr>
        <w:t xml:space="preserve"> de la Colaboración Fiscal, Fondos Distintos de Aportaciones,</w:t>
      </w:r>
      <w:r w:rsidRPr="002B21CF">
        <w:rPr>
          <w:rFonts w:ascii="Lato" w:hAnsi="Lato" w:cstheme="minorHAnsi"/>
          <w:b/>
          <w:sz w:val="20"/>
          <w:szCs w:val="20"/>
        </w:rPr>
        <w:t xml:space="preserve"> Transferencias, Asignaciones, Subsidios y</w:t>
      </w:r>
      <w:r w:rsidR="00BC4943" w:rsidRPr="002B21CF">
        <w:rPr>
          <w:rFonts w:ascii="Lato" w:hAnsi="Lato" w:cstheme="minorHAnsi"/>
          <w:b/>
          <w:sz w:val="20"/>
          <w:szCs w:val="20"/>
        </w:rPr>
        <w:t xml:space="preserve"> Subvenciones, y Pensiones y Jubilaciones</w:t>
      </w:r>
      <w:r w:rsidRPr="002B21CF">
        <w:rPr>
          <w:rFonts w:ascii="Lato" w:hAnsi="Lato" w:cstheme="minorHAnsi"/>
          <w:b/>
          <w:sz w:val="20"/>
          <w:szCs w:val="20"/>
        </w:rPr>
        <w:t>.</w:t>
      </w:r>
    </w:p>
    <w:p w14:paraId="5CA696D4" w14:textId="77777777" w:rsidR="00005D4F" w:rsidRPr="002B21CF" w:rsidRDefault="00005D4F" w:rsidP="00005D4F">
      <w:pPr>
        <w:autoSpaceDE w:val="0"/>
        <w:autoSpaceDN w:val="0"/>
        <w:adjustRightInd w:val="0"/>
        <w:jc w:val="both"/>
        <w:rPr>
          <w:rFonts w:ascii="Lato" w:hAnsi="Lato" w:cstheme="minorHAnsi"/>
          <w:b/>
          <w:sz w:val="2"/>
          <w:szCs w:val="2"/>
        </w:rPr>
      </w:pPr>
    </w:p>
    <w:p w14:paraId="3EC2B658" w14:textId="11D560D6" w:rsidR="00005D4F" w:rsidRPr="002B21CF" w:rsidRDefault="00005D4F" w:rsidP="00005D4F">
      <w:pPr>
        <w:autoSpaceDE w:val="0"/>
        <w:autoSpaceDN w:val="0"/>
        <w:adjustRightInd w:val="0"/>
        <w:jc w:val="both"/>
        <w:rPr>
          <w:rFonts w:ascii="Lato" w:hAnsi="Lato" w:cstheme="minorHAnsi"/>
          <w:b/>
          <w:sz w:val="20"/>
          <w:szCs w:val="20"/>
        </w:rPr>
      </w:pPr>
      <w:r w:rsidRPr="002B21CF">
        <w:rPr>
          <w:rFonts w:ascii="Lato" w:hAnsi="Lato" w:cstheme="minorHAnsi"/>
          <w:bCs/>
          <w:sz w:val="20"/>
          <w:szCs w:val="20"/>
        </w:rPr>
        <w:t xml:space="preserve">2.- </w:t>
      </w:r>
      <w:r w:rsidR="008E7F6A" w:rsidRPr="002B21CF">
        <w:rPr>
          <w:rFonts w:ascii="Lato" w:hAnsi="Lato" w:cstheme="minorHAnsi"/>
          <w:sz w:val="20"/>
          <w:szCs w:val="20"/>
        </w:rPr>
        <w:t>A la fecha de su extinción</w:t>
      </w:r>
      <w:r w:rsidR="008E7F6A" w:rsidRPr="002B21CF">
        <w:rPr>
          <w:rFonts w:ascii="Lato" w:hAnsi="Lato" w:cstheme="minorHAnsi"/>
          <w:bCs/>
          <w:sz w:val="20"/>
          <w:szCs w:val="20"/>
        </w:rPr>
        <w:t xml:space="preserve"> </w:t>
      </w:r>
      <w:r w:rsidR="001860C4" w:rsidRPr="002B21CF">
        <w:rPr>
          <w:rFonts w:ascii="Lato" w:hAnsi="Lato" w:cstheme="minorHAnsi"/>
          <w:bCs/>
          <w:sz w:val="20"/>
          <w:szCs w:val="20"/>
        </w:rPr>
        <w:t>no</w:t>
      </w:r>
      <w:r w:rsidR="005C7934" w:rsidRPr="002B21CF">
        <w:rPr>
          <w:rFonts w:ascii="Lato" w:hAnsi="Lato" w:cstheme="minorHAnsi"/>
          <w:bCs/>
          <w:sz w:val="20"/>
          <w:szCs w:val="20"/>
        </w:rPr>
        <w:t xml:space="preserve"> se recibieron ingresos por concepto de </w:t>
      </w:r>
      <w:r w:rsidR="005C7934" w:rsidRPr="002B21CF">
        <w:rPr>
          <w:rFonts w:ascii="Lato" w:hAnsi="Lato" w:cstheme="minorHAnsi"/>
          <w:sz w:val="20"/>
          <w:szCs w:val="20"/>
        </w:rPr>
        <w:t>Participaciones, Aportaciones, Convenios, Incentivos Derivados de la Colaboración Fiscal, Fondos Distintos de Aportaciones, Transferencias, Asignaciones, Subsidios y Subvenciones, y Pensiones y Jubilaciones</w:t>
      </w:r>
      <w:r w:rsidR="008E7F6A" w:rsidRPr="002B21CF">
        <w:rPr>
          <w:rFonts w:ascii="Lato" w:hAnsi="Lato" w:cstheme="minorHAnsi"/>
          <w:bCs/>
          <w:sz w:val="20"/>
          <w:szCs w:val="20"/>
        </w:rPr>
        <w:t>.</w:t>
      </w:r>
    </w:p>
    <w:p w14:paraId="129FA6F5" w14:textId="77777777" w:rsidR="005C7934" w:rsidRPr="002B21CF" w:rsidRDefault="005C7934" w:rsidP="00005D4F">
      <w:pPr>
        <w:autoSpaceDE w:val="0"/>
        <w:autoSpaceDN w:val="0"/>
        <w:adjustRightInd w:val="0"/>
        <w:spacing w:line="0" w:lineRule="atLeast"/>
        <w:jc w:val="both"/>
        <w:rPr>
          <w:rFonts w:ascii="Lato" w:hAnsi="Lato" w:cstheme="minorHAnsi"/>
          <w:b/>
          <w:sz w:val="20"/>
          <w:szCs w:val="20"/>
        </w:rPr>
      </w:pPr>
    </w:p>
    <w:p w14:paraId="2A0F08D7" w14:textId="77777777" w:rsidR="005C7934" w:rsidRPr="002B21CF" w:rsidRDefault="005C7934" w:rsidP="00005D4F">
      <w:pPr>
        <w:autoSpaceDE w:val="0"/>
        <w:autoSpaceDN w:val="0"/>
        <w:adjustRightInd w:val="0"/>
        <w:spacing w:line="0" w:lineRule="atLeast"/>
        <w:jc w:val="both"/>
        <w:rPr>
          <w:rFonts w:ascii="Lato" w:hAnsi="Lato" w:cstheme="minorHAnsi"/>
          <w:b/>
          <w:sz w:val="20"/>
          <w:szCs w:val="20"/>
        </w:rPr>
      </w:pPr>
    </w:p>
    <w:p w14:paraId="4EDA23E9" w14:textId="11D4C179" w:rsidR="00005D4F" w:rsidRPr="002B21CF" w:rsidRDefault="00005D4F" w:rsidP="00005D4F">
      <w:pPr>
        <w:autoSpaceDE w:val="0"/>
        <w:autoSpaceDN w:val="0"/>
        <w:adjustRightInd w:val="0"/>
        <w:spacing w:line="0" w:lineRule="atLeast"/>
        <w:jc w:val="both"/>
        <w:rPr>
          <w:rFonts w:ascii="Lato" w:hAnsi="Lato" w:cstheme="minorHAnsi"/>
          <w:b/>
          <w:sz w:val="20"/>
          <w:szCs w:val="20"/>
        </w:rPr>
      </w:pPr>
      <w:r w:rsidRPr="002B21CF">
        <w:rPr>
          <w:rFonts w:ascii="Lato" w:hAnsi="Lato" w:cstheme="minorHAnsi"/>
          <w:b/>
          <w:sz w:val="20"/>
          <w:szCs w:val="20"/>
        </w:rPr>
        <w:t>Otros Ingresos y Beneficios Varios</w:t>
      </w:r>
    </w:p>
    <w:p w14:paraId="4F2C7348" w14:textId="7BFFD0E6" w:rsidR="001860C4" w:rsidRPr="002B21CF" w:rsidRDefault="00005D4F" w:rsidP="001860C4">
      <w:pPr>
        <w:autoSpaceDE w:val="0"/>
        <w:autoSpaceDN w:val="0"/>
        <w:adjustRightInd w:val="0"/>
        <w:jc w:val="both"/>
        <w:rPr>
          <w:rFonts w:ascii="Lato" w:hAnsi="Lato" w:cstheme="minorHAnsi"/>
          <w:b/>
          <w:sz w:val="20"/>
          <w:szCs w:val="20"/>
        </w:rPr>
      </w:pPr>
      <w:r w:rsidRPr="002B21CF">
        <w:rPr>
          <w:rFonts w:ascii="Lato" w:hAnsi="Lato" w:cstheme="minorHAnsi"/>
          <w:bCs/>
          <w:sz w:val="20"/>
          <w:szCs w:val="20"/>
        </w:rPr>
        <w:t xml:space="preserve">3.- </w:t>
      </w:r>
      <w:r w:rsidR="008E7F6A" w:rsidRPr="002B21CF">
        <w:rPr>
          <w:rFonts w:ascii="Lato" w:hAnsi="Lato" w:cstheme="minorHAnsi"/>
          <w:bCs/>
          <w:sz w:val="20"/>
          <w:szCs w:val="20"/>
        </w:rPr>
        <w:t>A</w:t>
      </w:r>
      <w:r w:rsidR="008E7F6A" w:rsidRPr="002B21CF">
        <w:rPr>
          <w:rFonts w:ascii="Lato" w:hAnsi="Lato" w:cstheme="minorHAnsi"/>
          <w:sz w:val="20"/>
          <w:szCs w:val="20"/>
        </w:rPr>
        <w:t xml:space="preserve"> la fecha de su extinción</w:t>
      </w:r>
      <w:r w:rsidR="008E7F6A" w:rsidRPr="002B21CF">
        <w:rPr>
          <w:rFonts w:ascii="Lato" w:hAnsi="Lato" w:cstheme="minorHAnsi"/>
          <w:bCs/>
          <w:sz w:val="20"/>
          <w:szCs w:val="20"/>
        </w:rPr>
        <w:t xml:space="preserve"> </w:t>
      </w:r>
      <w:r w:rsidR="001860C4" w:rsidRPr="002B21CF">
        <w:rPr>
          <w:rFonts w:ascii="Lato" w:hAnsi="Lato" w:cstheme="minorHAnsi"/>
          <w:bCs/>
          <w:sz w:val="20"/>
          <w:szCs w:val="20"/>
        </w:rPr>
        <w:t xml:space="preserve">no se obtuvieron </w:t>
      </w:r>
      <w:r w:rsidRPr="002B21CF">
        <w:rPr>
          <w:rFonts w:ascii="Lato" w:hAnsi="Lato" w:cstheme="minorHAnsi"/>
          <w:sz w:val="20"/>
          <w:szCs w:val="20"/>
        </w:rPr>
        <w:t>otros Ingresos o Beneficios Varios</w:t>
      </w:r>
      <w:r w:rsidR="008E7F6A" w:rsidRPr="002B21CF">
        <w:rPr>
          <w:rFonts w:ascii="Lato" w:hAnsi="Lato" w:cstheme="minorHAnsi"/>
          <w:sz w:val="20"/>
          <w:szCs w:val="20"/>
        </w:rPr>
        <w:t>.</w:t>
      </w:r>
    </w:p>
    <w:p w14:paraId="21A08899" w14:textId="774F794E" w:rsidR="00005D4F" w:rsidRPr="002B21CF" w:rsidRDefault="00005D4F" w:rsidP="00005D4F">
      <w:pPr>
        <w:autoSpaceDE w:val="0"/>
        <w:autoSpaceDN w:val="0"/>
        <w:adjustRightInd w:val="0"/>
        <w:spacing w:line="0" w:lineRule="atLeast"/>
        <w:jc w:val="both"/>
        <w:rPr>
          <w:rFonts w:ascii="Lato" w:hAnsi="Lato" w:cstheme="minorHAnsi"/>
          <w:sz w:val="20"/>
          <w:szCs w:val="20"/>
        </w:rPr>
      </w:pPr>
    </w:p>
    <w:p w14:paraId="26A51F17" w14:textId="77777777" w:rsidR="00005D4F" w:rsidRPr="002B21CF" w:rsidRDefault="00005D4F" w:rsidP="00005D4F">
      <w:pPr>
        <w:autoSpaceDE w:val="0"/>
        <w:autoSpaceDN w:val="0"/>
        <w:adjustRightInd w:val="0"/>
        <w:jc w:val="both"/>
        <w:rPr>
          <w:rFonts w:ascii="Lato" w:hAnsi="Lato" w:cstheme="minorHAnsi"/>
          <w:b/>
          <w:sz w:val="20"/>
          <w:szCs w:val="20"/>
        </w:rPr>
      </w:pPr>
    </w:p>
    <w:p w14:paraId="27A6701A" w14:textId="77777777" w:rsidR="00005D4F" w:rsidRPr="002B21CF" w:rsidRDefault="00005D4F" w:rsidP="00005D4F">
      <w:pPr>
        <w:autoSpaceDE w:val="0"/>
        <w:autoSpaceDN w:val="0"/>
        <w:adjustRightInd w:val="0"/>
        <w:jc w:val="both"/>
        <w:rPr>
          <w:rFonts w:ascii="Lato" w:hAnsi="Lato" w:cstheme="minorHAnsi"/>
          <w:b/>
          <w:sz w:val="20"/>
          <w:szCs w:val="20"/>
        </w:rPr>
      </w:pPr>
      <w:r w:rsidRPr="002B21CF">
        <w:rPr>
          <w:rFonts w:ascii="Lato" w:hAnsi="Lato" w:cstheme="minorHAnsi"/>
          <w:b/>
          <w:sz w:val="20"/>
          <w:szCs w:val="20"/>
        </w:rPr>
        <w:t>Gastos y Otras Pérdidas</w:t>
      </w:r>
    </w:p>
    <w:p w14:paraId="4510EC8B" w14:textId="76DDCFCF" w:rsidR="001860C4" w:rsidRPr="002B21CF" w:rsidRDefault="00005D4F" w:rsidP="001860C4">
      <w:pPr>
        <w:autoSpaceDE w:val="0"/>
        <w:autoSpaceDN w:val="0"/>
        <w:adjustRightInd w:val="0"/>
        <w:jc w:val="both"/>
        <w:rPr>
          <w:rFonts w:ascii="Lato" w:hAnsi="Lato" w:cstheme="minorHAnsi"/>
          <w:bCs/>
          <w:sz w:val="20"/>
          <w:szCs w:val="20"/>
        </w:rPr>
      </w:pPr>
      <w:r w:rsidRPr="002B21CF">
        <w:rPr>
          <w:rFonts w:ascii="Lato" w:hAnsi="Lato" w:cstheme="minorHAnsi"/>
          <w:bCs/>
          <w:sz w:val="20"/>
          <w:szCs w:val="20"/>
        </w:rPr>
        <w:t>1.-</w:t>
      </w:r>
      <w:r w:rsidR="001860C4" w:rsidRPr="002B21CF">
        <w:rPr>
          <w:rFonts w:ascii="Lato" w:hAnsi="Lato" w:cstheme="minorHAnsi"/>
          <w:bCs/>
          <w:sz w:val="20"/>
          <w:szCs w:val="20"/>
        </w:rPr>
        <w:t xml:space="preserve"> </w:t>
      </w:r>
      <w:r w:rsidR="008E7F6A" w:rsidRPr="002B21CF">
        <w:rPr>
          <w:rFonts w:ascii="Lato" w:hAnsi="Lato" w:cstheme="minorHAnsi"/>
          <w:sz w:val="20"/>
          <w:szCs w:val="20"/>
        </w:rPr>
        <w:t>A la fecha de su extinción</w:t>
      </w:r>
      <w:r w:rsidR="008E7F6A" w:rsidRPr="002B21CF">
        <w:rPr>
          <w:rFonts w:ascii="Lato" w:hAnsi="Lato" w:cstheme="minorHAnsi"/>
          <w:bCs/>
          <w:sz w:val="20"/>
          <w:szCs w:val="20"/>
        </w:rPr>
        <w:t xml:space="preserve"> </w:t>
      </w:r>
      <w:r w:rsidRPr="002B21CF">
        <w:rPr>
          <w:rFonts w:ascii="Lato" w:hAnsi="Lato" w:cstheme="minorHAnsi"/>
          <w:bCs/>
          <w:sz w:val="20"/>
          <w:szCs w:val="20"/>
        </w:rPr>
        <w:t xml:space="preserve">no </w:t>
      </w:r>
      <w:r w:rsidR="001860C4" w:rsidRPr="002B21CF">
        <w:rPr>
          <w:rFonts w:ascii="Lato" w:hAnsi="Lato" w:cstheme="minorHAnsi"/>
          <w:bCs/>
          <w:sz w:val="20"/>
          <w:szCs w:val="20"/>
        </w:rPr>
        <w:t xml:space="preserve">se </w:t>
      </w:r>
      <w:r w:rsidRPr="002B21CF">
        <w:rPr>
          <w:rFonts w:ascii="Lato" w:hAnsi="Lato" w:cstheme="minorHAnsi"/>
          <w:bCs/>
          <w:sz w:val="20"/>
          <w:szCs w:val="20"/>
        </w:rPr>
        <w:t>realiza</w:t>
      </w:r>
      <w:r w:rsidR="001860C4" w:rsidRPr="002B21CF">
        <w:rPr>
          <w:rFonts w:ascii="Lato" w:hAnsi="Lato" w:cstheme="minorHAnsi"/>
          <w:bCs/>
          <w:sz w:val="20"/>
          <w:szCs w:val="20"/>
        </w:rPr>
        <w:t>ron</w:t>
      </w:r>
      <w:r w:rsidRPr="002B21CF">
        <w:rPr>
          <w:rFonts w:ascii="Lato" w:hAnsi="Lato" w:cstheme="minorHAnsi"/>
          <w:bCs/>
          <w:sz w:val="20"/>
          <w:szCs w:val="20"/>
        </w:rPr>
        <w:t xml:space="preserve"> transferencias, subsidios y otras ayudas, participaciones y aportaciones, que en lo individual representen el 10% o más del total de los gastos</w:t>
      </w:r>
      <w:r w:rsidR="001860C4" w:rsidRPr="002B21CF">
        <w:rPr>
          <w:rFonts w:ascii="Lato" w:hAnsi="Lato" w:cstheme="minorHAnsi"/>
          <w:bCs/>
          <w:sz w:val="20"/>
          <w:szCs w:val="20"/>
        </w:rPr>
        <w:t xml:space="preserve">, </w:t>
      </w:r>
      <w:r w:rsidR="00891D16" w:rsidRPr="002B21CF">
        <w:rPr>
          <w:rFonts w:ascii="Lato" w:hAnsi="Lato" w:cstheme="minorHAnsi"/>
          <w:bCs/>
          <w:sz w:val="20"/>
          <w:szCs w:val="20"/>
        </w:rPr>
        <w:t xml:space="preserve">tampoco </w:t>
      </w:r>
      <w:r w:rsidR="001860C4" w:rsidRPr="002B21CF">
        <w:rPr>
          <w:rFonts w:ascii="Lato" w:hAnsi="Lato" w:cstheme="minorHAnsi"/>
          <w:bCs/>
          <w:sz w:val="20"/>
          <w:szCs w:val="20"/>
        </w:rPr>
        <w:t>se tuvieron</w:t>
      </w:r>
      <w:r w:rsidR="00891D16" w:rsidRPr="002B21CF">
        <w:rPr>
          <w:rFonts w:ascii="Lato" w:hAnsi="Lato" w:cstheme="minorHAnsi"/>
          <w:bCs/>
          <w:sz w:val="20"/>
          <w:szCs w:val="20"/>
        </w:rPr>
        <w:t xml:space="preserve"> </w:t>
      </w:r>
      <w:r w:rsidR="00D356ED" w:rsidRPr="002B21CF">
        <w:rPr>
          <w:rFonts w:ascii="Lato" w:hAnsi="Lato" w:cstheme="minorHAnsi"/>
          <w:bCs/>
          <w:sz w:val="20"/>
          <w:szCs w:val="20"/>
        </w:rPr>
        <w:t>otros gastos o pérdidas extraordinaria</w:t>
      </w:r>
      <w:r w:rsidR="001860C4" w:rsidRPr="002B21CF">
        <w:rPr>
          <w:rFonts w:ascii="Lato" w:hAnsi="Lato" w:cstheme="minorHAnsi"/>
          <w:bCs/>
          <w:sz w:val="20"/>
          <w:szCs w:val="20"/>
        </w:rPr>
        <w:t xml:space="preserve">s, </w:t>
      </w:r>
      <w:r w:rsidRPr="002B21CF">
        <w:rPr>
          <w:rFonts w:ascii="Lato" w:hAnsi="Lato" w:cstheme="minorHAnsi"/>
          <w:bCs/>
          <w:sz w:val="20"/>
          <w:szCs w:val="20"/>
        </w:rPr>
        <w:t>n</w:t>
      </w:r>
      <w:r w:rsidR="001860C4" w:rsidRPr="002B21CF">
        <w:rPr>
          <w:rFonts w:ascii="Lato" w:hAnsi="Lato" w:cstheme="minorHAnsi"/>
          <w:bCs/>
          <w:sz w:val="20"/>
          <w:szCs w:val="20"/>
        </w:rPr>
        <w:t>i</w:t>
      </w:r>
      <w:r w:rsidRPr="002B21CF">
        <w:rPr>
          <w:rFonts w:ascii="Lato" w:hAnsi="Lato" w:cstheme="minorHAnsi"/>
          <w:bCs/>
          <w:sz w:val="20"/>
          <w:szCs w:val="20"/>
        </w:rPr>
        <w:t xml:space="preserve"> se realiza</w:t>
      </w:r>
      <w:r w:rsidR="001860C4" w:rsidRPr="002B21CF">
        <w:rPr>
          <w:rFonts w:ascii="Lato" w:hAnsi="Lato" w:cstheme="minorHAnsi"/>
          <w:bCs/>
          <w:sz w:val="20"/>
          <w:szCs w:val="20"/>
        </w:rPr>
        <w:t>ron</w:t>
      </w:r>
      <w:r w:rsidRPr="002B21CF">
        <w:rPr>
          <w:rFonts w:ascii="Lato" w:hAnsi="Lato" w:cstheme="minorHAnsi"/>
          <w:bCs/>
          <w:sz w:val="20"/>
          <w:szCs w:val="20"/>
        </w:rPr>
        <w:t xml:space="preserve"> pagos por concepto de transferencias, asignaciones, subsidios y otras ayudas</w:t>
      </w:r>
      <w:r w:rsidR="001860C4" w:rsidRPr="002B21CF">
        <w:rPr>
          <w:rFonts w:ascii="Lato" w:hAnsi="Lato" w:cstheme="minorHAnsi"/>
          <w:bCs/>
          <w:sz w:val="20"/>
          <w:szCs w:val="20"/>
        </w:rPr>
        <w:t xml:space="preserve">, ni </w:t>
      </w:r>
      <w:r w:rsidR="00891D16" w:rsidRPr="002B21CF">
        <w:rPr>
          <w:rFonts w:ascii="Lato" w:hAnsi="Lato" w:cstheme="minorHAnsi"/>
          <w:bCs/>
          <w:sz w:val="20"/>
          <w:szCs w:val="20"/>
        </w:rPr>
        <w:t xml:space="preserve">ningún tipo de </w:t>
      </w:r>
      <w:r w:rsidRPr="002B21CF">
        <w:rPr>
          <w:rFonts w:ascii="Lato" w:hAnsi="Lato" w:cstheme="minorHAnsi"/>
          <w:sz w:val="20"/>
          <w:szCs w:val="20"/>
        </w:rPr>
        <w:t xml:space="preserve">gasto de funcionamiento por concepto </w:t>
      </w:r>
      <w:r w:rsidRPr="002B21CF">
        <w:rPr>
          <w:rFonts w:ascii="Lato" w:hAnsi="Lato" w:cstheme="minorHAnsi"/>
          <w:bCs/>
          <w:sz w:val="20"/>
          <w:szCs w:val="20"/>
        </w:rPr>
        <w:t>de servicios personales, materiales y suministros y servicios generales</w:t>
      </w:r>
      <w:r w:rsidR="008E7F6A" w:rsidRPr="002B21CF">
        <w:rPr>
          <w:rFonts w:ascii="Lato" w:hAnsi="Lato" w:cstheme="minorHAnsi"/>
          <w:bCs/>
          <w:sz w:val="20"/>
          <w:szCs w:val="20"/>
        </w:rPr>
        <w:t>.</w:t>
      </w:r>
    </w:p>
    <w:p w14:paraId="7F1AE004" w14:textId="4EE8357B" w:rsidR="001860C4" w:rsidRDefault="001860C4" w:rsidP="00005D4F">
      <w:pPr>
        <w:autoSpaceDE w:val="0"/>
        <w:autoSpaceDN w:val="0"/>
        <w:adjustRightInd w:val="0"/>
        <w:jc w:val="both"/>
        <w:rPr>
          <w:rFonts w:ascii="Lato" w:hAnsi="Lato" w:cstheme="minorHAnsi"/>
          <w:bCs/>
          <w:sz w:val="20"/>
          <w:szCs w:val="20"/>
        </w:rPr>
      </w:pPr>
    </w:p>
    <w:p w14:paraId="3D587C1C" w14:textId="77777777" w:rsidR="002B21CF" w:rsidRPr="002B21CF" w:rsidRDefault="002B21CF" w:rsidP="00005D4F">
      <w:pPr>
        <w:autoSpaceDE w:val="0"/>
        <w:autoSpaceDN w:val="0"/>
        <w:adjustRightInd w:val="0"/>
        <w:jc w:val="both"/>
        <w:rPr>
          <w:rFonts w:ascii="Lato" w:hAnsi="Lato" w:cstheme="minorHAnsi"/>
          <w:bCs/>
          <w:sz w:val="20"/>
          <w:szCs w:val="20"/>
        </w:rPr>
      </w:pPr>
    </w:p>
    <w:p w14:paraId="23DE5B41" w14:textId="77777777" w:rsidR="001860C4" w:rsidRPr="002B21CF" w:rsidRDefault="001860C4" w:rsidP="00005D4F">
      <w:pPr>
        <w:autoSpaceDE w:val="0"/>
        <w:autoSpaceDN w:val="0"/>
        <w:adjustRightInd w:val="0"/>
        <w:jc w:val="both"/>
        <w:rPr>
          <w:rFonts w:ascii="Lato" w:hAnsi="Lato" w:cstheme="minorHAnsi"/>
          <w:bCs/>
          <w:sz w:val="20"/>
          <w:szCs w:val="20"/>
        </w:rPr>
      </w:pPr>
    </w:p>
    <w:p w14:paraId="6F3108C7" w14:textId="3AC12417" w:rsidR="008273DF" w:rsidRPr="002B21CF" w:rsidRDefault="000A1E6D" w:rsidP="00C4137E">
      <w:pPr>
        <w:autoSpaceDE w:val="0"/>
        <w:autoSpaceDN w:val="0"/>
        <w:adjustRightInd w:val="0"/>
        <w:spacing w:line="360" w:lineRule="auto"/>
        <w:jc w:val="both"/>
        <w:rPr>
          <w:rFonts w:ascii="Lato" w:hAnsi="Lato" w:cstheme="minorHAnsi"/>
          <w:b/>
          <w:sz w:val="20"/>
          <w:szCs w:val="20"/>
        </w:rPr>
      </w:pPr>
      <w:r w:rsidRPr="002B21CF">
        <w:rPr>
          <w:rFonts w:ascii="Lato" w:hAnsi="Lato" w:cstheme="minorHAnsi"/>
          <w:b/>
          <w:sz w:val="20"/>
          <w:szCs w:val="20"/>
        </w:rPr>
        <w:t>I</w:t>
      </w:r>
      <w:r w:rsidR="00455288" w:rsidRPr="002B21CF">
        <w:rPr>
          <w:rFonts w:ascii="Lato" w:hAnsi="Lato" w:cstheme="minorHAnsi"/>
          <w:b/>
          <w:sz w:val="20"/>
          <w:szCs w:val="20"/>
        </w:rPr>
        <w:t>I</w:t>
      </w:r>
      <w:r w:rsidR="008273DF" w:rsidRPr="002B21CF">
        <w:rPr>
          <w:rFonts w:ascii="Lato" w:hAnsi="Lato" w:cstheme="minorHAnsi"/>
          <w:b/>
          <w:sz w:val="20"/>
          <w:szCs w:val="20"/>
        </w:rPr>
        <w:t>) NOTAS AL ESTADO DE SITUACIÓN FINANCIERA.</w:t>
      </w:r>
    </w:p>
    <w:p w14:paraId="4B6A0118" w14:textId="77777777" w:rsidR="008273DF" w:rsidRPr="002B21CF" w:rsidRDefault="008273DF" w:rsidP="00C4137E">
      <w:pPr>
        <w:autoSpaceDE w:val="0"/>
        <w:autoSpaceDN w:val="0"/>
        <w:adjustRightInd w:val="0"/>
        <w:spacing w:line="360" w:lineRule="auto"/>
        <w:jc w:val="both"/>
        <w:rPr>
          <w:rFonts w:ascii="Lato" w:hAnsi="Lato" w:cstheme="minorHAnsi"/>
          <w:b/>
          <w:sz w:val="20"/>
          <w:szCs w:val="20"/>
        </w:rPr>
      </w:pPr>
      <w:r w:rsidRPr="002B21CF">
        <w:rPr>
          <w:rFonts w:ascii="Lato" w:hAnsi="Lato" w:cstheme="minorHAnsi"/>
          <w:b/>
          <w:sz w:val="20"/>
          <w:szCs w:val="20"/>
        </w:rPr>
        <w:t>Activo</w:t>
      </w:r>
    </w:p>
    <w:p w14:paraId="3CB8C764" w14:textId="77777777" w:rsidR="008273DF" w:rsidRPr="002B21CF" w:rsidRDefault="008273DF" w:rsidP="00440A84">
      <w:pPr>
        <w:pStyle w:val="Prrafodelista"/>
        <w:numPr>
          <w:ilvl w:val="0"/>
          <w:numId w:val="8"/>
        </w:numPr>
        <w:autoSpaceDE w:val="0"/>
        <w:autoSpaceDN w:val="0"/>
        <w:adjustRightInd w:val="0"/>
        <w:spacing w:line="360" w:lineRule="auto"/>
        <w:jc w:val="both"/>
        <w:rPr>
          <w:rFonts w:ascii="Lato" w:hAnsi="Lato" w:cstheme="minorHAnsi"/>
          <w:b/>
          <w:sz w:val="20"/>
          <w:szCs w:val="20"/>
        </w:rPr>
      </w:pPr>
      <w:r w:rsidRPr="002B21CF">
        <w:rPr>
          <w:rFonts w:ascii="Lato" w:hAnsi="Lato" w:cstheme="minorHAnsi"/>
          <w:b/>
          <w:sz w:val="20"/>
          <w:szCs w:val="20"/>
        </w:rPr>
        <w:t>Efectivo y Equivalentes</w:t>
      </w:r>
    </w:p>
    <w:p w14:paraId="17C620B8" w14:textId="5130C226" w:rsidR="008273DF" w:rsidRPr="002B21CF" w:rsidRDefault="008273DF" w:rsidP="00906A55">
      <w:pPr>
        <w:autoSpaceDE w:val="0"/>
        <w:autoSpaceDN w:val="0"/>
        <w:adjustRightInd w:val="0"/>
        <w:jc w:val="both"/>
        <w:rPr>
          <w:rFonts w:ascii="Lato" w:hAnsi="Lato" w:cstheme="minorHAnsi"/>
          <w:sz w:val="20"/>
          <w:szCs w:val="20"/>
        </w:rPr>
      </w:pPr>
      <w:r w:rsidRPr="002B21CF">
        <w:rPr>
          <w:rFonts w:ascii="Lato" w:hAnsi="Lato" w:cstheme="minorHAnsi"/>
          <w:sz w:val="20"/>
          <w:szCs w:val="20"/>
        </w:rPr>
        <w:t xml:space="preserve">1.- </w:t>
      </w:r>
      <w:r w:rsidR="00EA6DDD" w:rsidRPr="002B21CF">
        <w:rPr>
          <w:rFonts w:ascii="Lato" w:hAnsi="Lato" w:cstheme="minorHAnsi"/>
          <w:sz w:val="20"/>
          <w:szCs w:val="20"/>
        </w:rPr>
        <w:t xml:space="preserve">El rubro de efectivo y equivalentes </w:t>
      </w:r>
      <w:r w:rsidRPr="002B21CF">
        <w:rPr>
          <w:rFonts w:ascii="Lato" w:hAnsi="Lato" w:cstheme="minorHAnsi"/>
          <w:sz w:val="20"/>
          <w:szCs w:val="20"/>
        </w:rPr>
        <w:t>se encuentra integrada por tipo de cuenta bancaria de la siguiente manera:</w:t>
      </w:r>
    </w:p>
    <w:tbl>
      <w:tblPr>
        <w:tblpPr w:leftFromText="141" w:rightFromText="141" w:vertAnchor="text" w:horzAnchor="margin" w:tblpXSpec="center" w:tblpY="207"/>
        <w:tblW w:w="9493" w:type="dxa"/>
        <w:tblCellMar>
          <w:left w:w="70" w:type="dxa"/>
          <w:right w:w="70" w:type="dxa"/>
        </w:tblCellMar>
        <w:tblLook w:val="04A0" w:firstRow="1" w:lastRow="0" w:firstColumn="1" w:lastColumn="0" w:noHBand="0" w:noVBand="1"/>
      </w:tblPr>
      <w:tblGrid>
        <w:gridCol w:w="4815"/>
        <w:gridCol w:w="2410"/>
        <w:gridCol w:w="2268"/>
      </w:tblGrid>
      <w:tr w:rsidR="00EA6DDD" w:rsidRPr="002B21CF" w14:paraId="70277F14" w14:textId="77777777" w:rsidTr="00711783">
        <w:trPr>
          <w:trHeight w:val="240"/>
        </w:trPr>
        <w:tc>
          <w:tcPr>
            <w:tcW w:w="4815" w:type="dxa"/>
            <w:tcBorders>
              <w:top w:val="single" w:sz="4" w:space="0" w:color="auto"/>
              <w:left w:val="single" w:sz="4" w:space="0" w:color="auto"/>
              <w:bottom w:val="single" w:sz="4" w:space="0" w:color="auto"/>
              <w:right w:val="single" w:sz="4" w:space="0" w:color="auto"/>
            </w:tcBorders>
            <w:noWrap/>
            <w:vAlign w:val="bottom"/>
            <w:hideMark/>
          </w:tcPr>
          <w:p w14:paraId="4A4EA369" w14:textId="77777777" w:rsidR="00EA6DDD" w:rsidRPr="002B21CF" w:rsidRDefault="00EA6DDD" w:rsidP="00EA6DDD">
            <w:pPr>
              <w:rPr>
                <w:rFonts w:ascii="Lato" w:hAnsi="Lato" w:cstheme="minorHAnsi"/>
                <w:b/>
                <w:bCs/>
                <w:color w:val="000000"/>
                <w:sz w:val="20"/>
                <w:szCs w:val="20"/>
                <w:lang w:eastAsia="es-MX"/>
              </w:rPr>
            </w:pPr>
            <w:r w:rsidRPr="002B21CF">
              <w:rPr>
                <w:rFonts w:ascii="Lato" w:hAnsi="Lato" w:cstheme="minorHAnsi"/>
                <w:b/>
                <w:bCs/>
                <w:color w:val="000000"/>
                <w:sz w:val="20"/>
                <w:szCs w:val="20"/>
                <w:lang w:eastAsia="es-MX"/>
              </w:rPr>
              <w:t>Concepto</w:t>
            </w:r>
          </w:p>
        </w:tc>
        <w:tc>
          <w:tcPr>
            <w:tcW w:w="2410" w:type="dxa"/>
            <w:tcBorders>
              <w:top w:val="single" w:sz="4" w:space="0" w:color="auto"/>
              <w:left w:val="nil"/>
              <w:bottom w:val="single" w:sz="4" w:space="0" w:color="auto"/>
              <w:right w:val="single" w:sz="4" w:space="0" w:color="auto"/>
            </w:tcBorders>
            <w:noWrap/>
            <w:vAlign w:val="bottom"/>
            <w:hideMark/>
          </w:tcPr>
          <w:p w14:paraId="45DFD23A" w14:textId="50AB8919" w:rsidR="00EA6DDD" w:rsidRPr="002B21CF" w:rsidRDefault="00F73CB9" w:rsidP="005F0D38">
            <w:pPr>
              <w:jc w:val="center"/>
              <w:rPr>
                <w:rFonts w:ascii="Lato" w:hAnsi="Lato" w:cstheme="minorHAnsi"/>
                <w:b/>
                <w:bCs/>
                <w:color w:val="000000"/>
                <w:sz w:val="20"/>
                <w:szCs w:val="20"/>
                <w:lang w:eastAsia="es-MX"/>
              </w:rPr>
            </w:pPr>
            <w:r w:rsidRPr="002B21CF">
              <w:rPr>
                <w:rFonts w:ascii="Lato" w:hAnsi="Lato" w:cstheme="minorHAnsi"/>
                <w:b/>
                <w:bCs/>
                <w:color w:val="000000"/>
                <w:sz w:val="20"/>
                <w:szCs w:val="20"/>
                <w:lang w:eastAsia="es-MX"/>
              </w:rPr>
              <w:t>202</w:t>
            </w:r>
            <w:r w:rsidR="00B44AD3" w:rsidRPr="002B21CF">
              <w:rPr>
                <w:rFonts w:ascii="Lato" w:hAnsi="Lato" w:cstheme="minorHAnsi"/>
                <w:b/>
                <w:bCs/>
                <w:color w:val="000000"/>
                <w:sz w:val="20"/>
                <w:szCs w:val="20"/>
                <w:lang w:eastAsia="es-MX"/>
              </w:rPr>
              <w:t>6</w:t>
            </w:r>
          </w:p>
        </w:tc>
        <w:tc>
          <w:tcPr>
            <w:tcW w:w="2268" w:type="dxa"/>
            <w:tcBorders>
              <w:top w:val="single" w:sz="4" w:space="0" w:color="auto"/>
              <w:left w:val="nil"/>
              <w:bottom w:val="single" w:sz="4" w:space="0" w:color="auto"/>
              <w:right w:val="single" w:sz="4" w:space="0" w:color="auto"/>
            </w:tcBorders>
            <w:noWrap/>
            <w:vAlign w:val="bottom"/>
            <w:hideMark/>
          </w:tcPr>
          <w:p w14:paraId="3690E82B" w14:textId="3B8C6C8D" w:rsidR="00EA6DDD" w:rsidRPr="002B21CF" w:rsidRDefault="00F73CB9" w:rsidP="005F0D38">
            <w:pPr>
              <w:jc w:val="center"/>
              <w:rPr>
                <w:rFonts w:ascii="Lato" w:hAnsi="Lato" w:cstheme="minorHAnsi"/>
                <w:b/>
                <w:bCs/>
                <w:color w:val="000000"/>
                <w:sz w:val="20"/>
                <w:szCs w:val="20"/>
                <w:lang w:eastAsia="es-MX"/>
              </w:rPr>
            </w:pPr>
            <w:r w:rsidRPr="002B21CF">
              <w:rPr>
                <w:rFonts w:ascii="Lato" w:hAnsi="Lato" w:cstheme="minorHAnsi"/>
                <w:b/>
                <w:bCs/>
                <w:color w:val="000000"/>
                <w:sz w:val="20"/>
                <w:szCs w:val="20"/>
                <w:lang w:eastAsia="es-MX"/>
              </w:rPr>
              <w:t>202</w:t>
            </w:r>
            <w:r w:rsidR="00B44AD3" w:rsidRPr="002B21CF">
              <w:rPr>
                <w:rFonts w:ascii="Lato" w:hAnsi="Lato" w:cstheme="minorHAnsi"/>
                <w:b/>
                <w:bCs/>
                <w:color w:val="000000"/>
                <w:sz w:val="20"/>
                <w:szCs w:val="20"/>
                <w:lang w:eastAsia="es-MX"/>
              </w:rPr>
              <w:t>5</w:t>
            </w:r>
          </w:p>
        </w:tc>
      </w:tr>
      <w:tr w:rsidR="00B44AD3" w:rsidRPr="002B21CF" w14:paraId="28602B73" w14:textId="77777777" w:rsidTr="00711783">
        <w:trPr>
          <w:trHeight w:val="228"/>
        </w:trPr>
        <w:tc>
          <w:tcPr>
            <w:tcW w:w="4815" w:type="dxa"/>
            <w:tcBorders>
              <w:top w:val="single" w:sz="4" w:space="0" w:color="auto"/>
              <w:left w:val="single" w:sz="4" w:space="0" w:color="auto"/>
              <w:bottom w:val="single" w:sz="4" w:space="0" w:color="auto"/>
              <w:right w:val="single" w:sz="4" w:space="0" w:color="auto"/>
            </w:tcBorders>
            <w:noWrap/>
            <w:vAlign w:val="bottom"/>
            <w:hideMark/>
          </w:tcPr>
          <w:p w14:paraId="36430AB7" w14:textId="77777777" w:rsidR="00B44AD3" w:rsidRPr="002B21CF" w:rsidRDefault="00B44AD3" w:rsidP="00B44AD3">
            <w:pPr>
              <w:rPr>
                <w:rFonts w:ascii="Lato" w:hAnsi="Lato" w:cstheme="minorHAnsi"/>
                <w:color w:val="000000"/>
                <w:sz w:val="20"/>
                <w:szCs w:val="20"/>
                <w:lang w:eastAsia="es-MX"/>
              </w:rPr>
            </w:pPr>
            <w:r w:rsidRPr="002B21CF">
              <w:rPr>
                <w:rFonts w:ascii="Lato" w:hAnsi="Lato" w:cstheme="minorHAnsi"/>
                <w:color w:val="000000"/>
                <w:sz w:val="20"/>
                <w:szCs w:val="20"/>
                <w:lang w:eastAsia="es-MX"/>
              </w:rPr>
              <w:t>BANCOS/TESORERÍA</w:t>
            </w:r>
          </w:p>
        </w:tc>
        <w:tc>
          <w:tcPr>
            <w:tcW w:w="2410" w:type="dxa"/>
            <w:tcBorders>
              <w:top w:val="single" w:sz="4" w:space="0" w:color="auto"/>
              <w:left w:val="nil"/>
              <w:bottom w:val="single" w:sz="4" w:space="0" w:color="auto"/>
              <w:right w:val="single" w:sz="4" w:space="0" w:color="auto"/>
            </w:tcBorders>
            <w:noWrap/>
            <w:vAlign w:val="bottom"/>
            <w:hideMark/>
          </w:tcPr>
          <w:p w14:paraId="44FEF069" w14:textId="38656BCE" w:rsidR="00B44AD3" w:rsidRPr="002B21CF" w:rsidRDefault="00B44AD3" w:rsidP="00B44AD3">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 xml:space="preserve">$ </w:t>
            </w:r>
            <w:r w:rsidR="001860C4" w:rsidRPr="002B21CF">
              <w:rPr>
                <w:rFonts w:ascii="Lato" w:hAnsi="Lato" w:cstheme="minorHAnsi"/>
                <w:color w:val="000000"/>
                <w:sz w:val="20"/>
                <w:szCs w:val="20"/>
                <w:lang w:eastAsia="es-MX"/>
              </w:rPr>
              <w:t>0</w:t>
            </w:r>
            <w:r w:rsidRPr="002B21CF">
              <w:rPr>
                <w:rFonts w:ascii="Lato" w:hAnsi="Lato" w:cstheme="minorHAnsi"/>
                <w:color w:val="000000"/>
                <w:sz w:val="20"/>
                <w:szCs w:val="20"/>
                <w:lang w:eastAsia="es-MX"/>
              </w:rPr>
              <w:t>.</w:t>
            </w:r>
            <w:r w:rsidR="001860C4" w:rsidRPr="002B21CF">
              <w:rPr>
                <w:rFonts w:ascii="Lato" w:hAnsi="Lato" w:cstheme="minorHAnsi"/>
                <w:color w:val="000000"/>
                <w:sz w:val="20"/>
                <w:szCs w:val="20"/>
                <w:lang w:eastAsia="es-MX"/>
              </w:rPr>
              <w:t>00</w:t>
            </w:r>
          </w:p>
        </w:tc>
        <w:tc>
          <w:tcPr>
            <w:tcW w:w="2268" w:type="dxa"/>
            <w:tcBorders>
              <w:top w:val="single" w:sz="4" w:space="0" w:color="auto"/>
              <w:left w:val="nil"/>
              <w:bottom w:val="single" w:sz="4" w:space="0" w:color="auto"/>
              <w:right w:val="single" w:sz="4" w:space="0" w:color="auto"/>
            </w:tcBorders>
            <w:noWrap/>
            <w:vAlign w:val="bottom"/>
            <w:hideMark/>
          </w:tcPr>
          <w:p w14:paraId="0359D57F" w14:textId="66B8FD9D" w:rsidR="00B44AD3" w:rsidRPr="002B21CF" w:rsidRDefault="00B44AD3" w:rsidP="00B44AD3">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$ 11,283,545.40</w:t>
            </w:r>
          </w:p>
        </w:tc>
      </w:tr>
      <w:tr w:rsidR="00B44AD3" w:rsidRPr="002B21CF" w14:paraId="7CD568EE" w14:textId="77777777" w:rsidTr="00711783">
        <w:trPr>
          <w:trHeight w:val="228"/>
        </w:trPr>
        <w:tc>
          <w:tcPr>
            <w:tcW w:w="4815" w:type="dxa"/>
            <w:tcBorders>
              <w:top w:val="single" w:sz="4" w:space="0" w:color="auto"/>
              <w:left w:val="single" w:sz="4" w:space="0" w:color="auto"/>
              <w:bottom w:val="single" w:sz="4" w:space="0" w:color="auto"/>
              <w:right w:val="single" w:sz="4" w:space="0" w:color="auto"/>
            </w:tcBorders>
            <w:noWrap/>
            <w:vAlign w:val="bottom"/>
            <w:hideMark/>
          </w:tcPr>
          <w:p w14:paraId="0C6FAB1B" w14:textId="77777777" w:rsidR="00B44AD3" w:rsidRPr="002B21CF" w:rsidRDefault="00B44AD3" w:rsidP="00B44AD3">
            <w:pPr>
              <w:rPr>
                <w:rFonts w:ascii="Lato" w:hAnsi="Lato" w:cstheme="minorHAnsi"/>
                <w:color w:val="000000"/>
                <w:sz w:val="20"/>
                <w:szCs w:val="20"/>
                <w:lang w:eastAsia="es-MX"/>
              </w:rPr>
            </w:pPr>
            <w:r w:rsidRPr="002B21CF">
              <w:rPr>
                <w:rFonts w:ascii="Lato" w:hAnsi="Lato" w:cstheme="minorHAnsi"/>
                <w:color w:val="000000"/>
                <w:sz w:val="20"/>
                <w:szCs w:val="20"/>
                <w:lang w:eastAsia="es-MX"/>
              </w:rPr>
              <w:t>INVERSIONES TEMPORALES (HASTA 3 MESES)</w:t>
            </w:r>
          </w:p>
        </w:tc>
        <w:tc>
          <w:tcPr>
            <w:tcW w:w="2410" w:type="dxa"/>
            <w:tcBorders>
              <w:top w:val="single" w:sz="4" w:space="0" w:color="auto"/>
              <w:left w:val="nil"/>
              <w:bottom w:val="single" w:sz="4" w:space="0" w:color="auto"/>
              <w:right w:val="single" w:sz="4" w:space="0" w:color="auto"/>
            </w:tcBorders>
            <w:noWrap/>
            <w:vAlign w:val="bottom"/>
            <w:hideMark/>
          </w:tcPr>
          <w:p w14:paraId="3303D37F" w14:textId="18527649" w:rsidR="00B44AD3" w:rsidRPr="002B21CF" w:rsidRDefault="00B44AD3" w:rsidP="00B44AD3">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$ 0.00</w:t>
            </w:r>
          </w:p>
        </w:tc>
        <w:tc>
          <w:tcPr>
            <w:tcW w:w="2268" w:type="dxa"/>
            <w:tcBorders>
              <w:top w:val="single" w:sz="4" w:space="0" w:color="auto"/>
              <w:left w:val="nil"/>
              <w:bottom w:val="single" w:sz="4" w:space="0" w:color="auto"/>
              <w:right w:val="single" w:sz="4" w:space="0" w:color="auto"/>
            </w:tcBorders>
            <w:noWrap/>
            <w:vAlign w:val="bottom"/>
            <w:hideMark/>
          </w:tcPr>
          <w:p w14:paraId="34D57AD1" w14:textId="5EB7B97D" w:rsidR="00B44AD3" w:rsidRPr="002B21CF" w:rsidRDefault="00B44AD3" w:rsidP="00B44AD3">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$ 0.00</w:t>
            </w:r>
          </w:p>
        </w:tc>
      </w:tr>
      <w:tr w:rsidR="00B44AD3" w:rsidRPr="002B21CF" w14:paraId="380FF722" w14:textId="77777777" w:rsidTr="00711783">
        <w:trPr>
          <w:trHeight w:val="228"/>
        </w:trPr>
        <w:tc>
          <w:tcPr>
            <w:tcW w:w="4815" w:type="dxa"/>
            <w:tcBorders>
              <w:top w:val="single" w:sz="4" w:space="0" w:color="auto"/>
              <w:left w:val="single" w:sz="4" w:space="0" w:color="auto"/>
              <w:bottom w:val="single" w:sz="4" w:space="0" w:color="auto"/>
              <w:right w:val="single" w:sz="4" w:space="0" w:color="auto"/>
            </w:tcBorders>
            <w:noWrap/>
            <w:vAlign w:val="bottom"/>
            <w:hideMark/>
          </w:tcPr>
          <w:p w14:paraId="22277DD4" w14:textId="77777777" w:rsidR="00B44AD3" w:rsidRPr="002B21CF" w:rsidRDefault="00B44AD3" w:rsidP="00B44AD3">
            <w:pPr>
              <w:rPr>
                <w:rFonts w:ascii="Lato" w:hAnsi="Lato" w:cstheme="minorHAnsi"/>
                <w:color w:val="000000"/>
                <w:sz w:val="20"/>
                <w:szCs w:val="20"/>
                <w:lang w:eastAsia="es-MX"/>
              </w:rPr>
            </w:pPr>
            <w:r w:rsidRPr="002B21CF">
              <w:rPr>
                <w:rFonts w:ascii="Lato" w:hAnsi="Lato" w:cstheme="minorHAnsi"/>
                <w:color w:val="000000"/>
                <w:sz w:val="20"/>
                <w:szCs w:val="20"/>
                <w:lang w:eastAsia="es-MX"/>
              </w:rPr>
              <w:t>FONDOS CON AFECTACIÓN ESPECÍFICA</w:t>
            </w:r>
          </w:p>
        </w:tc>
        <w:tc>
          <w:tcPr>
            <w:tcW w:w="2410" w:type="dxa"/>
            <w:tcBorders>
              <w:top w:val="single" w:sz="4" w:space="0" w:color="auto"/>
              <w:left w:val="nil"/>
              <w:bottom w:val="single" w:sz="4" w:space="0" w:color="auto"/>
              <w:right w:val="single" w:sz="4" w:space="0" w:color="auto"/>
            </w:tcBorders>
            <w:noWrap/>
            <w:vAlign w:val="bottom"/>
            <w:hideMark/>
          </w:tcPr>
          <w:p w14:paraId="60130229" w14:textId="7B224AEC" w:rsidR="00B44AD3" w:rsidRPr="002B21CF" w:rsidRDefault="00B44AD3" w:rsidP="00B44AD3">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$ 0.00</w:t>
            </w:r>
          </w:p>
        </w:tc>
        <w:tc>
          <w:tcPr>
            <w:tcW w:w="2268" w:type="dxa"/>
            <w:tcBorders>
              <w:top w:val="single" w:sz="4" w:space="0" w:color="auto"/>
              <w:left w:val="nil"/>
              <w:bottom w:val="single" w:sz="4" w:space="0" w:color="auto"/>
              <w:right w:val="single" w:sz="4" w:space="0" w:color="auto"/>
            </w:tcBorders>
            <w:noWrap/>
            <w:vAlign w:val="bottom"/>
            <w:hideMark/>
          </w:tcPr>
          <w:p w14:paraId="5446B80F" w14:textId="305475F9" w:rsidR="00B44AD3" w:rsidRPr="002B21CF" w:rsidRDefault="00B44AD3" w:rsidP="00B44AD3">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$ 0.00</w:t>
            </w:r>
          </w:p>
        </w:tc>
      </w:tr>
      <w:tr w:rsidR="00B44AD3" w:rsidRPr="002B21CF" w14:paraId="12AEB0E6" w14:textId="77777777" w:rsidTr="00711783">
        <w:trPr>
          <w:trHeight w:val="152"/>
        </w:trPr>
        <w:tc>
          <w:tcPr>
            <w:tcW w:w="4815" w:type="dxa"/>
            <w:tcBorders>
              <w:top w:val="single" w:sz="4" w:space="0" w:color="auto"/>
              <w:left w:val="single" w:sz="4" w:space="0" w:color="auto"/>
              <w:bottom w:val="single" w:sz="4" w:space="0" w:color="auto"/>
              <w:right w:val="single" w:sz="4" w:space="0" w:color="000000"/>
            </w:tcBorders>
            <w:noWrap/>
            <w:vAlign w:val="bottom"/>
            <w:hideMark/>
          </w:tcPr>
          <w:p w14:paraId="5788AB77" w14:textId="77777777" w:rsidR="00B44AD3" w:rsidRPr="002B21CF" w:rsidRDefault="00B44AD3" w:rsidP="00B44AD3">
            <w:pPr>
              <w:jc w:val="right"/>
              <w:rPr>
                <w:rFonts w:ascii="Lato" w:hAnsi="Lato" w:cstheme="minorHAnsi"/>
                <w:b/>
                <w:bCs/>
                <w:color w:val="000000"/>
                <w:sz w:val="20"/>
                <w:szCs w:val="20"/>
                <w:lang w:eastAsia="es-MX"/>
              </w:rPr>
            </w:pPr>
            <w:r w:rsidRPr="002B21CF">
              <w:rPr>
                <w:rFonts w:ascii="Lato" w:hAnsi="Lato" w:cstheme="minorHAnsi"/>
                <w:b/>
                <w:bCs/>
                <w:color w:val="000000"/>
                <w:sz w:val="20"/>
                <w:szCs w:val="20"/>
                <w:lang w:eastAsia="es-MX"/>
              </w:rPr>
              <w:t>Suma</w:t>
            </w:r>
          </w:p>
        </w:tc>
        <w:tc>
          <w:tcPr>
            <w:tcW w:w="2410" w:type="dxa"/>
            <w:tcBorders>
              <w:top w:val="single" w:sz="4" w:space="0" w:color="auto"/>
              <w:left w:val="nil"/>
              <w:bottom w:val="single" w:sz="4" w:space="0" w:color="auto"/>
              <w:right w:val="single" w:sz="4" w:space="0" w:color="auto"/>
            </w:tcBorders>
            <w:noWrap/>
            <w:vAlign w:val="bottom"/>
            <w:hideMark/>
          </w:tcPr>
          <w:p w14:paraId="3126E573" w14:textId="1257F362" w:rsidR="00B44AD3" w:rsidRPr="002B21CF" w:rsidRDefault="00B44AD3" w:rsidP="00B44AD3">
            <w:pPr>
              <w:jc w:val="right"/>
              <w:rPr>
                <w:rFonts w:ascii="Lato" w:hAnsi="Lato" w:cstheme="minorHAnsi"/>
                <w:b/>
                <w:bCs/>
                <w:color w:val="000000"/>
                <w:sz w:val="20"/>
                <w:szCs w:val="20"/>
                <w:lang w:eastAsia="es-MX"/>
              </w:rPr>
            </w:pPr>
            <w:r w:rsidRPr="002B21CF">
              <w:rPr>
                <w:rFonts w:ascii="Lato" w:hAnsi="Lato" w:cstheme="minorHAnsi"/>
                <w:b/>
                <w:bCs/>
                <w:color w:val="000000"/>
                <w:sz w:val="20"/>
                <w:szCs w:val="20"/>
                <w:lang w:eastAsia="es-MX"/>
              </w:rPr>
              <w:t xml:space="preserve"> $ </w:t>
            </w:r>
            <w:r w:rsidR="001860C4" w:rsidRPr="002B21CF">
              <w:rPr>
                <w:rFonts w:ascii="Lato" w:hAnsi="Lato" w:cstheme="minorHAnsi"/>
                <w:b/>
                <w:bCs/>
                <w:color w:val="000000"/>
                <w:sz w:val="20"/>
                <w:szCs w:val="20"/>
                <w:lang w:eastAsia="es-MX"/>
              </w:rPr>
              <w:t>0</w:t>
            </w:r>
            <w:r w:rsidRPr="002B21CF">
              <w:rPr>
                <w:rFonts w:ascii="Lato" w:hAnsi="Lato" w:cstheme="minorHAnsi"/>
                <w:b/>
                <w:bCs/>
                <w:color w:val="000000"/>
                <w:sz w:val="20"/>
                <w:szCs w:val="20"/>
                <w:lang w:eastAsia="es-MX"/>
              </w:rPr>
              <w:t>.</w:t>
            </w:r>
            <w:r w:rsidR="001860C4" w:rsidRPr="002B21CF">
              <w:rPr>
                <w:rFonts w:ascii="Lato" w:hAnsi="Lato" w:cstheme="minorHAnsi"/>
                <w:b/>
                <w:bCs/>
                <w:color w:val="000000"/>
                <w:sz w:val="20"/>
                <w:szCs w:val="20"/>
                <w:lang w:eastAsia="es-MX"/>
              </w:rPr>
              <w:t>00</w:t>
            </w:r>
            <w:r w:rsidRPr="002B21CF">
              <w:rPr>
                <w:rFonts w:ascii="Lato" w:hAnsi="Lato" w:cstheme="minorHAnsi"/>
                <w:b/>
                <w:bCs/>
                <w:color w:val="000000"/>
                <w:sz w:val="20"/>
                <w:szCs w:val="20"/>
                <w:lang w:eastAsia="es-MX"/>
              </w:rPr>
              <w:t xml:space="preserve"> </w:t>
            </w:r>
          </w:p>
        </w:tc>
        <w:tc>
          <w:tcPr>
            <w:tcW w:w="2268" w:type="dxa"/>
            <w:tcBorders>
              <w:top w:val="single" w:sz="4" w:space="0" w:color="auto"/>
              <w:left w:val="nil"/>
              <w:bottom w:val="single" w:sz="4" w:space="0" w:color="auto"/>
              <w:right w:val="single" w:sz="4" w:space="0" w:color="auto"/>
            </w:tcBorders>
            <w:noWrap/>
            <w:vAlign w:val="bottom"/>
            <w:hideMark/>
          </w:tcPr>
          <w:p w14:paraId="3C3D31DD" w14:textId="03DCEFB4" w:rsidR="00B44AD3" w:rsidRPr="002B21CF" w:rsidRDefault="00B44AD3" w:rsidP="00B44AD3">
            <w:pPr>
              <w:jc w:val="right"/>
              <w:rPr>
                <w:rFonts w:ascii="Lato" w:hAnsi="Lato" w:cstheme="minorHAnsi"/>
                <w:b/>
                <w:bCs/>
                <w:color w:val="000000"/>
                <w:sz w:val="20"/>
                <w:szCs w:val="20"/>
                <w:lang w:eastAsia="es-MX"/>
              </w:rPr>
            </w:pPr>
            <w:r w:rsidRPr="002B21CF">
              <w:rPr>
                <w:rFonts w:ascii="Lato" w:hAnsi="Lato" w:cstheme="minorHAnsi"/>
                <w:b/>
                <w:bCs/>
                <w:color w:val="000000"/>
                <w:sz w:val="20"/>
                <w:szCs w:val="20"/>
                <w:lang w:eastAsia="es-MX"/>
              </w:rPr>
              <w:t xml:space="preserve"> $ 11,283,545.40 </w:t>
            </w:r>
          </w:p>
        </w:tc>
      </w:tr>
    </w:tbl>
    <w:p w14:paraId="26E20112" w14:textId="73156BCD" w:rsidR="0014716A" w:rsidRPr="002B21CF" w:rsidRDefault="0014716A" w:rsidP="00C4137E">
      <w:pPr>
        <w:autoSpaceDE w:val="0"/>
        <w:autoSpaceDN w:val="0"/>
        <w:adjustRightInd w:val="0"/>
        <w:spacing w:line="360" w:lineRule="auto"/>
        <w:jc w:val="both"/>
        <w:rPr>
          <w:rFonts w:ascii="Lato" w:hAnsi="Lato" w:cstheme="minorHAnsi"/>
          <w:sz w:val="20"/>
          <w:szCs w:val="20"/>
        </w:rPr>
      </w:pPr>
    </w:p>
    <w:p w14:paraId="474FDB4B" w14:textId="77777777" w:rsidR="00DF308F" w:rsidRPr="002B21CF" w:rsidRDefault="009571C1" w:rsidP="00906A55">
      <w:pPr>
        <w:tabs>
          <w:tab w:val="left" w:pos="3468"/>
        </w:tabs>
        <w:autoSpaceDE w:val="0"/>
        <w:autoSpaceDN w:val="0"/>
        <w:adjustRightInd w:val="0"/>
        <w:spacing w:line="360" w:lineRule="auto"/>
        <w:jc w:val="both"/>
        <w:rPr>
          <w:rFonts w:ascii="Lato" w:hAnsi="Lato" w:cstheme="minorHAnsi"/>
          <w:sz w:val="20"/>
          <w:szCs w:val="20"/>
        </w:rPr>
      </w:pPr>
      <w:r w:rsidRPr="002B21CF">
        <w:rPr>
          <w:rFonts w:ascii="Lato" w:hAnsi="Lato" w:cstheme="minorHAnsi"/>
          <w:sz w:val="20"/>
          <w:szCs w:val="20"/>
        </w:rPr>
        <w:tab/>
      </w:r>
    </w:p>
    <w:p w14:paraId="5D9C9839" w14:textId="77777777" w:rsidR="00DF308F" w:rsidRPr="002B21CF" w:rsidRDefault="00DF308F" w:rsidP="009571C1">
      <w:pPr>
        <w:tabs>
          <w:tab w:val="left" w:pos="5568"/>
        </w:tabs>
        <w:autoSpaceDE w:val="0"/>
        <w:autoSpaceDN w:val="0"/>
        <w:adjustRightInd w:val="0"/>
        <w:spacing w:line="360" w:lineRule="auto"/>
        <w:jc w:val="both"/>
        <w:rPr>
          <w:rFonts w:ascii="Lato" w:hAnsi="Lato" w:cstheme="minorHAnsi"/>
          <w:sz w:val="20"/>
          <w:szCs w:val="20"/>
        </w:rPr>
      </w:pPr>
    </w:p>
    <w:p w14:paraId="038B630B" w14:textId="77777777" w:rsidR="00DF308F" w:rsidRPr="002B21CF" w:rsidRDefault="00DF308F" w:rsidP="00C4137E">
      <w:pPr>
        <w:autoSpaceDE w:val="0"/>
        <w:autoSpaceDN w:val="0"/>
        <w:adjustRightInd w:val="0"/>
        <w:spacing w:line="360" w:lineRule="auto"/>
        <w:jc w:val="both"/>
        <w:rPr>
          <w:rFonts w:ascii="Lato" w:hAnsi="Lato" w:cstheme="minorHAnsi"/>
          <w:sz w:val="20"/>
          <w:szCs w:val="20"/>
        </w:rPr>
      </w:pPr>
      <w:bookmarkStart w:id="2" w:name="m1"/>
      <w:bookmarkEnd w:id="2"/>
    </w:p>
    <w:p w14:paraId="52C51137" w14:textId="77777777" w:rsidR="00EA6DDD" w:rsidRPr="002B21CF" w:rsidRDefault="00EA6DDD" w:rsidP="00906A55">
      <w:pPr>
        <w:autoSpaceDE w:val="0"/>
        <w:autoSpaceDN w:val="0"/>
        <w:adjustRightInd w:val="0"/>
        <w:jc w:val="both"/>
        <w:rPr>
          <w:rFonts w:ascii="Lato" w:hAnsi="Lato" w:cstheme="minorHAnsi"/>
          <w:sz w:val="16"/>
          <w:szCs w:val="20"/>
        </w:rPr>
      </w:pPr>
    </w:p>
    <w:p w14:paraId="72EEEAAD" w14:textId="77777777" w:rsidR="00AC03FC" w:rsidRPr="002B21CF" w:rsidRDefault="00AC03FC" w:rsidP="00906A55">
      <w:pPr>
        <w:autoSpaceDE w:val="0"/>
        <w:autoSpaceDN w:val="0"/>
        <w:adjustRightInd w:val="0"/>
        <w:jc w:val="both"/>
        <w:rPr>
          <w:rFonts w:ascii="Lato" w:hAnsi="Lato" w:cstheme="minorHAnsi"/>
          <w:sz w:val="10"/>
          <w:szCs w:val="10"/>
        </w:rPr>
      </w:pPr>
    </w:p>
    <w:p w14:paraId="6D324484" w14:textId="33F17A9C" w:rsidR="00EA6DDD" w:rsidRPr="002B21CF" w:rsidRDefault="00AC03FC" w:rsidP="00AC03FC">
      <w:pPr>
        <w:autoSpaceDE w:val="0"/>
        <w:autoSpaceDN w:val="0"/>
        <w:adjustRightInd w:val="0"/>
        <w:spacing w:line="360" w:lineRule="auto"/>
        <w:jc w:val="both"/>
        <w:rPr>
          <w:rFonts w:ascii="Lato" w:hAnsi="Lato" w:cstheme="minorHAnsi"/>
          <w:sz w:val="20"/>
          <w:szCs w:val="20"/>
        </w:rPr>
      </w:pPr>
      <w:r w:rsidRPr="002B21CF">
        <w:rPr>
          <w:rFonts w:ascii="Lato" w:hAnsi="Lato" w:cstheme="minorHAnsi"/>
          <w:b/>
          <w:sz w:val="20"/>
          <w:szCs w:val="20"/>
        </w:rPr>
        <w:t>Bancos/Tesorería</w:t>
      </w:r>
    </w:p>
    <w:p w14:paraId="09355A4A" w14:textId="110C935D" w:rsidR="00AC03FC" w:rsidRPr="002B21CF" w:rsidRDefault="00AC03FC" w:rsidP="00906A55">
      <w:pPr>
        <w:autoSpaceDE w:val="0"/>
        <w:autoSpaceDN w:val="0"/>
        <w:adjustRightInd w:val="0"/>
        <w:jc w:val="both"/>
        <w:rPr>
          <w:rFonts w:ascii="Lato" w:hAnsi="Lato" w:cstheme="minorHAnsi"/>
          <w:sz w:val="20"/>
          <w:szCs w:val="20"/>
        </w:rPr>
      </w:pPr>
      <w:r w:rsidRPr="002B21CF">
        <w:rPr>
          <w:rFonts w:ascii="Lato" w:hAnsi="Lato" w:cstheme="minorHAnsi"/>
          <w:sz w:val="20"/>
          <w:szCs w:val="20"/>
        </w:rPr>
        <w:t>Representa el monto de efectivo disponible propiedad del Fondo de Seguridad Pública, en instituciones bancarias, su importe se integra por:</w:t>
      </w:r>
    </w:p>
    <w:tbl>
      <w:tblPr>
        <w:tblpPr w:leftFromText="141" w:rightFromText="141" w:vertAnchor="text" w:horzAnchor="page" w:tblpX="5614" w:tblpY="61"/>
        <w:tblW w:w="3539" w:type="dxa"/>
        <w:tblCellMar>
          <w:left w:w="70" w:type="dxa"/>
          <w:right w:w="70" w:type="dxa"/>
        </w:tblCellMar>
        <w:tblLook w:val="04A0" w:firstRow="1" w:lastRow="0" w:firstColumn="1" w:lastColumn="0" w:noHBand="0" w:noVBand="1"/>
      </w:tblPr>
      <w:tblGrid>
        <w:gridCol w:w="1346"/>
        <w:gridCol w:w="2193"/>
      </w:tblGrid>
      <w:tr w:rsidR="00C1466B" w:rsidRPr="002B21CF" w14:paraId="5469C26A" w14:textId="77777777" w:rsidTr="00C1466B">
        <w:trPr>
          <w:trHeight w:val="240"/>
        </w:trPr>
        <w:tc>
          <w:tcPr>
            <w:tcW w:w="1346" w:type="dxa"/>
            <w:tcBorders>
              <w:top w:val="single" w:sz="4" w:space="0" w:color="auto"/>
              <w:left w:val="single" w:sz="4" w:space="0" w:color="auto"/>
              <w:bottom w:val="single" w:sz="4" w:space="0" w:color="auto"/>
              <w:right w:val="single" w:sz="4" w:space="0" w:color="auto"/>
            </w:tcBorders>
            <w:noWrap/>
            <w:vAlign w:val="bottom"/>
            <w:hideMark/>
          </w:tcPr>
          <w:p w14:paraId="2481CFB5" w14:textId="77777777" w:rsidR="00C1466B" w:rsidRPr="002B21CF" w:rsidRDefault="00C1466B" w:rsidP="00C1466B">
            <w:pPr>
              <w:rPr>
                <w:rFonts w:ascii="Lato" w:hAnsi="Lato" w:cstheme="minorHAnsi"/>
                <w:b/>
                <w:bCs/>
                <w:color w:val="000000"/>
                <w:sz w:val="20"/>
                <w:szCs w:val="20"/>
                <w:lang w:eastAsia="es-MX"/>
              </w:rPr>
            </w:pPr>
            <w:r w:rsidRPr="002B21CF">
              <w:rPr>
                <w:rFonts w:ascii="Lato" w:hAnsi="Lato" w:cstheme="minorHAnsi"/>
                <w:b/>
                <w:bCs/>
                <w:color w:val="000000"/>
                <w:sz w:val="20"/>
                <w:szCs w:val="20"/>
                <w:lang w:eastAsia="es-MX"/>
              </w:rPr>
              <w:t>Banco</w:t>
            </w:r>
          </w:p>
        </w:tc>
        <w:tc>
          <w:tcPr>
            <w:tcW w:w="2193" w:type="dxa"/>
            <w:tcBorders>
              <w:top w:val="single" w:sz="4" w:space="0" w:color="auto"/>
              <w:left w:val="nil"/>
              <w:bottom w:val="single" w:sz="4" w:space="0" w:color="auto"/>
              <w:right w:val="single" w:sz="4" w:space="0" w:color="auto"/>
            </w:tcBorders>
            <w:noWrap/>
            <w:vAlign w:val="bottom"/>
            <w:hideMark/>
          </w:tcPr>
          <w:p w14:paraId="230A1238" w14:textId="77777777" w:rsidR="00C1466B" w:rsidRPr="002B21CF" w:rsidRDefault="00C1466B" w:rsidP="00C1466B">
            <w:pPr>
              <w:jc w:val="center"/>
              <w:rPr>
                <w:rFonts w:ascii="Lato" w:hAnsi="Lato" w:cstheme="minorHAnsi"/>
                <w:b/>
                <w:bCs/>
                <w:color w:val="000000"/>
                <w:sz w:val="20"/>
                <w:szCs w:val="20"/>
                <w:lang w:eastAsia="es-MX"/>
              </w:rPr>
            </w:pPr>
            <w:r w:rsidRPr="002B21CF">
              <w:rPr>
                <w:rFonts w:ascii="Lato" w:hAnsi="Lato" w:cstheme="minorHAnsi"/>
                <w:b/>
                <w:bCs/>
                <w:color w:val="000000"/>
                <w:sz w:val="20"/>
                <w:szCs w:val="20"/>
                <w:lang w:eastAsia="es-MX"/>
              </w:rPr>
              <w:t>Importe</w:t>
            </w:r>
          </w:p>
        </w:tc>
      </w:tr>
      <w:tr w:rsidR="00C1466B" w:rsidRPr="002B21CF" w14:paraId="556BBCE7" w14:textId="77777777" w:rsidTr="00C1466B">
        <w:trPr>
          <w:trHeight w:val="240"/>
        </w:trPr>
        <w:tc>
          <w:tcPr>
            <w:tcW w:w="1346" w:type="dxa"/>
            <w:tcBorders>
              <w:top w:val="single" w:sz="4" w:space="0" w:color="auto"/>
              <w:left w:val="single" w:sz="4" w:space="0" w:color="auto"/>
              <w:bottom w:val="single" w:sz="4" w:space="0" w:color="auto"/>
              <w:right w:val="single" w:sz="4" w:space="0" w:color="000000"/>
            </w:tcBorders>
            <w:noWrap/>
            <w:vAlign w:val="bottom"/>
            <w:hideMark/>
          </w:tcPr>
          <w:p w14:paraId="78542EB3" w14:textId="634AB6C4" w:rsidR="00C1466B" w:rsidRPr="002B21CF" w:rsidRDefault="0020086C" w:rsidP="00C1466B">
            <w:pPr>
              <w:rPr>
                <w:rFonts w:ascii="Lato" w:hAnsi="Lato" w:cstheme="minorHAnsi"/>
                <w:bCs/>
                <w:color w:val="000000"/>
                <w:sz w:val="20"/>
                <w:szCs w:val="20"/>
                <w:lang w:eastAsia="es-MX"/>
              </w:rPr>
            </w:pPr>
            <w:proofErr w:type="spellStart"/>
            <w:r w:rsidRPr="002B21CF">
              <w:rPr>
                <w:rFonts w:ascii="Lato" w:hAnsi="Lato" w:cstheme="minorHAnsi"/>
                <w:bCs/>
                <w:color w:val="000000"/>
                <w:sz w:val="20"/>
                <w:szCs w:val="20"/>
                <w:lang w:eastAsia="es-MX"/>
              </w:rPr>
              <w:t>Nafin</w:t>
            </w:r>
            <w:proofErr w:type="spellEnd"/>
          </w:p>
        </w:tc>
        <w:tc>
          <w:tcPr>
            <w:tcW w:w="2193" w:type="dxa"/>
            <w:tcBorders>
              <w:top w:val="single" w:sz="4" w:space="0" w:color="auto"/>
              <w:left w:val="nil"/>
              <w:bottom w:val="single" w:sz="4" w:space="0" w:color="auto"/>
              <w:right w:val="single" w:sz="4" w:space="0" w:color="000000"/>
            </w:tcBorders>
            <w:noWrap/>
            <w:vAlign w:val="bottom"/>
            <w:hideMark/>
          </w:tcPr>
          <w:p w14:paraId="50909332" w14:textId="361C5A45" w:rsidR="00C1466B" w:rsidRPr="002B21CF" w:rsidRDefault="00C1466B" w:rsidP="00A542BB">
            <w:pPr>
              <w:jc w:val="right"/>
              <w:rPr>
                <w:rFonts w:ascii="Lato" w:hAnsi="Lato" w:cstheme="minorHAnsi"/>
                <w:bCs/>
                <w:color w:val="000000"/>
                <w:sz w:val="20"/>
                <w:szCs w:val="20"/>
                <w:lang w:eastAsia="es-MX"/>
              </w:rPr>
            </w:pPr>
            <w:r w:rsidRPr="002B21CF">
              <w:rPr>
                <w:rFonts w:ascii="Lato" w:hAnsi="Lato" w:cstheme="minorHAnsi"/>
                <w:bCs/>
                <w:color w:val="000000"/>
                <w:sz w:val="20"/>
                <w:szCs w:val="20"/>
                <w:lang w:eastAsia="es-MX"/>
              </w:rPr>
              <w:t xml:space="preserve"> $ </w:t>
            </w:r>
            <w:r w:rsidR="000C2A28" w:rsidRPr="002B21CF">
              <w:rPr>
                <w:rFonts w:ascii="Lato" w:hAnsi="Lato" w:cstheme="minorHAnsi"/>
                <w:bCs/>
                <w:color w:val="000000"/>
                <w:sz w:val="20"/>
                <w:szCs w:val="20"/>
                <w:lang w:eastAsia="es-MX"/>
              </w:rPr>
              <w:t>0</w:t>
            </w:r>
            <w:r w:rsidRPr="002B21CF">
              <w:rPr>
                <w:rFonts w:ascii="Lato" w:hAnsi="Lato" w:cstheme="minorHAnsi"/>
                <w:bCs/>
                <w:color w:val="000000"/>
                <w:sz w:val="20"/>
                <w:szCs w:val="20"/>
                <w:lang w:eastAsia="es-MX"/>
              </w:rPr>
              <w:t>.</w:t>
            </w:r>
            <w:r w:rsidR="000C2A28" w:rsidRPr="002B21CF">
              <w:rPr>
                <w:rFonts w:ascii="Lato" w:hAnsi="Lato" w:cstheme="minorHAnsi"/>
                <w:bCs/>
                <w:color w:val="000000"/>
                <w:sz w:val="20"/>
                <w:szCs w:val="20"/>
                <w:lang w:eastAsia="es-MX"/>
              </w:rPr>
              <w:t>00</w:t>
            </w:r>
            <w:r w:rsidRPr="002B21CF">
              <w:rPr>
                <w:rFonts w:ascii="Lato" w:hAnsi="Lato" w:cstheme="minorHAnsi"/>
                <w:bCs/>
                <w:color w:val="000000"/>
                <w:sz w:val="20"/>
                <w:szCs w:val="20"/>
                <w:lang w:eastAsia="es-MX"/>
              </w:rPr>
              <w:t xml:space="preserve"> </w:t>
            </w:r>
          </w:p>
        </w:tc>
      </w:tr>
    </w:tbl>
    <w:p w14:paraId="66B5F2CC" w14:textId="77777777" w:rsidR="00042929" w:rsidRPr="002B21CF" w:rsidRDefault="00042929" w:rsidP="00906A55">
      <w:pPr>
        <w:autoSpaceDE w:val="0"/>
        <w:autoSpaceDN w:val="0"/>
        <w:adjustRightInd w:val="0"/>
        <w:jc w:val="both"/>
        <w:rPr>
          <w:rFonts w:ascii="Lato" w:hAnsi="Lato" w:cstheme="minorHAnsi"/>
          <w:sz w:val="20"/>
          <w:szCs w:val="20"/>
        </w:rPr>
      </w:pPr>
    </w:p>
    <w:p w14:paraId="2A0B4055" w14:textId="77777777" w:rsidR="00AC03FC" w:rsidRPr="002B21CF" w:rsidRDefault="00AC03FC" w:rsidP="00906A55">
      <w:pPr>
        <w:autoSpaceDE w:val="0"/>
        <w:autoSpaceDN w:val="0"/>
        <w:adjustRightInd w:val="0"/>
        <w:jc w:val="both"/>
        <w:rPr>
          <w:rFonts w:ascii="Lato" w:hAnsi="Lato" w:cstheme="minorHAnsi"/>
          <w:sz w:val="20"/>
          <w:szCs w:val="20"/>
        </w:rPr>
      </w:pPr>
    </w:p>
    <w:p w14:paraId="35036740" w14:textId="77777777" w:rsidR="003D1793" w:rsidRPr="002B21CF" w:rsidRDefault="003D1793" w:rsidP="00AC03FC">
      <w:pPr>
        <w:autoSpaceDE w:val="0"/>
        <w:autoSpaceDN w:val="0"/>
        <w:adjustRightInd w:val="0"/>
        <w:spacing w:line="360" w:lineRule="auto"/>
        <w:jc w:val="both"/>
        <w:rPr>
          <w:rFonts w:ascii="Lato" w:hAnsi="Lato" w:cstheme="minorHAnsi"/>
          <w:b/>
          <w:sz w:val="8"/>
          <w:szCs w:val="20"/>
        </w:rPr>
      </w:pPr>
    </w:p>
    <w:p w14:paraId="2BA4D3B1" w14:textId="52E7CB1A" w:rsidR="00AC03FC" w:rsidRPr="002B21CF" w:rsidRDefault="00AC03FC" w:rsidP="00AC03FC">
      <w:pPr>
        <w:autoSpaceDE w:val="0"/>
        <w:autoSpaceDN w:val="0"/>
        <w:adjustRightInd w:val="0"/>
        <w:spacing w:line="360" w:lineRule="auto"/>
        <w:jc w:val="both"/>
        <w:rPr>
          <w:rFonts w:ascii="Lato" w:hAnsi="Lato" w:cstheme="minorHAnsi"/>
          <w:sz w:val="20"/>
          <w:szCs w:val="20"/>
        </w:rPr>
      </w:pPr>
      <w:r w:rsidRPr="002B21CF">
        <w:rPr>
          <w:rFonts w:ascii="Lato" w:hAnsi="Lato" w:cstheme="minorHAnsi"/>
          <w:b/>
          <w:sz w:val="20"/>
          <w:szCs w:val="20"/>
        </w:rPr>
        <w:t>Inversiones Temporales</w:t>
      </w:r>
    </w:p>
    <w:p w14:paraId="6D59F7DA" w14:textId="1ECE6B2E" w:rsidR="00AC03FC" w:rsidRPr="002B21CF" w:rsidRDefault="008E7F6A" w:rsidP="00AC03FC">
      <w:pPr>
        <w:autoSpaceDE w:val="0"/>
        <w:autoSpaceDN w:val="0"/>
        <w:adjustRightInd w:val="0"/>
        <w:jc w:val="both"/>
        <w:rPr>
          <w:rFonts w:ascii="Lato" w:hAnsi="Lato" w:cstheme="minorHAnsi"/>
          <w:sz w:val="20"/>
          <w:szCs w:val="20"/>
        </w:rPr>
      </w:pPr>
      <w:r w:rsidRPr="002B21CF">
        <w:rPr>
          <w:rFonts w:ascii="Lato" w:hAnsi="Lato" w:cstheme="minorHAnsi"/>
          <w:sz w:val="20"/>
          <w:szCs w:val="20"/>
        </w:rPr>
        <w:t>A la fecha de su extinción E</w:t>
      </w:r>
      <w:r w:rsidR="00AC03FC" w:rsidRPr="002B21CF">
        <w:rPr>
          <w:rFonts w:ascii="Lato" w:hAnsi="Lato" w:cstheme="minorHAnsi"/>
          <w:sz w:val="20"/>
          <w:szCs w:val="20"/>
        </w:rPr>
        <w:t xml:space="preserve">l Fondo de Seguridad Pública no cuenta con </w:t>
      </w:r>
      <w:r w:rsidR="00440A84" w:rsidRPr="002B21CF">
        <w:rPr>
          <w:rFonts w:ascii="Lato" w:hAnsi="Lato" w:cstheme="minorHAnsi"/>
          <w:sz w:val="20"/>
          <w:szCs w:val="20"/>
        </w:rPr>
        <w:t>algún</w:t>
      </w:r>
      <w:r w:rsidR="00AC03FC" w:rsidRPr="002B21CF">
        <w:rPr>
          <w:rFonts w:ascii="Lato" w:hAnsi="Lato" w:cstheme="minorHAnsi"/>
          <w:sz w:val="20"/>
          <w:szCs w:val="20"/>
        </w:rPr>
        <w:t xml:space="preserve"> monto de efectivo invertido</w:t>
      </w:r>
      <w:r w:rsidR="00440A84" w:rsidRPr="002B21CF">
        <w:rPr>
          <w:rFonts w:ascii="Lato" w:hAnsi="Lato" w:cstheme="minorHAnsi"/>
          <w:sz w:val="20"/>
          <w:szCs w:val="20"/>
        </w:rPr>
        <w:t xml:space="preserve"> a plazos a la vista hasta 90 días.</w:t>
      </w:r>
    </w:p>
    <w:p w14:paraId="444CFBF9" w14:textId="77777777" w:rsidR="00DA7A82" w:rsidRPr="002B21CF" w:rsidRDefault="00DA7A82" w:rsidP="00AC03FC">
      <w:pPr>
        <w:autoSpaceDE w:val="0"/>
        <w:autoSpaceDN w:val="0"/>
        <w:adjustRightInd w:val="0"/>
        <w:jc w:val="both"/>
        <w:rPr>
          <w:rFonts w:ascii="Lato" w:hAnsi="Lato" w:cstheme="minorHAnsi"/>
          <w:sz w:val="20"/>
          <w:szCs w:val="20"/>
        </w:rPr>
      </w:pPr>
    </w:p>
    <w:p w14:paraId="28E32F11" w14:textId="4CEA5B0D" w:rsidR="00DA7A82" w:rsidRPr="002B21CF" w:rsidRDefault="00DA7A82" w:rsidP="00DA7A82">
      <w:pPr>
        <w:autoSpaceDE w:val="0"/>
        <w:autoSpaceDN w:val="0"/>
        <w:adjustRightInd w:val="0"/>
        <w:spacing w:line="360" w:lineRule="auto"/>
        <w:jc w:val="both"/>
        <w:rPr>
          <w:rFonts w:ascii="Lato" w:hAnsi="Lato" w:cstheme="minorHAnsi"/>
          <w:sz w:val="20"/>
          <w:szCs w:val="20"/>
        </w:rPr>
      </w:pPr>
      <w:r w:rsidRPr="002B21CF">
        <w:rPr>
          <w:rFonts w:ascii="Lato" w:hAnsi="Lato" w:cstheme="minorHAnsi"/>
          <w:b/>
          <w:sz w:val="20"/>
          <w:szCs w:val="20"/>
        </w:rPr>
        <w:t>Fondos con Afectación Específica</w:t>
      </w:r>
    </w:p>
    <w:p w14:paraId="2E917798" w14:textId="3F06A85E" w:rsidR="00DA7A82" w:rsidRPr="002B21CF" w:rsidRDefault="008E7F6A" w:rsidP="00DA7A82">
      <w:pPr>
        <w:autoSpaceDE w:val="0"/>
        <w:autoSpaceDN w:val="0"/>
        <w:adjustRightInd w:val="0"/>
        <w:jc w:val="both"/>
        <w:rPr>
          <w:rFonts w:ascii="Lato" w:hAnsi="Lato" w:cstheme="minorHAnsi"/>
          <w:sz w:val="20"/>
          <w:szCs w:val="20"/>
        </w:rPr>
      </w:pPr>
      <w:r w:rsidRPr="002B21CF">
        <w:rPr>
          <w:rFonts w:ascii="Lato" w:hAnsi="Lato" w:cstheme="minorHAnsi"/>
          <w:sz w:val="20"/>
          <w:szCs w:val="20"/>
        </w:rPr>
        <w:t xml:space="preserve">A la fecha de su extinción </w:t>
      </w:r>
      <w:r w:rsidR="00DA7A82" w:rsidRPr="002B21CF">
        <w:rPr>
          <w:rFonts w:ascii="Lato" w:hAnsi="Lato" w:cstheme="minorHAnsi"/>
          <w:sz w:val="20"/>
          <w:szCs w:val="20"/>
        </w:rPr>
        <w:t>El Fondo de Seguridad Pública no cuenta con algún monto como fondo de afectación específica para el financiamiento de determinados gastos o actividades.</w:t>
      </w:r>
    </w:p>
    <w:p w14:paraId="2FAA09BC" w14:textId="77777777" w:rsidR="00EA6DDD" w:rsidRPr="002B21CF" w:rsidRDefault="00EA6DDD" w:rsidP="00906A55">
      <w:pPr>
        <w:autoSpaceDE w:val="0"/>
        <w:autoSpaceDN w:val="0"/>
        <w:adjustRightInd w:val="0"/>
        <w:jc w:val="both"/>
        <w:rPr>
          <w:rFonts w:ascii="Lato" w:hAnsi="Lato" w:cstheme="minorHAnsi"/>
          <w:b/>
          <w:sz w:val="20"/>
          <w:szCs w:val="20"/>
        </w:rPr>
      </w:pPr>
    </w:p>
    <w:p w14:paraId="249C2853" w14:textId="1BBE9900" w:rsidR="0076163D" w:rsidRPr="002B21CF" w:rsidRDefault="008273DF" w:rsidP="00440A84">
      <w:pPr>
        <w:pStyle w:val="Prrafodelista"/>
        <w:numPr>
          <w:ilvl w:val="0"/>
          <w:numId w:val="8"/>
        </w:numPr>
        <w:autoSpaceDE w:val="0"/>
        <w:autoSpaceDN w:val="0"/>
        <w:adjustRightInd w:val="0"/>
        <w:jc w:val="both"/>
        <w:rPr>
          <w:rFonts w:ascii="Lato" w:hAnsi="Lato" w:cstheme="minorHAnsi"/>
          <w:b/>
          <w:sz w:val="20"/>
          <w:szCs w:val="20"/>
        </w:rPr>
      </w:pPr>
      <w:r w:rsidRPr="002B21CF">
        <w:rPr>
          <w:rFonts w:ascii="Lato" w:hAnsi="Lato" w:cstheme="minorHAnsi"/>
          <w:b/>
          <w:sz w:val="20"/>
          <w:szCs w:val="20"/>
        </w:rPr>
        <w:t xml:space="preserve">Derechos a Recibir Efectivo y Equivalentes y Bienes </w:t>
      </w:r>
      <w:r w:rsidR="000A1E6D" w:rsidRPr="002B21CF">
        <w:rPr>
          <w:rFonts w:ascii="Lato" w:hAnsi="Lato" w:cstheme="minorHAnsi"/>
          <w:b/>
          <w:sz w:val="20"/>
          <w:szCs w:val="20"/>
        </w:rPr>
        <w:t xml:space="preserve">o </w:t>
      </w:r>
      <w:r w:rsidRPr="002B21CF">
        <w:rPr>
          <w:rFonts w:ascii="Lato" w:hAnsi="Lato" w:cstheme="minorHAnsi"/>
          <w:b/>
          <w:sz w:val="20"/>
          <w:szCs w:val="20"/>
        </w:rPr>
        <w:t>Servicios</w:t>
      </w:r>
    </w:p>
    <w:p w14:paraId="15C3C82E" w14:textId="77777777" w:rsidR="00675509" w:rsidRPr="002B21CF" w:rsidRDefault="00675509" w:rsidP="0076163D">
      <w:pPr>
        <w:autoSpaceDE w:val="0"/>
        <w:autoSpaceDN w:val="0"/>
        <w:adjustRightInd w:val="0"/>
        <w:jc w:val="both"/>
        <w:rPr>
          <w:rFonts w:ascii="Lato" w:hAnsi="Lato" w:cstheme="minorHAnsi"/>
          <w:sz w:val="20"/>
          <w:szCs w:val="20"/>
        </w:rPr>
      </w:pPr>
    </w:p>
    <w:p w14:paraId="12E33FE4" w14:textId="6A94F454" w:rsidR="0076163D" w:rsidRPr="002B21CF" w:rsidRDefault="0076163D" w:rsidP="00906A55">
      <w:pPr>
        <w:autoSpaceDE w:val="0"/>
        <w:autoSpaceDN w:val="0"/>
        <w:adjustRightInd w:val="0"/>
        <w:jc w:val="both"/>
        <w:rPr>
          <w:rFonts w:ascii="Lato" w:hAnsi="Lato" w:cstheme="minorHAnsi"/>
          <w:sz w:val="20"/>
          <w:szCs w:val="20"/>
        </w:rPr>
      </w:pPr>
      <w:r w:rsidRPr="002B21CF">
        <w:rPr>
          <w:rFonts w:ascii="Lato" w:hAnsi="Lato" w:cstheme="minorHAnsi"/>
          <w:sz w:val="20"/>
          <w:szCs w:val="20"/>
        </w:rPr>
        <w:t xml:space="preserve">2.- </w:t>
      </w:r>
      <w:r w:rsidR="008E7F6A" w:rsidRPr="002B21CF">
        <w:rPr>
          <w:rFonts w:ascii="Lato" w:hAnsi="Lato" w:cstheme="minorHAnsi"/>
          <w:sz w:val="20"/>
          <w:szCs w:val="20"/>
        </w:rPr>
        <w:t xml:space="preserve">A la fecha de su extinción </w:t>
      </w:r>
      <w:r w:rsidR="007A3EF1" w:rsidRPr="002B21CF">
        <w:rPr>
          <w:rFonts w:ascii="Lato" w:hAnsi="Lato" w:cstheme="minorHAnsi"/>
          <w:sz w:val="20"/>
          <w:szCs w:val="20"/>
        </w:rPr>
        <w:t>el Fideicomiso Fondo de Seguridad Pública del Estado de Yucatán (FOSEG)</w:t>
      </w:r>
      <w:r w:rsidR="00900CD3" w:rsidRPr="002B21CF">
        <w:rPr>
          <w:rFonts w:ascii="Lato" w:hAnsi="Lato" w:cstheme="minorHAnsi"/>
          <w:sz w:val="20"/>
          <w:szCs w:val="20"/>
        </w:rPr>
        <w:t>,</w:t>
      </w:r>
      <w:r w:rsidR="00353DC5" w:rsidRPr="002B21CF">
        <w:rPr>
          <w:rFonts w:ascii="Lato" w:hAnsi="Lato" w:cstheme="minorHAnsi"/>
          <w:sz w:val="20"/>
          <w:szCs w:val="20"/>
        </w:rPr>
        <w:t xml:space="preserve"> </w:t>
      </w:r>
      <w:r w:rsidR="007A3EF1" w:rsidRPr="002B21CF">
        <w:rPr>
          <w:rFonts w:ascii="Lato" w:hAnsi="Lato" w:cstheme="minorHAnsi"/>
          <w:sz w:val="20"/>
          <w:szCs w:val="20"/>
        </w:rPr>
        <w:t>no tiene saldo en la cuenta de derechos a recibir efectivo o equivalentes</w:t>
      </w:r>
    </w:p>
    <w:p w14:paraId="6FE971E3" w14:textId="77777777" w:rsidR="007A6BA1" w:rsidRPr="002B21CF" w:rsidRDefault="007A6BA1" w:rsidP="00906A55">
      <w:pPr>
        <w:autoSpaceDE w:val="0"/>
        <w:autoSpaceDN w:val="0"/>
        <w:adjustRightInd w:val="0"/>
        <w:jc w:val="both"/>
        <w:rPr>
          <w:rFonts w:ascii="Lato" w:hAnsi="Lato" w:cstheme="minorHAnsi"/>
          <w:sz w:val="20"/>
          <w:szCs w:val="20"/>
        </w:rPr>
      </w:pPr>
    </w:p>
    <w:p w14:paraId="77426BF6" w14:textId="0CC004C4" w:rsidR="001060BF" w:rsidRPr="002B21CF" w:rsidRDefault="001060BF" w:rsidP="001060BF">
      <w:pPr>
        <w:autoSpaceDE w:val="0"/>
        <w:autoSpaceDN w:val="0"/>
        <w:adjustRightInd w:val="0"/>
        <w:jc w:val="both"/>
        <w:rPr>
          <w:rFonts w:ascii="Lato" w:hAnsi="Lato" w:cstheme="minorHAnsi"/>
          <w:sz w:val="20"/>
          <w:szCs w:val="20"/>
        </w:rPr>
      </w:pPr>
      <w:r w:rsidRPr="002B21CF">
        <w:rPr>
          <w:rFonts w:ascii="Lato" w:hAnsi="Lato" w:cstheme="minorHAnsi"/>
          <w:sz w:val="20"/>
          <w:szCs w:val="20"/>
        </w:rPr>
        <w:t xml:space="preserve">3.- </w:t>
      </w:r>
      <w:r w:rsidR="001C6E76" w:rsidRPr="002B21CF">
        <w:rPr>
          <w:rFonts w:ascii="Lato" w:hAnsi="Lato" w:cstheme="minorHAnsi"/>
          <w:sz w:val="20"/>
          <w:szCs w:val="20"/>
        </w:rPr>
        <w:t>Al no tener saldo en l</w:t>
      </w:r>
      <w:r w:rsidRPr="002B21CF">
        <w:rPr>
          <w:rFonts w:ascii="Lato" w:hAnsi="Lato" w:cstheme="minorHAnsi"/>
          <w:sz w:val="20"/>
          <w:szCs w:val="20"/>
        </w:rPr>
        <w:t>a cuenta de derechos a recibir efectivo</w:t>
      </w:r>
      <w:r w:rsidR="001C6E76" w:rsidRPr="002B21CF">
        <w:rPr>
          <w:rFonts w:ascii="Lato" w:hAnsi="Lato" w:cstheme="minorHAnsi"/>
          <w:sz w:val="20"/>
          <w:szCs w:val="20"/>
        </w:rPr>
        <w:t xml:space="preserve"> o equivalentes </w:t>
      </w:r>
      <w:r w:rsidRPr="002B21CF">
        <w:rPr>
          <w:rFonts w:ascii="Lato" w:hAnsi="Lato" w:cstheme="minorHAnsi"/>
          <w:sz w:val="20"/>
          <w:szCs w:val="20"/>
        </w:rPr>
        <w:t>de este Fondo de Seguridad Pública del Estado de Yucatán</w:t>
      </w:r>
      <w:r w:rsidR="001C6E76" w:rsidRPr="002B21CF">
        <w:rPr>
          <w:rFonts w:ascii="Lato" w:hAnsi="Lato" w:cstheme="minorHAnsi"/>
          <w:sz w:val="20"/>
          <w:szCs w:val="20"/>
        </w:rPr>
        <w:t>,</w:t>
      </w:r>
      <w:r w:rsidRPr="002B21CF">
        <w:rPr>
          <w:rFonts w:ascii="Lato" w:hAnsi="Lato" w:cstheme="minorHAnsi"/>
          <w:sz w:val="20"/>
          <w:szCs w:val="20"/>
        </w:rPr>
        <w:t xml:space="preserve"> </w:t>
      </w:r>
      <w:r w:rsidR="001C6E76" w:rsidRPr="002B21CF">
        <w:rPr>
          <w:rFonts w:ascii="Lato" w:hAnsi="Lato" w:cstheme="minorHAnsi"/>
          <w:sz w:val="20"/>
          <w:szCs w:val="20"/>
        </w:rPr>
        <w:t>no existe información que revelar de acuerdo al vencimiento.</w:t>
      </w:r>
    </w:p>
    <w:p w14:paraId="35FF13A8" w14:textId="24234020" w:rsidR="008A0458" w:rsidRPr="002B21CF" w:rsidRDefault="008A0458" w:rsidP="00895DA8">
      <w:pPr>
        <w:pStyle w:val="Prrafodelista"/>
        <w:numPr>
          <w:ilvl w:val="0"/>
          <w:numId w:val="8"/>
        </w:numPr>
        <w:autoSpaceDE w:val="0"/>
        <w:autoSpaceDN w:val="0"/>
        <w:adjustRightInd w:val="0"/>
        <w:jc w:val="both"/>
        <w:rPr>
          <w:rFonts w:ascii="Lato" w:hAnsi="Lato" w:cstheme="minorHAnsi"/>
          <w:b/>
          <w:sz w:val="20"/>
          <w:szCs w:val="20"/>
        </w:rPr>
      </w:pPr>
      <w:bookmarkStart w:id="3" w:name="m2"/>
      <w:bookmarkEnd w:id="3"/>
      <w:r w:rsidRPr="002B21CF">
        <w:rPr>
          <w:rFonts w:ascii="Lato" w:hAnsi="Lato" w:cstheme="minorHAnsi"/>
          <w:b/>
          <w:sz w:val="20"/>
          <w:szCs w:val="20"/>
        </w:rPr>
        <w:t>Inventarios</w:t>
      </w:r>
      <w:r w:rsidR="00042929" w:rsidRPr="002B21CF">
        <w:rPr>
          <w:rFonts w:ascii="Lato" w:hAnsi="Lato" w:cstheme="minorHAnsi"/>
          <w:b/>
          <w:sz w:val="20"/>
          <w:szCs w:val="20"/>
        </w:rPr>
        <w:t xml:space="preserve"> </w:t>
      </w:r>
    </w:p>
    <w:p w14:paraId="5E833286" w14:textId="77777777" w:rsidR="00937885" w:rsidRPr="002B21CF" w:rsidRDefault="00937885" w:rsidP="00937885">
      <w:pPr>
        <w:pStyle w:val="Prrafodelista"/>
        <w:autoSpaceDE w:val="0"/>
        <w:autoSpaceDN w:val="0"/>
        <w:adjustRightInd w:val="0"/>
        <w:jc w:val="both"/>
        <w:rPr>
          <w:rFonts w:ascii="Lato" w:hAnsi="Lato" w:cstheme="minorHAnsi"/>
          <w:b/>
          <w:sz w:val="20"/>
          <w:szCs w:val="20"/>
        </w:rPr>
      </w:pPr>
    </w:p>
    <w:p w14:paraId="7C891FB6" w14:textId="1194E5A0" w:rsidR="008A0458" w:rsidRPr="002B21CF" w:rsidRDefault="001060BF" w:rsidP="00906A55">
      <w:pPr>
        <w:autoSpaceDE w:val="0"/>
        <w:autoSpaceDN w:val="0"/>
        <w:adjustRightInd w:val="0"/>
        <w:jc w:val="both"/>
        <w:rPr>
          <w:rFonts w:ascii="Lato" w:hAnsi="Lato" w:cstheme="minorHAnsi"/>
          <w:sz w:val="20"/>
          <w:szCs w:val="20"/>
        </w:rPr>
      </w:pPr>
      <w:r w:rsidRPr="002B21CF">
        <w:rPr>
          <w:rFonts w:ascii="Lato" w:hAnsi="Lato" w:cstheme="minorHAnsi"/>
          <w:sz w:val="20"/>
          <w:szCs w:val="20"/>
        </w:rPr>
        <w:t>4</w:t>
      </w:r>
      <w:r w:rsidR="008A0458" w:rsidRPr="002B21CF">
        <w:rPr>
          <w:rFonts w:ascii="Lato" w:hAnsi="Lato" w:cstheme="minorHAnsi"/>
          <w:sz w:val="20"/>
          <w:szCs w:val="20"/>
        </w:rPr>
        <w:t xml:space="preserve">.- El </w:t>
      </w:r>
      <w:r w:rsidR="00192C39" w:rsidRPr="002B21CF">
        <w:rPr>
          <w:rFonts w:ascii="Lato" w:hAnsi="Lato" w:cstheme="minorHAnsi"/>
          <w:sz w:val="20"/>
          <w:szCs w:val="20"/>
        </w:rPr>
        <w:t>Fondo de Seguridad Pública</w:t>
      </w:r>
      <w:r w:rsidR="00823027" w:rsidRPr="002B21CF">
        <w:rPr>
          <w:rFonts w:ascii="Lato" w:hAnsi="Lato" w:cstheme="minorHAnsi"/>
          <w:sz w:val="20"/>
          <w:szCs w:val="20"/>
        </w:rPr>
        <w:t xml:space="preserve"> del Estado de Yucatán</w:t>
      </w:r>
      <w:r w:rsidR="00192C39" w:rsidRPr="002B21CF">
        <w:rPr>
          <w:rFonts w:ascii="Lato" w:hAnsi="Lato" w:cstheme="minorHAnsi"/>
          <w:sz w:val="20"/>
          <w:szCs w:val="20"/>
        </w:rPr>
        <w:t xml:space="preserve"> </w:t>
      </w:r>
      <w:r w:rsidR="008E7F6A" w:rsidRPr="002B21CF">
        <w:rPr>
          <w:rFonts w:ascii="Lato" w:hAnsi="Lato" w:cstheme="minorHAnsi"/>
          <w:sz w:val="20"/>
          <w:szCs w:val="20"/>
        </w:rPr>
        <w:t xml:space="preserve">a la fecha de su extinción </w:t>
      </w:r>
      <w:r w:rsidR="00900CD3" w:rsidRPr="002B21CF">
        <w:rPr>
          <w:rFonts w:ascii="Lato" w:hAnsi="Lato" w:cstheme="minorHAnsi"/>
          <w:sz w:val="20"/>
          <w:szCs w:val="20"/>
        </w:rPr>
        <w:t>nunca realizó</w:t>
      </w:r>
      <w:r w:rsidR="008A0458" w:rsidRPr="002B21CF">
        <w:rPr>
          <w:rFonts w:ascii="Lato" w:hAnsi="Lato" w:cstheme="minorHAnsi"/>
          <w:sz w:val="20"/>
          <w:szCs w:val="20"/>
        </w:rPr>
        <w:t xml:space="preserve"> ningún proceso de transformación y/o elaboración de bienes.</w:t>
      </w:r>
    </w:p>
    <w:p w14:paraId="735BE241" w14:textId="77777777" w:rsidR="001C6E76" w:rsidRPr="002B21CF" w:rsidRDefault="001C6E76" w:rsidP="00906A55">
      <w:pPr>
        <w:autoSpaceDE w:val="0"/>
        <w:autoSpaceDN w:val="0"/>
        <w:adjustRightInd w:val="0"/>
        <w:jc w:val="both"/>
        <w:rPr>
          <w:rFonts w:ascii="Lato" w:hAnsi="Lato" w:cstheme="minorHAnsi"/>
          <w:sz w:val="20"/>
          <w:szCs w:val="20"/>
        </w:rPr>
      </w:pPr>
    </w:p>
    <w:p w14:paraId="6005C1C3" w14:textId="77777777" w:rsidR="00DB3B03" w:rsidRPr="002B21CF" w:rsidRDefault="00DB3B03" w:rsidP="00DB3B03">
      <w:pPr>
        <w:pStyle w:val="Prrafodelista"/>
        <w:numPr>
          <w:ilvl w:val="0"/>
          <w:numId w:val="8"/>
        </w:numPr>
        <w:autoSpaceDE w:val="0"/>
        <w:autoSpaceDN w:val="0"/>
        <w:adjustRightInd w:val="0"/>
        <w:jc w:val="both"/>
        <w:rPr>
          <w:rFonts w:ascii="Lato" w:hAnsi="Lato" w:cstheme="minorHAnsi"/>
          <w:b/>
          <w:sz w:val="20"/>
          <w:szCs w:val="20"/>
        </w:rPr>
      </w:pPr>
      <w:r w:rsidRPr="002B21CF">
        <w:rPr>
          <w:rFonts w:ascii="Lato" w:hAnsi="Lato" w:cstheme="minorHAnsi"/>
          <w:b/>
          <w:sz w:val="20"/>
          <w:szCs w:val="20"/>
        </w:rPr>
        <w:t>Almacenes</w:t>
      </w:r>
    </w:p>
    <w:p w14:paraId="6413A09E" w14:textId="77777777" w:rsidR="00DB3B03" w:rsidRPr="002B21CF" w:rsidRDefault="00DB3B03" w:rsidP="00906A55">
      <w:pPr>
        <w:autoSpaceDE w:val="0"/>
        <w:autoSpaceDN w:val="0"/>
        <w:adjustRightInd w:val="0"/>
        <w:jc w:val="both"/>
        <w:rPr>
          <w:rFonts w:ascii="Lato" w:hAnsi="Lato" w:cstheme="minorHAnsi"/>
          <w:sz w:val="20"/>
          <w:szCs w:val="20"/>
        </w:rPr>
      </w:pPr>
    </w:p>
    <w:p w14:paraId="1718470F" w14:textId="5C2DF0D9" w:rsidR="008A0458" w:rsidRPr="002B21CF" w:rsidRDefault="001060BF" w:rsidP="00906A55">
      <w:pPr>
        <w:autoSpaceDE w:val="0"/>
        <w:autoSpaceDN w:val="0"/>
        <w:adjustRightInd w:val="0"/>
        <w:jc w:val="both"/>
        <w:rPr>
          <w:rFonts w:ascii="Lato" w:hAnsi="Lato" w:cstheme="minorHAnsi"/>
          <w:sz w:val="20"/>
          <w:szCs w:val="20"/>
        </w:rPr>
      </w:pPr>
      <w:r w:rsidRPr="002B21CF">
        <w:rPr>
          <w:rFonts w:ascii="Lato" w:hAnsi="Lato" w:cstheme="minorHAnsi"/>
          <w:sz w:val="20"/>
          <w:szCs w:val="20"/>
        </w:rPr>
        <w:t>5</w:t>
      </w:r>
      <w:r w:rsidR="008A0458" w:rsidRPr="002B21CF">
        <w:rPr>
          <w:rFonts w:ascii="Lato" w:hAnsi="Lato" w:cstheme="minorHAnsi"/>
          <w:sz w:val="20"/>
          <w:szCs w:val="20"/>
        </w:rPr>
        <w:t xml:space="preserve">.- El </w:t>
      </w:r>
      <w:r w:rsidR="001B4122" w:rsidRPr="002B21CF">
        <w:rPr>
          <w:rFonts w:ascii="Lato" w:hAnsi="Lato" w:cstheme="minorHAnsi"/>
          <w:sz w:val="20"/>
          <w:szCs w:val="20"/>
        </w:rPr>
        <w:t>Fondo de Seguridad Pública</w:t>
      </w:r>
      <w:r w:rsidR="00823027" w:rsidRPr="002B21CF">
        <w:rPr>
          <w:rFonts w:ascii="Lato" w:hAnsi="Lato" w:cstheme="minorHAnsi"/>
          <w:sz w:val="20"/>
          <w:szCs w:val="20"/>
        </w:rPr>
        <w:t xml:space="preserve"> del Estado de Yucatán</w:t>
      </w:r>
      <w:r w:rsidR="008E7F6A" w:rsidRPr="002B21CF">
        <w:rPr>
          <w:rFonts w:ascii="Lato" w:hAnsi="Lato" w:cstheme="minorHAnsi"/>
          <w:sz w:val="20"/>
          <w:szCs w:val="20"/>
        </w:rPr>
        <w:t xml:space="preserve"> a la fecha de su extinción</w:t>
      </w:r>
      <w:r w:rsidR="00795A81" w:rsidRPr="002B21CF">
        <w:rPr>
          <w:rFonts w:ascii="Lato" w:hAnsi="Lato" w:cstheme="minorHAnsi"/>
          <w:sz w:val="20"/>
          <w:szCs w:val="20"/>
        </w:rPr>
        <w:t xml:space="preserve"> </w:t>
      </w:r>
      <w:r w:rsidR="00900CD3" w:rsidRPr="002B21CF">
        <w:rPr>
          <w:rFonts w:ascii="Lato" w:hAnsi="Lato" w:cstheme="minorHAnsi"/>
          <w:sz w:val="20"/>
          <w:szCs w:val="20"/>
        </w:rPr>
        <w:t>nunca realizó</w:t>
      </w:r>
      <w:r w:rsidR="008A0458" w:rsidRPr="002B21CF">
        <w:rPr>
          <w:rFonts w:ascii="Lato" w:hAnsi="Lato" w:cstheme="minorHAnsi"/>
          <w:sz w:val="20"/>
          <w:szCs w:val="20"/>
        </w:rPr>
        <w:t xml:space="preserve"> registro en la cuenta de almacén en virtud por la naturaleza de s</w:t>
      </w:r>
      <w:r w:rsidR="00900CD3" w:rsidRPr="002B21CF">
        <w:rPr>
          <w:rFonts w:ascii="Lato" w:hAnsi="Lato" w:cstheme="minorHAnsi"/>
          <w:sz w:val="20"/>
          <w:szCs w:val="20"/>
        </w:rPr>
        <w:t>us operaciones no tuvo</w:t>
      </w:r>
      <w:r w:rsidR="008A0458" w:rsidRPr="002B21CF">
        <w:rPr>
          <w:rFonts w:ascii="Lato" w:hAnsi="Lato" w:cstheme="minorHAnsi"/>
          <w:sz w:val="20"/>
          <w:szCs w:val="20"/>
        </w:rPr>
        <w:t xml:space="preserve"> bienes en inventarios.</w:t>
      </w:r>
    </w:p>
    <w:p w14:paraId="731D03AD" w14:textId="77777777" w:rsidR="000A1E6D" w:rsidRPr="002B21CF" w:rsidRDefault="000A1E6D" w:rsidP="00906A55">
      <w:pPr>
        <w:autoSpaceDE w:val="0"/>
        <w:autoSpaceDN w:val="0"/>
        <w:adjustRightInd w:val="0"/>
        <w:jc w:val="both"/>
        <w:rPr>
          <w:rFonts w:ascii="Lato" w:hAnsi="Lato" w:cstheme="minorHAnsi"/>
          <w:sz w:val="20"/>
          <w:szCs w:val="20"/>
        </w:rPr>
      </w:pPr>
    </w:p>
    <w:p w14:paraId="31B3FFDD" w14:textId="57398313" w:rsidR="001B4122" w:rsidRPr="002B21CF" w:rsidRDefault="001B4122" w:rsidP="001060BF">
      <w:pPr>
        <w:pStyle w:val="Prrafodelista"/>
        <w:numPr>
          <w:ilvl w:val="0"/>
          <w:numId w:val="8"/>
        </w:numPr>
        <w:autoSpaceDE w:val="0"/>
        <w:autoSpaceDN w:val="0"/>
        <w:adjustRightInd w:val="0"/>
        <w:jc w:val="both"/>
        <w:rPr>
          <w:rFonts w:ascii="Lato" w:hAnsi="Lato" w:cstheme="minorHAnsi"/>
          <w:b/>
          <w:sz w:val="20"/>
          <w:szCs w:val="20"/>
        </w:rPr>
      </w:pPr>
      <w:r w:rsidRPr="002B21CF">
        <w:rPr>
          <w:rFonts w:ascii="Lato" w:hAnsi="Lato" w:cstheme="minorHAnsi"/>
          <w:b/>
          <w:sz w:val="20"/>
          <w:szCs w:val="20"/>
        </w:rPr>
        <w:t>Inversiones Financieras</w:t>
      </w:r>
    </w:p>
    <w:p w14:paraId="76FEE376" w14:textId="77777777" w:rsidR="000A1E6D" w:rsidRPr="002B21CF" w:rsidRDefault="000A1E6D" w:rsidP="000A1E6D">
      <w:pPr>
        <w:pStyle w:val="Prrafodelista"/>
        <w:rPr>
          <w:rFonts w:ascii="Lato" w:hAnsi="Lato" w:cstheme="minorHAnsi"/>
          <w:b/>
          <w:sz w:val="20"/>
          <w:szCs w:val="20"/>
        </w:rPr>
      </w:pPr>
    </w:p>
    <w:p w14:paraId="6F2CC960" w14:textId="2CA4EBC3" w:rsidR="002F14F7" w:rsidRPr="002B21CF" w:rsidRDefault="001060BF" w:rsidP="00906A55">
      <w:pPr>
        <w:autoSpaceDE w:val="0"/>
        <w:autoSpaceDN w:val="0"/>
        <w:adjustRightInd w:val="0"/>
        <w:jc w:val="both"/>
        <w:rPr>
          <w:rFonts w:ascii="Lato" w:hAnsi="Lato" w:cstheme="minorHAnsi"/>
          <w:sz w:val="20"/>
          <w:szCs w:val="20"/>
        </w:rPr>
      </w:pPr>
      <w:r w:rsidRPr="002B21CF">
        <w:rPr>
          <w:rFonts w:ascii="Lato" w:hAnsi="Lato" w:cstheme="minorHAnsi"/>
          <w:sz w:val="20"/>
          <w:szCs w:val="20"/>
        </w:rPr>
        <w:t>6</w:t>
      </w:r>
      <w:r w:rsidR="008A0458" w:rsidRPr="002B21CF">
        <w:rPr>
          <w:rFonts w:ascii="Lato" w:hAnsi="Lato" w:cstheme="minorHAnsi"/>
          <w:sz w:val="20"/>
          <w:szCs w:val="20"/>
        </w:rPr>
        <w:t>.-</w:t>
      </w:r>
      <w:r w:rsidR="002F14F7" w:rsidRPr="002B21CF">
        <w:rPr>
          <w:rFonts w:ascii="Lato" w:hAnsi="Lato" w:cstheme="minorHAnsi"/>
          <w:sz w:val="20"/>
          <w:szCs w:val="20"/>
        </w:rPr>
        <w:t xml:space="preserve"> El</w:t>
      </w:r>
      <w:r w:rsidR="001B4122" w:rsidRPr="002B21CF">
        <w:rPr>
          <w:rFonts w:ascii="Lato" w:hAnsi="Lato" w:cstheme="minorHAnsi"/>
          <w:sz w:val="20"/>
          <w:szCs w:val="20"/>
        </w:rPr>
        <w:t xml:space="preserve"> Fondo de Seguridad Pública</w:t>
      </w:r>
      <w:r w:rsidR="00823027" w:rsidRPr="002B21CF">
        <w:rPr>
          <w:rFonts w:ascii="Lato" w:hAnsi="Lato" w:cstheme="minorHAnsi"/>
          <w:sz w:val="20"/>
          <w:szCs w:val="20"/>
        </w:rPr>
        <w:t xml:space="preserve"> del Estado de Yucatán</w:t>
      </w:r>
      <w:r w:rsidR="001B4122" w:rsidRPr="002B21CF">
        <w:rPr>
          <w:rFonts w:ascii="Lato" w:hAnsi="Lato" w:cstheme="minorHAnsi"/>
          <w:sz w:val="20"/>
          <w:szCs w:val="20"/>
        </w:rPr>
        <w:t xml:space="preserve"> </w:t>
      </w:r>
      <w:r w:rsidR="008E7F6A" w:rsidRPr="002B21CF">
        <w:rPr>
          <w:rFonts w:ascii="Lato" w:hAnsi="Lato" w:cstheme="minorHAnsi"/>
          <w:sz w:val="20"/>
          <w:szCs w:val="20"/>
        </w:rPr>
        <w:t xml:space="preserve">a la fecha de su extinción </w:t>
      </w:r>
      <w:r w:rsidR="001B4122" w:rsidRPr="002B21CF">
        <w:rPr>
          <w:rFonts w:ascii="Lato" w:hAnsi="Lato" w:cstheme="minorHAnsi"/>
          <w:sz w:val="20"/>
          <w:szCs w:val="20"/>
        </w:rPr>
        <w:t xml:space="preserve">no </w:t>
      </w:r>
      <w:r w:rsidR="00795A81" w:rsidRPr="002B21CF">
        <w:rPr>
          <w:rFonts w:ascii="Lato" w:hAnsi="Lato" w:cstheme="minorHAnsi"/>
          <w:sz w:val="20"/>
          <w:szCs w:val="20"/>
        </w:rPr>
        <w:t>cuenta con ning</w:t>
      </w:r>
      <w:r w:rsidR="00900CD3" w:rsidRPr="002B21CF">
        <w:rPr>
          <w:rFonts w:ascii="Lato" w:hAnsi="Lato" w:cstheme="minorHAnsi"/>
          <w:sz w:val="20"/>
          <w:szCs w:val="20"/>
        </w:rPr>
        <w:t>ún tipo de inversión financiera</w:t>
      </w:r>
      <w:r w:rsidR="008E7F6A" w:rsidRPr="002B21CF">
        <w:rPr>
          <w:rFonts w:ascii="Lato" w:hAnsi="Lato" w:cstheme="minorHAnsi"/>
          <w:sz w:val="20"/>
          <w:szCs w:val="20"/>
        </w:rPr>
        <w:t>.</w:t>
      </w:r>
    </w:p>
    <w:p w14:paraId="282FD731" w14:textId="4E5F2E38" w:rsidR="00C42F46" w:rsidRPr="002B21CF" w:rsidRDefault="00C42F46" w:rsidP="00906A55">
      <w:pPr>
        <w:autoSpaceDE w:val="0"/>
        <w:autoSpaceDN w:val="0"/>
        <w:adjustRightInd w:val="0"/>
        <w:jc w:val="both"/>
        <w:rPr>
          <w:rFonts w:ascii="Lato" w:hAnsi="Lato" w:cstheme="minorHAnsi"/>
          <w:sz w:val="20"/>
          <w:szCs w:val="20"/>
        </w:rPr>
      </w:pPr>
    </w:p>
    <w:p w14:paraId="331F2ACC" w14:textId="59ECEC27" w:rsidR="00C42F46" w:rsidRPr="002B21CF" w:rsidRDefault="00C42F46" w:rsidP="00906A55">
      <w:pPr>
        <w:autoSpaceDE w:val="0"/>
        <w:autoSpaceDN w:val="0"/>
        <w:adjustRightInd w:val="0"/>
        <w:jc w:val="both"/>
        <w:rPr>
          <w:rFonts w:ascii="Lato" w:hAnsi="Lato" w:cstheme="minorHAnsi"/>
          <w:sz w:val="20"/>
          <w:szCs w:val="20"/>
        </w:rPr>
      </w:pPr>
      <w:r w:rsidRPr="002B21CF">
        <w:rPr>
          <w:rFonts w:ascii="Lato" w:hAnsi="Lato" w:cstheme="minorHAnsi"/>
          <w:sz w:val="20"/>
          <w:szCs w:val="20"/>
        </w:rPr>
        <w:t>7.-</w:t>
      </w:r>
      <w:r w:rsidR="00161F42" w:rsidRPr="002B21CF">
        <w:rPr>
          <w:rFonts w:ascii="Lato" w:hAnsi="Lato" w:cstheme="minorHAnsi"/>
          <w:sz w:val="20"/>
          <w:szCs w:val="20"/>
        </w:rPr>
        <w:t xml:space="preserve"> El Fondo de Seguridad Pública del Estado de Yucatán </w:t>
      </w:r>
      <w:r w:rsidR="008E7F6A" w:rsidRPr="002B21CF">
        <w:rPr>
          <w:rFonts w:ascii="Lato" w:hAnsi="Lato" w:cstheme="minorHAnsi"/>
          <w:sz w:val="20"/>
          <w:szCs w:val="20"/>
        </w:rPr>
        <w:t xml:space="preserve">a la fecha de su extinción </w:t>
      </w:r>
      <w:r w:rsidR="00161F42" w:rsidRPr="002B21CF">
        <w:rPr>
          <w:rFonts w:ascii="Lato" w:hAnsi="Lato" w:cstheme="minorHAnsi"/>
          <w:sz w:val="20"/>
          <w:szCs w:val="20"/>
        </w:rPr>
        <w:t xml:space="preserve">no cuenta con </w:t>
      </w:r>
      <w:r w:rsidRPr="002B21CF">
        <w:rPr>
          <w:rFonts w:ascii="Lato" w:hAnsi="Lato" w:cstheme="minorHAnsi"/>
          <w:sz w:val="20"/>
          <w:szCs w:val="20"/>
        </w:rPr>
        <w:t>Participaciones y Aportaciones de Capital, Inversiones a Largo Plazo y Títulos y Valores a Largo Plazo</w:t>
      </w:r>
      <w:r w:rsidR="008E7F6A" w:rsidRPr="002B21CF">
        <w:rPr>
          <w:rFonts w:ascii="Lato" w:hAnsi="Lato" w:cstheme="minorHAnsi"/>
          <w:sz w:val="20"/>
          <w:szCs w:val="20"/>
        </w:rPr>
        <w:t>.</w:t>
      </w:r>
      <w:r w:rsidR="00900CD3" w:rsidRPr="002B21CF">
        <w:rPr>
          <w:rFonts w:ascii="Lato" w:hAnsi="Lato" w:cstheme="minorHAnsi"/>
          <w:sz w:val="20"/>
          <w:szCs w:val="20"/>
        </w:rPr>
        <w:t xml:space="preserve"> </w:t>
      </w:r>
    </w:p>
    <w:p w14:paraId="2036C61E" w14:textId="36462339" w:rsidR="00271D04" w:rsidRPr="002B21CF" w:rsidRDefault="00C42F46" w:rsidP="00906A55">
      <w:pPr>
        <w:autoSpaceDE w:val="0"/>
        <w:autoSpaceDN w:val="0"/>
        <w:adjustRightInd w:val="0"/>
        <w:jc w:val="both"/>
        <w:rPr>
          <w:rFonts w:ascii="Lato" w:hAnsi="Lato" w:cstheme="minorHAnsi"/>
          <w:b/>
          <w:sz w:val="20"/>
          <w:szCs w:val="20"/>
        </w:rPr>
      </w:pPr>
      <w:r w:rsidRPr="002B21CF">
        <w:rPr>
          <w:rFonts w:ascii="Lato" w:hAnsi="Lato" w:cstheme="minorHAnsi"/>
          <w:sz w:val="20"/>
          <w:szCs w:val="20"/>
        </w:rPr>
        <w:t xml:space="preserve"> </w:t>
      </w:r>
    </w:p>
    <w:p w14:paraId="4DFDD4BC" w14:textId="4B0BE9CA" w:rsidR="00795A81" w:rsidRPr="002B21CF" w:rsidRDefault="00795A81" w:rsidP="001060BF">
      <w:pPr>
        <w:pStyle w:val="Prrafodelista"/>
        <w:numPr>
          <w:ilvl w:val="0"/>
          <w:numId w:val="8"/>
        </w:numPr>
        <w:autoSpaceDE w:val="0"/>
        <w:autoSpaceDN w:val="0"/>
        <w:adjustRightInd w:val="0"/>
        <w:jc w:val="both"/>
        <w:rPr>
          <w:rFonts w:ascii="Lato" w:hAnsi="Lato" w:cstheme="minorHAnsi"/>
          <w:b/>
          <w:sz w:val="20"/>
          <w:szCs w:val="20"/>
        </w:rPr>
      </w:pPr>
      <w:r w:rsidRPr="002B21CF">
        <w:rPr>
          <w:rFonts w:ascii="Lato" w:hAnsi="Lato" w:cstheme="minorHAnsi"/>
          <w:b/>
          <w:sz w:val="20"/>
          <w:szCs w:val="20"/>
        </w:rPr>
        <w:t>Bienes Muebles, Inmuebles e Intangibles</w:t>
      </w:r>
    </w:p>
    <w:p w14:paraId="03DE7BE0" w14:textId="44C60DB1" w:rsidR="00580E5E" w:rsidRPr="002B21CF" w:rsidRDefault="00580E5E" w:rsidP="00580E5E">
      <w:pPr>
        <w:autoSpaceDE w:val="0"/>
        <w:autoSpaceDN w:val="0"/>
        <w:adjustRightInd w:val="0"/>
        <w:jc w:val="both"/>
        <w:rPr>
          <w:rFonts w:ascii="Lato" w:hAnsi="Lato" w:cstheme="minorHAnsi"/>
          <w:b/>
          <w:sz w:val="20"/>
          <w:szCs w:val="20"/>
        </w:rPr>
      </w:pPr>
    </w:p>
    <w:p w14:paraId="3996F8D0" w14:textId="77777777" w:rsidR="00580E5E" w:rsidRPr="002B21CF" w:rsidRDefault="00580E5E" w:rsidP="00580E5E">
      <w:pPr>
        <w:autoSpaceDE w:val="0"/>
        <w:autoSpaceDN w:val="0"/>
        <w:adjustRightInd w:val="0"/>
        <w:jc w:val="both"/>
        <w:rPr>
          <w:rFonts w:ascii="Lato" w:hAnsi="Lato" w:cstheme="minorHAnsi"/>
          <w:sz w:val="20"/>
          <w:szCs w:val="20"/>
        </w:rPr>
      </w:pPr>
      <w:r w:rsidRPr="002B21CF">
        <w:rPr>
          <w:rFonts w:ascii="Lato" w:hAnsi="Lato" w:cstheme="minorHAnsi"/>
          <w:sz w:val="20"/>
          <w:szCs w:val="20"/>
        </w:rPr>
        <w:t>Con fecha 8 de agosto de 2013 se publicó en el Diario Oficial de la Federación el “Acuerdo por el que se determina la norma de información financiera para precisar los alcances del Acuerdo 1 aprobado por el Consejo Nacional de Armonización Contable, en reunión del 3 de mayo de 2013 y publicado el 16 de mayo de 2013”, en el cual se especifica que en lo que corresponde a realizar los registros contables con base en las Reglas de Registro y Valoración del Patrimonio, el inventario físico de los bienes muebles e inmuebles deberá estar integrado, valuado y debidamente conciliado con el registro contable a más tardar el 31 de diciembre de 2014.</w:t>
      </w:r>
    </w:p>
    <w:p w14:paraId="0D909E17" w14:textId="79AB9C82" w:rsidR="005D2C5C" w:rsidRPr="002B21CF" w:rsidRDefault="005D2C5C" w:rsidP="00580E5E">
      <w:pPr>
        <w:autoSpaceDE w:val="0"/>
        <w:autoSpaceDN w:val="0"/>
        <w:adjustRightInd w:val="0"/>
        <w:jc w:val="both"/>
        <w:rPr>
          <w:rFonts w:ascii="Lato" w:hAnsi="Lato" w:cstheme="minorHAnsi"/>
          <w:sz w:val="20"/>
          <w:szCs w:val="20"/>
        </w:rPr>
      </w:pPr>
    </w:p>
    <w:p w14:paraId="7D081192" w14:textId="44447463" w:rsidR="00580E5E" w:rsidRPr="002B21CF" w:rsidRDefault="008E7F6A" w:rsidP="00580E5E">
      <w:pPr>
        <w:autoSpaceDE w:val="0"/>
        <w:autoSpaceDN w:val="0"/>
        <w:adjustRightInd w:val="0"/>
        <w:jc w:val="both"/>
        <w:rPr>
          <w:rFonts w:ascii="Lato" w:hAnsi="Lato" w:cstheme="minorHAnsi"/>
          <w:sz w:val="20"/>
          <w:szCs w:val="20"/>
        </w:rPr>
      </w:pPr>
      <w:r w:rsidRPr="002B21CF">
        <w:rPr>
          <w:rFonts w:ascii="Lato" w:hAnsi="Lato" w:cstheme="minorHAnsi"/>
          <w:sz w:val="20"/>
          <w:szCs w:val="20"/>
        </w:rPr>
        <w:t>C</w:t>
      </w:r>
      <w:r w:rsidR="00C26766" w:rsidRPr="002B21CF">
        <w:rPr>
          <w:rFonts w:ascii="Lato" w:hAnsi="Lato" w:cstheme="minorHAnsi"/>
          <w:sz w:val="20"/>
          <w:szCs w:val="20"/>
        </w:rPr>
        <w:t>abe aclarar que de acuerdo a la naturaleza y atribuciones</w:t>
      </w:r>
      <w:r w:rsidR="00900CD3" w:rsidRPr="002B21CF">
        <w:rPr>
          <w:rFonts w:ascii="Lato" w:hAnsi="Lato" w:cstheme="minorHAnsi"/>
          <w:sz w:val="20"/>
          <w:szCs w:val="20"/>
        </w:rPr>
        <w:t xml:space="preserve"> que tenía </w:t>
      </w:r>
      <w:r w:rsidR="00C26766" w:rsidRPr="002B21CF">
        <w:rPr>
          <w:rFonts w:ascii="Lato" w:hAnsi="Lato" w:cstheme="minorHAnsi"/>
          <w:sz w:val="20"/>
          <w:szCs w:val="20"/>
        </w:rPr>
        <w:t>el Fondo de Seguridad Pública del Estado de Yucatán el Inventario de Bienes Muebles e Inmuebles y lo referente a la depreciación y vida útil, es de competencia de los Beneficiarios del Fondo (instancias ejecutoras).</w:t>
      </w:r>
    </w:p>
    <w:p w14:paraId="4313BD5B" w14:textId="7E75DB7B" w:rsidR="005049AE" w:rsidRPr="002B21CF" w:rsidRDefault="005049AE" w:rsidP="005049AE">
      <w:pPr>
        <w:autoSpaceDE w:val="0"/>
        <w:autoSpaceDN w:val="0"/>
        <w:adjustRightInd w:val="0"/>
        <w:jc w:val="both"/>
        <w:rPr>
          <w:rFonts w:ascii="Lato" w:hAnsi="Lato" w:cstheme="minorHAnsi"/>
          <w:b/>
          <w:sz w:val="20"/>
          <w:szCs w:val="20"/>
        </w:rPr>
      </w:pPr>
    </w:p>
    <w:p w14:paraId="56CF3DFE" w14:textId="1A1CC52F" w:rsidR="00410493" w:rsidRPr="002B21CF" w:rsidRDefault="00B135E4" w:rsidP="00906A55">
      <w:pPr>
        <w:autoSpaceDE w:val="0"/>
        <w:autoSpaceDN w:val="0"/>
        <w:adjustRightInd w:val="0"/>
        <w:jc w:val="both"/>
        <w:rPr>
          <w:rFonts w:ascii="Lato" w:hAnsi="Lato" w:cstheme="minorHAnsi"/>
          <w:sz w:val="20"/>
          <w:szCs w:val="20"/>
        </w:rPr>
      </w:pPr>
      <w:r w:rsidRPr="002B21CF">
        <w:rPr>
          <w:rFonts w:ascii="Lato" w:hAnsi="Lato" w:cstheme="minorHAnsi"/>
          <w:sz w:val="20"/>
          <w:szCs w:val="20"/>
        </w:rPr>
        <w:t>8</w:t>
      </w:r>
      <w:r w:rsidR="002F14F7" w:rsidRPr="002B21CF">
        <w:rPr>
          <w:rFonts w:ascii="Lato" w:hAnsi="Lato" w:cstheme="minorHAnsi"/>
          <w:sz w:val="20"/>
          <w:szCs w:val="20"/>
        </w:rPr>
        <w:t>.-</w:t>
      </w:r>
      <w:r w:rsidR="00FA104C" w:rsidRPr="002B21CF">
        <w:rPr>
          <w:rFonts w:ascii="Lato" w:hAnsi="Lato" w:cstheme="minorHAnsi"/>
          <w:sz w:val="20"/>
          <w:szCs w:val="20"/>
        </w:rPr>
        <w:t xml:space="preserve"> </w:t>
      </w:r>
      <w:r w:rsidR="001C6E76" w:rsidRPr="002B21CF">
        <w:rPr>
          <w:rFonts w:ascii="Lato" w:hAnsi="Lato" w:cstheme="minorHAnsi"/>
          <w:sz w:val="20"/>
          <w:szCs w:val="20"/>
        </w:rPr>
        <w:t xml:space="preserve">El Fondo de Seguridad Pública del Estado de Yucatán </w:t>
      </w:r>
      <w:r w:rsidR="008E7F6A" w:rsidRPr="002B21CF">
        <w:rPr>
          <w:rFonts w:ascii="Lato" w:hAnsi="Lato" w:cstheme="minorHAnsi"/>
          <w:sz w:val="20"/>
          <w:szCs w:val="20"/>
        </w:rPr>
        <w:t xml:space="preserve">a la fecha de su extinción </w:t>
      </w:r>
      <w:r w:rsidR="001C6E76" w:rsidRPr="002B21CF">
        <w:rPr>
          <w:rFonts w:ascii="Lato" w:hAnsi="Lato" w:cstheme="minorHAnsi"/>
          <w:sz w:val="20"/>
          <w:szCs w:val="20"/>
        </w:rPr>
        <w:t>no tiene información que revelar respecto a las</w:t>
      </w:r>
      <w:r w:rsidR="00795A81" w:rsidRPr="002B21CF">
        <w:rPr>
          <w:rFonts w:ascii="Lato" w:hAnsi="Lato" w:cstheme="minorHAnsi"/>
          <w:sz w:val="20"/>
          <w:szCs w:val="20"/>
        </w:rPr>
        <w:t xml:space="preserve"> erogaciones para la adquisición de </w:t>
      </w:r>
      <w:r w:rsidR="000041B9" w:rsidRPr="002B21CF">
        <w:rPr>
          <w:rFonts w:ascii="Lato" w:hAnsi="Lato" w:cstheme="minorHAnsi"/>
          <w:sz w:val="20"/>
          <w:szCs w:val="20"/>
        </w:rPr>
        <w:t>Bienes Muebles e Inmuebles</w:t>
      </w:r>
      <w:r w:rsidR="00795A81" w:rsidRPr="002B21CF">
        <w:rPr>
          <w:rFonts w:ascii="Lato" w:hAnsi="Lato" w:cstheme="minorHAnsi"/>
          <w:sz w:val="20"/>
          <w:szCs w:val="20"/>
        </w:rPr>
        <w:t xml:space="preserve"> </w:t>
      </w:r>
      <w:r w:rsidR="001C6E76" w:rsidRPr="002B21CF">
        <w:rPr>
          <w:rFonts w:ascii="Lato" w:hAnsi="Lato" w:cstheme="minorHAnsi"/>
          <w:sz w:val="20"/>
          <w:szCs w:val="20"/>
        </w:rPr>
        <w:t>d</w:t>
      </w:r>
      <w:r w:rsidR="00795A81" w:rsidRPr="002B21CF">
        <w:rPr>
          <w:rFonts w:ascii="Lato" w:hAnsi="Lato" w:cstheme="minorHAnsi"/>
          <w:sz w:val="20"/>
          <w:szCs w:val="20"/>
        </w:rPr>
        <w:t xml:space="preserve">el </w:t>
      </w:r>
      <w:r w:rsidR="00205062" w:rsidRPr="002B21CF">
        <w:rPr>
          <w:rFonts w:ascii="Lato" w:hAnsi="Lato" w:cstheme="minorHAnsi"/>
          <w:sz w:val="20"/>
          <w:szCs w:val="20"/>
        </w:rPr>
        <w:t>e</w:t>
      </w:r>
      <w:r w:rsidR="00795A81" w:rsidRPr="002B21CF">
        <w:rPr>
          <w:rFonts w:ascii="Lato" w:hAnsi="Lato" w:cstheme="minorHAnsi"/>
          <w:sz w:val="20"/>
          <w:szCs w:val="20"/>
        </w:rPr>
        <w:t>jercicio 20</w:t>
      </w:r>
      <w:r w:rsidR="00EF6745" w:rsidRPr="002B21CF">
        <w:rPr>
          <w:rFonts w:ascii="Lato" w:hAnsi="Lato" w:cstheme="minorHAnsi"/>
          <w:sz w:val="20"/>
          <w:szCs w:val="20"/>
        </w:rPr>
        <w:t>2</w:t>
      </w:r>
      <w:r w:rsidR="00900CD3" w:rsidRPr="002B21CF">
        <w:rPr>
          <w:rFonts w:ascii="Lato" w:hAnsi="Lato" w:cstheme="minorHAnsi"/>
          <w:sz w:val="20"/>
          <w:szCs w:val="20"/>
        </w:rPr>
        <w:t>6</w:t>
      </w:r>
      <w:r w:rsidR="001C6E76" w:rsidRPr="002B21CF">
        <w:rPr>
          <w:rFonts w:ascii="Lato" w:hAnsi="Lato" w:cstheme="minorHAnsi"/>
          <w:sz w:val="20"/>
          <w:szCs w:val="20"/>
        </w:rPr>
        <w:t>,</w:t>
      </w:r>
      <w:r w:rsidR="00795A81" w:rsidRPr="002B21CF">
        <w:rPr>
          <w:rFonts w:ascii="Lato" w:hAnsi="Lato" w:cstheme="minorHAnsi"/>
          <w:sz w:val="20"/>
          <w:szCs w:val="20"/>
        </w:rPr>
        <w:t xml:space="preserve"> </w:t>
      </w:r>
      <w:r w:rsidR="001C6E76" w:rsidRPr="002B21CF">
        <w:rPr>
          <w:rFonts w:ascii="Lato" w:hAnsi="Lato" w:cstheme="minorHAnsi"/>
          <w:sz w:val="20"/>
          <w:szCs w:val="20"/>
        </w:rPr>
        <w:t xml:space="preserve">las cuales, si hubiese </w:t>
      </w:r>
      <w:r w:rsidR="00900CD3" w:rsidRPr="002B21CF">
        <w:rPr>
          <w:rFonts w:ascii="Lato" w:hAnsi="Lato" w:cstheme="minorHAnsi"/>
          <w:sz w:val="20"/>
          <w:szCs w:val="20"/>
        </w:rPr>
        <w:t xml:space="preserve">habido </w:t>
      </w:r>
      <w:r w:rsidR="001C6E76" w:rsidRPr="002B21CF">
        <w:rPr>
          <w:rFonts w:ascii="Lato" w:hAnsi="Lato" w:cstheme="minorHAnsi"/>
          <w:sz w:val="20"/>
          <w:szCs w:val="20"/>
        </w:rPr>
        <w:t>alguna, se</w:t>
      </w:r>
      <w:r w:rsidR="00795A81" w:rsidRPr="002B21CF">
        <w:rPr>
          <w:rFonts w:ascii="Lato" w:hAnsi="Lato" w:cstheme="minorHAnsi"/>
          <w:sz w:val="20"/>
          <w:szCs w:val="20"/>
        </w:rPr>
        <w:t xml:space="preserve"> </w:t>
      </w:r>
      <w:r w:rsidR="00900CD3" w:rsidRPr="002B21CF">
        <w:rPr>
          <w:rFonts w:ascii="Lato" w:hAnsi="Lato" w:cstheme="minorHAnsi"/>
          <w:sz w:val="20"/>
          <w:szCs w:val="20"/>
        </w:rPr>
        <w:t xml:space="preserve">hubieran </w:t>
      </w:r>
      <w:r w:rsidR="00795A81" w:rsidRPr="002B21CF">
        <w:rPr>
          <w:rFonts w:ascii="Lato" w:hAnsi="Lato" w:cstheme="minorHAnsi"/>
          <w:sz w:val="20"/>
          <w:szCs w:val="20"/>
        </w:rPr>
        <w:t>registra</w:t>
      </w:r>
      <w:r w:rsidR="00900CD3" w:rsidRPr="002B21CF">
        <w:rPr>
          <w:rFonts w:ascii="Lato" w:hAnsi="Lato" w:cstheme="minorHAnsi"/>
          <w:sz w:val="20"/>
          <w:szCs w:val="20"/>
        </w:rPr>
        <w:t>do</w:t>
      </w:r>
      <w:r w:rsidR="00795A81" w:rsidRPr="002B21CF">
        <w:rPr>
          <w:rFonts w:ascii="Lato" w:hAnsi="Lato" w:cstheme="minorHAnsi"/>
          <w:sz w:val="20"/>
          <w:szCs w:val="20"/>
        </w:rPr>
        <w:t xml:space="preserve"> a su costo de adquisición, </w:t>
      </w:r>
      <w:r w:rsidR="001C6E76" w:rsidRPr="002B21CF">
        <w:rPr>
          <w:rFonts w:ascii="Lato" w:hAnsi="Lato" w:cstheme="minorHAnsi"/>
          <w:sz w:val="20"/>
          <w:szCs w:val="20"/>
        </w:rPr>
        <w:t xml:space="preserve">y </w:t>
      </w:r>
      <w:r w:rsidR="00795A81" w:rsidRPr="002B21CF">
        <w:rPr>
          <w:rFonts w:ascii="Lato" w:hAnsi="Lato" w:cstheme="minorHAnsi"/>
          <w:sz w:val="20"/>
          <w:szCs w:val="20"/>
        </w:rPr>
        <w:t>por tal motivo el saldo que se presenta</w:t>
      </w:r>
      <w:r w:rsidR="001C6E76" w:rsidRPr="002B21CF">
        <w:rPr>
          <w:rFonts w:ascii="Lato" w:hAnsi="Lato" w:cstheme="minorHAnsi"/>
          <w:sz w:val="20"/>
          <w:szCs w:val="20"/>
        </w:rPr>
        <w:t>ría</w:t>
      </w:r>
      <w:r w:rsidR="00795A81" w:rsidRPr="002B21CF">
        <w:rPr>
          <w:rFonts w:ascii="Lato" w:hAnsi="Lato" w:cstheme="minorHAnsi"/>
          <w:sz w:val="20"/>
          <w:szCs w:val="20"/>
        </w:rPr>
        <w:t xml:space="preserve"> en el rubro de bienes </w:t>
      </w:r>
      <w:r w:rsidR="000041B9" w:rsidRPr="002B21CF">
        <w:rPr>
          <w:rFonts w:ascii="Lato" w:hAnsi="Lato" w:cstheme="minorHAnsi"/>
          <w:sz w:val="20"/>
          <w:szCs w:val="20"/>
        </w:rPr>
        <w:t>muebles e</w:t>
      </w:r>
      <w:r w:rsidR="00AF7A05" w:rsidRPr="002B21CF">
        <w:rPr>
          <w:rFonts w:ascii="Lato" w:hAnsi="Lato" w:cstheme="minorHAnsi"/>
          <w:sz w:val="20"/>
          <w:szCs w:val="20"/>
        </w:rPr>
        <w:t xml:space="preserve"> </w:t>
      </w:r>
      <w:r w:rsidR="00795A81" w:rsidRPr="002B21CF">
        <w:rPr>
          <w:rFonts w:ascii="Lato" w:hAnsi="Lato" w:cstheme="minorHAnsi"/>
          <w:sz w:val="20"/>
          <w:szCs w:val="20"/>
        </w:rPr>
        <w:t>inmuebles</w:t>
      </w:r>
      <w:r w:rsidR="00AF7A05" w:rsidRPr="002B21CF">
        <w:rPr>
          <w:rFonts w:ascii="Lato" w:hAnsi="Lato" w:cstheme="minorHAnsi"/>
          <w:sz w:val="20"/>
          <w:szCs w:val="20"/>
        </w:rPr>
        <w:t xml:space="preserve"> </w:t>
      </w:r>
      <w:r w:rsidR="00900CD3" w:rsidRPr="002B21CF">
        <w:rPr>
          <w:rFonts w:ascii="Lato" w:hAnsi="Lato" w:cstheme="minorHAnsi"/>
          <w:sz w:val="20"/>
          <w:szCs w:val="20"/>
        </w:rPr>
        <w:t xml:space="preserve">hubiera </w:t>
      </w:r>
      <w:r w:rsidR="00795A81" w:rsidRPr="002B21CF">
        <w:rPr>
          <w:rFonts w:ascii="Lato" w:hAnsi="Lato" w:cstheme="minorHAnsi"/>
          <w:sz w:val="20"/>
          <w:szCs w:val="20"/>
        </w:rPr>
        <w:t>refleja</w:t>
      </w:r>
      <w:r w:rsidR="00900CD3" w:rsidRPr="002B21CF">
        <w:rPr>
          <w:rFonts w:ascii="Lato" w:hAnsi="Lato" w:cstheme="minorHAnsi"/>
          <w:sz w:val="20"/>
          <w:szCs w:val="20"/>
        </w:rPr>
        <w:t>do</w:t>
      </w:r>
      <w:r w:rsidR="00795A81" w:rsidRPr="002B21CF">
        <w:rPr>
          <w:rFonts w:ascii="Lato" w:hAnsi="Lato" w:cstheme="minorHAnsi"/>
          <w:sz w:val="20"/>
          <w:szCs w:val="20"/>
        </w:rPr>
        <w:t xml:space="preserve"> el costo histórico de dichos activos</w:t>
      </w:r>
      <w:r w:rsidR="001C6E76" w:rsidRPr="002B21CF">
        <w:rPr>
          <w:rFonts w:ascii="Lato" w:hAnsi="Lato" w:cstheme="minorHAnsi"/>
          <w:sz w:val="20"/>
          <w:szCs w:val="20"/>
        </w:rPr>
        <w:t>.</w:t>
      </w:r>
    </w:p>
    <w:p w14:paraId="24F941BB" w14:textId="7C0F3D74" w:rsidR="003E52D9" w:rsidRPr="002B21CF" w:rsidRDefault="003E52D9" w:rsidP="00906A55">
      <w:pPr>
        <w:autoSpaceDE w:val="0"/>
        <w:autoSpaceDN w:val="0"/>
        <w:adjustRightInd w:val="0"/>
        <w:jc w:val="both"/>
        <w:rPr>
          <w:rFonts w:ascii="Lato" w:hAnsi="Lato" w:cstheme="minorHAnsi"/>
          <w:sz w:val="20"/>
          <w:szCs w:val="20"/>
        </w:rPr>
      </w:pPr>
    </w:p>
    <w:p w14:paraId="22537C0B" w14:textId="1AC33873" w:rsidR="000041B9" w:rsidRPr="002B21CF" w:rsidRDefault="00DD5E18" w:rsidP="000041B9">
      <w:pPr>
        <w:autoSpaceDE w:val="0"/>
        <w:autoSpaceDN w:val="0"/>
        <w:adjustRightInd w:val="0"/>
        <w:jc w:val="both"/>
        <w:rPr>
          <w:rFonts w:ascii="Lato" w:hAnsi="Lato" w:cstheme="minorHAnsi"/>
          <w:sz w:val="20"/>
          <w:szCs w:val="20"/>
        </w:rPr>
      </w:pPr>
      <w:r w:rsidRPr="002B21CF">
        <w:rPr>
          <w:rFonts w:ascii="Lato" w:hAnsi="Lato" w:cstheme="minorHAnsi"/>
          <w:sz w:val="20"/>
          <w:szCs w:val="20"/>
        </w:rPr>
        <w:t>9.-</w:t>
      </w:r>
      <w:r w:rsidR="000041B9" w:rsidRPr="002B21CF">
        <w:rPr>
          <w:rFonts w:ascii="Lato" w:hAnsi="Lato" w:cstheme="minorHAnsi"/>
          <w:sz w:val="20"/>
          <w:szCs w:val="20"/>
        </w:rPr>
        <w:t xml:space="preserve"> </w:t>
      </w:r>
      <w:r w:rsidR="00205062" w:rsidRPr="002B21CF">
        <w:rPr>
          <w:rFonts w:ascii="Lato" w:hAnsi="Lato" w:cstheme="minorHAnsi"/>
          <w:sz w:val="20"/>
          <w:szCs w:val="20"/>
        </w:rPr>
        <w:t xml:space="preserve">El Fondo de Seguridad Pública del Estado de Yucatán </w:t>
      </w:r>
      <w:r w:rsidR="008E7F6A" w:rsidRPr="002B21CF">
        <w:rPr>
          <w:rFonts w:ascii="Lato" w:hAnsi="Lato" w:cstheme="minorHAnsi"/>
          <w:sz w:val="20"/>
          <w:szCs w:val="20"/>
        </w:rPr>
        <w:t xml:space="preserve">a la fecha de su extinción </w:t>
      </w:r>
      <w:r w:rsidR="00205062" w:rsidRPr="002B21CF">
        <w:rPr>
          <w:rFonts w:ascii="Lato" w:hAnsi="Lato" w:cstheme="minorHAnsi"/>
          <w:sz w:val="20"/>
          <w:szCs w:val="20"/>
        </w:rPr>
        <w:t>no tiene información que revelar respecto la</w:t>
      </w:r>
      <w:r w:rsidR="000041B9" w:rsidRPr="002B21CF">
        <w:rPr>
          <w:rFonts w:ascii="Lato" w:hAnsi="Lato" w:cstheme="minorHAnsi"/>
          <w:sz w:val="20"/>
          <w:szCs w:val="20"/>
        </w:rPr>
        <w:t xml:space="preserve">s erogaciones para la adquisición de activos intangibles y diferidos </w:t>
      </w:r>
      <w:r w:rsidR="00205062" w:rsidRPr="002B21CF">
        <w:rPr>
          <w:rFonts w:ascii="Lato" w:hAnsi="Lato" w:cstheme="minorHAnsi"/>
          <w:sz w:val="20"/>
          <w:szCs w:val="20"/>
        </w:rPr>
        <w:t>del e</w:t>
      </w:r>
      <w:r w:rsidR="000041B9" w:rsidRPr="002B21CF">
        <w:rPr>
          <w:rFonts w:ascii="Lato" w:hAnsi="Lato" w:cstheme="minorHAnsi"/>
          <w:sz w:val="20"/>
          <w:szCs w:val="20"/>
        </w:rPr>
        <w:t>jercicio 202</w:t>
      </w:r>
      <w:r w:rsidR="00900CD3" w:rsidRPr="002B21CF">
        <w:rPr>
          <w:rFonts w:ascii="Lato" w:hAnsi="Lato" w:cstheme="minorHAnsi"/>
          <w:sz w:val="20"/>
          <w:szCs w:val="20"/>
        </w:rPr>
        <w:t>6</w:t>
      </w:r>
      <w:r w:rsidR="00205062" w:rsidRPr="002B21CF">
        <w:rPr>
          <w:rFonts w:ascii="Lato" w:hAnsi="Lato" w:cstheme="minorHAnsi"/>
          <w:sz w:val="20"/>
          <w:szCs w:val="20"/>
        </w:rPr>
        <w:t xml:space="preserve">, las cuales, si hubiese </w:t>
      </w:r>
      <w:r w:rsidR="00900CD3" w:rsidRPr="002B21CF">
        <w:rPr>
          <w:rFonts w:ascii="Lato" w:hAnsi="Lato" w:cstheme="minorHAnsi"/>
          <w:sz w:val="20"/>
          <w:szCs w:val="20"/>
        </w:rPr>
        <w:t xml:space="preserve">habido </w:t>
      </w:r>
      <w:r w:rsidR="00205062" w:rsidRPr="002B21CF">
        <w:rPr>
          <w:rFonts w:ascii="Lato" w:hAnsi="Lato" w:cstheme="minorHAnsi"/>
          <w:sz w:val="20"/>
          <w:szCs w:val="20"/>
        </w:rPr>
        <w:t>alguna,</w:t>
      </w:r>
      <w:r w:rsidR="000041B9" w:rsidRPr="002B21CF">
        <w:rPr>
          <w:rFonts w:ascii="Lato" w:hAnsi="Lato" w:cstheme="minorHAnsi"/>
          <w:sz w:val="20"/>
          <w:szCs w:val="20"/>
        </w:rPr>
        <w:t xml:space="preserve"> se</w:t>
      </w:r>
      <w:r w:rsidR="00900CD3" w:rsidRPr="002B21CF">
        <w:rPr>
          <w:rFonts w:ascii="Lato" w:hAnsi="Lato" w:cstheme="minorHAnsi"/>
          <w:sz w:val="20"/>
          <w:szCs w:val="20"/>
        </w:rPr>
        <w:t xml:space="preserve"> hubieran</w:t>
      </w:r>
      <w:r w:rsidR="000041B9" w:rsidRPr="002B21CF">
        <w:rPr>
          <w:rFonts w:ascii="Lato" w:hAnsi="Lato" w:cstheme="minorHAnsi"/>
          <w:sz w:val="20"/>
          <w:szCs w:val="20"/>
        </w:rPr>
        <w:t xml:space="preserve"> registra</w:t>
      </w:r>
      <w:r w:rsidR="00900CD3" w:rsidRPr="002B21CF">
        <w:rPr>
          <w:rFonts w:ascii="Lato" w:hAnsi="Lato" w:cstheme="minorHAnsi"/>
          <w:sz w:val="20"/>
          <w:szCs w:val="20"/>
        </w:rPr>
        <w:t>do</w:t>
      </w:r>
      <w:r w:rsidR="000041B9" w:rsidRPr="002B21CF">
        <w:rPr>
          <w:rFonts w:ascii="Lato" w:hAnsi="Lato" w:cstheme="minorHAnsi"/>
          <w:sz w:val="20"/>
          <w:szCs w:val="20"/>
        </w:rPr>
        <w:t xml:space="preserve"> a su costo de adquisición, por tal motivo el saldo que se presenta</w:t>
      </w:r>
      <w:r w:rsidR="00205062" w:rsidRPr="002B21CF">
        <w:rPr>
          <w:rFonts w:ascii="Lato" w:hAnsi="Lato" w:cstheme="minorHAnsi"/>
          <w:sz w:val="20"/>
          <w:szCs w:val="20"/>
        </w:rPr>
        <w:t>ría</w:t>
      </w:r>
      <w:r w:rsidR="000041B9" w:rsidRPr="002B21CF">
        <w:rPr>
          <w:rFonts w:ascii="Lato" w:hAnsi="Lato" w:cstheme="minorHAnsi"/>
          <w:sz w:val="20"/>
          <w:szCs w:val="20"/>
        </w:rPr>
        <w:t xml:space="preserve"> en el rubr</w:t>
      </w:r>
      <w:r w:rsidR="00205062" w:rsidRPr="002B21CF">
        <w:rPr>
          <w:rFonts w:ascii="Lato" w:hAnsi="Lato" w:cstheme="minorHAnsi"/>
          <w:sz w:val="20"/>
          <w:szCs w:val="20"/>
        </w:rPr>
        <w:t xml:space="preserve">o de bienes intangibles </w:t>
      </w:r>
      <w:r w:rsidR="00900CD3" w:rsidRPr="002B21CF">
        <w:rPr>
          <w:rFonts w:ascii="Lato" w:hAnsi="Lato" w:cstheme="minorHAnsi"/>
          <w:sz w:val="20"/>
          <w:szCs w:val="20"/>
        </w:rPr>
        <w:t xml:space="preserve">hubiera </w:t>
      </w:r>
      <w:r w:rsidR="00892B51" w:rsidRPr="002B21CF">
        <w:rPr>
          <w:rFonts w:ascii="Lato" w:hAnsi="Lato" w:cstheme="minorHAnsi"/>
          <w:sz w:val="20"/>
          <w:szCs w:val="20"/>
        </w:rPr>
        <w:t>refleja</w:t>
      </w:r>
      <w:r w:rsidR="00900CD3" w:rsidRPr="002B21CF">
        <w:rPr>
          <w:rFonts w:ascii="Lato" w:hAnsi="Lato" w:cstheme="minorHAnsi"/>
          <w:sz w:val="20"/>
          <w:szCs w:val="20"/>
        </w:rPr>
        <w:t>do</w:t>
      </w:r>
      <w:r w:rsidR="000041B9" w:rsidRPr="002B21CF">
        <w:rPr>
          <w:rFonts w:ascii="Lato" w:hAnsi="Lato" w:cstheme="minorHAnsi"/>
          <w:sz w:val="20"/>
          <w:szCs w:val="20"/>
        </w:rPr>
        <w:t xml:space="preserve"> el costo histórico de dichos activos</w:t>
      </w:r>
      <w:r w:rsidR="00205062" w:rsidRPr="002B21CF">
        <w:rPr>
          <w:rFonts w:ascii="Lato" w:hAnsi="Lato" w:cstheme="minorHAnsi"/>
          <w:sz w:val="20"/>
          <w:szCs w:val="20"/>
        </w:rPr>
        <w:t>.</w:t>
      </w:r>
    </w:p>
    <w:p w14:paraId="76DAB6E6" w14:textId="77777777" w:rsidR="00205062" w:rsidRPr="002B21CF" w:rsidRDefault="00205062" w:rsidP="005E0839">
      <w:pPr>
        <w:autoSpaceDE w:val="0"/>
        <w:autoSpaceDN w:val="0"/>
        <w:adjustRightInd w:val="0"/>
        <w:jc w:val="both"/>
        <w:rPr>
          <w:rFonts w:ascii="Lato" w:hAnsi="Lato" w:cstheme="minorHAnsi"/>
          <w:sz w:val="20"/>
          <w:szCs w:val="20"/>
        </w:rPr>
      </w:pPr>
    </w:p>
    <w:p w14:paraId="3D9F8D87" w14:textId="7377B79D" w:rsidR="00705583" w:rsidRPr="002B21CF" w:rsidRDefault="00705583" w:rsidP="007824F2">
      <w:pPr>
        <w:pStyle w:val="Prrafodelista"/>
        <w:numPr>
          <w:ilvl w:val="0"/>
          <w:numId w:val="8"/>
        </w:numPr>
        <w:autoSpaceDE w:val="0"/>
        <w:autoSpaceDN w:val="0"/>
        <w:adjustRightInd w:val="0"/>
        <w:spacing w:line="360" w:lineRule="auto"/>
        <w:jc w:val="both"/>
        <w:rPr>
          <w:rFonts w:ascii="Lato" w:hAnsi="Lato" w:cstheme="minorHAnsi"/>
          <w:b/>
          <w:sz w:val="20"/>
          <w:szCs w:val="20"/>
        </w:rPr>
      </w:pPr>
      <w:r w:rsidRPr="002B21CF">
        <w:rPr>
          <w:rFonts w:ascii="Lato" w:hAnsi="Lato" w:cstheme="minorHAnsi"/>
          <w:b/>
          <w:sz w:val="20"/>
          <w:szCs w:val="20"/>
        </w:rPr>
        <w:t>Estimaciones y Deterioros</w:t>
      </w:r>
    </w:p>
    <w:p w14:paraId="2D05402C" w14:textId="6D48F154" w:rsidR="00705583" w:rsidRPr="002B21CF" w:rsidRDefault="00C44983" w:rsidP="00906A55">
      <w:pPr>
        <w:autoSpaceDE w:val="0"/>
        <w:autoSpaceDN w:val="0"/>
        <w:adjustRightInd w:val="0"/>
        <w:jc w:val="both"/>
        <w:rPr>
          <w:rFonts w:ascii="Lato" w:hAnsi="Lato" w:cstheme="minorHAnsi"/>
          <w:sz w:val="20"/>
          <w:szCs w:val="20"/>
        </w:rPr>
      </w:pPr>
      <w:r w:rsidRPr="002B21CF">
        <w:rPr>
          <w:rFonts w:ascii="Lato" w:hAnsi="Lato" w:cstheme="minorHAnsi"/>
          <w:sz w:val="20"/>
          <w:szCs w:val="20"/>
        </w:rPr>
        <w:t>10</w:t>
      </w:r>
      <w:r w:rsidR="00705583" w:rsidRPr="002B21CF">
        <w:rPr>
          <w:rFonts w:ascii="Lato" w:hAnsi="Lato" w:cstheme="minorHAnsi"/>
          <w:sz w:val="20"/>
          <w:szCs w:val="20"/>
        </w:rPr>
        <w:t xml:space="preserve">.- El </w:t>
      </w:r>
      <w:r w:rsidR="00D433EA" w:rsidRPr="002B21CF">
        <w:rPr>
          <w:rFonts w:ascii="Lato" w:hAnsi="Lato" w:cstheme="minorHAnsi"/>
          <w:sz w:val="20"/>
          <w:szCs w:val="20"/>
        </w:rPr>
        <w:t>Fondo de Seguridad Pública</w:t>
      </w:r>
      <w:r w:rsidR="00823027" w:rsidRPr="002B21CF">
        <w:rPr>
          <w:rFonts w:ascii="Lato" w:hAnsi="Lato" w:cstheme="minorHAnsi"/>
          <w:sz w:val="20"/>
          <w:szCs w:val="20"/>
        </w:rPr>
        <w:t xml:space="preserve"> del Estado de Yucatán</w:t>
      </w:r>
      <w:r w:rsidR="00705583" w:rsidRPr="002B21CF">
        <w:rPr>
          <w:rFonts w:ascii="Lato" w:hAnsi="Lato" w:cstheme="minorHAnsi"/>
          <w:sz w:val="20"/>
          <w:szCs w:val="20"/>
        </w:rPr>
        <w:t xml:space="preserve"> </w:t>
      </w:r>
      <w:r w:rsidR="00900CD3" w:rsidRPr="002B21CF">
        <w:rPr>
          <w:rFonts w:ascii="Lato" w:hAnsi="Lato" w:cstheme="minorHAnsi"/>
          <w:sz w:val="20"/>
          <w:szCs w:val="20"/>
        </w:rPr>
        <w:t>a la fecha de su extinción</w:t>
      </w:r>
      <w:r w:rsidR="00852D69" w:rsidRPr="002B21CF">
        <w:rPr>
          <w:rFonts w:ascii="Lato" w:hAnsi="Lato" w:cstheme="minorHAnsi"/>
          <w:sz w:val="20"/>
          <w:szCs w:val="20"/>
        </w:rPr>
        <w:t xml:space="preserve"> </w:t>
      </w:r>
      <w:r w:rsidR="00705583" w:rsidRPr="002B21CF">
        <w:rPr>
          <w:rFonts w:ascii="Lato" w:hAnsi="Lato" w:cstheme="minorHAnsi"/>
          <w:sz w:val="20"/>
          <w:szCs w:val="20"/>
        </w:rPr>
        <w:t>no</w:t>
      </w:r>
      <w:r w:rsidR="00900CD3" w:rsidRPr="002B21CF">
        <w:rPr>
          <w:rFonts w:ascii="Lato" w:hAnsi="Lato" w:cstheme="minorHAnsi"/>
          <w:sz w:val="20"/>
          <w:szCs w:val="20"/>
        </w:rPr>
        <w:t xml:space="preserve"> </w:t>
      </w:r>
      <w:r w:rsidR="00705583" w:rsidRPr="002B21CF">
        <w:rPr>
          <w:rFonts w:ascii="Lato" w:hAnsi="Lato" w:cstheme="minorHAnsi"/>
          <w:sz w:val="20"/>
          <w:szCs w:val="20"/>
        </w:rPr>
        <w:t>realiz</w:t>
      </w:r>
      <w:r w:rsidR="00900CD3" w:rsidRPr="002B21CF">
        <w:rPr>
          <w:rFonts w:ascii="Lato" w:hAnsi="Lato" w:cstheme="minorHAnsi"/>
          <w:sz w:val="20"/>
          <w:szCs w:val="20"/>
        </w:rPr>
        <w:t>ó</w:t>
      </w:r>
      <w:r w:rsidR="00B71F24" w:rsidRPr="002B21CF">
        <w:rPr>
          <w:rFonts w:ascii="Lato" w:hAnsi="Lato" w:cstheme="minorHAnsi"/>
          <w:sz w:val="20"/>
          <w:szCs w:val="20"/>
        </w:rPr>
        <w:t xml:space="preserve"> </w:t>
      </w:r>
      <w:r w:rsidR="00705583" w:rsidRPr="002B21CF">
        <w:rPr>
          <w:rFonts w:ascii="Lato" w:hAnsi="Lato" w:cstheme="minorHAnsi"/>
          <w:sz w:val="20"/>
          <w:szCs w:val="20"/>
        </w:rPr>
        <w:t xml:space="preserve">determinación de estimaciones de cuentas incobrables, inversiones deterioro de activos </w:t>
      </w:r>
      <w:r w:rsidR="006E1089" w:rsidRPr="002B21CF">
        <w:rPr>
          <w:rFonts w:ascii="Lato" w:hAnsi="Lato" w:cstheme="minorHAnsi"/>
          <w:sz w:val="20"/>
          <w:szCs w:val="20"/>
        </w:rPr>
        <w:t>biológicos</w:t>
      </w:r>
      <w:r w:rsidR="00705583" w:rsidRPr="002B21CF">
        <w:rPr>
          <w:rFonts w:ascii="Lato" w:hAnsi="Lato" w:cstheme="minorHAnsi"/>
          <w:sz w:val="20"/>
          <w:szCs w:val="20"/>
        </w:rPr>
        <w:t>, etc.</w:t>
      </w:r>
    </w:p>
    <w:p w14:paraId="36E4A045" w14:textId="4D0AC395" w:rsidR="00F15390" w:rsidRPr="002B21CF" w:rsidRDefault="00F15390" w:rsidP="00906A55">
      <w:pPr>
        <w:autoSpaceDE w:val="0"/>
        <w:autoSpaceDN w:val="0"/>
        <w:adjustRightInd w:val="0"/>
        <w:jc w:val="both"/>
        <w:rPr>
          <w:rFonts w:ascii="Lato" w:hAnsi="Lato" w:cstheme="minorHAnsi"/>
          <w:sz w:val="20"/>
          <w:szCs w:val="20"/>
        </w:rPr>
      </w:pPr>
    </w:p>
    <w:p w14:paraId="4AC6DB54" w14:textId="77777777" w:rsidR="00705583" w:rsidRPr="002B21CF" w:rsidRDefault="00705583" w:rsidP="007824F2">
      <w:pPr>
        <w:pStyle w:val="Prrafodelista"/>
        <w:numPr>
          <w:ilvl w:val="0"/>
          <w:numId w:val="8"/>
        </w:numPr>
        <w:autoSpaceDE w:val="0"/>
        <w:autoSpaceDN w:val="0"/>
        <w:adjustRightInd w:val="0"/>
        <w:jc w:val="both"/>
        <w:rPr>
          <w:rFonts w:ascii="Lato" w:hAnsi="Lato" w:cstheme="minorHAnsi"/>
          <w:b/>
          <w:sz w:val="20"/>
          <w:szCs w:val="20"/>
        </w:rPr>
      </w:pPr>
      <w:r w:rsidRPr="002B21CF">
        <w:rPr>
          <w:rFonts w:ascii="Lato" w:hAnsi="Lato" w:cstheme="minorHAnsi"/>
          <w:b/>
          <w:sz w:val="20"/>
          <w:szCs w:val="20"/>
        </w:rPr>
        <w:t>Otros Activos</w:t>
      </w:r>
    </w:p>
    <w:p w14:paraId="49D8FBE8" w14:textId="031C1B54" w:rsidR="00675509" w:rsidRPr="002B21CF" w:rsidRDefault="00675509" w:rsidP="00675509">
      <w:pPr>
        <w:autoSpaceDE w:val="0"/>
        <w:autoSpaceDN w:val="0"/>
        <w:adjustRightInd w:val="0"/>
        <w:jc w:val="both"/>
        <w:rPr>
          <w:rFonts w:ascii="Lato" w:hAnsi="Lato" w:cstheme="minorHAnsi"/>
          <w:sz w:val="20"/>
          <w:szCs w:val="20"/>
        </w:rPr>
      </w:pPr>
    </w:p>
    <w:p w14:paraId="2444DDAE" w14:textId="42C2D695" w:rsidR="00705583" w:rsidRPr="002B21CF" w:rsidRDefault="007824F2" w:rsidP="00906A55">
      <w:pPr>
        <w:autoSpaceDE w:val="0"/>
        <w:autoSpaceDN w:val="0"/>
        <w:adjustRightInd w:val="0"/>
        <w:jc w:val="both"/>
        <w:rPr>
          <w:rFonts w:ascii="Lato" w:hAnsi="Lato" w:cstheme="minorHAnsi"/>
          <w:sz w:val="20"/>
          <w:szCs w:val="20"/>
        </w:rPr>
      </w:pPr>
      <w:r w:rsidRPr="002B21CF">
        <w:rPr>
          <w:rFonts w:ascii="Lato" w:hAnsi="Lato" w:cstheme="minorHAnsi"/>
          <w:sz w:val="20"/>
          <w:szCs w:val="20"/>
        </w:rPr>
        <w:t>1</w:t>
      </w:r>
      <w:r w:rsidR="002E2183" w:rsidRPr="002B21CF">
        <w:rPr>
          <w:rFonts w:ascii="Lato" w:hAnsi="Lato" w:cstheme="minorHAnsi"/>
          <w:sz w:val="20"/>
          <w:szCs w:val="20"/>
        </w:rPr>
        <w:t>1</w:t>
      </w:r>
      <w:r w:rsidR="00705583" w:rsidRPr="002B21CF">
        <w:rPr>
          <w:rFonts w:ascii="Lato" w:hAnsi="Lato" w:cstheme="minorHAnsi"/>
          <w:sz w:val="20"/>
          <w:szCs w:val="20"/>
        </w:rPr>
        <w:t xml:space="preserve">.- El </w:t>
      </w:r>
      <w:r w:rsidR="00D433EA" w:rsidRPr="002B21CF">
        <w:rPr>
          <w:rFonts w:ascii="Lato" w:hAnsi="Lato" w:cstheme="minorHAnsi"/>
          <w:sz w:val="20"/>
          <w:szCs w:val="20"/>
        </w:rPr>
        <w:t>Fondo de Seguridad</w:t>
      </w:r>
      <w:r w:rsidR="00823027" w:rsidRPr="002B21CF">
        <w:rPr>
          <w:rFonts w:ascii="Lato" w:hAnsi="Lato" w:cstheme="minorHAnsi"/>
          <w:sz w:val="20"/>
          <w:szCs w:val="20"/>
        </w:rPr>
        <w:t xml:space="preserve"> </w:t>
      </w:r>
      <w:r w:rsidR="00D433EA" w:rsidRPr="002B21CF">
        <w:rPr>
          <w:rFonts w:ascii="Lato" w:hAnsi="Lato" w:cstheme="minorHAnsi"/>
          <w:sz w:val="20"/>
          <w:szCs w:val="20"/>
        </w:rPr>
        <w:t>Pública</w:t>
      </w:r>
      <w:r w:rsidR="00823027" w:rsidRPr="002B21CF">
        <w:rPr>
          <w:rFonts w:ascii="Lato" w:hAnsi="Lato" w:cstheme="minorHAnsi"/>
          <w:sz w:val="20"/>
          <w:szCs w:val="20"/>
        </w:rPr>
        <w:t xml:space="preserve"> del Estado de Yucatán</w:t>
      </w:r>
      <w:r w:rsidR="00D433EA" w:rsidRPr="002B21CF">
        <w:rPr>
          <w:rFonts w:ascii="Lato" w:hAnsi="Lato" w:cstheme="minorHAnsi"/>
          <w:sz w:val="20"/>
          <w:szCs w:val="20"/>
        </w:rPr>
        <w:t xml:space="preserve"> </w:t>
      </w:r>
      <w:r w:rsidR="00900CD3" w:rsidRPr="002B21CF">
        <w:rPr>
          <w:rFonts w:ascii="Lato" w:hAnsi="Lato" w:cstheme="minorHAnsi"/>
          <w:sz w:val="20"/>
          <w:szCs w:val="20"/>
        </w:rPr>
        <w:t xml:space="preserve">a la fecha de su extinción </w:t>
      </w:r>
      <w:r w:rsidR="00D433EA" w:rsidRPr="002B21CF">
        <w:rPr>
          <w:rFonts w:ascii="Lato" w:hAnsi="Lato" w:cstheme="minorHAnsi"/>
          <w:sz w:val="20"/>
          <w:szCs w:val="20"/>
        </w:rPr>
        <w:t>no</w:t>
      </w:r>
      <w:r w:rsidR="00900CD3" w:rsidRPr="002B21CF">
        <w:rPr>
          <w:rFonts w:ascii="Lato" w:hAnsi="Lato" w:cstheme="minorHAnsi"/>
          <w:sz w:val="20"/>
          <w:szCs w:val="20"/>
        </w:rPr>
        <w:t xml:space="preserve"> contaba</w:t>
      </w:r>
      <w:r w:rsidR="00A6204D" w:rsidRPr="002B21CF">
        <w:rPr>
          <w:rFonts w:ascii="Lato" w:hAnsi="Lato" w:cstheme="minorHAnsi"/>
          <w:sz w:val="20"/>
          <w:szCs w:val="20"/>
        </w:rPr>
        <w:t xml:space="preserve"> con ningún otro tipo de activo.</w:t>
      </w:r>
    </w:p>
    <w:p w14:paraId="7B5E8DAC" w14:textId="77777777" w:rsidR="007A6BA1" w:rsidRPr="002B21CF" w:rsidRDefault="007A6BA1" w:rsidP="00906A55">
      <w:pPr>
        <w:autoSpaceDE w:val="0"/>
        <w:autoSpaceDN w:val="0"/>
        <w:adjustRightInd w:val="0"/>
        <w:jc w:val="both"/>
        <w:rPr>
          <w:rFonts w:ascii="Lato" w:hAnsi="Lato" w:cstheme="minorHAnsi"/>
          <w:b/>
          <w:sz w:val="20"/>
          <w:szCs w:val="20"/>
        </w:rPr>
      </w:pPr>
    </w:p>
    <w:p w14:paraId="7333E70C" w14:textId="421A05D5" w:rsidR="00EF6745" w:rsidRPr="002B21CF" w:rsidRDefault="00EF6745" w:rsidP="00906A55">
      <w:pPr>
        <w:autoSpaceDE w:val="0"/>
        <w:autoSpaceDN w:val="0"/>
        <w:adjustRightInd w:val="0"/>
        <w:jc w:val="both"/>
        <w:rPr>
          <w:rFonts w:ascii="Lato" w:hAnsi="Lato" w:cstheme="minorHAnsi"/>
          <w:b/>
          <w:sz w:val="20"/>
          <w:szCs w:val="20"/>
        </w:rPr>
      </w:pPr>
      <w:r w:rsidRPr="002B21CF">
        <w:rPr>
          <w:rFonts w:ascii="Lato" w:hAnsi="Lato" w:cstheme="minorHAnsi"/>
          <w:b/>
          <w:sz w:val="20"/>
          <w:szCs w:val="20"/>
        </w:rPr>
        <w:t>Pasivo</w:t>
      </w:r>
    </w:p>
    <w:p w14:paraId="7A1F0B49" w14:textId="0E511F8B" w:rsidR="00162791" w:rsidRPr="002B21CF" w:rsidRDefault="00162791" w:rsidP="00906A55">
      <w:pPr>
        <w:autoSpaceDE w:val="0"/>
        <w:autoSpaceDN w:val="0"/>
        <w:adjustRightInd w:val="0"/>
        <w:jc w:val="both"/>
        <w:rPr>
          <w:rFonts w:ascii="Lato" w:hAnsi="Lato" w:cstheme="minorHAnsi"/>
          <w:b/>
          <w:sz w:val="20"/>
          <w:szCs w:val="20"/>
        </w:rPr>
      </w:pPr>
    </w:p>
    <w:p w14:paraId="5933CE1E" w14:textId="645EAE25" w:rsidR="00DE5A28" w:rsidRPr="002B21CF" w:rsidRDefault="00DE5A28" w:rsidP="000D5D69">
      <w:pPr>
        <w:pStyle w:val="Prrafodelista"/>
        <w:numPr>
          <w:ilvl w:val="0"/>
          <w:numId w:val="8"/>
        </w:numPr>
        <w:autoSpaceDE w:val="0"/>
        <w:autoSpaceDN w:val="0"/>
        <w:adjustRightInd w:val="0"/>
        <w:jc w:val="both"/>
        <w:rPr>
          <w:rFonts w:ascii="Lato" w:hAnsi="Lato" w:cstheme="minorHAnsi"/>
          <w:b/>
          <w:sz w:val="20"/>
          <w:szCs w:val="20"/>
        </w:rPr>
      </w:pPr>
      <w:r w:rsidRPr="002B21CF">
        <w:rPr>
          <w:rFonts w:ascii="Lato" w:hAnsi="Lato" w:cstheme="minorHAnsi"/>
          <w:b/>
          <w:sz w:val="20"/>
          <w:szCs w:val="20"/>
        </w:rPr>
        <w:t>Cuentas y Documentos por pagar</w:t>
      </w:r>
    </w:p>
    <w:p w14:paraId="1F4BBCC7" w14:textId="77777777" w:rsidR="00C73605" w:rsidRPr="002B21CF" w:rsidRDefault="00C73605" w:rsidP="00C73605">
      <w:pPr>
        <w:pStyle w:val="Prrafodelista"/>
        <w:autoSpaceDE w:val="0"/>
        <w:autoSpaceDN w:val="0"/>
        <w:adjustRightInd w:val="0"/>
        <w:jc w:val="both"/>
        <w:rPr>
          <w:rFonts w:ascii="Lato" w:hAnsi="Lato" w:cstheme="minorHAnsi"/>
          <w:b/>
          <w:sz w:val="20"/>
          <w:szCs w:val="20"/>
          <w:highlight w:val="yellow"/>
        </w:rPr>
      </w:pPr>
    </w:p>
    <w:p w14:paraId="2933B205" w14:textId="1AF4CA51" w:rsidR="00EF6745" w:rsidRPr="002B21CF" w:rsidRDefault="00EF6745" w:rsidP="00906A55">
      <w:pPr>
        <w:autoSpaceDE w:val="0"/>
        <w:autoSpaceDN w:val="0"/>
        <w:adjustRightInd w:val="0"/>
        <w:jc w:val="both"/>
        <w:rPr>
          <w:rFonts w:ascii="Lato" w:hAnsi="Lato" w:cstheme="minorHAnsi"/>
          <w:sz w:val="20"/>
          <w:szCs w:val="20"/>
        </w:rPr>
      </w:pPr>
      <w:r w:rsidRPr="002B21CF">
        <w:rPr>
          <w:rFonts w:ascii="Lato" w:hAnsi="Lato" w:cstheme="minorHAnsi"/>
          <w:sz w:val="20"/>
          <w:szCs w:val="20"/>
        </w:rPr>
        <w:t xml:space="preserve">1.- Las obligaciones a cargo del Fondo de Seguridad Pública del Estado de Yucatán </w:t>
      </w:r>
      <w:r w:rsidR="0086690E" w:rsidRPr="002B21CF">
        <w:rPr>
          <w:rFonts w:ascii="Lato" w:hAnsi="Lato" w:cstheme="minorHAnsi"/>
          <w:sz w:val="20"/>
          <w:szCs w:val="20"/>
        </w:rPr>
        <w:t>al 28 de febrero de 2026</w:t>
      </w:r>
      <w:r w:rsidRPr="002B21CF">
        <w:rPr>
          <w:rFonts w:ascii="Lato" w:hAnsi="Lato" w:cstheme="minorHAnsi"/>
          <w:sz w:val="20"/>
          <w:szCs w:val="20"/>
        </w:rPr>
        <w:t>, se integra como sigue:</w:t>
      </w:r>
    </w:p>
    <w:tbl>
      <w:tblPr>
        <w:tblpPr w:leftFromText="141" w:rightFromText="141" w:vertAnchor="text" w:horzAnchor="margin" w:tblpXSpec="center" w:tblpY="189"/>
        <w:tblW w:w="6941" w:type="dxa"/>
        <w:tblCellMar>
          <w:left w:w="70" w:type="dxa"/>
          <w:right w:w="70" w:type="dxa"/>
        </w:tblCellMar>
        <w:tblLook w:val="04A0" w:firstRow="1" w:lastRow="0" w:firstColumn="1" w:lastColumn="0" w:noHBand="0" w:noVBand="1"/>
      </w:tblPr>
      <w:tblGrid>
        <w:gridCol w:w="2734"/>
        <w:gridCol w:w="2081"/>
        <w:gridCol w:w="2126"/>
      </w:tblGrid>
      <w:tr w:rsidR="001F768D" w:rsidRPr="002B21CF" w14:paraId="5A6DB0B7" w14:textId="77777777" w:rsidTr="007A6BA1">
        <w:trPr>
          <w:trHeight w:val="240"/>
        </w:trPr>
        <w:tc>
          <w:tcPr>
            <w:tcW w:w="2734" w:type="dxa"/>
            <w:tcBorders>
              <w:top w:val="single" w:sz="4" w:space="0" w:color="auto"/>
              <w:left w:val="single" w:sz="4" w:space="0" w:color="auto"/>
              <w:bottom w:val="single" w:sz="4" w:space="0" w:color="auto"/>
              <w:right w:val="single" w:sz="4" w:space="0" w:color="auto"/>
            </w:tcBorders>
            <w:noWrap/>
            <w:vAlign w:val="bottom"/>
            <w:hideMark/>
          </w:tcPr>
          <w:p w14:paraId="07B4F374" w14:textId="77777777" w:rsidR="001F768D" w:rsidRPr="002B21CF" w:rsidRDefault="001F768D" w:rsidP="007A6BA1">
            <w:pPr>
              <w:rPr>
                <w:rFonts w:ascii="Lato" w:hAnsi="Lato" w:cstheme="minorHAnsi"/>
                <w:b/>
                <w:bCs/>
                <w:color w:val="000000"/>
                <w:sz w:val="20"/>
                <w:szCs w:val="20"/>
                <w:lang w:eastAsia="es-MX"/>
              </w:rPr>
            </w:pPr>
            <w:r w:rsidRPr="002B21CF">
              <w:rPr>
                <w:rFonts w:ascii="Lato" w:hAnsi="Lato" w:cstheme="minorHAnsi"/>
                <w:b/>
                <w:bCs/>
                <w:color w:val="000000"/>
                <w:sz w:val="20"/>
                <w:szCs w:val="20"/>
                <w:lang w:eastAsia="es-MX"/>
              </w:rPr>
              <w:t>Concepto</w:t>
            </w:r>
          </w:p>
        </w:tc>
        <w:tc>
          <w:tcPr>
            <w:tcW w:w="2081" w:type="dxa"/>
            <w:tcBorders>
              <w:top w:val="single" w:sz="4" w:space="0" w:color="auto"/>
              <w:left w:val="nil"/>
              <w:bottom w:val="single" w:sz="4" w:space="0" w:color="auto"/>
              <w:right w:val="single" w:sz="4" w:space="0" w:color="auto"/>
            </w:tcBorders>
            <w:noWrap/>
            <w:vAlign w:val="bottom"/>
            <w:hideMark/>
          </w:tcPr>
          <w:p w14:paraId="43EC665B" w14:textId="0DF57AF2" w:rsidR="001F768D" w:rsidRPr="002B21CF" w:rsidRDefault="001F768D" w:rsidP="007A6BA1">
            <w:pPr>
              <w:jc w:val="center"/>
              <w:rPr>
                <w:rFonts w:ascii="Lato" w:hAnsi="Lato" w:cstheme="minorHAnsi"/>
                <w:b/>
                <w:bCs/>
                <w:color w:val="000000"/>
                <w:sz w:val="20"/>
                <w:szCs w:val="20"/>
                <w:lang w:eastAsia="es-MX"/>
              </w:rPr>
            </w:pPr>
            <w:r w:rsidRPr="002B21CF">
              <w:rPr>
                <w:rFonts w:ascii="Lato" w:hAnsi="Lato" w:cstheme="minorHAnsi"/>
                <w:b/>
                <w:bCs/>
                <w:color w:val="000000"/>
                <w:sz w:val="20"/>
                <w:szCs w:val="20"/>
                <w:lang w:eastAsia="es-MX"/>
              </w:rPr>
              <w:t>202</w:t>
            </w:r>
            <w:r w:rsidR="00B44AD3" w:rsidRPr="002B21CF">
              <w:rPr>
                <w:rFonts w:ascii="Lato" w:hAnsi="Lato" w:cstheme="minorHAnsi"/>
                <w:b/>
                <w:bCs/>
                <w:color w:val="000000"/>
                <w:sz w:val="20"/>
                <w:szCs w:val="20"/>
                <w:lang w:eastAsia="es-MX"/>
              </w:rPr>
              <w:t>6</w:t>
            </w:r>
          </w:p>
        </w:tc>
        <w:tc>
          <w:tcPr>
            <w:tcW w:w="2126" w:type="dxa"/>
            <w:tcBorders>
              <w:top w:val="single" w:sz="4" w:space="0" w:color="auto"/>
              <w:left w:val="nil"/>
              <w:bottom w:val="single" w:sz="4" w:space="0" w:color="auto"/>
              <w:right w:val="single" w:sz="4" w:space="0" w:color="auto"/>
            </w:tcBorders>
            <w:noWrap/>
            <w:vAlign w:val="bottom"/>
            <w:hideMark/>
          </w:tcPr>
          <w:p w14:paraId="5F1F9A42" w14:textId="1924F234" w:rsidR="001F768D" w:rsidRPr="002B21CF" w:rsidRDefault="001F768D" w:rsidP="007A6BA1">
            <w:pPr>
              <w:jc w:val="center"/>
              <w:rPr>
                <w:rFonts w:ascii="Lato" w:hAnsi="Lato" w:cstheme="minorHAnsi"/>
                <w:b/>
                <w:bCs/>
                <w:color w:val="000000"/>
                <w:sz w:val="20"/>
                <w:szCs w:val="20"/>
                <w:lang w:eastAsia="es-MX"/>
              </w:rPr>
            </w:pPr>
            <w:r w:rsidRPr="002B21CF">
              <w:rPr>
                <w:rFonts w:ascii="Lato" w:hAnsi="Lato" w:cstheme="minorHAnsi"/>
                <w:b/>
                <w:bCs/>
                <w:color w:val="000000"/>
                <w:sz w:val="20"/>
                <w:szCs w:val="20"/>
                <w:lang w:eastAsia="es-MX"/>
              </w:rPr>
              <w:t>202</w:t>
            </w:r>
            <w:r w:rsidR="00B44AD3" w:rsidRPr="002B21CF">
              <w:rPr>
                <w:rFonts w:ascii="Lato" w:hAnsi="Lato" w:cstheme="minorHAnsi"/>
                <w:b/>
                <w:bCs/>
                <w:color w:val="000000"/>
                <w:sz w:val="20"/>
                <w:szCs w:val="20"/>
                <w:lang w:eastAsia="es-MX"/>
              </w:rPr>
              <w:t>5</w:t>
            </w:r>
          </w:p>
        </w:tc>
      </w:tr>
      <w:tr w:rsidR="001F768D" w:rsidRPr="002B21CF" w14:paraId="5FC807C1" w14:textId="77777777" w:rsidTr="007A6BA1">
        <w:trPr>
          <w:trHeight w:val="228"/>
        </w:trPr>
        <w:tc>
          <w:tcPr>
            <w:tcW w:w="2734" w:type="dxa"/>
            <w:tcBorders>
              <w:top w:val="single" w:sz="4" w:space="0" w:color="auto"/>
              <w:left w:val="single" w:sz="4" w:space="0" w:color="auto"/>
              <w:bottom w:val="single" w:sz="4" w:space="0" w:color="auto"/>
              <w:right w:val="single" w:sz="4" w:space="0" w:color="auto"/>
            </w:tcBorders>
            <w:noWrap/>
            <w:vAlign w:val="bottom"/>
            <w:hideMark/>
          </w:tcPr>
          <w:p w14:paraId="3D21350C" w14:textId="77777777" w:rsidR="001F768D" w:rsidRPr="002B21CF" w:rsidRDefault="001F768D" w:rsidP="007A6BA1">
            <w:pPr>
              <w:rPr>
                <w:rFonts w:ascii="Lato" w:hAnsi="Lato" w:cstheme="minorHAnsi"/>
                <w:color w:val="000000"/>
                <w:sz w:val="20"/>
                <w:szCs w:val="20"/>
                <w:lang w:eastAsia="es-MX"/>
              </w:rPr>
            </w:pPr>
            <w:r w:rsidRPr="002B21CF">
              <w:rPr>
                <w:rFonts w:ascii="Lato" w:hAnsi="Lato" w:cstheme="minorHAnsi"/>
                <w:color w:val="000000"/>
                <w:sz w:val="20"/>
                <w:szCs w:val="20"/>
                <w:lang w:eastAsia="es-MX"/>
              </w:rPr>
              <w:t>PASIVO CIRCULANTE</w:t>
            </w:r>
          </w:p>
        </w:tc>
        <w:tc>
          <w:tcPr>
            <w:tcW w:w="2081" w:type="dxa"/>
            <w:tcBorders>
              <w:top w:val="single" w:sz="4" w:space="0" w:color="auto"/>
              <w:left w:val="nil"/>
              <w:bottom w:val="single" w:sz="4" w:space="0" w:color="auto"/>
              <w:right w:val="single" w:sz="4" w:space="0" w:color="auto"/>
            </w:tcBorders>
            <w:noWrap/>
            <w:vAlign w:val="bottom"/>
            <w:hideMark/>
          </w:tcPr>
          <w:p w14:paraId="3DFCDBA9" w14:textId="77777777" w:rsidR="001F768D" w:rsidRPr="002B21CF" w:rsidRDefault="001F768D" w:rsidP="007A6BA1">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$ 0.00</w:t>
            </w:r>
          </w:p>
        </w:tc>
        <w:tc>
          <w:tcPr>
            <w:tcW w:w="2126" w:type="dxa"/>
            <w:tcBorders>
              <w:top w:val="single" w:sz="4" w:space="0" w:color="auto"/>
              <w:left w:val="nil"/>
              <w:bottom w:val="single" w:sz="4" w:space="0" w:color="auto"/>
              <w:right w:val="single" w:sz="4" w:space="0" w:color="auto"/>
            </w:tcBorders>
            <w:noWrap/>
            <w:vAlign w:val="bottom"/>
            <w:hideMark/>
          </w:tcPr>
          <w:p w14:paraId="2883B51E" w14:textId="77777777" w:rsidR="001F768D" w:rsidRPr="002B21CF" w:rsidRDefault="001F768D" w:rsidP="007A6BA1">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$ 0.00</w:t>
            </w:r>
          </w:p>
        </w:tc>
      </w:tr>
      <w:tr w:rsidR="00B44AD3" w:rsidRPr="002B21CF" w14:paraId="6C627470" w14:textId="77777777" w:rsidTr="007A6BA1">
        <w:trPr>
          <w:trHeight w:val="228"/>
        </w:trPr>
        <w:tc>
          <w:tcPr>
            <w:tcW w:w="2734" w:type="dxa"/>
            <w:tcBorders>
              <w:top w:val="single" w:sz="4" w:space="0" w:color="auto"/>
              <w:left w:val="single" w:sz="4" w:space="0" w:color="auto"/>
              <w:bottom w:val="single" w:sz="4" w:space="0" w:color="auto"/>
              <w:right w:val="single" w:sz="4" w:space="0" w:color="auto"/>
            </w:tcBorders>
            <w:noWrap/>
            <w:vAlign w:val="bottom"/>
            <w:hideMark/>
          </w:tcPr>
          <w:p w14:paraId="17DE585F" w14:textId="77777777" w:rsidR="00B44AD3" w:rsidRPr="002B21CF" w:rsidRDefault="00B44AD3" w:rsidP="00B44AD3">
            <w:pPr>
              <w:rPr>
                <w:rFonts w:ascii="Lato" w:hAnsi="Lato" w:cstheme="minorHAnsi"/>
                <w:color w:val="000000"/>
                <w:sz w:val="20"/>
                <w:szCs w:val="20"/>
                <w:lang w:eastAsia="es-MX"/>
              </w:rPr>
            </w:pPr>
            <w:r w:rsidRPr="002B21CF">
              <w:rPr>
                <w:rFonts w:ascii="Lato" w:hAnsi="Lato" w:cstheme="minorHAnsi"/>
                <w:color w:val="000000"/>
                <w:sz w:val="20"/>
                <w:szCs w:val="20"/>
                <w:lang w:eastAsia="es-MX"/>
              </w:rPr>
              <w:t>PASIVO NO CIRCULANTE</w:t>
            </w:r>
          </w:p>
        </w:tc>
        <w:tc>
          <w:tcPr>
            <w:tcW w:w="2081" w:type="dxa"/>
            <w:tcBorders>
              <w:top w:val="single" w:sz="4" w:space="0" w:color="auto"/>
              <w:left w:val="nil"/>
              <w:bottom w:val="single" w:sz="4" w:space="0" w:color="auto"/>
              <w:right w:val="single" w:sz="4" w:space="0" w:color="auto"/>
            </w:tcBorders>
            <w:noWrap/>
            <w:vAlign w:val="bottom"/>
            <w:hideMark/>
          </w:tcPr>
          <w:p w14:paraId="47F10582" w14:textId="3E5B3BE1" w:rsidR="00B44AD3" w:rsidRPr="002B21CF" w:rsidRDefault="00B44AD3" w:rsidP="00255938">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 xml:space="preserve">$ </w:t>
            </w:r>
            <w:r w:rsidR="00255938" w:rsidRPr="002B21CF">
              <w:rPr>
                <w:rFonts w:ascii="Lato" w:hAnsi="Lato" w:cstheme="minorHAnsi"/>
                <w:color w:val="000000"/>
                <w:sz w:val="20"/>
                <w:szCs w:val="20"/>
                <w:lang w:eastAsia="es-MX"/>
              </w:rPr>
              <w:t>0</w:t>
            </w:r>
            <w:r w:rsidRPr="002B21CF">
              <w:rPr>
                <w:rFonts w:ascii="Lato" w:hAnsi="Lato" w:cstheme="minorHAnsi"/>
                <w:color w:val="000000"/>
                <w:sz w:val="20"/>
                <w:szCs w:val="20"/>
                <w:lang w:eastAsia="es-MX"/>
              </w:rPr>
              <w:t>.</w:t>
            </w:r>
            <w:r w:rsidR="00255938" w:rsidRPr="002B21CF">
              <w:rPr>
                <w:rFonts w:ascii="Lato" w:hAnsi="Lato" w:cstheme="minorHAnsi"/>
                <w:color w:val="000000"/>
                <w:sz w:val="20"/>
                <w:szCs w:val="20"/>
                <w:lang w:eastAsia="es-MX"/>
              </w:rPr>
              <w:t>00</w:t>
            </w:r>
          </w:p>
        </w:tc>
        <w:tc>
          <w:tcPr>
            <w:tcW w:w="2126" w:type="dxa"/>
            <w:tcBorders>
              <w:top w:val="single" w:sz="4" w:space="0" w:color="auto"/>
              <w:left w:val="nil"/>
              <w:bottom w:val="single" w:sz="4" w:space="0" w:color="auto"/>
              <w:right w:val="single" w:sz="4" w:space="0" w:color="auto"/>
            </w:tcBorders>
            <w:noWrap/>
            <w:vAlign w:val="bottom"/>
            <w:hideMark/>
          </w:tcPr>
          <w:p w14:paraId="046D33A2" w14:textId="645179E6" w:rsidR="00B44AD3" w:rsidRPr="002B21CF" w:rsidRDefault="00B44AD3" w:rsidP="00B44AD3">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$ 11,283,545.40</w:t>
            </w:r>
          </w:p>
        </w:tc>
      </w:tr>
      <w:tr w:rsidR="00B44AD3" w:rsidRPr="002B21CF" w14:paraId="5BC4D097" w14:textId="77777777" w:rsidTr="007A6BA1">
        <w:trPr>
          <w:trHeight w:val="240"/>
        </w:trPr>
        <w:tc>
          <w:tcPr>
            <w:tcW w:w="2734" w:type="dxa"/>
            <w:tcBorders>
              <w:top w:val="single" w:sz="4" w:space="0" w:color="auto"/>
              <w:left w:val="single" w:sz="4" w:space="0" w:color="auto"/>
              <w:bottom w:val="single" w:sz="4" w:space="0" w:color="auto"/>
              <w:right w:val="single" w:sz="4" w:space="0" w:color="000000"/>
            </w:tcBorders>
            <w:noWrap/>
            <w:vAlign w:val="bottom"/>
            <w:hideMark/>
          </w:tcPr>
          <w:p w14:paraId="1819DB6F" w14:textId="77777777" w:rsidR="00B44AD3" w:rsidRPr="002B21CF" w:rsidRDefault="00B44AD3" w:rsidP="00B44AD3">
            <w:pPr>
              <w:jc w:val="right"/>
              <w:rPr>
                <w:rFonts w:ascii="Lato" w:hAnsi="Lato" w:cstheme="minorHAnsi"/>
                <w:b/>
                <w:bCs/>
                <w:color w:val="000000"/>
                <w:sz w:val="20"/>
                <w:szCs w:val="20"/>
                <w:lang w:eastAsia="es-MX"/>
              </w:rPr>
            </w:pPr>
            <w:r w:rsidRPr="002B21CF">
              <w:rPr>
                <w:rFonts w:ascii="Lato" w:hAnsi="Lato" w:cstheme="minorHAnsi"/>
                <w:b/>
                <w:bCs/>
                <w:color w:val="000000"/>
                <w:sz w:val="20"/>
                <w:szCs w:val="20"/>
                <w:lang w:eastAsia="es-MX"/>
              </w:rPr>
              <w:t>Suma de Pasivo</w:t>
            </w:r>
          </w:p>
        </w:tc>
        <w:tc>
          <w:tcPr>
            <w:tcW w:w="2081" w:type="dxa"/>
            <w:tcBorders>
              <w:top w:val="single" w:sz="4" w:space="0" w:color="auto"/>
              <w:left w:val="nil"/>
              <w:bottom w:val="single" w:sz="4" w:space="0" w:color="auto"/>
              <w:right w:val="single" w:sz="4" w:space="0" w:color="auto"/>
            </w:tcBorders>
            <w:noWrap/>
            <w:vAlign w:val="bottom"/>
            <w:hideMark/>
          </w:tcPr>
          <w:p w14:paraId="3303F6C9" w14:textId="3B4FA42F" w:rsidR="00B44AD3" w:rsidRPr="002B21CF" w:rsidRDefault="00B44AD3" w:rsidP="00255938">
            <w:pPr>
              <w:jc w:val="right"/>
              <w:rPr>
                <w:rFonts w:ascii="Lato" w:hAnsi="Lato" w:cstheme="minorHAnsi"/>
                <w:b/>
                <w:bCs/>
                <w:color w:val="000000"/>
                <w:sz w:val="20"/>
                <w:szCs w:val="20"/>
                <w:lang w:eastAsia="es-MX"/>
              </w:rPr>
            </w:pPr>
            <w:r w:rsidRPr="002B21CF">
              <w:rPr>
                <w:rFonts w:ascii="Lato" w:hAnsi="Lato" w:cstheme="minorHAnsi"/>
                <w:b/>
                <w:bCs/>
                <w:color w:val="000000"/>
                <w:sz w:val="20"/>
                <w:szCs w:val="20"/>
                <w:lang w:eastAsia="es-MX"/>
              </w:rPr>
              <w:t xml:space="preserve"> $ </w:t>
            </w:r>
            <w:r w:rsidR="00255938" w:rsidRPr="002B21CF">
              <w:rPr>
                <w:rFonts w:ascii="Lato" w:hAnsi="Lato" w:cstheme="minorHAnsi"/>
                <w:b/>
                <w:bCs/>
                <w:color w:val="000000"/>
                <w:sz w:val="20"/>
                <w:szCs w:val="20"/>
                <w:lang w:eastAsia="es-MX"/>
              </w:rPr>
              <w:t>0</w:t>
            </w:r>
            <w:r w:rsidRPr="002B21CF">
              <w:rPr>
                <w:rFonts w:ascii="Lato" w:hAnsi="Lato" w:cstheme="minorHAnsi"/>
                <w:b/>
                <w:bCs/>
                <w:color w:val="000000"/>
                <w:sz w:val="20"/>
                <w:szCs w:val="20"/>
                <w:lang w:eastAsia="es-MX"/>
              </w:rPr>
              <w:t>.</w:t>
            </w:r>
            <w:r w:rsidR="00255938" w:rsidRPr="002B21CF">
              <w:rPr>
                <w:rFonts w:ascii="Lato" w:hAnsi="Lato" w:cstheme="minorHAnsi"/>
                <w:b/>
                <w:bCs/>
                <w:color w:val="000000"/>
                <w:sz w:val="20"/>
                <w:szCs w:val="20"/>
                <w:lang w:eastAsia="es-MX"/>
              </w:rPr>
              <w:t>00</w:t>
            </w:r>
            <w:r w:rsidRPr="002B21CF">
              <w:rPr>
                <w:rFonts w:ascii="Lato" w:hAnsi="Lato" w:cstheme="minorHAnsi"/>
                <w:b/>
                <w:bCs/>
                <w:color w:val="000000"/>
                <w:sz w:val="20"/>
                <w:szCs w:val="20"/>
                <w:lang w:eastAsia="es-MX"/>
              </w:rPr>
              <w:t xml:space="preserve"> </w:t>
            </w:r>
          </w:p>
        </w:tc>
        <w:tc>
          <w:tcPr>
            <w:tcW w:w="2126" w:type="dxa"/>
            <w:tcBorders>
              <w:top w:val="single" w:sz="4" w:space="0" w:color="auto"/>
              <w:left w:val="nil"/>
              <w:bottom w:val="single" w:sz="4" w:space="0" w:color="auto"/>
              <w:right w:val="single" w:sz="4" w:space="0" w:color="auto"/>
            </w:tcBorders>
            <w:noWrap/>
            <w:vAlign w:val="bottom"/>
            <w:hideMark/>
          </w:tcPr>
          <w:p w14:paraId="3A1F3F1B" w14:textId="34DE4880" w:rsidR="00B44AD3" w:rsidRPr="002B21CF" w:rsidRDefault="00B44AD3" w:rsidP="00B44AD3">
            <w:pPr>
              <w:jc w:val="right"/>
              <w:rPr>
                <w:rFonts w:ascii="Lato" w:hAnsi="Lato" w:cstheme="minorHAnsi"/>
                <w:b/>
                <w:bCs/>
                <w:color w:val="000000"/>
                <w:sz w:val="20"/>
                <w:szCs w:val="20"/>
                <w:lang w:eastAsia="es-MX"/>
              </w:rPr>
            </w:pPr>
            <w:r w:rsidRPr="002B21CF">
              <w:rPr>
                <w:rFonts w:ascii="Lato" w:hAnsi="Lato" w:cstheme="minorHAnsi"/>
                <w:b/>
                <w:bCs/>
                <w:color w:val="000000"/>
                <w:sz w:val="20"/>
                <w:szCs w:val="20"/>
                <w:lang w:eastAsia="es-MX"/>
              </w:rPr>
              <w:t xml:space="preserve"> $ 11,283,545.40 </w:t>
            </w:r>
          </w:p>
        </w:tc>
      </w:tr>
    </w:tbl>
    <w:p w14:paraId="3F41362B" w14:textId="43611F96" w:rsidR="00EF6745" w:rsidRPr="002B21CF" w:rsidRDefault="00EF6745" w:rsidP="00EF6745">
      <w:pPr>
        <w:autoSpaceDE w:val="0"/>
        <w:autoSpaceDN w:val="0"/>
        <w:adjustRightInd w:val="0"/>
        <w:jc w:val="both"/>
        <w:rPr>
          <w:rFonts w:ascii="Lato" w:hAnsi="Lato" w:cstheme="minorHAnsi"/>
          <w:sz w:val="20"/>
          <w:szCs w:val="20"/>
        </w:rPr>
      </w:pPr>
    </w:p>
    <w:p w14:paraId="448889A0" w14:textId="77777777" w:rsidR="0007594B" w:rsidRPr="002B21CF" w:rsidRDefault="0007594B" w:rsidP="00EF6745">
      <w:pPr>
        <w:autoSpaceDE w:val="0"/>
        <w:autoSpaceDN w:val="0"/>
        <w:adjustRightInd w:val="0"/>
        <w:jc w:val="both"/>
        <w:rPr>
          <w:rFonts w:ascii="Lato" w:hAnsi="Lato" w:cstheme="minorHAnsi"/>
          <w:sz w:val="20"/>
          <w:szCs w:val="20"/>
        </w:rPr>
      </w:pPr>
    </w:p>
    <w:p w14:paraId="451498AA" w14:textId="67B4E287" w:rsidR="0007594B" w:rsidRPr="002B21CF" w:rsidRDefault="0007594B" w:rsidP="00EF6745">
      <w:pPr>
        <w:autoSpaceDE w:val="0"/>
        <w:autoSpaceDN w:val="0"/>
        <w:adjustRightInd w:val="0"/>
        <w:jc w:val="both"/>
        <w:rPr>
          <w:rFonts w:ascii="Lato" w:hAnsi="Lato" w:cstheme="minorHAnsi"/>
          <w:sz w:val="20"/>
          <w:szCs w:val="20"/>
        </w:rPr>
      </w:pPr>
    </w:p>
    <w:p w14:paraId="5E81272B" w14:textId="77777777" w:rsidR="0007594B" w:rsidRPr="002B21CF" w:rsidRDefault="0007594B" w:rsidP="00EF6745">
      <w:pPr>
        <w:autoSpaceDE w:val="0"/>
        <w:autoSpaceDN w:val="0"/>
        <w:adjustRightInd w:val="0"/>
        <w:jc w:val="both"/>
        <w:rPr>
          <w:rFonts w:ascii="Lato" w:hAnsi="Lato" w:cstheme="minorHAnsi"/>
          <w:sz w:val="20"/>
          <w:szCs w:val="20"/>
        </w:rPr>
      </w:pPr>
    </w:p>
    <w:p w14:paraId="1BC87843" w14:textId="58439E33" w:rsidR="0007594B" w:rsidRPr="002B21CF" w:rsidRDefault="0007594B" w:rsidP="00EF6745">
      <w:pPr>
        <w:autoSpaceDE w:val="0"/>
        <w:autoSpaceDN w:val="0"/>
        <w:adjustRightInd w:val="0"/>
        <w:jc w:val="both"/>
        <w:rPr>
          <w:rFonts w:ascii="Lato" w:hAnsi="Lato" w:cstheme="minorHAnsi"/>
          <w:sz w:val="20"/>
          <w:szCs w:val="20"/>
        </w:rPr>
      </w:pPr>
    </w:p>
    <w:p w14:paraId="74BA5B6F" w14:textId="317BDCFE" w:rsidR="0007594B" w:rsidRPr="002B21CF" w:rsidRDefault="0007594B" w:rsidP="00EF6745">
      <w:pPr>
        <w:autoSpaceDE w:val="0"/>
        <w:autoSpaceDN w:val="0"/>
        <w:adjustRightInd w:val="0"/>
        <w:jc w:val="both"/>
        <w:rPr>
          <w:rFonts w:ascii="Lato" w:hAnsi="Lato" w:cstheme="minorHAnsi"/>
          <w:sz w:val="20"/>
          <w:szCs w:val="20"/>
        </w:rPr>
      </w:pPr>
    </w:p>
    <w:p w14:paraId="7A1C009C" w14:textId="2C5FA92E" w:rsidR="002354AF" w:rsidRPr="002B21CF" w:rsidRDefault="002354AF" w:rsidP="002354AF">
      <w:pPr>
        <w:autoSpaceDE w:val="0"/>
        <w:autoSpaceDN w:val="0"/>
        <w:adjustRightInd w:val="0"/>
        <w:jc w:val="both"/>
        <w:rPr>
          <w:rFonts w:ascii="Lato" w:hAnsi="Lato" w:cstheme="minorHAnsi"/>
          <w:sz w:val="20"/>
          <w:szCs w:val="20"/>
        </w:rPr>
      </w:pPr>
      <w:r w:rsidRPr="002B21CF">
        <w:rPr>
          <w:rFonts w:ascii="Lato" w:hAnsi="Lato" w:cstheme="minorHAnsi"/>
          <w:sz w:val="20"/>
          <w:szCs w:val="20"/>
        </w:rPr>
        <w:t xml:space="preserve">El Fondo de Seguridad Pública del Estado de Yucatán </w:t>
      </w:r>
      <w:r w:rsidR="00900CD3" w:rsidRPr="002B21CF">
        <w:rPr>
          <w:rFonts w:ascii="Lato" w:hAnsi="Lato" w:cstheme="minorHAnsi"/>
          <w:sz w:val="20"/>
          <w:szCs w:val="20"/>
        </w:rPr>
        <w:t>a la fecha de su extinción no tuvo</w:t>
      </w:r>
      <w:r w:rsidRPr="002B21CF">
        <w:rPr>
          <w:rFonts w:ascii="Lato" w:hAnsi="Lato" w:cstheme="minorHAnsi"/>
          <w:sz w:val="20"/>
          <w:szCs w:val="20"/>
        </w:rPr>
        <w:t xml:space="preserve"> registro de pasivos circulantes.</w:t>
      </w:r>
    </w:p>
    <w:p w14:paraId="052864AE" w14:textId="02F0DCF7" w:rsidR="00BD0CB7" w:rsidRPr="002B21CF" w:rsidRDefault="00BD0CB7" w:rsidP="00BD0CB7">
      <w:pPr>
        <w:pStyle w:val="Prrafodelista"/>
        <w:numPr>
          <w:ilvl w:val="0"/>
          <w:numId w:val="8"/>
        </w:numPr>
        <w:autoSpaceDE w:val="0"/>
        <w:autoSpaceDN w:val="0"/>
        <w:adjustRightInd w:val="0"/>
        <w:jc w:val="both"/>
        <w:rPr>
          <w:rFonts w:ascii="Lato" w:hAnsi="Lato" w:cstheme="minorHAnsi"/>
          <w:b/>
          <w:sz w:val="20"/>
          <w:szCs w:val="20"/>
        </w:rPr>
      </w:pPr>
      <w:bookmarkStart w:id="4" w:name="m6"/>
      <w:bookmarkStart w:id="5" w:name="m7"/>
      <w:bookmarkStart w:id="6" w:name="m9"/>
      <w:bookmarkStart w:id="7" w:name="m8"/>
      <w:bookmarkEnd w:id="4"/>
      <w:bookmarkEnd w:id="5"/>
      <w:bookmarkEnd w:id="6"/>
      <w:bookmarkEnd w:id="7"/>
      <w:r w:rsidRPr="002B21CF">
        <w:rPr>
          <w:rFonts w:ascii="Lato" w:hAnsi="Lato" w:cstheme="minorHAnsi"/>
          <w:b/>
          <w:sz w:val="20"/>
          <w:szCs w:val="20"/>
        </w:rPr>
        <w:t>Fondos y Bienes de Terceros en Garantía y/o Administración</w:t>
      </w:r>
    </w:p>
    <w:p w14:paraId="076E86ED" w14:textId="77777777" w:rsidR="002B21CF" w:rsidRDefault="002B21CF" w:rsidP="00973D06">
      <w:pPr>
        <w:autoSpaceDE w:val="0"/>
        <w:autoSpaceDN w:val="0"/>
        <w:adjustRightInd w:val="0"/>
        <w:jc w:val="both"/>
        <w:rPr>
          <w:rFonts w:ascii="Lato" w:hAnsi="Lato" w:cstheme="minorHAnsi"/>
          <w:b/>
          <w:sz w:val="12"/>
          <w:szCs w:val="20"/>
        </w:rPr>
      </w:pPr>
    </w:p>
    <w:p w14:paraId="1F3A29A9" w14:textId="2AFC1828" w:rsidR="004B0DA1" w:rsidRPr="002B21CF" w:rsidRDefault="00973D06" w:rsidP="002B21CF">
      <w:pPr>
        <w:autoSpaceDE w:val="0"/>
        <w:autoSpaceDN w:val="0"/>
        <w:adjustRightInd w:val="0"/>
        <w:jc w:val="both"/>
        <w:rPr>
          <w:rFonts w:ascii="Lato" w:hAnsi="Lato" w:cstheme="minorHAnsi"/>
          <w:sz w:val="20"/>
          <w:szCs w:val="20"/>
        </w:rPr>
      </w:pPr>
      <w:r w:rsidRPr="002B21CF">
        <w:rPr>
          <w:rFonts w:ascii="Lato" w:hAnsi="Lato" w:cstheme="minorHAnsi"/>
          <w:sz w:val="20"/>
          <w:szCs w:val="20"/>
        </w:rPr>
        <w:t>2.-</w:t>
      </w:r>
      <w:r w:rsidR="00FC2B05" w:rsidRPr="002B21CF">
        <w:rPr>
          <w:rFonts w:ascii="Lato" w:hAnsi="Lato" w:cstheme="minorHAnsi"/>
          <w:sz w:val="20"/>
          <w:szCs w:val="20"/>
        </w:rPr>
        <w:t xml:space="preserve"> </w:t>
      </w:r>
      <w:r w:rsidR="008E7F6A" w:rsidRPr="002B21CF">
        <w:rPr>
          <w:rFonts w:ascii="Lato" w:hAnsi="Lato" w:cstheme="minorHAnsi"/>
          <w:bCs/>
          <w:sz w:val="20"/>
          <w:szCs w:val="20"/>
        </w:rPr>
        <w:t>A</w:t>
      </w:r>
      <w:r w:rsidR="008E7F6A" w:rsidRPr="002B21CF">
        <w:rPr>
          <w:rFonts w:ascii="Lato" w:hAnsi="Lato" w:cstheme="minorHAnsi"/>
          <w:sz w:val="20"/>
          <w:szCs w:val="20"/>
        </w:rPr>
        <w:t xml:space="preserve"> la fecha de su extinción</w:t>
      </w:r>
      <w:r w:rsidR="00591C78" w:rsidRPr="002B21CF">
        <w:rPr>
          <w:rFonts w:ascii="Lato" w:hAnsi="Lato" w:cstheme="minorHAnsi"/>
          <w:sz w:val="20"/>
          <w:szCs w:val="20"/>
        </w:rPr>
        <w:t xml:space="preserve">, el Fideicomiso Fondo de Seguridad Pública del Estado de Yucatán (FOSEG), no presenta saldo alguno en </w:t>
      </w:r>
      <w:r w:rsidR="00FC2B05" w:rsidRPr="002B21CF">
        <w:rPr>
          <w:rFonts w:ascii="Lato" w:hAnsi="Lato" w:cstheme="minorHAnsi"/>
          <w:sz w:val="20"/>
          <w:szCs w:val="20"/>
        </w:rPr>
        <w:t xml:space="preserve">la </w:t>
      </w:r>
      <w:r w:rsidRPr="002B21CF">
        <w:rPr>
          <w:rFonts w:ascii="Lato" w:hAnsi="Lato" w:cstheme="minorHAnsi"/>
          <w:sz w:val="20"/>
          <w:szCs w:val="20"/>
        </w:rPr>
        <w:t>cuenta de fondos y bienes de terceros en</w:t>
      </w:r>
      <w:r w:rsidR="00591C78" w:rsidRPr="002B21CF">
        <w:rPr>
          <w:rFonts w:ascii="Lato" w:hAnsi="Lato" w:cstheme="minorHAnsi"/>
          <w:sz w:val="20"/>
          <w:szCs w:val="20"/>
        </w:rPr>
        <w:t xml:space="preserve"> garantía y/o administración a </w:t>
      </w:r>
      <w:r w:rsidR="00864E51" w:rsidRPr="002B21CF">
        <w:rPr>
          <w:rFonts w:ascii="Lato" w:hAnsi="Lato" w:cstheme="minorHAnsi"/>
          <w:sz w:val="20"/>
          <w:szCs w:val="20"/>
        </w:rPr>
        <w:t>largo</w:t>
      </w:r>
      <w:r w:rsidRPr="002B21CF">
        <w:rPr>
          <w:rFonts w:ascii="Lato" w:hAnsi="Lato" w:cstheme="minorHAnsi"/>
          <w:sz w:val="20"/>
          <w:szCs w:val="20"/>
        </w:rPr>
        <w:t xml:space="preserve"> plazo</w:t>
      </w:r>
      <w:r w:rsidR="00591C78" w:rsidRPr="002B21CF">
        <w:rPr>
          <w:rFonts w:ascii="Lato" w:hAnsi="Lato" w:cstheme="minorHAnsi"/>
          <w:sz w:val="20"/>
          <w:szCs w:val="20"/>
        </w:rPr>
        <w:t>.</w:t>
      </w:r>
    </w:p>
    <w:p w14:paraId="28BA9CB8" w14:textId="77777777" w:rsidR="004B0DA1" w:rsidRPr="002B21CF" w:rsidRDefault="004B0DA1" w:rsidP="00BB19F5">
      <w:pPr>
        <w:pStyle w:val="Prrafodelista"/>
        <w:autoSpaceDE w:val="0"/>
        <w:autoSpaceDN w:val="0"/>
        <w:adjustRightInd w:val="0"/>
        <w:jc w:val="both"/>
        <w:rPr>
          <w:rFonts w:ascii="Lato" w:hAnsi="Lato" w:cstheme="minorHAnsi"/>
          <w:b/>
          <w:sz w:val="20"/>
          <w:szCs w:val="20"/>
        </w:rPr>
      </w:pPr>
    </w:p>
    <w:p w14:paraId="3BEC3E1B" w14:textId="32AD0D56" w:rsidR="00BD0CB7" w:rsidRPr="002B21CF" w:rsidRDefault="00BD0CB7" w:rsidP="00BD0CB7">
      <w:pPr>
        <w:pStyle w:val="Prrafodelista"/>
        <w:numPr>
          <w:ilvl w:val="0"/>
          <w:numId w:val="8"/>
        </w:numPr>
        <w:autoSpaceDE w:val="0"/>
        <w:autoSpaceDN w:val="0"/>
        <w:adjustRightInd w:val="0"/>
        <w:jc w:val="both"/>
        <w:rPr>
          <w:rFonts w:ascii="Lato" w:hAnsi="Lato" w:cstheme="minorHAnsi"/>
          <w:b/>
          <w:sz w:val="20"/>
          <w:szCs w:val="20"/>
        </w:rPr>
      </w:pPr>
      <w:r w:rsidRPr="002B21CF">
        <w:rPr>
          <w:rFonts w:ascii="Lato" w:hAnsi="Lato" w:cstheme="minorHAnsi"/>
          <w:b/>
          <w:sz w:val="20"/>
          <w:szCs w:val="20"/>
        </w:rPr>
        <w:t>Pasivos Diferidos</w:t>
      </w:r>
    </w:p>
    <w:p w14:paraId="33E56D51" w14:textId="77777777" w:rsidR="00C92447" w:rsidRPr="002B21CF" w:rsidRDefault="00C92447" w:rsidP="00C92447">
      <w:pPr>
        <w:pStyle w:val="Prrafodelista"/>
        <w:autoSpaceDE w:val="0"/>
        <w:autoSpaceDN w:val="0"/>
        <w:adjustRightInd w:val="0"/>
        <w:jc w:val="both"/>
        <w:rPr>
          <w:rFonts w:ascii="Lato" w:hAnsi="Lato" w:cstheme="minorHAnsi"/>
          <w:b/>
          <w:sz w:val="20"/>
          <w:szCs w:val="20"/>
        </w:rPr>
      </w:pPr>
    </w:p>
    <w:p w14:paraId="061FFE45" w14:textId="56A64267" w:rsidR="00973D06" w:rsidRPr="002B21CF" w:rsidRDefault="00973D06" w:rsidP="00973D06">
      <w:pPr>
        <w:autoSpaceDE w:val="0"/>
        <w:autoSpaceDN w:val="0"/>
        <w:adjustRightInd w:val="0"/>
        <w:jc w:val="both"/>
        <w:rPr>
          <w:rFonts w:ascii="Lato" w:hAnsi="Lato" w:cstheme="minorHAnsi"/>
          <w:b/>
          <w:sz w:val="20"/>
          <w:szCs w:val="20"/>
        </w:rPr>
      </w:pPr>
      <w:r w:rsidRPr="002B21CF">
        <w:rPr>
          <w:rFonts w:ascii="Lato" w:hAnsi="Lato" w:cstheme="minorHAnsi"/>
          <w:sz w:val="20"/>
          <w:szCs w:val="20"/>
        </w:rPr>
        <w:t xml:space="preserve">3.- El Fondo de Seguridad Pública del Estado de Yucatán </w:t>
      </w:r>
      <w:r w:rsidR="00900CD3" w:rsidRPr="002B21CF">
        <w:rPr>
          <w:rFonts w:ascii="Lato" w:hAnsi="Lato" w:cstheme="minorHAnsi"/>
          <w:sz w:val="20"/>
          <w:szCs w:val="20"/>
        </w:rPr>
        <w:t>a la fecha de su extinción no tuvo</w:t>
      </w:r>
      <w:r w:rsidRPr="002B21CF">
        <w:rPr>
          <w:rFonts w:ascii="Lato" w:hAnsi="Lato" w:cstheme="minorHAnsi"/>
          <w:sz w:val="20"/>
          <w:szCs w:val="20"/>
        </w:rPr>
        <w:t xml:space="preserve"> registro de pasivos diferidos de corto o largo plazo.</w:t>
      </w:r>
      <w:r w:rsidRPr="002B21CF">
        <w:rPr>
          <w:rFonts w:ascii="Lato" w:hAnsi="Lato" w:cstheme="minorHAnsi"/>
          <w:b/>
          <w:sz w:val="20"/>
          <w:szCs w:val="20"/>
        </w:rPr>
        <w:t xml:space="preserve"> </w:t>
      </w:r>
    </w:p>
    <w:p w14:paraId="1F10CD14" w14:textId="77777777" w:rsidR="005D2C5C" w:rsidRPr="002B21CF" w:rsidRDefault="005D2C5C" w:rsidP="00973D06">
      <w:pPr>
        <w:autoSpaceDE w:val="0"/>
        <w:autoSpaceDN w:val="0"/>
        <w:adjustRightInd w:val="0"/>
        <w:jc w:val="both"/>
        <w:rPr>
          <w:rFonts w:ascii="Lato" w:hAnsi="Lato" w:cstheme="minorHAnsi"/>
          <w:b/>
          <w:sz w:val="20"/>
          <w:szCs w:val="20"/>
        </w:rPr>
      </w:pPr>
    </w:p>
    <w:p w14:paraId="0872AC92" w14:textId="1C83CF54" w:rsidR="00BD0CB7" w:rsidRPr="002B21CF" w:rsidRDefault="00BD0CB7" w:rsidP="00BD0CB7">
      <w:pPr>
        <w:pStyle w:val="Prrafodelista"/>
        <w:numPr>
          <w:ilvl w:val="0"/>
          <w:numId w:val="8"/>
        </w:numPr>
        <w:autoSpaceDE w:val="0"/>
        <w:autoSpaceDN w:val="0"/>
        <w:adjustRightInd w:val="0"/>
        <w:jc w:val="both"/>
        <w:rPr>
          <w:rFonts w:ascii="Lato" w:hAnsi="Lato" w:cstheme="minorHAnsi"/>
          <w:b/>
          <w:sz w:val="20"/>
          <w:szCs w:val="20"/>
        </w:rPr>
      </w:pPr>
      <w:r w:rsidRPr="002B21CF">
        <w:rPr>
          <w:rFonts w:ascii="Lato" w:hAnsi="Lato" w:cstheme="minorHAnsi"/>
          <w:b/>
          <w:sz w:val="20"/>
          <w:szCs w:val="20"/>
        </w:rPr>
        <w:t>Provisiones</w:t>
      </w:r>
    </w:p>
    <w:p w14:paraId="6306FC02" w14:textId="77777777" w:rsidR="00973D06" w:rsidRPr="002B21CF" w:rsidRDefault="00973D06" w:rsidP="00973D06">
      <w:pPr>
        <w:autoSpaceDE w:val="0"/>
        <w:autoSpaceDN w:val="0"/>
        <w:adjustRightInd w:val="0"/>
        <w:jc w:val="both"/>
        <w:rPr>
          <w:rFonts w:ascii="Lato" w:hAnsi="Lato" w:cstheme="minorHAnsi"/>
          <w:b/>
          <w:sz w:val="12"/>
          <w:szCs w:val="20"/>
        </w:rPr>
      </w:pPr>
    </w:p>
    <w:p w14:paraId="1E533323" w14:textId="78037BAA" w:rsidR="000041B9" w:rsidRPr="002B21CF" w:rsidRDefault="000041B9" w:rsidP="000041B9">
      <w:pPr>
        <w:autoSpaceDE w:val="0"/>
        <w:autoSpaceDN w:val="0"/>
        <w:adjustRightInd w:val="0"/>
        <w:jc w:val="both"/>
        <w:rPr>
          <w:rFonts w:ascii="Lato" w:hAnsi="Lato" w:cstheme="minorHAnsi"/>
          <w:b/>
          <w:sz w:val="20"/>
          <w:szCs w:val="20"/>
        </w:rPr>
      </w:pPr>
      <w:r w:rsidRPr="002B21CF">
        <w:rPr>
          <w:rFonts w:ascii="Lato" w:hAnsi="Lato" w:cstheme="minorHAnsi"/>
          <w:sz w:val="20"/>
          <w:szCs w:val="20"/>
        </w:rPr>
        <w:t xml:space="preserve">4.- El Fondo de Seguridad Pública del Estado de Yucatán </w:t>
      </w:r>
      <w:r w:rsidR="00900CD3" w:rsidRPr="002B21CF">
        <w:rPr>
          <w:rFonts w:ascii="Lato" w:hAnsi="Lato" w:cstheme="minorHAnsi"/>
          <w:sz w:val="20"/>
          <w:szCs w:val="20"/>
        </w:rPr>
        <w:t>a la fecha de su extinción no tuvo</w:t>
      </w:r>
      <w:r w:rsidRPr="002B21CF">
        <w:rPr>
          <w:rFonts w:ascii="Lato" w:hAnsi="Lato" w:cstheme="minorHAnsi"/>
          <w:sz w:val="20"/>
          <w:szCs w:val="20"/>
        </w:rPr>
        <w:t xml:space="preserve"> registro de provisiones.</w:t>
      </w:r>
      <w:r w:rsidRPr="002B21CF">
        <w:rPr>
          <w:rFonts w:ascii="Lato" w:hAnsi="Lato" w:cstheme="minorHAnsi"/>
          <w:b/>
          <w:sz w:val="20"/>
          <w:szCs w:val="20"/>
        </w:rPr>
        <w:t xml:space="preserve"> </w:t>
      </w:r>
    </w:p>
    <w:p w14:paraId="3FD07A2F" w14:textId="1C5526B6" w:rsidR="00BD0CB7" w:rsidRPr="002B21CF" w:rsidRDefault="00BD0CB7" w:rsidP="00BD0CB7">
      <w:pPr>
        <w:pStyle w:val="Prrafodelista"/>
        <w:autoSpaceDE w:val="0"/>
        <w:autoSpaceDN w:val="0"/>
        <w:adjustRightInd w:val="0"/>
        <w:jc w:val="both"/>
        <w:rPr>
          <w:rFonts w:ascii="Lato" w:hAnsi="Lato" w:cstheme="minorHAnsi"/>
          <w:b/>
          <w:sz w:val="20"/>
          <w:szCs w:val="20"/>
          <w:highlight w:val="yellow"/>
        </w:rPr>
      </w:pPr>
    </w:p>
    <w:p w14:paraId="5892A888" w14:textId="7E6166E0" w:rsidR="0068442C" w:rsidRPr="002B21CF" w:rsidRDefault="00BD0CB7" w:rsidP="000D5D69">
      <w:pPr>
        <w:pStyle w:val="Prrafodelista"/>
        <w:numPr>
          <w:ilvl w:val="0"/>
          <w:numId w:val="8"/>
        </w:numPr>
        <w:autoSpaceDE w:val="0"/>
        <w:autoSpaceDN w:val="0"/>
        <w:adjustRightInd w:val="0"/>
        <w:jc w:val="both"/>
        <w:rPr>
          <w:rFonts w:ascii="Lato" w:hAnsi="Lato" w:cstheme="minorHAnsi"/>
          <w:bCs/>
          <w:sz w:val="20"/>
          <w:szCs w:val="20"/>
        </w:rPr>
      </w:pPr>
      <w:r w:rsidRPr="002B21CF">
        <w:rPr>
          <w:rFonts w:ascii="Lato" w:hAnsi="Lato" w:cstheme="minorHAnsi"/>
          <w:b/>
          <w:sz w:val="20"/>
          <w:szCs w:val="20"/>
        </w:rPr>
        <w:t>Otros Pasivos</w:t>
      </w:r>
    </w:p>
    <w:p w14:paraId="79B4A81E" w14:textId="46478995" w:rsidR="004162FE" w:rsidRPr="002B21CF" w:rsidRDefault="004162FE" w:rsidP="004162FE">
      <w:pPr>
        <w:autoSpaceDE w:val="0"/>
        <w:autoSpaceDN w:val="0"/>
        <w:adjustRightInd w:val="0"/>
        <w:jc w:val="both"/>
        <w:rPr>
          <w:rFonts w:ascii="Lato" w:hAnsi="Lato" w:cstheme="minorHAnsi"/>
          <w:bCs/>
          <w:sz w:val="12"/>
          <w:szCs w:val="20"/>
        </w:rPr>
      </w:pPr>
    </w:p>
    <w:p w14:paraId="333EE448" w14:textId="1C8A4434" w:rsidR="000041B9" w:rsidRPr="002B21CF" w:rsidRDefault="000041B9" w:rsidP="000041B9">
      <w:pPr>
        <w:autoSpaceDE w:val="0"/>
        <w:autoSpaceDN w:val="0"/>
        <w:adjustRightInd w:val="0"/>
        <w:jc w:val="both"/>
        <w:rPr>
          <w:rFonts w:ascii="Lato" w:hAnsi="Lato" w:cstheme="minorHAnsi"/>
          <w:b/>
          <w:sz w:val="20"/>
          <w:szCs w:val="20"/>
        </w:rPr>
      </w:pPr>
      <w:r w:rsidRPr="002B21CF">
        <w:rPr>
          <w:rFonts w:ascii="Lato" w:hAnsi="Lato" w:cstheme="minorHAnsi"/>
          <w:sz w:val="20"/>
          <w:szCs w:val="20"/>
        </w:rPr>
        <w:t xml:space="preserve">5.- El Fondo de Seguridad Pública del Estado de Yucatán </w:t>
      </w:r>
      <w:r w:rsidR="00900CD3" w:rsidRPr="002B21CF">
        <w:rPr>
          <w:rFonts w:ascii="Lato" w:hAnsi="Lato" w:cstheme="minorHAnsi"/>
          <w:sz w:val="20"/>
          <w:szCs w:val="20"/>
        </w:rPr>
        <w:t>a la fecha de su extinción no tuvo</w:t>
      </w:r>
      <w:r w:rsidRPr="002B21CF">
        <w:rPr>
          <w:rFonts w:ascii="Lato" w:hAnsi="Lato" w:cstheme="minorHAnsi"/>
          <w:sz w:val="20"/>
          <w:szCs w:val="20"/>
        </w:rPr>
        <w:t xml:space="preserve"> registro de otros pasivos.</w:t>
      </w:r>
      <w:r w:rsidRPr="002B21CF">
        <w:rPr>
          <w:rFonts w:ascii="Lato" w:hAnsi="Lato" w:cstheme="minorHAnsi"/>
          <w:b/>
          <w:sz w:val="20"/>
          <w:szCs w:val="20"/>
        </w:rPr>
        <w:t xml:space="preserve"> </w:t>
      </w:r>
    </w:p>
    <w:p w14:paraId="78D2533F" w14:textId="77777777" w:rsidR="00C26766" w:rsidRPr="002B21CF" w:rsidRDefault="00C26766" w:rsidP="000041B9">
      <w:pPr>
        <w:autoSpaceDE w:val="0"/>
        <w:autoSpaceDN w:val="0"/>
        <w:adjustRightInd w:val="0"/>
        <w:jc w:val="both"/>
        <w:rPr>
          <w:rFonts w:ascii="Lato" w:hAnsi="Lato" w:cstheme="minorHAnsi"/>
          <w:b/>
          <w:sz w:val="20"/>
          <w:szCs w:val="20"/>
        </w:rPr>
      </w:pPr>
    </w:p>
    <w:p w14:paraId="0C934684" w14:textId="77777777" w:rsidR="00D70FEB" w:rsidRPr="002B21CF" w:rsidRDefault="005B1480" w:rsidP="00D70FEB">
      <w:pPr>
        <w:autoSpaceDE w:val="0"/>
        <w:autoSpaceDN w:val="0"/>
        <w:adjustRightInd w:val="0"/>
        <w:jc w:val="both"/>
        <w:rPr>
          <w:rFonts w:ascii="Lato" w:hAnsi="Lato" w:cstheme="minorHAnsi"/>
          <w:b/>
          <w:sz w:val="20"/>
          <w:szCs w:val="20"/>
        </w:rPr>
      </w:pPr>
      <w:r w:rsidRPr="002B21CF">
        <w:rPr>
          <w:rFonts w:ascii="Lato" w:hAnsi="Lato" w:cstheme="minorHAnsi"/>
          <w:b/>
          <w:sz w:val="20"/>
          <w:szCs w:val="20"/>
        </w:rPr>
        <w:t xml:space="preserve">III) NOTAS AL </w:t>
      </w:r>
      <w:r w:rsidR="00D70FEB" w:rsidRPr="002B21CF">
        <w:rPr>
          <w:rFonts w:ascii="Lato" w:hAnsi="Lato" w:cstheme="minorHAnsi"/>
          <w:b/>
          <w:sz w:val="20"/>
          <w:szCs w:val="20"/>
        </w:rPr>
        <w:t>ESTADO DE VARIACIÓN EN LA HACIENDA PÚBLICA.</w:t>
      </w:r>
    </w:p>
    <w:p w14:paraId="2804426F" w14:textId="77777777" w:rsidR="00895DA8" w:rsidRPr="002B21CF" w:rsidRDefault="00895DA8" w:rsidP="00906A55">
      <w:pPr>
        <w:autoSpaceDE w:val="0"/>
        <w:autoSpaceDN w:val="0"/>
        <w:adjustRightInd w:val="0"/>
        <w:jc w:val="both"/>
        <w:rPr>
          <w:rFonts w:ascii="Lato" w:hAnsi="Lato" w:cstheme="minorHAnsi"/>
          <w:b/>
          <w:sz w:val="20"/>
          <w:szCs w:val="20"/>
        </w:rPr>
      </w:pPr>
    </w:p>
    <w:p w14:paraId="61596F3B" w14:textId="6EE8F0A0" w:rsidR="006C656E" w:rsidRPr="002B21CF" w:rsidRDefault="006C656E" w:rsidP="006C656E">
      <w:pPr>
        <w:autoSpaceDE w:val="0"/>
        <w:autoSpaceDN w:val="0"/>
        <w:adjustRightInd w:val="0"/>
        <w:jc w:val="both"/>
        <w:rPr>
          <w:rFonts w:ascii="Lato" w:hAnsi="Lato" w:cstheme="minorHAnsi"/>
          <w:bCs/>
          <w:sz w:val="20"/>
          <w:szCs w:val="20"/>
        </w:rPr>
      </w:pPr>
      <w:r w:rsidRPr="002B21CF">
        <w:rPr>
          <w:rFonts w:ascii="Lato" w:hAnsi="Lato" w:cstheme="minorHAnsi"/>
          <w:bCs/>
          <w:sz w:val="20"/>
          <w:szCs w:val="20"/>
        </w:rPr>
        <w:t xml:space="preserve">1.- El Fondo de seguridad pública </w:t>
      </w:r>
      <w:r w:rsidR="00900CD3" w:rsidRPr="002B21CF">
        <w:rPr>
          <w:rFonts w:ascii="Lato" w:hAnsi="Lato" w:cstheme="minorHAnsi"/>
          <w:sz w:val="20"/>
          <w:szCs w:val="20"/>
        </w:rPr>
        <w:t>a la fecha de su extinción</w:t>
      </w:r>
      <w:r w:rsidR="00900CD3" w:rsidRPr="002B21CF">
        <w:rPr>
          <w:rFonts w:ascii="Lato" w:hAnsi="Lato" w:cstheme="minorHAnsi"/>
          <w:bCs/>
          <w:sz w:val="20"/>
          <w:szCs w:val="20"/>
        </w:rPr>
        <w:t xml:space="preserve"> no contaba</w:t>
      </w:r>
      <w:r w:rsidRPr="002B21CF">
        <w:rPr>
          <w:rFonts w:ascii="Lato" w:hAnsi="Lato" w:cstheme="minorHAnsi"/>
          <w:bCs/>
          <w:sz w:val="20"/>
          <w:szCs w:val="20"/>
        </w:rPr>
        <w:t xml:space="preserve"> con rubro de Patrimonio Contribuido.</w:t>
      </w:r>
    </w:p>
    <w:p w14:paraId="60514697" w14:textId="77777777" w:rsidR="00A95038" w:rsidRPr="002B21CF" w:rsidRDefault="00A95038" w:rsidP="00906A55">
      <w:pPr>
        <w:autoSpaceDE w:val="0"/>
        <w:autoSpaceDN w:val="0"/>
        <w:adjustRightInd w:val="0"/>
        <w:jc w:val="both"/>
        <w:rPr>
          <w:rFonts w:ascii="Lato" w:hAnsi="Lato" w:cstheme="minorHAnsi"/>
          <w:bCs/>
          <w:sz w:val="20"/>
          <w:szCs w:val="20"/>
        </w:rPr>
      </w:pPr>
    </w:p>
    <w:p w14:paraId="68A454FD" w14:textId="043BF04E" w:rsidR="001A31D3" w:rsidRPr="002B21CF" w:rsidRDefault="006C656E" w:rsidP="00906A55">
      <w:pPr>
        <w:autoSpaceDE w:val="0"/>
        <w:autoSpaceDN w:val="0"/>
        <w:adjustRightInd w:val="0"/>
        <w:jc w:val="both"/>
        <w:rPr>
          <w:rFonts w:ascii="Lato" w:hAnsi="Lato" w:cstheme="minorHAnsi"/>
          <w:bCs/>
          <w:sz w:val="20"/>
          <w:szCs w:val="20"/>
        </w:rPr>
      </w:pPr>
      <w:r w:rsidRPr="002B21CF">
        <w:rPr>
          <w:rFonts w:ascii="Lato" w:hAnsi="Lato" w:cstheme="minorHAnsi"/>
          <w:bCs/>
          <w:sz w:val="20"/>
          <w:szCs w:val="20"/>
        </w:rPr>
        <w:t>2</w:t>
      </w:r>
      <w:r w:rsidR="008273DF" w:rsidRPr="002B21CF">
        <w:rPr>
          <w:rFonts w:ascii="Lato" w:hAnsi="Lato" w:cstheme="minorHAnsi"/>
          <w:bCs/>
          <w:sz w:val="20"/>
          <w:szCs w:val="20"/>
        </w:rPr>
        <w:t xml:space="preserve">.- </w:t>
      </w:r>
      <w:r w:rsidR="001A31D3" w:rsidRPr="002B21CF">
        <w:rPr>
          <w:rFonts w:ascii="Lato" w:hAnsi="Lato" w:cstheme="minorHAnsi"/>
          <w:bCs/>
          <w:sz w:val="20"/>
          <w:szCs w:val="20"/>
        </w:rPr>
        <w:t>Las modificaciones en el rubro de Patrimonio Generado ocurridas al cierre del periodo que se informa, derivan única y exclusivamente de la determinación del Resultado del Presente Ejercicio (</w:t>
      </w:r>
      <w:r w:rsidR="003368F6" w:rsidRPr="002B21CF">
        <w:rPr>
          <w:rFonts w:ascii="Lato" w:hAnsi="Lato" w:cstheme="minorHAnsi"/>
          <w:bCs/>
          <w:sz w:val="20"/>
          <w:szCs w:val="20"/>
        </w:rPr>
        <w:t>A</w:t>
      </w:r>
      <w:r w:rsidR="001A31D3" w:rsidRPr="002B21CF">
        <w:rPr>
          <w:rFonts w:ascii="Lato" w:hAnsi="Lato" w:cstheme="minorHAnsi"/>
          <w:bCs/>
          <w:sz w:val="20"/>
          <w:szCs w:val="20"/>
        </w:rPr>
        <w:t>horro</w:t>
      </w:r>
      <w:r w:rsidR="0064330A" w:rsidRPr="002B21CF">
        <w:rPr>
          <w:rFonts w:ascii="Lato" w:hAnsi="Lato" w:cstheme="minorHAnsi"/>
          <w:bCs/>
          <w:sz w:val="20"/>
          <w:szCs w:val="20"/>
        </w:rPr>
        <w:t xml:space="preserve"> o Desahorro) y a la fecha no hay información que revelar.</w:t>
      </w:r>
    </w:p>
    <w:p w14:paraId="3A26E002" w14:textId="77777777" w:rsidR="002A4BE8" w:rsidRPr="002B21CF" w:rsidRDefault="002A4BE8" w:rsidP="00906A55">
      <w:pPr>
        <w:rPr>
          <w:rFonts w:ascii="Lato" w:hAnsi="Lato" w:cstheme="minorHAnsi"/>
          <w:b/>
          <w:sz w:val="20"/>
          <w:szCs w:val="20"/>
        </w:rPr>
      </w:pPr>
      <w:bookmarkStart w:id="8" w:name="m11"/>
      <w:bookmarkEnd w:id="8"/>
    </w:p>
    <w:p w14:paraId="585921E6" w14:textId="77777777" w:rsidR="002B21CF" w:rsidRDefault="002B21CF" w:rsidP="00906A55">
      <w:pPr>
        <w:rPr>
          <w:rFonts w:ascii="Lato" w:hAnsi="Lato" w:cstheme="minorHAnsi"/>
          <w:b/>
          <w:sz w:val="20"/>
          <w:szCs w:val="20"/>
        </w:rPr>
      </w:pPr>
    </w:p>
    <w:p w14:paraId="4A9AA69F" w14:textId="77777777" w:rsidR="002B21CF" w:rsidRDefault="002B21CF" w:rsidP="00906A55">
      <w:pPr>
        <w:rPr>
          <w:rFonts w:ascii="Lato" w:hAnsi="Lato" w:cstheme="minorHAnsi"/>
          <w:b/>
          <w:sz w:val="20"/>
          <w:szCs w:val="20"/>
        </w:rPr>
      </w:pPr>
    </w:p>
    <w:p w14:paraId="0478051A" w14:textId="77777777" w:rsidR="002B21CF" w:rsidRDefault="002B21CF" w:rsidP="00906A55">
      <w:pPr>
        <w:rPr>
          <w:rFonts w:ascii="Lato" w:hAnsi="Lato" w:cstheme="minorHAnsi"/>
          <w:b/>
          <w:sz w:val="20"/>
          <w:szCs w:val="20"/>
        </w:rPr>
      </w:pPr>
    </w:p>
    <w:p w14:paraId="40440DF1" w14:textId="77777777" w:rsidR="002B21CF" w:rsidRDefault="002B21CF" w:rsidP="00906A55">
      <w:pPr>
        <w:rPr>
          <w:rFonts w:ascii="Lato" w:hAnsi="Lato" w:cstheme="minorHAnsi"/>
          <w:b/>
          <w:sz w:val="20"/>
          <w:szCs w:val="20"/>
        </w:rPr>
      </w:pPr>
    </w:p>
    <w:p w14:paraId="2463575A" w14:textId="77777777" w:rsidR="002B21CF" w:rsidRDefault="002B21CF" w:rsidP="00906A55">
      <w:pPr>
        <w:rPr>
          <w:rFonts w:ascii="Lato" w:hAnsi="Lato" w:cstheme="minorHAnsi"/>
          <w:b/>
          <w:sz w:val="20"/>
          <w:szCs w:val="20"/>
        </w:rPr>
      </w:pPr>
    </w:p>
    <w:p w14:paraId="293065D0" w14:textId="77777777" w:rsidR="002B21CF" w:rsidRDefault="002B21CF" w:rsidP="00906A55">
      <w:pPr>
        <w:rPr>
          <w:rFonts w:ascii="Lato" w:hAnsi="Lato" w:cstheme="minorHAnsi"/>
          <w:b/>
          <w:sz w:val="20"/>
          <w:szCs w:val="20"/>
        </w:rPr>
      </w:pPr>
    </w:p>
    <w:p w14:paraId="6D4077EB" w14:textId="77777777" w:rsidR="002B21CF" w:rsidRDefault="002B21CF" w:rsidP="00906A55">
      <w:pPr>
        <w:rPr>
          <w:rFonts w:ascii="Lato" w:hAnsi="Lato" w:cstheme="minorHAnsi"/>
          <w:b/>
          <w:sz w:val="20"/>
          <w:szCs w:val="20"/>
        </w:rPr>
      </w:pPr>
    </w:p>
    <w:p w14:paraId="4A101CC1" w14:textId="77777777" w:rsidR="002B21CF" w:rsidRDefault="002B21CF" w:rsidP="00906A55">
      <w:pPr>
        <w:rPr>
          <w:rFonts w:ascii="Lato" w:hAnsi="Lato" w:cstheme="minorHAnsi"/>
          <w:b/>
          <w:sz w:val="20"/>
          <w:szCs w:val="20"/>
        </w:rPr>
      </w:pPr>
    </w:p>
    <w:p w14:paraId="1E74B237" w14:textId="77777777" w:rsidR="002B21CF" w:rsidRDefault="002B21CF" w:rsidP="00906A55">
      <w:pPr>
        <w:rPr>
          <w:rFonts w:ascii="Lato" w:hAnsi="Lato" w:cstheme="minorHAnsi"/>
          <w:b/>
          <w:sz w:val="20"/>
          <w:szCs w:val="20"/>
        </w:rPr>
      </w:pPr>
    </w:p>
    <w:p w14:paraId="713E12FC" w14:textId="77777777" w:rsidR="002B21CF" w:rsidRDefault="002B21CF" w:rsidP="00906A55">
      <w:pPr>
        <w:rPr>
          <w:rFonts w:ascii="Lato" w:hAnsi="Lato" w:cstheme="minorHAnsi"/>
          <w:b/>
          <w:sz w:val="20"/>
          <w:szCs w:val="20"/>
        </w:rPr>
      </w:pPr>
    </w:p>
    <w:p w14:paraId="4E8FC796" w14:textId="7DE5BAD9" w:rsidR="00C850B8" w:rsidRPr="002B21CF" w:rsidRDefault="00C850B8" w:rsidP="00906A55">
      <w:pPr>
        <w:rPr>
          <w:rFonts w:ascii="Lato" w:hAnsi="Lato" w:cstheme="minorHAnsi"/>
          <w:b/>
          <w:sz w:val="20"/>
          <w:szCs w:val="20"/>
        </w:rPr>
      </w:pPr>
      <w:r w:rsidRPr="002B21CF">
        <w:rPr>
          <w:rFonts w:ascii="Lato" w:hAnsi="Lato" w:cstheme="minorHAnsi"/>
          <w:b/>
          <w:sz w:val="20"/>
          <w:szCs w:val="20"/>
        </w:rPr>
        <w:t>IV) NOTAS AL ESTADO DE FLUJO DE EFECTIVO.</w:t>
      </w:r>
    </w:p>
    <w:p w14:paraId="7CE8ADB7" w14:textId="77777777" w:rsidR="00DA1E17" w:rsidRPr="002B21CF" w:rsidRDefault="00DA1E17" w:rsidP="00DA1E17">
      <w:pPr>
        <w:autoSpaceDE w:val="0"/>
        <w:autoSpaceDN w:val="0"/>
        <w:adjustRightInd w:val="0"/>
        <w:jc w:val="both"/>
        <w:rPr>
          <w:rFonts w:ascii="Lato" w:hAnsi="Lato" w:cstheme="minorHAnsi"/>
          <w:bCs/>
          <w:sz w:val="20"/>
          <w:szCs w:val="20"/>
        </w:rPr>
      </w:pPr>
    </w:p>
    <w:p w14:paraId="055D38B9" w14:textId="57712E20" w:rsidR="00AC79B9" w:rsidRPr="002B21CF" w:rsidRDefault="00AC79B9" w:rsidP="00906A55">
      <w:pPr>
        <w:autoSpaceDE w:val="0"/>
        <w:autoSpaceDN w:val="0"/>
        <w:adjustRightInd w:val="0"/>
        <w:jc w:val="both"/>
        <w:rPr>
          <w:rFonts w:ascii="Lato" w:hAnsi="Lato" w:cstheme="minorHAnsi"/>
          <w:bCs/>
          <w:sz w:val="20"/>
          <w:szCs w:val="20"/>
        </w:rPr>
      </w:pPr>
      <w:r w:rsidRPr="002B21CF">
        <w:rPr>
          <w:rFonts w:ascii="Lato" w:hAnsi="Lato" w:cstheme="minorHAnsi"/>
          <w:bCs/>
          <w:sz w:val="20"/>
          <w:szCs w:val="20"/>
        </w:rPr>
        <w:t>1.- El análisis de los saldos inicial y final que figuran en la última parte del estado de flujo de efectivo en la cuenta de efectivo y equivalentes es como sigue:</w:t>
      </w:r>
    </w:p>
    <w:p w14:paraId="2C036DAD" w14:textId="1A9341F1" w:rsidR="00357845" w:rsidRPr="002B21CF" w:rsidRDefault="00357845" w:rsidP="00906A55">
      <w:pPr>
        <w:autoSpaceDE w:val="0"/>
        <w:autoSpaceDN w:val="0"/>
        <w:adjustRightInd w:val="0"/>
        <w:jc w:val="both"/>
        <w:rPr>
          <w:rFonts w:ascii="Lato" w:hAnsi="Lato" w:cstheme="minorHAnsi"/>
          <w:bCs/>
          <w:sz w:val="20"/>
          <w:szCs w:val="20"/>
        </w:rPr>
      </w:pPr>
    </w:p>
    <w:tbl>
      <w:tblPr>
        <w:tblW w:w="12044" w:type="dxa"/>
        <w:jc w:val="center"/>
        <w:tblCellMar>
          <w:left w:w="70" w:type="dxa"/>
          <w:right w:w="70" w:type="dxa"/>
        </w:tblCellMar>
        <w:tblLook w:val="04A0" w:firstRow="1" w:lastRow="0" w:firstColumn="1" w:lastColumn="0" w:noHBand="0" w:noVBand="1"/>
      </w:tblPr>
      <w:tblGrid>
        <w:gridCol w:w="7632"/>
        <w:gridCol w:w="2286"/>
        <w:gridCol w:w="2126"/>
      </w:tblGrid>
      <w:tr w:rsidR="00A06001" w:rsidRPr="002B21CF" w14:paraId="3515ED83" w14:textId="77777777" w:rsidTr="00A06001">
        <w:trPr>
          <w:trHeight w:val="165"/>
          <w:jc w:val="center"/>
        </w:trPr>
        <w:tc>
          <w:tcPr>
            <w:tcW w:w="7632" w:type="dxa"/>
            <w:tcBorders>
              <w:top w:val="single" w:sz="4" w:space="0" w:color="auto"/>
              <w:left w:val="single" w:sz="4" w:space="0" w:color="auto"/>
              <w:bottom w:val="single" w:sz="4" w:space="0" w:color="auto"/>
              <w:right w:val="single" w:sz="4" w:space="0" w:color="000000"/>
            </w:tcBorders>
            <w:noWrap/>
            <w:vAlign w:val="bottom"/>
            <w:hideMark/>
          </w:tcPr>
          <w:p w14:paraId="0A2C3512" w14:textId="77777777" w:rsidR="00A06001" w:rsidRPr="002B21CF" w:rsidRDefault="00A06001" w:rsidP="00A06001">
            <w:pPr>
              <w:rPr>
                <w:rFonts w:ascii="Lato" w:hAnsi="Lato" w:cstheme="minorHAnsi"/>
                <w:b/>
                <w:bCs/>
                <w:color w:val="000000"/>
                <w:sz w:val="20"/>
                <w:szCs w:val="16"/>
                <w:lang w:eastAsia="es-MX"/>
              </w:rPr>
            </w:pPr>
            <w:bookmarkStart w:id="9" w:name="m13"/>
            <w:bookmarkStart w:id="10" w:name="m14"/>
            <w:bookmarkEnd w:id="9"/>
            <w:bookmarkEnd w:id="10"/>
            <w:r w:rsidRPr="002B21CF">
              <w:rPr>
                <w:rFonts w:ascii="Lato" w:hAnsi="Lato" w:cstheme="minorHAnsi"/>
                <w:b/>
                <w:bCs/>
                <w:color w:val="000000"/>
                <w:sz w:val="20"/>
                <w:szCs w:val="16"/>
                <w:lang w:eastAsia="es-MX"/>
              </w:rPr>
              <w:t>Concepto</w:t>
            </w:r>
          </w:p>
        </w:tc>
        <w:tc>
          <w:tcPr>
            <w:tcW w:w="2286" w:type="dxa"/>
            <w:tcBorders>
              <w:top w:val="single" w:sz="4" w:space="0" w:color="auto"/>
              <w:left w:val="nil"/>
              <w:bottom w:val="single" w:sz="4" w:space="0" w:color="auto"/>
              <w:right w:val="single" w:sz="4" w:space="0" w:color="000000"/>
            </w:tcBorders>
            <w:noWrap/>
            <w:vAlign w:val="bottom"/>
            <w:hideMark/>
          </w:tcPr>
          <w:p w14:paraId="5CFC9FD2" w14:textId="1BD1103B" w:rsidR="00A06001" w:rsidRPr="002B21CF" w:rsidRDefault="00A06001" w:rsidP="00A06001">
            <w:pPr>
              <w:jc w:val="center"/>
              <w:rPr>
                <w:rFonts w:ascii="Lato" w:hAnsi="Lato" w:cstheme="minorHAnsi"/>
                <w:b/>
                <w:bCs/>
                <w:color w:val="000000"/>
                <w:sz w:val="20"/>
                <w:szCs w:val="16"/>
                <w:lang w:eastAsia="es-MX"/>
              </w:rPr>
            </w:pPr>
            <w:r w:rsidRPr="002B21CF">
              <w:rPr>
                <w:rFonts w:ascii="Lato" w:hAnsi="Lato" w:cstheme="minorHAnsi"/>
                <w:b/>
                <w:bCs/>
                <w:color w:val="000000"/>
                <w:sz w:val="20"/>
                <w:szCs w:val="16"/>
                <w:lang w:eastAsia="es-MX"/>
              </w:rPr>
              <w:t>202</w:t>
            </w:r>
            <w:r w:rsidR="00954721" w:rsidRPr="002B21CF">
              <w:rPr>
                <w:rFonts w:ascii="Lato" w:hAnsi="Lato" w:cstheme="minorHAnsi"/>
                <w:b/>
                <w:bCs/>
                <w:color w:val="000000"/>
                <w:sz w:val="20"/>
                <w:szCs w:val="16"/>
                <w:lang w:eastAsia="es-MX"/>
              </w:rPr>
              <w:t>6</w:t>
            </w:r>
          </w:p>
        </w:tc>
        <w:tc>
          <w:tcPr>
            <w:tcW w:w="2126" w:type="dxa"/>
            <w:tcBorders>
              <w:top w:val="single" w:sz="4" w:space="0" w:color="auto"/>
              <w:left w:val="nil"/>
              <w:bottom w:val="single" w:sz="4" w:space="0" w:color="auto"/>
              <w:right w:val="single" w:sz="4" w:space="0" w:color="000000"/>
            </w:tcBorders>
            <w:noWrap/>
            <w:vAlign w:val="bottom"/>
            <w:hideMark/>
          </w:tcPr>
          <w:p w14:paraId="628C228A" w14:textId="48A1BE35" w:rsidR="00A06001" w:rsidRPr="002B21CF" w:rsidRDefault="00A06001" w:rsidP="00A06001">
            <w:pPr>
              <w:jc w:val="center"/>
              <w:rPr>
                <w:rFonts w:ascii="Lato" w:hAnsi="Lato" w:cstheme="minorHAnsi"/>
                <w:bCs/>
                <w:color w:val="000000"/>
                <w:sz w:val="20"/>
                <w:szCs w:val="16"/>
                <w:lang w:eastAsia="es-MX"/>
              </w:rPr>
            </w:pPr>
            <w:r w:rsidRPr="002B21CF">
              <w:rPr>
                <w:rFonts w:ascii="Lato" w:hAnsi="Lato" w:cstheme="minorHAnsi"/>
                <w:b/>
                <w:bCs/>
                <w:color w:val="000000"/>
                <w:sz w:val="20"/>
                <w:szCs w:val="16"/>
                <w:lang w:eastAsia="es-MX"/>
              </w:rPr>
              <w:t>202</w:t>
            </w:r>
            <w:r w:rsidR="00954721" w:rsidRPr="002B21CF">
              <w:rPr>
                <w:rFonts w:ascii="Lato" w:hAnsi="Lato" w:cstheme="minorHAnsi"/>
                <w:b/>
                <w:bCs/>
                <w:color w:val="000000"/>
                <w:sz w:val="20"/>
                <w:szCs w:val="16"/>
                <w:lang w:eastAsia="es-MX"/>
              </w:rPr>
              <w:t>5</w:t>
            </w:r>
          </w:p>
        </w:tc>
      </w:tr>
      <w:tr w:rsidR="00954721" w:rsidRPr="002B21CF" w14:paraId="557E88F5" w14:textId="77777777" w:rsidTr="00A06001">
        <w:trPr>
          <w:trHeight w:val="157"/>
          <w:jc w:val="center"/>
        </w:trPr>
        <w:tc>
          <w:tcPr>
            <w:tcW w:w="7632" w:type="dxa"/>
            <w:tcBorders>
              <w:top w:val="single" w:sz="4" w:space="0" w:color="auto"/>
              <w:left w:val="single" w:sz="4" w:space="0" w:color="auto"/>
              <w:bottom w:val="single" w:sz="4" w:space="0" w:color="auto"/>
              <w:right w:val="single" w:sz="4" w:space="0" w:color="000000"/>
            </w:tcBorders>
            <w:noWrap/>
            <w:vAlign w:val="bottom"/>
          </w:tcPr>
          <w:p w14:paraId="25458B37" w14:textId="77777777" w:rsidR="00954721" w:rsidRPr="002B21CF" w:rsidRDefault="00954721" w:rsidP="00954721">
            <w:pPr>
              <w:rPr>
                <w:rFonts w:ascii="Lato" w:hAnsi="Lato" w:cstheme="minorHAnsi"/>
                <w:color w:val="000000"/>
                <w:sz w:val="20"/>
                <w:szCs w:val="16"/>
                <w:lang w:eastAsia="es-MX"/>
              </w:rPr>
            </w:pPr>
            <w:r w:rsidRPr="002B21CF">
              <w:rPr>
                <w:rFonts w:ascii="Lato" w:hAnsi="Lato" w:cstheme="minorHAnsi"/>
                <w:color w:val="000000"/>
                <w:sz w:val="20"/>
                <w:szCs w:val="16"/>
                <w:lang w:eastAsia="es-MX"/>
              </w:rPr>
              <w:t>Efectivo</w:t>
            </w:r>
          </w:p>
        </w:tc>
        <w:tc>
          <w:tcPr>
            <w:tcW w:w="2286" w:type="dxa"/>
            <w:tcBorders>
              <w:top w:val="single" w:sz="4" w:space="0" w:color="auto"/>
              <w:left w:val="nil"/>
              <w:bottom w:val="single" w:sz="4" w:space="0" w:color="auto"/>
              <w:right w:val="single" w:sz="4" w:space="0" w:color="000000"/>
            </w:tcBorders>
            <w:noWrap/>
            <w:vAlign w:val="bottom"/>
          </w:tcPr>
          <w:p w14:paraId="77FA8189" w14:textId="77777777" w:rsidR="00954721" w:rsidRPr="002B21CF" w:rsidRDefault="00954721" w:rsidP="0095472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noWrap/>
            <w:vAlign w:val="bottom"/>
          </w:tcPr>
          <w:p w14:paraId="60486CB0" w14:textId="5E65786E" w:rsidR="00954721" w:rsidRPr="002B21CF" w:rsidRDefault="00954721" w:rsidP="0095472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0.00</w:t>
            </w:r>
          </w:p>
        </w:tc>
      </w:tr>
      <w:tr w:rsidR="00954721" w:rsidRPr="002B21CF" w14:paraId="332FC57F" w14:textId="77777777" w:rsidTr="00A06001">
        <w:trPr>
          <w:trHeight w:val="226"/>
          <w:jc w:val="center"/>
        </w:trPr>
        <w:tc>
          <w:tcPr>
            <w:tcW w:w="7632" w:type="dxa"/>
            <w:tcBorders>
              <w:top w:val="single" w:sz="4" w:space="0" w:color="auto"/>
              <w:left w:val="single" w:sz="4" w:space="0" w:color="auto"/>
              <w:bottom w:val="single" w:sz="4" w:space="0" w:color="auto"/>
              <w:right w:val="single" w:sz="4" w:space="0" w:color="000000"/>
            </w:tcBorders>
            <w:noWrap/>
            <w:vAlign w:val="bottom"/>
            <w:hideMark/>
          </w:tcPr>
          <w:p w14:paraId="725903DB" w14:textId="77777777" w:rsidR="00954721" w:rsidRPr="002B21CF" w:rsidRDefault="00954721" w:rsidP="00954721">
            <w:pPr>
              <w:rPr>
                <w:rFonts w:ascii="Lato" w:hAnsi="Lato" w:cstheme="minorHAnsi"/>
                <w:color w:val="000000"/>
                <w:sz w:val="20"/>
                <w:szCs w:val="16"/>
                <w:lang w:eastAsia="es-MX"/>
              </w:rPr>
            </w:pPr>
            <w:r w:rsidRPr="002B21CF">
              <w:rPr>
                <w:rFonts w:ascii="Lato" w:hAnsi="Lato" w:cstheme="minorHAnsi"/>
                <w:color w:val="000000"/>
                <w:sz w:val="20"/>
                <w:szCs w:val="16"/>
                <w:lang w:eastAsia="es-MX"/>
              </w:rPr>
              <w:t>Bancos/Tesorería</w:t>
            </w:r>
          </w:p>
        </w:tc>
        <w:tc>
          <w:tcPr>
            <w:tcW w:w="2286" w:type="dxa"/>
            <w:tcBorders>
              <w:top w:val="single" w:sz="4" w:space="0" w:color="auto"/>
              <w:left w:val="nil"/>
              <w:bottom w:val="single" w:sz="4" w:space="0" w:color="auto"/>
              <w:right w:val="single" w:sz="4" w:space="0" w:color="000000"/>
            </w:tcBorders>
            <w:noWrap/>
            <w:vAlign w:val="bottom"/>
            <w:hideMark/>
          </w:tcPr>
          <w:p w14:paraId="5BF5D521" w14:textId="72F3F010" w:rsidR="00954721" w:rsidRPr="002B21CF" w:rsidRDefault="00954721" w:rsidP="00591C78">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 xml:space="preserve">$ </w:t>
            </w:r>
            <w:r w:rsidR="00591C78" w:rsidRPr="002B21CF">
              <w:rPr>
                <w:rFonts w:ascii="Lato" w:hAnsi="Lato" w:cstheme="minorHAnsi"/>
                <w:color w:val="000000"/>
                <w:sz w:val="20"/>
                <w:szCs w:val="16"/>
                <w:lang w:eastAsia="es-MX"/>
              </w:rPr>
              <w:t>0</w:t>
            </w:r>
            <w:r w:rsidRPr="002B21CF">
              <w:rPr>
                <w:rFonts w:ascii="Lato" w:hAnsi="Lato" w:cstheme="minorHAnsi"/>
                <w:color w:val="000000"/>
                <w:sz w:val="20"/>
                <w:szCs w:val="16"/>
                <w:lang w:eastAsia="es-MX"/>
              </w:rPr>
              <w:t>.</w:t>
            </w:r>
            <w:r w:rsidR="00591C78" w:rsidRPr="002B21CF">
              <w:rPr>
                <w:rFonts w:ascii="Lato" w:hAnsi="Lato" w:cstheme="minorHAnsi"/>
                <w:color w:val="000000"/>
                <w:sz w:val="20"/>
                <w:szCs w:val="16"/>
                <w:lang w:eastAsia="es-MX"/>
              </w:rPr>
              <w:t>00</w:t>
            </w:r>
          </w:p>
        </w:tc>
        <w:tc>
          <w:tcPr>
            <w:tcW w:w="2126" w:type="dxa"/>
            <w:tcBorders>
              <w:top w:val="single" w:sz="4" w:space="0" w:color="auto"/>
              <w:left w:val="nil"/>
              <w:bottom w:val="single" w:sz="4" w:space="0" w:color="auto"/>
              <w:right w:val="single" w:sz="4" w:space="0" w:color="000000"/>
            </w:tcBorders>
            <w:noWrap/>
            <w:vAlign w:val="bottom"/>
            <w:hideMark/>
          </w:tcPr>
          <w:p w14:paraId="00FE3479" w14:textId="633B0F06" w:rsidR="00954721" w:rsidRPr="002B21CF" w:rsidRDefault="00954721" w:rsidP="0095472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$ 11,283,545.40</w:t>
            </w:r>
          </w:p>
        </w:tc>
      </w:tr>
      <w:tr w:rsidR="00954721" w:rsidRPr="002B21CF" w14:paraId="35A4DC02" w14:textId="77777777" w:rsidTr="00A06001">
        <w:trPr>
          <w:trHeight w:val="157"/>
          <w:jc w:val="center"/>
        </w:trPr>
        <w:tc>
          <w:tcPr>
            <w:tcW w:w="7632" w:type="dxa"/>
            <w:tcBorders>
              <w:top w:val="single" w:sz="4" w:space="0" w:color="auto"/>
              <w:left w:val="single" w:sz="4" w:space="0" w:color="auto"/>
              <w:bottom w:val="single" w:sz="4" w:space="0" w:color="auto"/>
              <w:right w:val="single" w:sz="4" w:space="0" w:color="000000"/>
            </w:tcBorders>
            <w:noWrap/>
            <w:vAlign w:val="bottom"/>
            <w:hideMark/>
          </w:tcPr>
          <w:p w14:paraId="4AB8742D" w14:textId="77777777" w:rsidR="00954721" w:rsidRPr="002B21CF" w:rsidRDefault="00954721" w:rsidP="00954721">
            <w:pPr>
              <w:rPr>
                <w:rFonts w:ascii="Lato" w:hAnsi="Lato" w:cstheme="minorHAnsi"/>
                <w:color w:val="000000"/>
                <w:sz w:val="20"/>
                <w:szCs w:val="16"/>
                <w:lang w:eastAsia="es-MX"/>
              </w:rPr>
            </w:pPr>
            <w:r w:rsidRPr="002B21CF">
              <w:rPr>
                <w:rFonts w:ascii="Lato" w:hAnsi="Lato" w:cstheme="minorHAnsi"/>
                <w:color w:val="000000"/>
                <w:sz w:val="20"/>
                <w:szCs w:val="16"/>
                <w:lang w:eastAsia="es-MX"/>
              </w:rPr>
              <w:t>Bancos/Dependencias y Otros</w:t>
            </w:r>
          </w:p>
        </w:tc>
        <w:tc>
          <w:tcPr>
            <w:tcW w:w="2286" w:type="dxa"/>
            <w:tcBorders>
              <w:top w:val="single" w:sz="4" w:space="0" w:color="auto"/>
              <w:left w:val="nil"/>
              <w:bottom w:val="single" w:sz="4" w:space="0" w:color="auto"/>
              <w:right w:val="single" w:sz="4" w:space="0" w:color="000000"/>
            </w:tcBorders>
            <w:noWrap/>
            <w:vAlign w:val="bottom"/>
            <w:hideMark/>
          </w:tcPr>
          <w:p w14:paraId="214DBBED" w14:textId="77777777" w:rsidR="00954721" w:rsidRPr="002B21CF" w:rsidRDefault="00954721" w:rsidP="0095472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noWrap/>
            <w:vAlign w:val="bottom"/>
            <w:hideMark/>
          </w:tcPr>
          <w:p w14:paraId="3E2F3F86" w14:textId="32032A31" w:rsidR="00954721" w:rsidRPr="002B21CF" w:rsidRDefault="00954721" w:rsidP="0095472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0.00</w:t>
            </w:r>
          </w:p>
        </w:tc>
      </w:tr>
      <w:tr w:rsidR="00954721" w:rsidRPr="002B21CF" w14:paraId="4745A6F0" w14:textId="77777777" w:rsidTr="00A06001">
        <w:trPr>
          <w:trHeight w:val="157"/>
          <w:jc w:val="center"/>
        </w:trPr>
        <w:tc>
          <w:tcPr>
            <w:tcW w:w="7632" w:type="dxa"/>
            <w:tcBorders>
              <w:top w:val="single" w:sz="4" w:space="0" w:color="auto"/>
              <w:left w:val="single" w:sz="4" w:space="0" w:color="auto"/>
              <w:bottom w:val="single" w:sz="4" w:space="0" w:color="auto"/>
              <w:right w:val="single" w:sz="4" w:space="0" w:color="000000"/>
            </w:tcBorders>
            <w:noWrap/>
            <w:vAlign w:val="bottom"/>
            <w:hideMark/>
          </w:tcPr>
          <w:p w14:paraId="10991AE3" w14:textId="79E2B082" w:rsidR="00954721" w:rsidRPr="002B21CF" w:rsidRDefault="00954721" w:rsidP="00954721">
            <w:pPr>
              <w:rPr>
                <w:rFonts w:ascii="Lato" w:hAnsi="Lato" w:cstheme="minorHAnsi"/>
                <w:color w:val="000000"/>
                <w:sz w:val="20"/>
                <w:szCs w:val="16"/>
                <w:lang w:eastAsia="es-MX"/>
              </w:rPr>
            </w:pPr>
            <w:r w:rsidRPr="002B21CF">
              <w:rPr>
                <w:rFonts w:ascii="Lato" w:hAnsi="Lato" w:cstheme="minorHAnsi"/>
                <w:color w:val="000000"/>
                <w:sz w:val="20"/>
                <w:szCs w:val="16"/>
                <w:lang w:eastAsia="es-MX"/>
              </w:rPr>
              <w:t>Inversiones Temporales (Hasta 3 meses)</w:t>
            </w:r>
          </w:p>
        </w:tc>
        <w:tc>
          <w:tcPr>
            <w:tcW w:w="2286" w:type="dxa"/>
            <w:tcBorders>
              <w:top w:val="single" w:sz="4" w:space="0" w:color="auto"/>
              <w:left w:val="nil"/>
              <w:bottom w:val="single" w:sz="4" w:space="0" w:color="auto"/>
              <w:right w:val="single" w:sz="4" w:space="0" w:color="000000"/>
            </w:tcBorders>
            <w:noWrap/>
            <w:vAlign w:val="bottom"/>
            <w:hideMark/>
          </w:tcPr>
          <w:p w14:paraId="5CA927FE" w14:textId="77777777" w:rsidR="00954721" w:rsidRPr="002B21CF" w:rsidRDefault="00954721" w:rsidP="0095472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noWrap/>
            <w:vAlign w:val="bottom"/>
            <w:hideMark/>
          </w:tcPr>
          <w:p w14:paraId="60701795" w14:textId="5E8D4B49" w:rsidR="00954721" w:rsidRPr="002B21CF" w:rsidRDefault="00954721" w:rsidP="0095472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0.00</w:t>
            </w:r>
          </w:p>
        </w:tc>
      </w:tr>
      <w:tr w:rsidR="00954721" w:rsidRPr="002B21CF" w14:paraId="00856CC5" w14:textId="77777777" w:rsidTr="00A06001">
        <w:trPr>
          <w:trHeight w:val="157"/>
          <w:jc w:val="center"/>
        </w:trPr>
        <w:tc>
          <w:tcPr>
            <w:tcW w:w="7632" w:type="dxa"/>
            <w:tcBorders>
              <w:top w:val="single" w:sz="4" w:space="0" w:color="auto"/>
              <w:left w:val="single" w:sz="4" w:space="0" w:color="auto"/>
              <w:bottom w:val="single" w:sz="4" w:space="0" w:color="auto"/>
              <w:right w:val="single" w:sz="4" w:space="0" w:color="000000"/>
            </w:tcBorders>
            <w:noWrap/>
            <w:vAlign w:val="bottom"/>
            <w:hideMark/>
          </w:tcPr>
          <w:p w14:paraId="56223009" w14:textId="77777777" w:rsidR="00954721" w:rsidRPr="002B21CF" w:rsidRDefault="00954721" w:rsidP="00954721">
            <w:pPr>
              <w:rPr>
                <w:rFonts w:ascii="Lato" w:hAnsi="Lato" w:cstheme="minorHAnsi"/>
                <w:color w:val="000000"/>
                <w:sz w:val="20"/>
                <w:szCs w:val="16"/>
                <w:lang w:eastAsia="es-MX"/>
              </w:rPr>
            </w:pPr>
            <w:r w:rsidRPr="002B21CF">
              <w:rPr>
                <w:rFonts w:ascii="Lato" w:hAnsi="Lato" w:cstheme="minorHAnsi"/>
                <w:color w:val="000000"/>
                <w:sz w:val="20"/>
                <w:szCs w:val="16"/>
                <w:lang w:eastAsia="es-MX"/>
              </w:rPr>
              <w:t>Fondos con afectación específica</w:t>
            </w:r>
          </w:p>
        </w:tc>
        <w:tc>
          <w:tcPr>
            <w:tcW w:w="2286" w:type="dxa"/>
            <w:tcBorders>
              <w:top w:val="single" w:sz="4" w:space="0" w:color="auto"/>
              <w:left w:val="nil"/>
              <w:bottom w:val="single" w:sz="4" w:space="0" w:color="auto"/>
              <w:right w:val="single" w:sz="4" w:space="0" w:color="000000"/>
            </w:tcBorders>
            <w:noWrap/>
            <w:vAlign w:val="bottom"/>
            <w:hideMark/>
          </w:tcPr>
          <w:p w14:paraId="7899A3DB" w14:textId="77777777" w:rsidR="00954721" w:rsidRPr="002B21CF" w:rsidRDefault="00954721" w:rsidP="0095472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noWrap/>
            <w:vAlign w:val="bottom"/>
            <w:hideMark/>
          </w:tcPr>
          <w:p w14:paraId="392FF98D" w14:textId="01766D25" w:rsidR="00954721" w:rsidRPr="002B21CF" w:rsidRDefault="00954721" w:rsidP="0095472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0.00</w:t>
            </w:r>
          </w:p>
        </w:tc>
      </w:tr>
      <w:tr w:rsidR="00954721" w:rsidRPr="002B21CF" w14:paraId="256F73A3" w14:textId="77777777" w:rsidTr="00A06001">
        <w:trPr>
          <w:trHeight w:val="157"/>
          <w:jc w:val="center"/>
        </w:trPr>
        <w:tc>
          <w:tcPr>
            <w:tcW w:w="7632" w:type="dxa"/>
            <w:tcBorders>
              <w:top w:val="single" w:sz="4" w:space="0" w:color="auto"/>
              <w:left w:val="single" w:sz="4" w:space="0" w:color="auto"/>
              <w:bottom w:val="single" w:sz="4" w:space="0" w:color="auto"/>
              <w:right w:val="single" w:sz="4" w:space="0" w:color="000000"/>
            </w:tcBorders>
            <w:noWrap/>
            <w:vAlign w:val="bottom"/>
            <w:hideMark/>
          </w:tcPr>
          <w:p w14:paraId="19AA6D2D" w14:textId="77777777" w:rsidR="00954721" w:rsidRPr="002B21CF" w:rsidRDefault="00954721" w:rsidP="00954721">
            <w:pPr>
              <w:rPr>
                <w:rFonts w:ascii="Lato" w:hAnsi="Lato" w:cstheme="minorHAnsi"/>
                <w:color w:val="000000"/>
                <w:sz w:val="20"/>
                <w:szCs w:val="16"/>
                <w:lang w:eastAsia="es-MX"/>
              </w:rPr>
            </w:pPr>
            <w:r w:rsidRPr="002B21CF">
              <w:rPr>
                <w:rFonts w:ascii="Lato" w:hAnsi="Lato" w:cstheme="minorHAnsi"/>
                <w:color w:val="000000"/>
                <w:sz w:val="20"/>
                <w:szCs w:val="16"/>
                <w:lang w:eastAsia="es-MX"/>
              </w:rPr>
              <w:t>Depósitos de Fondos de Terceros en Garantía y/o Administración</w:t>
            </w:r>
          </w:p>
        </w:tc>
        <w:tc>
          <w:tcPr>
            <w:tcW w:w="2286" w:type="dxa"/>
            <w:tcBorders>
              <w:top w:val="single" w:sz="4" w:space="0" w:color="auto"/>
              <w:left w:val="nil"/>
              <w:bottom w:val="single" w:sz="4" w:space="0" w:color="auto"/>
              <w:right w:val="single" w:sz="4" w:space="0" w:color="000000"/>
            </w:tcBorders>
            <w:noWrap/>
            <w:vAlign w:val="bottom"/>
            <w:hideMark/>
          </w:tcPr>
          <w:p w14:paraId="3A2B2640" w14:textId="77777777" w:rsidR="00954721" w:rsidRPr="002B21CF" w:rsidRDefault="00954721" w:rsidP="0095472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noWrap/>
            <w:vAlign w:val="bottom"/>
            <w:hideMark/>
          </w:tcPr>
          <w:p w14:paraId="2488EEFC" w14:textId="77777777" w:rsidR="002B21CF" w:rsidRDefault="002B21CF" w:rsidP="00954721">
            <w:pPr>
              <w:jc w:val="right"/>
              <w:rPr>
                <w:rFonts w:ascii="Lato" w:hAnsi="Lato" w:cstheme="minorHAnsi"/>
                <w:color w:val="000000"/>
                <w:sz w:val="20"/>
                <w:szCs w:val="16"/>
                <w:lang w:eastAsia="es-MX"/>
              </w:rPr>
            </w:pPr>
          </w:p>
          <w:p w14:paraId="24672E7F" w14:textId="018D4B28" w:rsidR="00954721" w:rsidRPr="002B21CF" w:rsidRDefault="00954721" w:rsidP="0095472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0.00</w:t>
            </w:r>
          </w:p>
        </w:tc>
      </w:tr>
      <w:tr w:rsidR="00954721" w:rsidRPr="002B21CF" w14:paraId="741CF1E9" w14:textId="77777777" w:rsidTr="00A06001">
        <w:trPr>
          <w:trHeight w:val="157"/>
          <w:jc w:val="center"/>
        </w:trPr>
        <w:tc>
          <w:tcPr>
            <w:tcW w:w="7632" w:type="dxa"/>
            <w:tcBorders>
              <w:top w:val="single" w:sz="4" w:space="0" w:color="auto"/>
              <w:left w:val="single" w:sz="4" w:space="0" w:color="auto"/>
              <w:bottom w:val="single" w:sz="4" w:space="0" w:color="auto"/>
              <w:right w:val="single" w:sz="4" w:space="0" w:color="000000"/>
            </w:tcBorders>
            <w:noWrap/>
            <w:vAlign w:val="bottom"/>
          </w:tcPr>
          <w:p w14:paraId="3FB40237" w14:textId="77777777" w:rsidR="00954721" w:rsidRPr="002B21CF" w:rsidRDefault="00954721" w:rsidP="00954721">
            <w:pPr>
              <w:rPr>
                <w:rFonts w:ascii="Lato" w:hAnsi="Lato" w:cstheme="minorHAnsi"/>
                <w:color w:val="000000"/>
                <w:sz w:val="20"/>
                <w:szCs w:val="16"/>
                <w:lang w:eastAsia="es-MX"/>
              </w:rPr>
            </w:pPr>
            <w:r w:rsidRPr="002B21CF">
              <w:rPr>
                <w:rFonts w:ascii="Lato" w:hAnsi="Lato" w:cstheme="minorHAnsi"/>
                <w:color w:val="000000"/>
                <w:sz w:val="20"/>
                <w:szCs w:val="16"/>
                <w:lang w:eastAsia="es-MX"/>
              </w:rPr>
              <w:t>Otros Efectivos y Equivalentes</w:t>
            </w:r>
          </w:p>
        </w:tc>
        <w:tc>
          <w:tcPr>
            <w:tcW w:w="2286" w:type="dxa"/>
            <w:tcBorders>
              <w:top w:val="single" w:sz="4" w:space="0" w:color="auto"/>
              <w:left w:val="nil"/>
              <w:bottom w:val="single" w:sz="4" w:space="0" w:color="auto"/>
              <w:right w:val="single" w:sz="4" w:space="0" w:color="000000"/>
            </w:tcBorders>
            <w:noWrap/>
            <w:vAlign w:val="bottom"/>
          </w:tcPr>
          <w:p w14:paraId="77C5D530" w14:textId="77777777" w:rsidR="00954721" w:rsidRPr="002B21CF" w:rsidRDefault="00954721" w:rsidP="0095472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noWrap/>
            <w:vAlign w:val="bottom"/>
          </w:tcPr>
          <w:p w14:paraId="7B909123" w14:textId="405CF487" w:rsidR="00954721" w:rsidRPr="002B21CF" w:rsidRDefault="00954721" w:rsidP="0095472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0.00</w:t>
            </w:r>
          </w:p>
        </w:tc>
      </w:tr>
      <w:tr w:rsidR="00954721" w:rsidRPr="002B21CF" w14:paraId="0D927E52" w14:textId="77777777" w:rsidTr="00A06001">
        <w:trPr>
          <w:trHeight w:val="165"/>
          <w:jc w:val="center"/>
        </w:trPr>
        <w:tc>
          <w:tcPr>
            <w:tcW w:w="7632" w:type="dxa"/>
            <w:tcBorders>
              <w:top w:val="single" w:sz="4" w:space="0" w:color="auto"/>
              <w:left w:val="single" w:sz="4" w:space="0" w:color="auto"/>
              <w:bottom w:val="single" w:sz="4" w:space="0" w:color="auto"/>
              <w:right w:val="single" w:sz="4" w:space="0" w:color="000000"/>
            </w:tcBorders>
            <w:noWrap/>
            <w:vAlign w:val="bottom"/>
            <w:hideMark/>
          </w:tcPr>
          <w:p w14:paraId="15795DC6" w14:textId="77777777" w:rsidR="00954721" w:rsidRPr="002B21CF" w:rsidRDefault="00954721" w:rsidP="00954721">
            <w:pPr>
              <w:jc w:val="right"/>
              <w:rPr>
                <w:rFonts w:ascii="Lato" w:hAnsi="Lato" w:cstheme="minorHAnsi"/>
                <w:b/>
                <w:bCs/>
                <w:color w:val="000000"/>
                <w:sz w:val="20"/>
                <w:szCs w:val="16"/>
                <w:lang w:eastAsia="es-MX"/>
              </w:rPr>
            </w:pPr>
            <w:r w:rsidRPr="002B21CF">
              <w:rPr>
                <w:rFonts w:ascii="Lato" w:hAnsi="Lato" w:cstheme="minorHAnsi"/>
                <w:b/>
                <w:bCs/>
                <w:color w:val="000000"/>
                <w:sz w:val="20"/>
                <w:szCs w:val="16"/>
                <w:lang w:eastAsia="es-MX"/>
              </w:rPr>
              <w:t>Total de EFECTIVO Y EQUIVALENTES</w:t>
            </w:r>
          </w:p>
        </w:tc>
        <w:tc>
          <w:tcPr>
            <w:tcW w:w="2286" w:type="dxa"/>
            <w:tcBorders>
              <w:top w:val="single" w:sz="4" w:space="0" w:color="auto"/>
              <w:left w:val="nil"/>
              <w:bottom w:val="single" w:sz="4" w:space="0" w:color="auto"/>
              <w:right w:val="single" w:sz="4" w:space="0" w:color="000000"/>
            </w:tcBorders>
            <w:noWrap/>
            <w:vAlign w:val="bottom"/>
            <w:hideMark/>
          </w:tcPr>
          <w:p w14:paraId="6C0F3E95" w14:textId="65F2FEB5" w:rsidR="00954721" w:rsidRPr="002B21CF" w:rsidRDefault="00954721" w:rsidP="00591C78">
            <w:pPr>
              <w:jc w:val="right"/>
              <w:rPr>
                <w:rFonts w:ascii="Lato" w:hAnsi="Lato" w:cstheme="minorHAnsi"/>
                <w:b/>
                <w:bCs/>
                <w:color w:val="000000"/>
                <w:sz w:val="20"/>
                <w:szCs w:val="16"/>
                <w:lang w:eastAsia="es-MX"/>
              </w:rPr>
            </w:pPr>
            <w:r w:rsidRPr="002B21CF">
              <w:rPr>
                <w:rFonts w:ascii="Lato" w:hAnsi="Lato" w:cstheme="minorHAnsi"/>
                <w:b/>
                <w:bCs/>
                <w:color w:val="000000"/>
                <w:sz w:val="20"/>
                <w:szCs w:val="16"/>
                <w:lang w:eastAsia="es-MX"/>
              </w:rPr>
              <w:t xml:space="preserve"> $ </w:t>
            </w:r>
            <w:r w:rsidR="00591C78" w:rsidRPr="002B21CF">
              <w:rPr>
                <w:rFonts w:ascii="Lato" w:hAnsi="Lato" w:cstheme="minorHAnsi"/>
                <w:b/>
                <w:bCs/>
                <w:color w:val="000000"/>
                <w:sz w:val="20"/>
                <w:szCs w:val="16"/>
                <w:lang w:eastAsia="es-MX"/>
              </w:rPr>
              <w:t>0</w:t>
            </w:r>
            <w:r w:rsidRPr="002B21CF">
              <w:rPr>
                <w:rFonts w:ascii="Lato" w:hAnsi="Lato" w:cstheme="minorHAnsi"/>
                <w:b/>
                <w:bCs/>
                <w:color w:val="000000"/>
                <w:sz w:val="20"/>
                <w:szCs w:val="16"/>
                <w:lang w:eastAsia="es-MX"/>
              </w:rPr>
              <w:t>.</w:t>
            </w:r>
            <w:r w:rsidR="00591C78" w:rsidRPr="002B21CF">
              <w:rPr>
                <w:rFonts w:ascii="Lato" w:hAnsi="Lato" w:cstheme="minorHAnsi"/>
                <w:b/>
                <w:bCs/>
                <w:color w:val="000000"/>
                <w:sz w:val="20"/>
                <w:szCs w:val="16"/>
                <w:lang w:eastAsia="es-MX"/>
              </w:rPr>
              <w:t>00</w:t>
            </w:r>
            <w:r w:rsidRPr="002B21CF">
              <w:rPr>
                <w:rFonts w:ascii="Lato" w:hAnsi="Lato" w:cstheme="minorHAnsi"/>
                <w:b/>
                <w:bCs/>
                <w:color w:val="000000"/>
                <w:sz w:val="20"/>
                <w:szCs w:val="16"/>
                <w:lang w:eastAsia="es-MX"/>
              </w:rPr>
              <w:t xml:space="preserve"> </w:t>
            </w:r>
          </w:p>
        </w:tc>
        <w:tc>
          <w:tcPr>
            <w:tcW w:w="2126" w:type="dxa"/>
            <w:tcBorders>
              <w:top w:val="single" w:sz="4" w:space="0" w:color="auto"/>
              <w:left w:val="nil"/>
              <w:bottom w:val="single" w:sz="4" w:space="0" w:color="auto"/>
              <w:right w:val="single" w:sz="4" w:space="0" w:color="000000"/>
            </w:tcBorders>
            <w:noWrap/>
            <w:vAlign w:val="bottom"/>
            <w:hideMark/>
          </w:tcPr>
          <w:p w14:paraId="1FE0C92D" w14:textId="143668AF" w:rsidR="00954721" w:rsidRPr="002B21CF" w:rsidRDefault="00954721" w:rsidP="00954721">
            <w:pPr>
              <w:jc w:val="right"/>
              <w:rPr>
                <w:rFonts w:ascii="Lato" w:hAnsi="Lato" w:cstheme="minorHAnsi"/>
                <w:b/>
                <w:bCs/>
                <w:color w:val="000000"/>
                <w:sz w:val="20"/>
                <w:szCs w:val="16"/>
                <w:lang w:eastAsia="es-MX"/>
              </w:rPr>
            </w:pPr>
            <w:r w:rsidRPr="002B21CF">
              <w:rPr>
                <w:rFonts w:ascii="Lato" w:hAnsi="Lato" w:cstheme="minorHAnsi"/>
                <w:b/>
                <w:bCs/>
                <w:color w:val="000000"/>
                <w:sz w:val="20"/>
                <w:szCs w:val="16"/>
                <w:lang w:eastAsia="es-MX"/>
              </w:rPr>
              <w:t xml:space="preserve"> $ 11,283,545.40 </w:t>
            </w:r>
          </w:p>
        </w:tc>
      </w:tr>
    </w:tbl>
    <w:p w14:paraId="57CB20D7" w14:textId="039F8470" w:rsidR="00F33332" w:rsidRPr="002B21CF" w:rsidRDefault="00F33332" w:rsidP="00DA1E17">
      <w:pPr>
        <w:autoSpaceDE w:val="0"/>
        <w:autoSpaceDN w:val="0"/>
        <w:adjustRightInd w:val="0"/>
        <w:jc w:val="both"/>
        <w:rPr>
          <w:rFonts w:ascii="Lato" w:hAnsi="Lato" w:cstheme="minorHAnsi"/>
          <w:bCs/>
          <w:sz w:val="20"/>
          <w:szCs w:val="20"/>
        </w:rPr>
      </w:pPr>
    </w:p>
    <w:p w14:paraId="3075D1CB" w14:textId="77777777" w:rsidR="002B21CF" w:rsidRDefault="002B21CF" w:rsidP="0088235E">
      <w:pPr>
        <w:autoSpaceDE w:val="0"/>
        <w:autoSpaceDN w:val="0"/>
        <w:adjustRightInd w:val="0"/>
        <w:jc w:val="both"/>
        <w:rPr>
          <w:rFonts w:ascii="Lato" w:hAnsi="Lato" w:cstheme="minorHAnsi"/>
          <w:bCs/>
          <w:sz w:val="20"/>
          <w:szCs w:val="20"/>
        </w:rPr>
      </w:pPr>
    </w:p>
    <w:p w14:paraId="5891E815" w14:textId="77777777" w:rsidR="002B21CF" w:rsidRDefault="002B21CF" w:rsidP="0088235E">
      <w:pPr>
        <w:autoSpaceDE w:val="0"/>
        <w:autoSpaceDN w:val="0"/>
        <w:adjustRightInd w:val="0"/>
        <w:jc w:val="both"/>
        <w:rPr>
          <w:rFonts w:ascii="Lato" w:hAnsi="Lato" w:cstheme="minorHAnsi"/>
          <w:bCs/>
          <w:sz w:val="20"/>
          <w:szCs w:val="20"/>
        </w:rPr>
      </w:pPr>
    </w:p>
    <w:p w14:paraId="2D3A7A43" w14:textId="77777777" w:rsidR="002B21CF" w:rsidRDefault="002B21CF" w:rsidP="0088235E">
      <w:pPr>
        <w:autoSpaceDE w:val="0"/>
        <w:autoSpaceDN w:val="0"/>
        <w:adjustRightInd w:val="0"/>
        <w:jc w:val="both"/>
        <w:rPr>
          <w:rFonts w:ascii="Lato" w:hAnsi="Lato" w:cstheme="minorHAnsi"/>
          <w:bCs/>
          <w:sz w:val="20"/>
          <w:szCs w:val="20"/>
        </w:rPr>
      </w:pPr>
    </w:p>
    <w:p w14:paraId="0D9FCFBB" w14:textId="77777777" w:rsidR="002B21CF" w:rsidRDefault="002B21CF" w:rsidP="0088235E">
      <w:pPr>
        <w:autoSpaceDE w:val="0"/>
        <w:autoSpaceDN w:val="0"/>
        <w:adjustRightInd w:val="0"/>
        <w:jc w:val="both"/>
        <w:rPr>
          <w:rFonts w:ascii="Lato" w:hAnsi="Lato" w:cstheme="minorHAnsi"/>
          <w:bCs/>
          <w:sz w:val="20"/>
          <w:szCs w:val="20"/>
        </w:rPr>
      </w:pPr>
    </w:p>
    <w:p w14:paraId="245C81CD" w14:textId="77777777" w:rsidR="002B21CF" w:rsidRDefault="002B21CF" w:rsidP="0088235E">
      <w:pPr>
        <w:autoSpaceDE w:val="0"/>
        <w:autoSpaceDN w:val="0"/>
        <w:adjustRightInd w:val="0"/>
        <w:jc w:val="both"/>
        <w:rPr>
          <w:rFonts w:ascii="Lato" w:hAnsi="Lato" w:cstheme="minorHAnsi"/>
          <w:bCs/>
          <w:sz w:val="20"/>
          <w:szCs w:val="20"/>
        </w:rPr>
      </w:pPr>
    </w:p>
    <w:p w14:paraId="049A4E3A" w14:textId="77777777" w:rsidR="002B21CF" w:rsidRDefault="002B21CF" w:rsidP="0088235E">
      <w:pPr>
        <w:autoSpaceDE w:val="0"/>
        <w:autoSpaceDN w:val="0"/>
        <w:adjustRightInd w:val="0"/>
        <w:jc w:val="both"/>
        <w:rPr>
          <w:rFonts w:ascii="Lato" w:hAnsi="Lato" w:cstheme="minorHAnsi"/>
          <w:bCs/>
          <w:sz w:val="20"/>
          <w:szCs w:val="20"/>
        </w:rPr>
      </w:pPr>
    </w:p>
    <w:p w14:paraId="59262269" w14:textId="77777777" w:rsidR="002B21CF" w:rsidRDefault="002B21CF" w:rsidP="0088235E">
      <w:pPr>
        <w:autoSpaceDE w:val="0"/>
        <w:autoSpaceDN w:val="0"/>
        <w:adjustRightInd w:val="0"/>
        <w:jc w:val="both"/>
        <w:rPr>
          <w:rFonts w:ascii="Lato" w:hAnsi="Lato" w:cstheme="minorHAnsi"/>
          <w:bCs/>
          <w:sz w:val="20"/>
          <w:szCs w:val="20"/>
        </w:rPr>
      </w:pPr>
    </w:p>
    <w:p w14:paraId="37F3DA41" w14:textId="77777777" w:rsidR="002B21CF" w:rsidRDefault="002B21CF" w:rsidP="0088235E">
      <w:pPr>
        <w:autoSpaceDE w:val="0"/>
        <w:autoSpaceDN w:val="0"/>
        <w:adjustRightInd w:val="0"/>
        <w:jc w:val="both"/>
        <w:rPr>
          <w:rFonts w:ascii="Lato" w:hAnsi="Lato" w:cstheme="minorHAnsi"/>
          <w:bCs/>
          <w:sz w:val="20"/>
          <w:szCs w:val="20"/>
        </w:rPr>
      </w:pPr>
    </w:p>
    <w:p w14:paraId="659EA16B" w14:textId="77777777" w:rsidR="002B21CF" w:rsidRDefault="002B21CF" w:rsidP="0088235E">
      <w:pPr>
        <w:autoSpaceDE w:val="0"/>
        <w:autoSpaceDN w:val="0"/>
        <w:adjustRightInd w:val="0"/>
        <w:jc w:val="both"/>
        <w:rPr>
          <w:rFonts w:ascii="Lato" w:hAnsi="Lato" w:cstheme="minorHAnsi"/>
          <w:bCs/>
          <w:sz w:val="20"/>
          <w:szCs w:val="20"/>
        </w:rPr>
      </w:pPr>
    </w:p>
    <w:p w14:paraId="47BD6B32" w14:textId="77777777" w:rsidR="002B21CF" w:rsidRDefault="002B21CF" w:rsidP="0088235E">
      <w:pPr>
        <w:autoSpaceDE w:val="0"/>
        <w:autoSpaceDN w:val="0"/>
        <w:adjustRightInd w:val="0"/>
        <w:jc w:val="both"/>
        <w:rPr>
          <w:rFonts w:ascii="Lato" w:hAnsi="Lato" w:cstheme="minorHAnsi"/>
          <w:bCs/>
          <w:sz w:val="20"/>
          <w:szCs w:val="20"/>
        </w:rPr>
      </w:pPr>
    </w:p>
    <w:p w14:paraId="79D994C5" w14:textId="77777777" w:rsidR="002B21CF" w:rsidRDefault="002B21CF" w:rsidP="0088235E">
      <w:pPr>
        <w:autoSpaceDE w:val="0"/>
        <w:autoSpaceDN w:val="0"/>
        <w:adjustRightInd w:val="0"/>
        <w:jc w:val="both"/>
        <w:rPr>
          <w:rFonts w:ascii="Lato" w:hAnsi="Lato" w:cstheme="minorHAnsi"/>
          <w:bCs/>
          <w:sz w:val="20"/>
          <w:szCs w:val="20"/>
        </w:rPr>
      </w:pPr>
    </w:p>
    <w:p w14:paraId="02996625" w14:textId="77777777" w:rsidR="002B21CF" w:rsidRDefault="002B21CF" w:rsidP="0088235E">
      <w:pPr>
        <w:autoSpaceDE w:val="0"/>
        <w:autoSpaceDN w:val="0"/>
        <w:adjustRightInd w:val="0"/>
        <w:jc w:val="both"/>
        <w:rPr>
          <w:rFonts w:ascii="Lato" w:hAnsi="Lato" w:cstheme="minorHAnsi"/>
          <w:bCs/>
          <w:sz w:val="20"/>
          <w:szCs w:val="20"/>
        </w:rPr>
      </w:pPr>
    </w:p>
    <w:p w14:paraId="0CAF2EEF" w14:textId="77777777" w:rsidR="002B21CF" w:rsidRDefault="002B21CF" w:rsidP="0088235E">
      <w:pPr>
        <w:autoSpaceDE w:val="0"/>
        <w:autoSpaceDN w:val="0"/>
        <w:adjustRightInd w:val="0"/>
        <w:jc w:val="both"/>
        <w:rPr>
          <w:rFonts w:ascii="Lato" w:hAnsi="Lato" w:cstheme="minorHAnsi"/>
          <w:bCs/>
          <w:sz w:val="20"/>
          <w:szCs w:val="20"/>
        </w:rPr>
      </w:pPr>
    </w:p>
    <w:p w14:paraId="4D135F29" w14:textId="77777777" w:rsidR="002B21CF" w:rsidRDefault="002B21CF" w:rsidP="0088235E">
      <w:pPr>
        <w:autoSpaceDE w:val="0"/>
        <w:autoSpaceDN w:val="0"/>
        <w:adjustRightInd w:val="0"/>
        <w:jc w:val="both"/>
        <w:rPr>
          <w:rFonts w:ascii="Lato" w:hAnsi="Lato" w:cstheme="minorHAnsi"/>
          <w:bCs/>
          <w:sz w:val="20"/>
          <w:szCs w:val="20"/>
        </w:rPr>
      </w:pPr>
    </w:p>
    <w:p w14:paraId="74DC9DD0" w14:textId="77777777" w:rsidR="002B21CF" w:rsidRDefault="002B21CF" w:rsidP="0088235E">
      <w:pPr>
        <w:autoSpaceDE w:val="0"/>
        <w:autoSpaceDN w:val="0"/>
        <w:adjustRightInd w:val="0"/>
        <w:jc w:val="both"/>
        <w:rPr>
          <w:rFonts w:ascii="Lato" w:hAnsi="Lato" w:cstheme="minorHAnsi"/>
          <w:bCs/>
          <w:sz w:val="20"/>
          <w:szCs w:val="20"/>
        </w:rPr>
      </w:pPr>
    </w:p>
    <w:p w14:paraId="64FCE361" w14:textId="49B73AEF" w:rsidR="0088235E" w:rsidRPr="002B21CF" w:rsidRDefault="00B70A06" w:rsidP="0088235E">
      <w:pPr>
        <w:autoSpaceDE w:val="0"/>
        <w:autoSpaceDN w:val="0"/>
        <w:adjustRightInd w:val="0"/>
        <w:jc w:val="both"/>
        <w:rPr>
          <w:rFonts w:ascii="Lato" w:hAnsi="Lato" w:cstheme="minorHAnsi"/>
          <w:bCs/>
          <w:sz w:val="20"/>
          <w:szCs w:val="20"/>
        </w:rPr>
      </w:pPr>
      <w:r w:rsidRPr="002B21CF">
        <w:rPr>
          <w:rFonts w:ascii="Lato" w:hAnsi="Lato" w:cstheme="minorHAnsi"/>
          <w:bCs/>
          <w:sz w:val="20"/>
          <w:szCs w:val="20"/>
        </w:rPr>
        <w:t xml:space="preserve"> </w:t>
      </w:r>
      <w:r w:rsidR="0088235E" w:rsidRPr="002B21CF">
        <w:rPr>
          <w:rFonts w:ascii="Lato" w:hAnsi="Lato" w:cstheme="minorHAnsi"/>
          <w:bCs/>
          <w:sz w:val="20"/>
          <w:szCs w:val="20"/>
        </w:rPr>
        <w:t>2.-</w:t>
      </w:r>
      <w:r w:rsidR="009C528C" w:rsidRPr="002B21CF">
        <w:rPr>
          <w:rFonts w:ascii="Lato" w:hAnsi="Lato" w:cstheme="minorHAnsi"/>
          <w:bCs/>
          <w:sz w:val="20"/>
          <w:szCs w:val="20"/>
        </w:rPr>
        <w:t>No existe información que revelar sobre el d</w:t>
      </w:r>
      <w:r w:rsidR="0088235E" w:rsidRPr="002B21CF">
        <w:rPr>
          <w:rFonts w:ascii="Lato" w:hAnsi="Lato" w:cstheme="minorHAnsi"/>
          <w:bCs/>
          <w:sz w:val="20"/>
          <w:szCs w:val="20"/>
        </w:rPr>
        <w:t xml:space="preserve">etalle de las adquisiciones de las Actividades de Inversión efectivamente pagadas, respecto del apartado de aplicación. </w:t>
      </w:r>
    </w:p>
    <w:p w14:paraId="36387904" w14:textId="77777777" w:rsidR="0088235E" w:rsidRPr="002B21CF" w:rsidRDefault="0088235E" w:rsidP="00DA1E17">
      <w:pPr>
        <w:autoSpaceDE w:val="0"/>
        <w:autoSpaceDN w:val="0"/>
        <w:adjustRightInd w:val="0"/>
        <w:jc w:val="both"/>
        <w:rPr>
          <w:rFonts w:ascii="Lato" w:hAnsi="Lato" w:cstheme="minorHAnsi"/>
          <w:bCs/>
          <w:sz w:val="20"/>
          <w:szCs w:val="20"/>
        </w:rPr>
      </w:pPr>
    </w:p>
    <w:tbl>
      <w:tblPr>
        <w:tblpPr w:leftFromText="141" w:rightFromText="141" w:vertAnchor="page" w:horzAnchor="page" w:tblpX="2545" w:tblpY="3517"/>
        <w:tblW w:w="9493" w:type="dxa"/>
        <w:tblCellMar>
          <w:left w:w="70" w:type="dxa"/>
          <w:right w:w="70" w:type="dxa"/>
        </w:tblCellMar>
        <w:tblLook w:val="04A0" w:firstRow="1" w:lastRow="0" w:firstColumn="1" w:lastColumn="0" w:noHBand="0" w:noVBand="1"/>
      </w:tblPr>
      <w:tblGrid>
        <w:gridCol w:w="6516"/>
        <w:gridCol w:w="1559"/>
        <w:gridCol w:w="1418"/>
      </w:tblGrid>
      <w:tr w:rsidR="00A06001" w:rsidRPr="002B21CF" w14:paraId="75941993" w14:textId="77777777" w:rsidTr="00A06001">
        <w:trPr>
          <w:trHeight w:val="138"/>
        </w:trPr>
        <w:tc>
          <w:tcPr>
            <w:tcW w:w="9493" w:type="dxa"/>
            <w:gridSpan w:val="3"/>
            <w:tcBorders>
              <w:top w:val="single" w:sz="4" w:space="0" w:color="auto"/>
              <w:left w:val="single" w:sz="4" w:space="0" w:color="auto"/>
              <w:bottom w:val="single" w:sz="4" w:space="0" w:color="auto"/>
              <w:right w:val="single" w:sz="4" w:space="0" w:color="000000"/>
            </w:tcBorders>
            <w:noWrap/>
            <w:vAlign w:val="bottom"/>
          </w:tcPr>
          <w:p w14:paraId="3FAD4746" w14:textId="77777777" w:rsidR="00A06001" w:rsidRPr="002B21CF" w:rsidRDefault="00A06001" w:rsidP="00A06001">
            <w:pPr>
              <w:jc w:val="center"/>
              <w:rPr>
                <w:rFonts w:ascii="Lato" w:hAnsi="Lato" w:cstheme="minorHAnsi"/>
                <w:b/>
                <w:bCs/>
                <w:color w:val="000000"/>
                <w:sz w:val="20"/>
                <w:szCs w:val="16"/>
                <w:lang w:eastAsia="es-MX"/>
              </w:rPr>
            </w:pPr>
            <w:r w:rsidRPr="002B21CF">
              <w:rPr>
                <w:rFonts w:ascii="Lato" w:hAnsi="Lato" w:cstheme="minorHAnsi"/>
                <w:b/>
                <w:bCs/>
                <w:color w:val="000000"/>
                <w:sz w:val="20"/>
                <w:szCs w:val="16"/>
                <w:lang w:eastAsia="es-MX"/>
              </w:rPr>
              <w:t>Adquisiciones de Actividades de Inversión efectivamente pagadas</w:t>
            </w:r>
          </w:p>
        </w:tc>
      </w:tr>
      <w:tr w:rsidR="00A06001" w:rsidRPr="002B21CF" w14:paraId="76D94928" w14:textId="77777777" w:rsidTr="00A06001">
        <w:trPr>
          <w:trHeight w:val="165"/>
        </w:trPr>
        <w:tc>
          <w:tcPr>
            <w:tcW w:w="6516" w:type="dxa"/>
            <w:tcBorders>
              <w:top w:val="single" w:sz="4" w:space="0" w:color="auto"/>
              <w:left w:val="single" w:sz="4" w:space="0" w:color="auto"/>
              <w:bottom w:val="single" w:sz="4" w:space="0" w:color="auto"/>
              <w:right w:val="single" w:sz="4" w:space="0" w:color="000000"/>
            </w:tcBorders>
            <w:noWrap/>
            <w:vAlign w:val="bottom"/>
          </w:tcPr>
          <w:p w14:paraId="4DA611BD" w14:textId="77777777" w:rsidR="00A06001" w:rsidRPr="002B21CF" w:rsidRDefault="00A06001" w:rsidP="00A06001">
            <w:pPr>
              <w:jc w:val="center"/>
              <w:rPr>
                <w:rFonts w:ascii="Lato" w:hAnsi="Lato" w:cstheme="minorHAnsi"/>
                <w:b/>
                <w:bCs/>
                <w:color w:val="000000"/>
                <w:sz w:val="20"/>
                <w:szCs w:val="16"/>
                <w:lang w:eastAsia="es-MX"/>
              </w:rPr>
            </w:pPr>
            <w:r w:rsidRPr="002B21CF">
              <w:rPr>
                <w:rFonts w:ascii="Lato" w:hAnsi="Lato" w:cstheme="minorHAnsi"/>
                <w:b/>
                <w:bCs/>
                <w:color w:val="000000"/>
                <w:sz w:val="20"/>
                <w:szCs w:val="16"/>
                <w:lang w:eastAsia="es-MX"/>
              </w:rPr>
              <w:t>Concepto</w:t>
            </w:r>
          </w:p>
        </w:tc>
        <w:tc>
          <w:tcPr>
            <w:tcW w:w="1559" w:type="dxa"/>
            <w:tcBorders>
              <w:top w:val="single" w:sz="4" w:space="0" w:color="auto"/>
              <w:left w:val="nil"/>
              <w:bottom w:val="single" w:sz="4" w:space="0" w:color="auto"/>
              <w:right w:val="single" w:sz="4" w:space="0" w:color="000000"/>
            </w:tcBorders>
            <w:noWrap/>
            <w:vAlign w:val="bottom"/>
          </w:tcPr>
          <w:p w14:paraId="77036AE1" w14:textId="5F623698" w:rsidR="00A06001" w:rsidRPr="002B21CF" w:rsidRDefault="00A06001" w:rsidP="00A06001">
            <w:pPr>
              <w:jc w:val="center"/>
              <w:rPr>
                <w:rFonts w:ascii="Lato" w:hAnsi="Lato" w:cstheme="minorHAnsi"/>
                <w:b/>
                <w:bCs/>
                <w:color w:val="000000"/>
                <w:sz w:val="20"/>
                <w:szCs w:val="16"/>
                <w:lang w:eastAsia="es-MX"/>
              </w:rPr>
            </w:pPr>
            <w:r w:rsidRPr="002B21CF">
              <w:rPr>
                <w:rFonts w:ascii="Lato" w:hAnsi="Lato" w:cstheme="minorHAnsi"/>
                <w:b/>
                <w:bCs/>
                <w:color w:val="000000"/>
                <w:sz w:val="20"/>
                <w:szCs w:val="16"/>
                <w:lang w:eastAsia="es-MX"/>
              </w:rPr>
              <w:t>202</w:t>
            </w:r>
            <w:r w:rsidR="00954721" w:rsidRPr="002B21CF">
              <w:rPr>
                <w:rFonts w:ascii="Lato" w:hAnsi="Lato" w:cstheme="minorHAnsi"/>
                <w:b/>
                <w:bCs/>
                <w:color w:val="000000"/>
                <w:sz w:val="20"/>
                <w:szCs w:val="16"/>
                <w:lang w:eastAsia="es-MX"/>
              </w:rPr>
              <w:t>6</w:t>
            </w:r>
          </w:p>
        </w:tc>
        <w:tc>
          <w:tcPr>
            <w:tcW w:w="1418" w:type="dxa"/>
            <w:tcBorders>
              <w:top w:val="single" w:sz="4" w:space="0" w:color="auto"/>
              <w:left w:val="nil"/>
              <w:bottom w:val="single" w:sz="4" w:space="0" w:color="auto"/>
              <w:right w:val="single" w:sz="4" w:space="0" w:color="000000"/>
            </w:tcBorders>
            <w:noWrap/>
            <w:vAlign w:val="bottom"/>
          </w:tcPr>
          <w:p w14:paraId="5928372B" w14:textId="727641E2" w:rsidR="00A06001" w:rsidRPr="002B21CF" w:rsidRDefault="00A06001" w:rsidP="00A06001">
            <w:pPr>
              <w:jc w:val="center"/>
              <w:rPr>
                <w:rFonts w:ascii="Lato" w:hAnsi="Lato" w:cstheme="minorHAnsi"/>
                <w:b/>
                <w:bCs/>
                <w:color w:val="000000"/>
                <w:sz w:val="20"/>
                <w:szCs w:val="16"/>
                <w:lang w:eastAsia="es-MX"/>
              </w:rPr>
            </w:pPr>
            <w:r w:rsidRPr="002B21CF">
              <w:rPr>
                <w:rFonts w:ascii="Lato" w:hAnsi="Lato" w:cstheme="minorHAnsi"/>
                <w:b/>
                <w:bCs/>
                <w:color w:val="000000"/>
                <w:sz w:val="20"/>
                <w:szCs w:val="16"/>
                <w:lang w:eastAsia="es-MX"/>
              </w:rPr>
              <w:t>202</w:t>
            </w:r>
            <w:r w:rsidR="00954721" w:rsidRPr="002B21CF">
              <w:rPr>
                <w:rFonts w:ascii="Lato" w:hAnsi="Lato" w:cstheme="minorHAnsi"/>
                <w:b/>
                <w:bCs/>
                <w:color w:val="000000"/>
                <w:sz w:val="20"/>
                <w:szCs w:val="16"/>
                <w:lang w:eastAsia="es-MX"/>
              </w:rPr>
              <w:t>5</w:t>
            </w:r>
          </w:p>
        </w:tc>
      </w:tr>
      <w:tr w:rsidR="00A06001" w:rsidRPr="002B21CF" w14:paraId="77FB6C3F" w14:textId="77777777" w:rsidTr="00A06001">
        <w:trPr>
          <w:trHeight w:val="165"/>
        </w:trPr>
        <w:tc>
          <w:tcPr>
            <w:tcW w:w="6516" w:type="dxa"/>
            <w:tcBorders>
              <w:top w:val="single" w:sz="4" w:space="0" w:color="auto"/>
              <w:left w:val="single" w:sz="4" w:space="0" w:color="auto"/>
              <w:bottom w:val="single" w:sz="4" w:space="0" w:color="auto"/>
              <w:right w:val="single" w:sz="4" w:space="0" w:color="000000"/>
            </w:tcBorders>
            <w:noWrap/>
            <w:vAlign w:val="bottom"/>
          </w:tcPr>
          <w:p w14:paraId="08D869E3" w14:textId="77777777" w:rsidR="00A06001" w:rsidRPr="002B21CF" w:rsidRDefault="00A06001" w:rsidP="00A06001">
            <w:pPr>
              <w:rPr>
                <w:rFonts w:ascii="Lato" w:hAnsi="Lato" w:cstheme="minorHAnsi"/>
                <w:b/>
                <w:bCs/>
                <w:color w:val="000000"/>
                <w:sz w:val="20"/>
                <w:szCs w:val="16"/>
                <w:lang w:eastAsia="es-MX"/>
              </w:rPr>
            </w:pPr>
            <w:r w:rsidRPr="002B21CF">
              <w:rPr>
                <w:rFonts w:ascii="Lato" w:hAnsi="Lato" w:cstheme="minorHAnsi"/>
                <w:b/>
                <w:bCs/>
                <w:color w:val="000000"/>
                <w:sz w:val="20"/>
                <w:szCs w:val="16"/>
                <w:lang w:eastAsia="es-MX"/>
              </w:rPr>
              <w:t>Bienes Inmuebles, Infraestructura y Construcciones en Proceso</w:t>
            </w:r>
          </w:p>
        </w:tc>
        <w:tc>
          <w:tcPr>
            <w:tcW w:w="1559" w:type="dxa"/>
            <w:tcBorders>
              <w:top w:val="single" w:sz="4" w:space="0" w:color="auto"/>
              <w:left w:val="nil"/>
              <w:bottom w:val="single" w:sz="4" w:space="0" w:color="auto"/>
              <w:right w:val="single" w:sz="4" w:space="0" w:color="000000"/>
            </w:tcBorders>
            <w:noWrap/>
            <w:vAlign w:val="bottom"/>
          </w:tcPr>
          <w:p w14:paraId="7162E1BC" w14:textId="77777777" w:rsidR="00A06001" w:rsidRPr="002B21CF" w:rsidRDefault="00A06001" w:rsidP="00A06001">
            <w:pPr>
              <w:jc w:val="center"/>
              <w:rPr>
                <w:rFonts w:ascii="Lato" w:hAnsi="Lato" w:cstheme="minorHAnsi"/>
                <w:b/>
                <w:bCs/>
                <w:color w:val="000000"/>
                <w:sz w:val="20"/>
                <w:szCs w:val="16"/>
                <w:lang w:eastAsia="es-MX"/>
              </w:rPr>
            </w:pPr>
          </w:p>
        </w:tc>
        <w:tc>
          <w:tcPr>
            <w:tcW w:w="1418" w:type="dxa"/>
            <w:tcBorders>
              <w:top w:val="single" w:sz="4" w:space="0" w:color="auto"/>
              <w:left w:val="nil"/>
              <w:bottom w:val="single" w:sz="4" w:space="0" w:color="auto"/>
              <w:right w:val="single" w:sz="4" w:space="0" w:color="000000"/>
            </w:tcBorders>
            <w:noWrap/>
            <w:vAlign w:val="bottom"/>
          </w:tcPr>
          <w:p w14:paraId="797AD2F1" w14:textId="77777777" w:rsidR="00A06001" w:rsidRPr="002B21CF" w:rsidRDefault="00A06001" w:rsidP="00A06001">
            <w:pPr>
              <w:jc w:val="center"/>
              <w:rPr>
                <w:rFonts w:ascii="Lato" w:hAnsi="Lato" w:cstheme="minorHAnsi"/>
                <w:b/>
                <w:bCs/>
                <w:color w:val="000000"/>
                <w:sz w:val="20"/>
                <w:szCs w:val="16"/>
                <w:lang w:eastAsia="es-MX"/>
              </w:rPr>
            </w:pPr>
          </w:p>
        </w:tc>
      </w:tr>
      <w:tr w:rsidR="00A06001" w:rsidRPr="002B21CF" w14:paraId="2B37DE80" w14:textId="77777777" w:rsidTr="00A06001">
        <w:trPr>
          <w:trHeight w:val="157"/>
        </w:trPr>
        <w:tc>
          <w:tcPr>
            <w:tcW w:w="6516" w:type="dxa"/>
            <w:tcBorders>
              <w:top w:val="single" w:sz="4" w:space="0" w:color="auto"/>
              <w:left w:val="single" w:sz="4" w:space="0" w:color="auto"/>
              <w:bottom w:val="single" w:sz="4" w:space="0" w:color="auto"/>
              <w:right w:val="single" w:sz="4" w:space="0" w:color="000000"/>
            </w:tcBorders>
            <w:noWrap/>
            <w:vAlign w:val="bottom"/>
          </w:tcPr>
          <w:p w14:paraId="0374A11B" w14:textId="77777777" w:rsidR="00A06001" w:rsidRPr="002B21CF" w:rsidRDefault="00A06001" w:rsidP="00A06001">
            <w:pPr>
              <w:rPr>
                <w:rFonts w:ascii="Lato" w:hAnsi="Lato" w:cstheme="minorHAnsi"/>
                <w:color w:val="000000"/>
                <w:sz w:val="20"/>
                <w:szCs w:val="16"/>
                <w:lang w:eastAsia="es-MX"/>
              </w:rPr>
            </w:pPr>
            <w:r w:rsidRPr="002B21CF">
              <w:rPr>
                <w:rFonts w:ascii="Lato" w:hAnsi="Lato" w:cstheme="minorHAnsi"/>
                <w:color w:val="000000"/>
                <w:sz w:val="20"/>
                <w:szCs w:val="16"/>
                <w:lang w:eastAsia="es-MX"/>
              </w:rPr>
              <w:t xml:space="preserve">Terrenos </w:t>
            </w:r>
          </w:p>
        </w:tc>
        <w:tc>
          <w:tcPr>
            <w:tcW w:w="1559" w:type="dxa"/>
            <w:tcBorders>
              <w:top w:val="single" w:sz="4" w:space="0" w:color="auto"/>
              <w:left w:val="nil"/>
              <w:bottom w:val="single" w:sz="4" w:space="0" w:color="auto"/>
              <w:right w:val="single" w:sz="4" w:space="0" w:color="000000"/>
            </w:tcBorders>
            <w:noWrap/>
            <w:vAlign w:val="bottom"/>
          </w:tcPr>
          <w:p w14:paraId="2C5531CC" w14:textId="77777777" w:rsidR="00A06001" w:rsidRPr="002B21CF" w:rsidRDefault="00A06001" w:rsidP="00A06001">
            <w:pPr>
              <w:jc w:val="right"/>
              <w:rPr>
                <w:rFonts w:ascii="Lato" w:hAnsi="Lato" w:cstheme="minorHAnsi"/>
                <w:b/>
                <w:color w:val="000000"/>
                <w:sz w:val="20"/>
                <w:szCs w:val="16"/>
                <w:lang w:eastAsia="es-MX"/>
              </w:rPr>
            </w:pPr>
            <w:r w:rsidRPr="002B21CF">
              <w:rPr>
                <w:rFonts w:ascii="Lato" w:hAnsi="Lato" w:cstheme="minorHAnsi"/>
                <w:b/>
                <w:color w:val="000000"/>
                <w:sz w:val="20"/>
                <w:szCs w:val="16"/>
                <w:lang w:eastAsia="es-MX"/>
              </w:rPr>
              <w:t>$ 0.0</w:t>
            </w:r>
          </w:p>
        </w:tc>
        <w:tc>
          <w:tcPr>
            <w:tcW w:w="1418" w:type="dxa"/>
            <w:tcBorders>
              <w:top w:val="single" w:sz="4" w:space="0" w:color="auto"/>
              <w:left w:val="nil"/>
              <w:bottom w:val="single" w:sz="4" w:space="0" w:color="auto"/>
              <w:right w:val="single" w:sz="4" w:space="0" w:color="000000"/>
            </w:tcBorders>
            <w:noWrap/>
            <w:vAlign w:val="bottom"/>
          </w:tcPr>
          <w:p w14:paraId="5B64204C" w14:textId="77777777" w:rsidR="00A06001" w:rsidRPr="002B21CF" w:rsidRDefault="00A06001" w:rsidP="00A06001">
            <w:pPr>
              <w:jc w:val="right"/>
              <w:rPr>
                <w:rFonts w:ascii="Lato" w:hAnsi="Lato" w:cstheme="minorHAnsi"/>
                <w:b/>
                <w:color w:val="000000"/>
                <w:sz w:val="20"/>
                <w:szCs w:val="16"/>
                <w:lang w:eastAsia="es-MX"/>
              </w:rPr>
            </w:pPr>
            <w:r w:rsidRPr="002B21CF">
              <w:rPr>
                <w:rFonts w:ascii="Lato" w:hAnsi="Lato" w:cstheme="minorHAnsi"/>
                <w:b/>
                <w:color w:val="000000"/>
                <w:sz w:val="20"/>
                <w:szCs w:val="16"/>
                <w:lang w:eastAsia="es-MX"/>
              </w:rPr>
              <w:t>$ 0.00</w:t>
            </w:r>
          </w:p>
        </w:tc>
      </w:tr>
      <w:tr w:rsidR="00A06001" w:rsidRPr="002B21CF" w14:paraId="6FB525C0" w14:textId="77777777" w:rsidTr="00A06001">
        <w:trPr>
          <w:trHeight w:val="226"/>
        </w:trPr>
        <w:tc>
          <w:tcPr>
            <w:tcW w:w="6516" w:type="dxa"/>
            <w:tcBorders>
              <w:top w:val="single" w:sz="4" w:space="0" w:color="auto"/>
              <w:left w:val="single" w:sz="4" w:space="0" w:color="auto"/>
              <w:bottom w:val="single" w:sz="4" w:space="0" w:color="auto"/>
              <w:right w:val="single" w:sz="4" w:space="0" w:color="000000"/>
            </w:tcBorders>
            <w:noWrap/>
            <w:vAlign w:val="bottom"/>
            <w:hideMark/>
          </w:tcPr>
          <w:p w14:paraId="195F94A4" w14:textId="77777777" w:rsidR="00A06001" w:rsidRPr="002B21CF" w:rsidRDefault="00A06001" w:rsidP="00A06001">
            <w:pPr>
              <w:rPr>
                <w:rFonts w:ascii="Lato" w:hAnsi="Lato" w:cstheme="minorHAnsi"/>
                <w:color w:val="000000"/>
                <w:sz w:val="20"/>
                <w:szCs w:val="16"/>
                <w:lang w:eastAsia="es-MX"/>
              </w:rPr>
            </w:pPr>
            <w:r w:rsidRPr="002B21CF">
              <w:rPr>
                <w:rFonts w:ascii="Lato" w:hAnsi="Lato" w:cstheme="minorHAnsi"/>
                <w:color w:val="000000"/>
                <w:sz w:val="20"/>
                <w:szCs w:val="16"/>
                <w:lang w:eastAsia="es-MX"/>
              </w:rPr>
              <w:t xml:space="preserve">Viviendas </w:t>
            </w:r>
          </w:p>
        </w:tc>
        <w:tc>
          <w:tcPr>
            <w:tcW w:w="1559" w:type="dxa"/>
            <w:tcBorders>
              <w:top w:val="single" w:sz="4" w:space="0" w:color="auto"/>
              <w:left w:val="nil"/>
              <w:bottom w:val="single" w:sz="4" w:space="0" w:color="auto"/>
              <w:right w:val="single" w:sz="4" w:space="0" w:color="000000"/>
            </w:tcBorders>
            <w:noWrap/>
            <w:vAlign w:val="bottom"/>
            <w:hideMark/>
          </w:tcPr>
          <w:p w14:paraId="02D61DA4" w14:textId="77777777" w:rsidR="00A06001" w:rsidRPr="002B21CF" w:rsidRDefault="00A06001" w:rsidP="00A0600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0.00</w:t>
            </w:r>
          </w:p>
        </w:tc>
        <w:tc>
          <w:tcPr>
            <w:tcW w:w="1418" w:type="dxa"/>
            <w:tcBorders>
              <w:top w:val="single" w:sz="4" w:space="0" w:color="auto"/>
              <w:left w:val="nil"/>
              <w:bottom w:val="single" w:sz="4" w:space="0" w:color="auto"/>
              <w:right w:val="single" w:sz="4" w:space="0" w:color="000000"/>
            </w:tcBorders>
            <w:noWrap/>
            <w:vAlign w:val="bottom"/>
            <w:hideMark/>
          </w:tcPr>
          <w:p w14:paraId="6B3BC9AF" w14:textId="77777777" w:rsidR="00A06001" w:rsidRPr="002B21CF" w:rsidRDefault="00A06001" w:rsidP="00A0600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0.00</w:t>
            </w:r>
          </w:p>
        </w:tc>
      </w:tr>
      <w:tr w:rsidR="00A06001" w:rsidRPr="002B21CF" w14:paraId="60E03B0E" w14:textId="77777777" w:rsidTr="00A06001">
        <w:trPr>
          <w:trHeight w:val="157"/>
        </w:trPr>
        <w:tc>
          <w:tcPr>
            <w:tcW w:w="6516" w:type="dxa"/>
            <w:tcBorders>
              <w:top w:val="single" w:sz="4" w:space="0" w:color="auto"/>
              <w:left w:val="single" w:sz="4" w:space="0" w:color="auto"/>
              <w:bottom w:val="single" w:sz="4" w:space="0" w:color="auto"/>
              <w:right w:val="single" w:sz="4" w:space="0" w:color="000000"/>
            </w:tcBorders>
            <w:noWrap/>
            <w:vAlign w:val="bottom"/>
            <w:hideMark/>
          </w:tcPr>
          <w:p w14:paraId="13762C2A" w14:textId="77777777" w:rsidR="00A06001" w:rsidRPr="002B21CF" w:rsidRDefault="00A06001" w:rsidP="00A06001">
            <w:pPr>
              <w:rPr>
                <w:rFonts w:ascii="Lato" w:hAnsi="Lato" w:cstheme="minorHAnsi"/>
                <w:color w:val="000000"/>
                <w:sz w:val="20"/>
                <w:szCs w:val="16"/>
                <w:lang w:eastAsia="es-MX"/>
              </w:rPr>
            </w:pPr>
            <w:r w:rsidRPr="002B21CF">
              <w:rPr>
                <w:rFonts w:ascii="Lato" w:hAnsi="Lato" w:cstheme="minorHAnsi"/>
                <w:color w:val="000000"/>
                <w:sz w:val="20"/>
                <w:szCs w:val="16"/>
                <w:lang w:eastAsia="es-MX"/>
              </w:rPr>
              <w:t>Edificios no Habitacionales</w:t>
            </w:r>
          </w:p>
        </w:tc>
        <w:tc>
          <w:tcPr>
            <w:tcW w:w="1559" w:type="dxa"/>
            <w:tcBorders>
              <w:top w:val="single" w:sz="4" w:space="0" w:color="auto"/>
              <w:left w:val="nil"/>
              <w:bottom w:val="single" w:sz="4" w:space="0" w:color="auto"/>
              <w:right w:val="single" w:sz="4" w:space="0" w:color="000000"/>
            </w:tcBorders>
            <w:noWrap/>
            <w:vAlign w:val="bottom"/>
            <w:hideMark/>
          </w:tcPr>
          <w:p w14:paraId="37891303" w14:textId="77777777" w:rsidR="00A06001" w:rsidRPr="002B21CF" w:rsidRDefault="00A06001" w:rsidP="00A0600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0.00</w:t>
            </w:r>
          </w:p>
        </w:tc>
        <w:tc>
          <w:tcPr>
            <w:tcW w:w="1418" w:type="dxa"/>
            <w:tcBorders>
              <w:top w:val="single" w:sz="4" w:space="0" w:color="auto"/>
              <w:left w:val="nil"/>
              <w:bottom w:val="single" w:sz="4" w:space="0" w:color="auto"/>
              <w:right w:val="single" w:sz="4" w:space="0" w:color="000000"/>
            </w:tcBorders>
            <w:noWrap/>
            <w:vAlign w:val="bottom"/>
            <w:hideMark/>
          </w:tcPr>
          <w:p w14:paraId="20AB2612" w14:textId="77777777" w:rsidR="00A06001" w:rsidRPr="002B21CF" w:rsidRDefault="00A06001" w:rsidP="00A0600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0.00</w:t>
            </w:r>
          </w:p>
        </w:tc>
      </w:tr>
      <w:tr w:rsidR="00A06001" w:rsidRPr="002B21CF" w14:paraId="3DDB76A6" w14:textId="77777777" w:rsidTr="00A06001">
        <w:trPr>
          <w:trHeight w:val="157"/>
        </w:trPr>
        <w:tc>
          <w:tcPr>
            <w:tcW w:w="6516" w:type="dxa"/>
            <w:tcBorders>
              <w:top w:val="single" w:sz="4" w:space="0" w:color="auto"/>
              <w:left w:val="single" w:sz="4" w:space="0" w:color="auto"/>
              <w:bottom w:val="single" w:sz="4" w:space="0" w:color="auto"/>
              <w:right w:val="single" w:sz="4" w:space="0" w:color="000000"/>
            </w:tcBorders>
            <w:noWrap/>
            <w:vAlign w:val="bottom"/>
            <w:hideMark/>
          </w:tcPr>
          <w:p w14:paraId="154682F9" w14:textId="77777777" w:rsidR="00A06001" w:rsidRPr="002B21CF" w:rsidRDefault="00A06001" w:rsidP="00A06001">
            <w:pPr>
              <w:rPr>
                <w:rFonts w:ascii="Lato" w:hAnsi="Lato" w:cstheme="minorHAnsi"/>
                <w:color w:val="000000"/>
                <w:sz w:val="20"/>
                <w:szCs w:val="16"/>
                <w:lang w:eastAsia="es-MX"/>
              </w:rPr>
            </w:pPr>
            <w:r w:rsidRPr="002B21CF">
              <w:rPr>
                <w:rFonts w:ascii="Lato" w:hAnsi="Lato" w:cstheme="minorHAnsi"/>
                <w:color w:val="000000"/>
                <w:sz w:val="20"/>
                <w:szCs w:val="16"/>
                <w:lang w:eastAsia="es-MX"/>
              </w:rPr>
              <w:t>Infraestructura</w:t>
            </w:r>
          </w:p>
        </w:tc>
        <w:tc>
          <w:tcPr>
            <w:tcW w:w="1559" w:type="dxa"/>
            <w:tcBorders>
              <w:top w:val="single" w:sz="4" w:space="0" w:color="auto"/>
              <w:left w:val="nil"/>
              <w:bottom w:val="single" w:sz="4" w:space="0" w:color="auto"/>
              <w:right w:val="single" w:sz="4" w:space="0" w:color="000000"/>
            </w:tcBorders>
            <w:noWrap/>
            <w:vAlign w:val="bottom"/>
            <w:hideMark/>
          </w:tcPr>
          <w:p w14:paraId="4D1B39BC" w14:textId="77777777" w:rsidR="00A06001" w:rsidRPr="002B21CF" w:rsidRDefault="00A06001" w:rsidP="00A0600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0.00</w:t>
            </w:r>
          </w:p>
        </w:tc>
        <w:tc>
          <w:tcPr>
            <w:tcW w:w="1418" w:type="dxa"/>
            <w:tcBorders>
              <w:top w:val="single" w:sz="4" w:space="0" w:color="auto"/>
              <w:left w:val="nil"/>
              <w:bottom w:val="single" w:sz="4" w:space="0" w:color="auto"/>
              <w:right w:val="single" w:sz="4" w:space="0" w:color="000000"/>
            </w:tcBorders>
            <w:noWrap/>
            <w:vAlign w:val="bottom"/>
            <w:hideMark/>
          </w:tcPr>
          <w:p w14:paraId="2882D2BD" w14:textId="77777777" w:rsidR="00A06001" w:rsidRPr="002B21CF" w:rsidRDefault="00A06001" w:rsidP="00A0600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0.00</w:t>
            </w:r>
          </w:p>
        </w:tc>
      </w:tr>
      <w:tr w:rsidR="00A06001" w:rsidRPr="002B21CF" w14:paraId="0A6F3BF0" w14:textId="77777777" w:rsidTr="00A06001">
        <w:trPr>
          <w:trHeight w:val="157"/>
        </w:trPr>
        <w:tc>
          <w:tcPr>
            <w:tcW w:w="6516" w:type="dxa"/>
            <w:tcBorders>
              <w:top w:val="single" w:sz="4" w:space="0" w:color="auto"/>
              <w:left w:val="single" w:sz="4" w:space="0" w:color="auto"/>
              <w:bottom w:val="single" w:sz="4" w:space="0" w:color="auto"/>
              <w:right w:val="single" w:sz="4" w:space="0" w:color="000000"/>
            </w:tcBorders>
            <w:noWrap/>
            <w:vAlign w:val="bottom"/>
            <w:hideMark/>
          </w:tcPr>
          <w:p w14:paraId="27639DEA" w14:textId="77777777" w:rsidR="00A06001" w:rsidRPr="002B21CF" w:rsidRDefault="00A06001" w:rsidP="00A06001">
            <w:pPr>
              <w:rPr>
                <w:rFonts w:ascii="Lato" w:hAnsi="Lato" w:cstheme="minorHAnsi"/>
                <w:color w:val="000000"/>
                <w:sz w:val="20"/>
                <w:szCs w:val="16"/>
                <w:lang w:eastAsia="es-MX"/>
              </w:rPr>
            </w:pPr>
            <w:r w:rsidRPr="002B21CF">
              <w:rPr>
                <w:rFonts w:ascii="Lato" w:hAnsi="Lato" w:cstheme="minorHAnsi"/>
                <w:color w:val="000000"/>
                <w:sz w:val="20"/>
                <w:szCs w:val="16"/>
                <w:lang w:eastAsia="es-MX"/>
              </w:rPr>
              <w:t>Construcción en Proceso en Bienes de Dominio Público</w:t>
            </w:r>
          </w:p>
        </w:tc>
        <w:tc>
          <w:tcPr>
            <w:tcW w:w="1559" w:type="dxa"/>
            <w:tcBorders>
              <w:top w:val="single" w:sz="4" w:space="0" w:color="auto"/>
              <w:left w:val="nil"/>
              <w:bottom w:val="single" w:sz="4" w:space="0" w:color="auto"/>
              <w:right w:val="single" w:sz="4" w:space="0" w:color="000000"/>
            </w:tcBorders>
            <w:noWrap/>
            <w:vAlign w:val="bottom"/>
            <w:hideMark/>
          </w:tcPr>
          <w:p w14:paraId="33ADEB28" w14:textId="77777777" w:rsidR="00A06001" w:rsidRPr="002B21CF" w:rsidRDefault="00A06001" w:rsidP="00A0600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0.00</w:t>
            </w:r>
          </w:p>
        </w:tc>
        <w:tc>
          <w:tcPr>
            <w:tcW w:w="1418" w:type="dxa"/>
            <w:tcBorders>
              <w:top w:val="single" w:sz="4" w:space="0" w:color="auto"/>
              <w:left w:val="nil"/>
              <w:bottom w:val="single" w:sz="4" w:space="0" w:color="auto"/>
              <w:right w:val="single" w:sz="4" w:space="0" w:color="000000"/>
            </w:tcBorders>
            <w:noWrap/>
            <w:vAlign w:val="bottom"/>
            <w:hideMark/>
          </w:tcPr>
          <w:p w14:paraId="32232C82" w14:textId="77777777" w:rsidR="00A06001" w:rsidRPr="002B21CF" w:rsidRDefault="00A06001" w:rsidP="00A0600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0.00</w:t>
            </w:r>
          </w:p>
        </w:tc>
      </w:tr>
      <w:tr w:rsidR="00A06001" w:rsidRPr="002B21CF" w14:paraId="64461685" w14:textId="77777777" w:rsidTr="00A06001">
        <w:trPr>
          <w:trHeight w:val="157"/>
        </w:trPr>
        <w:tc>
          <w:tcPr>
            <w:tcW w:w="6516" w:type="dxa"/>
            <w:tcBorders>
              <w:top w:val="single" w:sz="4" w:space="0" w:color="auto"/>
              <w:left w:val="single" w:sz="4" w:space="0" w:color="auto"/>
              <w:bottom w:val="single" w:sz="4" w:space="0" w:color="auto"/>
              <w:right w:val="single" w:sz="4" w:space="0" w:color="000000"/>
            </w:tcBorders>
            <w:noWrap/>
            <w:vAlign w:val="bottom"/>
            <w:hideMark/>
          </w:tcPr>
          <w:p w14:paraId="685B2F51" w14:textId="77777777" w:rsidR="00A06001" w:rsidRPr="002B21CF" w:rsidRDefault="00A06001" w:rsidP="00A06001">
            <w:pPr>
              <w:rPr>
                <w:rFonts w:ascii="Lato" w:hAnsi="Lato" w:cstheme="minorHAnsi"/>
                <w:color w:val="000000"/>
                <w:sz w:val="20"/>
                <w:szCs w:val="16"/>
                <w:lang w:eastAsia="es-MX"/>
              </w:rPr>
            </w:pPr>
            <w:r w:rsidRPr="002B21CF">
              <w:rPr>
                <w:rFonts w:ascii="Lato" w:hAnsi="Lato" w:cstheme="minorHAnsi"/>
                <w:color w:val="000000"/>
                <w:sz w:val="20"/>
                <w:szCs w:val="16"/>
                <w:lang w:eastAsia="es-MX"/>
              </w:rPr>
              <w:t>Construcción en Proceso en Bienes Propios</w:t>
            </w:r>
          </w:p>
        </w:tc>
        <w:tc>
          <w:tcPr>
            <w:tcW w:w="1559" w:type="dxa"/>
            <w:tcBorders>
              <w:top w:val="single" w:sz="4" w:space="0" w:color="auto"/>
              <w:left w:val="nil"/>
              <w:bottom w:val="single" w:sz="4" w:space="0" w:color="auto"/>
              <w:right w:val="single" w:sz="4" w:space="0" w:color="000000"/>
            </w:tcBorders>
            <w:noWrap/>
            <w:vAlign w:val="bottom"/>
            <w:hideMark/>
          </w:tcPr>
          <w:p w14:paraId="0D331B0F" w14:textId="77777777" w:rsidR="00A06001" w:rsidRPr="002B21CF" w:rsidRDefault="00A06001" w:rsidP="00A0600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$ 0.00</w:t>
            </w:r>
          </w:p>
        </w:tc>
        <w:tc>
          <w:tcPr>
            <w:tcW w:w="1418" w:type="dxa"/>
            <w:tcBorders>
              <w:top w:val="single" w:sz="4" w:space="0" w:color="auto"/>
              <w:left w:val="nil"/>
              <w:bottom w:val="single" w:sz="4" w:space="0" w:color="auto"/>
              <w:right w:val="single" w:sz="4" w:space="0" w:color="000000"/>
            </w:tcBorders>
            <w:noWrap/>
            <w:vAlign w:val="bottom"/>
            <w:hideMark/>
          </w:tcPr>
          <w:p w14:paraId="7CA1BFC0" w14:textId="77777777" w:rsidR="00A06001" w:rsidRPr="002B21CF" w:rsidRDefault="00A06001" w:rsidP="00A0600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$ 0.00</w:t>
            </w:r>
          </w:p>
        </w:tc>
      </w:tr>
      <w:tr w:rsidR="00A06001" w:rsidRPr="002B21CF" w14:paraId="55534554" w14:textId="77777777" w:rsidTr="00A06001">
        <w:trPr>
          <w:trHeight w:val="157"/>
        </w:trPr>
        <w:tc>
          <w:tcPr>
            <w:tcW w:w="6516" w:type="dxa"/>
            <w:tcBorders>
              <w:top w:val="single" w:sz="4" w:space="0" w:color="auto"/>
              <w:left w:val="single" w:sz="4" w:space="0" w:color="auto"/>
              <w:bottom w:val="single" w:sz="4" w:space="0" w:color="auto"/>
              <w:right w:val="single" w:sz="4" w:space="0" w:color="000000"/>
            </w:tcBorders>
            <w:noWrap/>
            <w:vAlign w:val="bottom"/>
          </w:tcPr>
          <w:p w14:paraId="6FDACA33" w14:textId="77777777" w:rsidR="00A06001" w:rsidRPr="002B21CF" w:rsidRDefault="00A06001" w:rsidP="00A06001">
            <w:pPr>
              <w:rPr>
                <w:rFonts w:ascii="Lato" w:hAnsi="Lato" w:cstheme="minorHAnsi"/>
                <w:color w:val="000000"/>
                <w:sz w:val="20"/>
                <w:szCs w:val="16"/>
                <w:lang w:eastAsia="es-MX"/>
              </w:rPr>
            </w:pPr>
            <w:r w:rsidRPr="002B21CF">
              <w:rPr>
                <w:rFonts w:ascii="Lato" w:hAnsi="Lato" w:cstheme="minorHAnsi"/>
                <w:color w:val="000000"/>
                <w:sz w:val="20"/>
                <w:szCs w:val="16"/>
                <w:lang w:eastAsia="es-MX"/>
              </w:rPr>
              <w:t xml:space="preserve">Otros Bienes Inmuebles </w:t>
            </w:r>
          </w:p>
        </w:tc>
        <w:tc>
          <w:tcPr>
            <w:tcW w:w="1559" w:type="dxa"/>
            <w:tcBorders>
              <w:top w:val="single" w:sz="4" w:space="0" w:color="auto"/>
              <w:left w:val="nil"/>
              <w:bottom w:val="single" w:sz="4" w:space="0" w:color="auto"/>
              <w:right w:val="single" w:sz="4" w:space="0" w:color="000000"/>
            </w:tcBorders>
            <w:noWrap/>
            <w:vAlign w:val="bottom"/>
          </w:tcPr>
          <w:p w14:paraId="378BF738" w14:textId="77777777" w:rsidR="00A06001" w:rsidRPr="002B21CF" w:rsidRDefault="00A06001" w:rsidP="00A06001">
            <w:pPr>
              <w:jc w:val="right"/>
              <w:rPr>
                <w:rFonts w:ascii="Lato" w:hAnsi="Lato" w:cstheme="minorHAnsi"/>
                <w:color w:val="000000"/>
                <w:sz w:val="20"/>
                <w:szCs w:val="16"/>
                <w:lang w:eastAsia="es-MX"/>
              </w:rPr>
            </w:pPr>
          </w:p>
        </w:tc>
        <w:tc>
          <w:tcPr>
            <w:tcW w:w="1418" w:type="dxa"/>
            <w:tcBorders>
              <w:top w:val="single" w:sz="4" w:space="0" w:color="auto"/>
              <w:left w:val="nil"/>
              <w:bottom w:val="single" w:sz="4" w:space="0" w:color="auto"/>
              <w:right w:val="single" w:sz="4" w:space="0" w:color="000000"/>
            </w:tcBorders>
            <w:noWrap/>
            <w:vAlign w:val="bottom"/>
          </w:tcPr>
          <w:p w14:paraId="0F980061" w14:textId="77777777" w:rsidR="00A06001" w:rsidRPr="002B21CF" w:rsidRDefault="00A06001" w:rsidP="00A06001">
            <w:pPr>
              <w:jc w:val="right"/>
              <w:rPr>
                <w:rFonts w:ascii="Lato" w:hAnsi="Lato" w:cstheme="minorHAnsi"/>
                <w:color w:val="000000"/>
                <w:sz w:val="20"/>
                <w:szCs w:val="16"/>
                <w:lang w:eastAsia="es-MX"/>
              </w:rPr>
            </w:pPr>
          </w:p>
        </w:tc>
      </w:tr>
      <w:tr w:rsidR="00A06001" w:rsidRPr="002B21CF" w14:paraId="5B574089" w14:textId="77777777" w:rsidTr="00A06001">
        <w:trPr>
          <w:trHeight w:val="165"/>
        </w:trPr>
        <w:tc>
          <w:tcPr>
            <w:tcW w:w="6516" w:type="dxa"/>
            <w:tcBorders>
              <w:top w:val="single" w:sz="4" w:space="0" w:color="auto"/>
              <w:left w:val="single" w:sz="4" w:space="0" w:color="auto"/>
              <w:bottom w:val="single" w:sz="4" w:space="0" w:color="auto"/>
              <w:right w:val="single" w:sz="4" w:space="0" w:color="000000"/>
            </w:tcBorders>
            <w:noWrap/>
            <w:vAlign w:val="bottom"/>
          </w:tcPr>
          <w:p w14:paraId="76979B47" w14:textId="77777777" w:rsidR="00A06001" w:rsidRPr="002B21CF" w:rsidRDefault="00A06001" w:rsidP="00A06001">
            <w:pPr>
              <w:rPr>
                <w:rFonts w:ascii="Lato" w:hAnsi="Lato" w:cstheme="minorHAnsi"/>
                <w:b/>
                <w:bCs/>
                <w:color w:val="000000"/>
                <w:sz w:val="20"/>
                <w:szCs w:val="16"/>
                <w:lang w:eastAsia="es-MX"/>
              </w:rPr>
            </w:pPr>
            <w:r w:rsidRPr="002B21CF">
              <w:rPr>
                <w:rFonts w:ascii="Lato" w:hAnsi="Lato" w:cstheme="minorHAnsi"/>
                <w:b/>
                <w:bCs/>
                <w:color w:val="000000"/>
                <w:sz w:val="20"/>
                <w:szCs w:val="16"/>
                <w:lang w:eastAsia="es-MX"/>
              </w:rPr>
              <w:t>Bienes Muebles</w:t>
            </w:r>
          </w:p>
        </w:tc>
        <w:tc>
          <w:tcPr>
            <w:tcW w:w="1559" w:type="dxa"/>
            <w:tcBorders>
              <w:top w:val="single" w:sz="4" w:space="0" w:color="auto"/>
              <w:left w:val="nil"/>
              <w:bottom w:val="single" w:sz="4" w:space="0" w:color="auto"/>
              <w:right w:val="single" w:sz="4" w:space="0" w:color="000000"/>
            </w:tcBorders>
            <w:noWrap/>
            <w:vAlign w:val="bottom"/>
          </w:tcPr>
          <w:p w14:paraId="312CE4FC" w14:textId="77777777" w:rsidR="00A06001" w:rsidRPr="002B21CF" w:rsidRDefault="00A06001" w:rsidP="00A06001">
            <w:pPr>
              <w:jc w:val="right"/>
              <w:rPr>
                <w:rFonts w:ascii="Lato" w:hAnsi="Lato" w:cstheme="minorHAnsi"/>
                <w:b/>
                <w:bCs/>
                <w:color w:val="000000"/>
                <w:sz w:val="20"/>
                <w:szCs w:val="16"/>
                <w:lang w:eastAsia="es-MX"/>
              </w:rPr>
            </w:pPr>
            <w:r w:rsidRPr="002B21CF">
              <w:rPr>
                <w:rFonts w:ascii="Lato" w:hAnsi="Lato" w:cstheme="minorHAnsi"/>
                <w:b/>
                <w:color w:val="000000"/>
                <w:sz w:val="20"/>
                <w:szCs w:val="16"/>
                <w:lang w:eastAsia="es-MX"/>
              </w:rPr>
              <w:t>$ 0.00</w:t>
            </w:r>
          </w:p>
        </w:tc>
        <w:tc>
          <w:tcPr>
            <w:tcW w:w="1418" w:type="dxa"/>
            <w:tcBorders>
              <w:top w:val="single" w:sz="4" w:space="0" w:color="auto"/>
              <w:left w:val="nil"/>
              <w:bottom w:val="single" w:sz="4" w:space="0" w:color="auto"/>
              <w:right w:val="single" w:sz="4" w:space="0" w:color="000000"/>
            </w:tcBorders>
            <w:noWrap/>
            <w:vAlign w:val="bottom"/>
          </w:tcPr>
          <w:p w14:paraId="22596A7F" w14:textId="77777777" w:rsidR="00A06001" w:rsidRPr="002B21CF" w:rsidRDefault="00A06001" w:rsidP="00A06001">
            <w:pPr>
              <w:jc w:val="right"/>
              <w:rPr>
                <w:rFonts w:ascii="Lato" w:hAnsi="Lato" w:cstheme="minorHAnsi"/>
                <w:b/>
                <w:bCs/>
                <w:color w:val="000000"/>
                <w:sz w:val="20"/>
                <w:szCs w:val="16"/>
                <w:lang w:eastAsia="es-MX"/>
              </w:rPr>
            </w:pPr>
            <w:r w:rsidRPr="002B21CF">
              <w:rPr>
                <w:rFonts w:ascii="Lato" w:hAnsi="Lato" w:cstheme="minorHAnsi"/>
                <w:b/>
                <w:color w:val="000000"/>
                <w:sz w:val="20"/>
                <w:szCs w:val="16"/>
                <w:lang w:eastAsia="es-MX"/>
              </w:rPr>
              <w:t>$ 0.00</w:t>
            </w:r>
          </w:p>
        </w:tc>
      </w:tr>
      <w:tr w:rsidR="00A06001" w:rsidRPr="002B21CF" w14:paraId="08F89645" w14:textId="77777777" w:rsidTr="00A06001">
        <w:trPr>
          <w:trHeight w:val="157"/>
        </w:trPr>
        <w:tc>
          <w:tcPr>
            <w:tcW w:w="6516" w:type="dxa"/>
            <w:tcBorders>
              <w:top w:val="single" w:sz="4" w:space="0" w:color="auto"/>
              <w:left w:val="single" w:sz="4" w:space="0" w:color="auto"/>
              <w:bottom w:val="single" w:sz="4" w:space="0" w:color="auto"/>
              <w:right w:val="single" w:sz="4" w:space="0" w:color="000000"/>
            </w:tcBorders>
            <w:noWrap/>
            <w:vAlign w:val="bottom"/>
          </w:tcPr>
          <w:p w14:paraId="3D539CAA" w14:textId="77777777" w:rsidR="00A06001" w:rsidRPr="002B21CF" w:rsidRDefault="00A06001" w:rsidP="00A06001">
            <w:pPr>
              <w:rPr>
                <w:rFonts w:ascii="Lato" w:hAnsi="Lato" w:cstheme="minorHAnsi"/>
                <w:color w:val="000000"/>
                <w:sz w:val="20"/>
                <w:szCs w:val="16"/>
                <w:lang w:eastAsia="es-MX"/>
              </w:rPr>
            </w:pPr>
            <w:r w:rsidRPr="002B21CF">
              <w:rPr>
                <w:rFonts w:ascii="Lato" w:hAnsi="Lato" w:cstheme="minorHAnsi"/>
                <w:color w:val="000000"/>
                <w:sz w:val="20"/>
                <w:szCs w:val="16"/>
                <w:lang w:eastAsia="es-MX"/>
              </w:rPr>
              <w:t>Mobiliario y Equipo de Administración</w:t>
            </w:r>
          </w:p>
        </w:tc>
        <w:tc>
          <w:tcPr>
            <w:tcW w:w="1559" w:type="dxa"/>
            <w:tcBorders>
              <w:top w:val="single" w:sz="4" w:space="0" w:color="auto"/>
              <w:left w:val="nil"/>
              <w:bottom w:val="single" w:sz="4" w:space="0" w:color="auto"/>
              <w:right w:val="single" w:sz="4" w:space="0" w:color="000000"/>
            </w:tcBorders>
            <w:noWrap/>
            <w:vAlign w:val="bottom"/>
          </w:tcPr>
          <w:p w14:paraId="4BADF7E1" w14:textId="77777777" w:rsidR="00A06001" w:rsidRPr="002B21CF" w:rsidRDefault="00A06001" w:rsidP="00A0600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0.00</w:t>
            </w:r>
          </w:p>
        </w:tc>
        <w:tc>
          <w:tcPr>
            <w:tcW w:w="1418" w:type="dxa"/>
            <w:tcBorders>
              <w:top w:val="single" w:sz="4" w:space="0" w:color="auto"/>
              <w:left w:val="nil"/>
              <w:bottom w:val="single" w:sz="4" w:space="0" w:color="auto"/>
              <w:right w:val="single" w:sz="4" w:space="0" w:color="000000"/>
            </w:tcBorders>
            <w:noWrap/>
          </w:tcPr>
          <w:p w14:paraId="6C0B4F92" w14:textId="77777777" w:rsidR="00A06001" w:rsidRPr="002B21CF" w:rsidRDefault="00A06001" w:rsidP="00A0600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0.00</w:t>
            </w:r>
          </w:p>
        </w:tc>
      </w:tr>
      <w:tr w:rsidR="00A06001" w:rsidRPr="002B21CF" w14:paraId="27399EAF" w14:textId="77777777" w:rsidTr="00A06001">
        <w:trPr>
          <w:trHeight w:val="157"/>
        </w:trPr>
        <w:tc>
          <w:tcPr>
            <w:tcW w:w="6516" w:type="dxa"/>
            <w:tcBorders>
              <w:top w:val="single" w:sz="4" w:space="0" w:color="auto"/>
              <w:left w:val="single" w:sz="4" w:space="0" w:color="auto"/>
              <w:bottom w:val="single" w:sz="4" w:space="0" w:color="auto"/>
              <w:right w:val="single" w:sz="4" w:space="0" w:color="000000"/>
            </w:tcBorders>
            <w:noWrap/>
            <w:vAlign w:val="bottom"/>
          </w:tcPr>
          <w:p w14:paraId="43A97CDA" w14:textId="77777777" w:rsidR="00A06001" w:rsidRPr="002B21CF" w:rsidRDefault="00A06001" w:rsidP="00A06001">
            <w:pPr>
              <w:rPr>
                <w:rFonts w:ascii="Lato" w:hAnsi="Lato" w:cstheme="minorHAnsi"/>
                <w:color w:val="000000"/>
                <w:sz w:val="20"/>
                <w:szCs w:val="16"/>
                <w:lang w:eastAsia="es-MX"/>
              </w:rPr>
            </w:pPr>
            <w:r w:rsidRPr="002B21CF">
              <w:rPr>
                <w:rFonts w:ascii="Lato" w:hAnsi="Lato" w:cstheme="minorHAnsi"/>
                <w:color w:val="000000"/>
                <w:sz w:val="20"/>
                <w:szCs w:val="16"/>
                <w:lang w:eastAsia="es-MX"/>
              </w:rPr>
              <w:t>Mobiliario y Equipo Educacional y Recreativo</w:t>
            </w:r>
          </w:p>
        </w:tc>
        <w:tc>
          <w:tcPr>
            <w:tcW w:w="1559" w:type="dxa"/>
            <w:tcBorders>
              <w:top w:val="single" w:sz="4" w:space="0" w:color="auto"/>
              <w:left w:val="nil"/>
              <w:bottom w:val="single" w:sz="4" w:space="0" w:color="auto"/>
              <w:right w:val="single" w:sz="4" w:space="0" w:color="000000"/>
            </w:tcBorders>
            <w:noWrap/>
          </w:tcPr>
          <w:p w14:paraId="5827A257" w14:textId="77777777" w:rsidR="00A06001" w:rsidRPr="002B21CF" w:rsidRDefault="00A06001" w:rsidP="00A0600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0.00</w:t>
            </w:r>
          </w:p>
        </w:tc>
        <w:tc>
          <w:tcPr>
            <w:tcW w:w="1418" w:type="dxa"/>
            <w:tcBorders>
              <w:top w:val="single" w:sz="4" w:space="0" w:color="auto"/>
              <w:left w:val="nil"/>
              <w:bottom w:val="single" w:sz="4" w:space="0" w:color="auto"/>
              <w:right w:val="single" w:sz="4" w:space="0" w:color="000000"/>
            </w:tcBorders>
            <w:noWrap/>
          </w:tcPr>
          <w:p w14:paraId="038BDA12" w14:textId="77777777" w:rsidR="00A06001" w:rsidRPr="002B21CF" w:rsidRDefault="00A06001" w:rsidP="00A0600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0.00</w:t>
            </w:r>
          </w:p>
        </w:tc>
      </w:tr>
      <w:tr w:rsidR="00A06001" w:rsidRPr="002B21CF" w14:paraId="02EDE5E2" w14:textId="77777777" w:rsidTr="00A06001">
        <w:trPr>
          <w:trHeight w:val="157"/>
        </w:trPr>
        <w:tc>
          <w:tcPr>
            <w:tcW w:w="6516" w:type="dxa"/>
            <w:tcBorders>
              <w:top w:val="single" w:sz="4" w:space="0" w:color="auto"/>
              <w:left w:val="single" w:sz="4" w:space="0" w:color="auto"/>
              <w:bottom w:val="single" w:sz="4" w:space="0" w:color="auto"/>
              <w:right w:val="single" w:sz="4" w:space="0" w:color="000000"/>
            </w:tcBorders>
            <w:noWrap/>
            <w:vAlign w:val="bottom"/>
          </w:tcPr>
          <w:p w14:paraId="6889779D" w14:textId="77777777" w:rsidR="00A06001" w:rsidRPr="002B21CF" w:rsidRDefault="00A06001" w:rsidP="00A06001">
            <w:pPr>
              <w:rPr>
                <w:rFonts w:ascii="Lato" w:hAnsi="Lato" w:cstheme="minorHAnsi"/>
                <w:color w:val="000000"/>
                <w:sz w:val="20"/>
                <w:szCs w:val="16"/>
                <w:lang w:eastAsia="es-MX"/>
              </w:rPr>
            </w:pPr>
            <w:r w:rsidRPr="002B21CF">
              <w:rPr>
                <w:rFonts w:ascii="Lato" w:hAnsi="Lato" w:cstheme="minorHAnsi"/>
                <w:color w:val="000000"/>
                <w:sz w:val="20"/>
                <w:szCs w:val="16"/>
                <w:lang w:eastAsia="es-MX"/>
              </w:rPr>
              <w:t>Equipo e Instrumental Médico y de Laboratorio</w:t>
            </w:r>
          </w:p>
        </w:tc>
        <w:tc>
          <w:tcPr>
            <w:tcW w:w="1559" w:type="dxa"/>
            <w:tcBorders>
              <w:top w:val="single" w:sz="4" w:space="0" w:color="auto"/>
              <w:left w:val="nil"/>
              <w:bottom w:val="single" w:sz="4" w:space="0" w:color="auto"/>
              <w:right w:val="single" w:sz="4" w:space="0" w:color="000000"/>
            </w:tcBorders>
            <w:noWrap/>
          </w:tcPr>
          <w:p w14:paraId="7CBEAC48" w14:textId="77777777" w:rsidR="00A06001" w:rsidRPr="002B21CF" w:rsidRDefault="00A06001" w:rsidP="00A0600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0.00</w:t>
            </w:r>
          </w:p>
        </w:tc>
        <w:tc>
          <w:tcPr>
            <w:tcW w:w="1418" w:type="dxa"/>
            <w:tcBorders>
              <w:top w:val="single" w:sz="4" w:space="0" w:color="auto"/>
              <w:left w:val="nil"/>
              <w:bottom w:val="single" w:sz="4" w:space="0" w:color="auto"/>
              <w:right w:val="single" w:sz="4" w:space="0" w:color="000000"/>
            </w:tcBorders>
            <w:noWrap/>
          </w:tcPr>
          <w:p w14:paraId="39E435BA" w14:textId="77777777" w:rsidR="00A06001" w:rsidRPr="002B21CF" w:rsidRDefault="00A06001" w:rsidP="00A0600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0.00</w:t>
            </w:r>
          </w:p>
        </w:tc>
      </w:tr>
      <w:tr w:rsidR="00A06001" w:rsidRPr="002B21CF" w14:paraId="0949F29E" w14:textId="77777777" w:rsidTr="00A06001">
        <w:trPr>
          <w:trHeight w:val="157"/>
        </w:trPr>
        <w:tc>
          <w:tcPr>
            <w:tcW w:w="6516" w:type="dxa"/>
            <w:tcBorders>
              <w:top w:val="single" w:sz="4" w:space="0" w:color="auto"/>
              <w:left w:val="single" w:sz="4" w:space="0" w:color="auto"/>
              <w:bottom w:val="single" w:sz="4" w:space="0" w:color="auto"/>
              <w:right w:val="single" w:sz="4" w:space="0" w:color="000000"/>
            </w:tcBorders>
            <w:noWrap/>
            <w:vAlign w:val="bottom"/>
          </w:tcPr>
          <w:p w14:paraId="7B98C340" w14:textId="77777777" w:rsidR="00A06001" w:rsidRPr="002B21CF" w:rsidRDefault="00A06001" w:rsidP="00A06001">
            <w:pPr>
              <w:rPr>
                <w:rFonts w:ascii="Lato" w:hAnsi="Lato" w:cstheme="minorHAnsi"/>
                <w:color w:val="000000"/>
                <w:sz w:val="20"/>
                <w:szCs w:val="16"/>
                <w:lang w:eastAsia="es-MX"/>
              </w:rPr>
            </w:pPr>
            <w:r w:rsidRPr="002B21CF">
              <w:rPr>
                <w:rFonts w:ascii="Lato" w:hAnsi="Lato" w:cstheme="minorHAnsi"/>
                <w:color w:val="000000"/>
                <w:sz w:val="20"/>
                <w:szCs w:val="16"/>
                <w:lang w:eastAsia="es-MX"/>
              </w:rPr>
              <w:t xml:space="preserve">Vehículos y Equipo de Transporte </w:t>
            </w:r>
          </w:p>
        </w:tc>
        <w:tc>
          <w:tcPr>
            <w:tcW w:w="1559" w:type="dxa"/>
            <w:tcBorders>
              <w:top w:val="single" w:sz="4" w:space="0" w:color="auto"/>
              <w:left w:val="nil"/>
              <w:bottom w:val="single" w:sz="4" w:space="0" w:color="auto"/>
              <w:right w:val="single" w:sz="4" w:space="0" w:color="000000"/>
            </w:tcBorders>
            <w:noWrap/>
          </w:tcPr>
          <w:p w14:paraId="2E875847" w14:textId="77777777" w:rsidR="00A06001" w:rsidRPr="002B21CF" w:rsidRDefault="00A06001" w:rsidP="00A0600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0.00</w:t>
            </w:r>
          </w:p>
        </w:tc>
        <w:tc>
          <w:tcPr>
            <w:tcW w:w="1418" w:type="dxa"/>
            <w:tcBorders>
              <w:top w:val="single" w:sz="4" w:space="0" w:color="auto"/>
              <w:left w:val="nil"/>
              <w:bottom w:val="single" w:sz="4" w:space="0" w:color="auto"/>
              <w:right w:val="single" w:sz="4" w:space="0" w:color="000000"/>
            </w:tcBorders>
            <w:noWrap/>
          </w:tcPr>
          <w:p w14:paraId="19526719" w14:textId="77777777" w:rsidR="00A06001" w:rsidRPr="002B21CF" w:rsidRDefault="00A06001" w:rsidP="00A0600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0.00</w:t>
            </w:r>
          </w:p>
        </w:tc>
      </w:tr>
      <w:tr w:rsidR="00A06001" w:rsidRPr="002B21CF" w14:paraId="15B8DFE0" w14:textId="77777777" w:rsidTr="00A06001">
        <w:trPr>
          <w:trHeight w:val="157"/>
        </w:trPr>
        <w:tc>
          <w:tcPr>
            <w:tcW w:w="6516" w:type="dxa"/>
            <w:tcBorders>
              <w:top w:val="single" w:sz="4" w:space="0" w:color="auto"/>
              <w:left w:val="single" w:sz="4" w:space="0" w:color="auto"/>
              <w:bottom w:val="single" w:sz="4" w:space="0" w:color="auto"/>
              <w:right w:val="single" w:sz="4" w:space="0" w:color="000000"/>
            </w:tcBorders>
            <w:noWrap/>
            <w:vAlign w:val="bottom"/>
          </w:tcPr>
          <w:p w14:paraId="74ED4447" w14:textId="77777777" w:rsidR="00A06001" w:rsidRPr="002B21CF" w:rsidRDefault="00A06001" w:rsidP="00A06001">
            <w:pPr>
              <w:rPr>
                <w:rFonts w:ascii="Lato" w:hAnsi="Lato" w:cstheme="minorHAnsi"/>
                <w:color w:val="000000"/>
                <w:sz w:val="20"/>
                <w:szCs w:val="16"/>
                <w:lang w:eastAsia="es-MX"/>
              </w:rPr>
            </w:pPr>
            <w:r w:rsidRPr="002B21CF">
              <w:rPr>
                <w:rFonts w:ascii="Lato" w:hAnsi="Lato" w:cstheme="minorHAnsi"/>
                <w:color w:val="000000"/>
                <w:sz w:val="20"/>
                <w:szCs w:val="16"/>
                <w:lang w:eastAsia="es-MX"/>
              </w:rPr>
              <w:t>Equipo de  Defensa y Seguridad</w:t>
            </w:r>
          </w:p>
        </w:tc>
        <w:tc>
          <w:tcPr>
            <w:tcW w:w="1559" w:type="dxa"/>
            <w:tcBorders>
              <w:top w:val="single" w:sz="4" w:space="0" w:color="auto"/>
              <w:left w:val="nil"/>
              <w:bottom w:val="single" w:sz="4" w:space="0" w:color="auto"/>
              <w:right w:val="single" w:sz="4" w:space="0" w:color="000000"/>
            </w:tcBorders>
            <w:noWrap/>
            <w:vAlign w:val="bottom"/>
          </w:tcPr>
          <w:p w14:paraId="4D61506D" w14:textId="77777777" w:rsidR="00A06001" w:rsidRPr="002B21CF" w:rsidRDefault="00A06001" w:rsidP="00A0600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 xml:space="preserve"> 0.00</w:t>
            </w:r>
          </w:p>
        </w:tc>
        <w:tc>
          <w:tcPr>
            <w:tcW w:w="1418" w:type="dxa"/>
            <w:tcBorders>
              <w:top w:val="single" w:sz="4" w:space="0" w:color="auto"/>
              <w:left w:val="nil"/>
              <w:bottom w:val="single" w:sz="4" w:space="0" w:color="auto"/>
              <w:right w:val="single" w:sz="4" w:space="0" w:color="000000"/>
            </w:tcBorders>
            <w:noWrap/>
          </w:tcPr>
          <w:p w14:paraId="29575086" w14:textId="77777777" w:rsidR="00A06001" w:rsidRPr="002B21CF" w:rsidRDefault="00A06001" w:rsidP="00A0600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0.00</w:t>
            </w:r>
          </w:p>
        </w:tc>
      </w:tr>
      <w:tr w:rsidR="00A06001" w:rsidRPr="002B21CF" w14:paraId="3EEB865C" w14:textId="77777777" w:rsidTr="00A06001">
        <w:trPr>
          <w:trHeight w:val="157"/>
        </w:trPr>
        <w:tc>
          <w:tcPr>
            <w:tcW w:w="6516" w:type="dxa"/>
            <w:tcBorders>
              <w:top w:val="single" w:sz="4" w:space="0" w:color="auto"/>
              <w:left w:val="single" w:sz="4" w:space="0" w:color="auto"/>
              <w:bottom w:val="single" w:sz="4" w:space="0" w:color="auto"/>
              <w:right w:val="single" w:sz="4" w:space="0" w:color="000000"/>
            </w:tcBorders>
            <w:noWrap/>
            <w:vAlign w:val="bottom"/>
          </w:tcPr>
          <w:p w14:paraId="70715AE1" w14:textId="77777777" w:rsidR="00A06001" w:rsidRPr="002B21CF" w:rsidRDefault="00A06001" w:rsidP="00A06001">
            <w:pPr>
              <w:rPr>
                <w:rFonts w:ascii="Lato" w:hAnsi="Lato" w:cstheme="minorHAnsi"/>
                <w:color w:val="000000"/>
                <w:sz w:val="20"/>
                <w:szCs w:val="16"/>
                <w:lang w:eastAsia="es-MX"/>
              </w:rPr>
            </w:pPr>
            <w:r w:rsidRPr="002B21CF">
              <w:rPr>
                <w:rFonts w:ascii="Lato" w:hAnsi="Lato" w:cstheme="minorHAnsi"/>
                <w:color w:val="000000"/>
                <w:sz w:val="20"/>
                <w:szCs w:val="16"/>
                <w:lang w:eastAsia="es-MX"/>
              </w:rPr>
              <w:t xml:space="preserve">Maquinaria, Otros Equipos y Herramientas </w:t>
            </w:r>
          </w:p>
        </w:tc>
        <w:tc>
          <w:tcPr>
            <w:tcW w:w="1559" w:type="dxa"/>
            <w:tcBorders>
              <w:top w:val="single" w:sz="4" w:space="0" w:color="auto"/>
              <w:left w:val="nil"/>
              <w:bottom w:val="single" w:sz="4" w:space="0" w:color="auto"/>
              <w:right w:val="single" w:sz="4" w:space="0" w:color="000000"/>
            </w:tcBorders>
            <w:noWrap/>
            <w:vAlign w:val="bottom"/>
          </w:tcPr>
          <w:p w14:paraId="47B86705" w14:textId="77777777" w:rsidR="00A06001" w:rsidRPr="002B21CF" w:rsidRDefault="00A06001" w:rsidP="00A0600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0.00</w:t>
            </w:r>
          </w:p>
        </w:tc>
        <w:tc>
          <w:tcPr>
            <w:tcW w:w="1418" w:type="dxa"/>
            <w:tcBorders>
              <w:top w:val="single" w:sz="4" w:space="0" w:color="auto"/>
              <w:left w:val="nil"/>
              <w:bottom w:val="single" w:sz="4" w:space="0" w:color="auto"/>
              <w:right w:val="single" w:sz="4" w:space="0" w:color="000000"/>
            </w:tcBorders>
            <w:noWrap/>
          </w:tcPr>
          <w:p w14:paraId="0854F945" w14:textId="77777777" w:rsidR="00A06001" w:rsidRPr="002B21CF" w:rsidRDefault="00A06001" w:rsidP="00A06001">
            <w:pPr>
              <w:jc w:val="right"/>
              <w:rPr>
                <w:rFonts w:ascii="Lato" w:hAnsi="Lato" w:cstheme="minorHAnsi"/>
                <w:color w:val="000000"/>
                <w:sz w:val="20"/>
                <w:szCs w:val="16"/>
                <w:lang w:eastAsia="es-MX"/>
              </w:rPr>
            </w:pPr>
            <w:r w:rsidRPr="002B21CF">
              <w:rPr>
                <w:rFonts w:ascii="Lato" w:hAnsi="Lato" w:cstheme="minorHAnsi"/>
                <w:color w:val="000000"/>
                <w:sz w:val="20"/>
                <w:szCs w:val="16"/>
                <w:lang w:eastAsia="es-MX"/>
              </w:rPr>
              <w:t>0.00</w:t>
            </w:r>
          </w:p>
        </w:tc>
      </w:tr>
      <w:tr w:rsidR="00A06001" w:rsidRPr="002B21CF" w14:paraId="58F4EAC1" w14:textId="77777777" w:rsidTr="00A06001">
        <w:trPr>
          <w:trHeight w:val="157"/>
        </w:trPr>
        <w:tc>
          <w:tcPr>
            <w:tcW w:w="6516" w:type="dxa"/>
            <w:tcBorders>
              <w:top w:val="single" w:sz="4" w:space="0" w:color="auto"/>
              <w:left w:val="single" w:sz="4" w:space="0" w:color="auto"/>
              <w:bottom w:val="single" w:sz="4" w:space="0" w:color="auto"/>
              <w:right w:val="single" w:sz="4" w:space="0" w:color="000000"/>
            </w:tcBorders>
            <w:noWrap/>
            <w:vAlign w:val="bottom"/>
          </w:tcPr>
          <w:p w14:paraId="6C8E5D66" w14:textId="77777777" w:rsidR="00A06001" w:rsidRPr="002B21CF" w:rsidRDefault="00A06001" w:rsidP="00A06001">
            <w:pPr>
              <w:rPr>
                <w:rFonts w:ascii="Lato" w:hAnsi="Lato" w:cstheme="minorHAnsi"/>
                <w:color w:val="000000"/>
                <w:sz w:val="20"/>
                <w:szCs w:val="16"/>
                <w:lang w:eastAsia="es-MX"/>
              </w:rPr>
            </w:pPr>
            <w:r w:rsidRPr="002B21CF">
              <w:rPr>
                <w:rFonts w:ascii="Lato" w:hAnsi="Lato" w:cstheme="minorHAnsi"/>
                <w:color w:val="000000"/>
                <w:sz w:val="20"/>
                <w:szCs w:val="16"/>
                <w:lang w:eastAsia="es-MX"/>
              </w:rPr>
              <w:t>Colecciones, Obras de Arte y Objetos Valiosos</w:t>
            </w:r>
          </w:p>
        </w:tc>
        <w:tc>
          <w:tcPr>
            <w:tcW w:w="1559" w:type="dxa"/>
            <w:tcBorders>
              <w:top w:val="single" w:sz="4" w:space="0" w:color="auto"/>
              <w:left w:val="nil"/>
              <w:bottom w:val="single" w:sz="4" w:space="0" w:color="auto"/>
              <w:right w:val="single" w:sz="4" w:space="0" w:color="000000"/>
            </w:tcBorders>
            <w:noWrap/>
            <w:vAlign w:val="bottom"/>
          </w:tcPr>
          <w:p w14:paraId="2CA1F410" w14:textId="77777777" w:rsidR="00A06001" w:rsidRPr="002B21CF" w:rsidRDefault="00A06001" w:rsidP="00A06001">
            <w:pPr>
              <w:jc w:val="right"/>
              <w:rPr>
                <w:rFonts w:ascii="Lato" w:hAnsi="Lato" w:cstheme="minorHAnsi"/>
                <w:color w:val="000000"/>
                <w:sz w:val="20"/>
                <w:szCs w:val="16"/>
                <w:lang w:eastAsia="es-MX"/>
              </w:rPr>
            </w:pPr>
          </w:p>
        </w:tc>
        <w:tc>
          <w:tcPr>
            <w:tcW w:w="1418" w:type="dxa"/>
            <w:tcBorders>
              <w:top w:val="single" w:sz="4" w:space="0" w:color="auto"/>
              <w:left w:val="nil"/>
              <w:bottom w:val="single" w:sz="4" w:space="0" w:color="auto"/>
              <w:right w:val="single" w:sz="4" w:space="0" w:color="000000"/>
            </w:tcBorders>
            <w:noWrap/>
            <w:vAlign w:val="bottom"/>
          </w:tcPr>
          <w:p w14:paraId="5C1CD3C4" w14:textId="77777777" w:rsidR="00A06001" w:rsidRPr="002B21CF" w:rsidRDefault="00A06001" w:rsidP="00A06001">
            <w:pPr>
              <w:jc w:val="right"/>
              <w:rPr>
                <w:rFonts w:ascii="Lato" w:hAnsi="Lato" w:cstheme="minorHAnsi"/>
                <w:color w:val="000000"/>
                <w:sz w:val="20"/>
                <w:szCs w:val="16"/>
                <w:lang w:eastAsia="es-MX"/>
              </w:rPr>
            </w:pPr>
          </w:p>
        </w:tc>
      </w:tr>
      <w:tr w:rsidR="00A06001" w:rsidRPr="002B21CF" w14:paraId="091BF286" w14:textId="77777777" w:rsidTr="00A06001">
        <w:trPr>
          <w:trHeight w:val="157"/>
        </w:trPr>
        <w:tc>
          <w:tcPr>
            <w:tcW w:w="6516" w:type="dxa"/>
            <w:tcBorders>
              <w:top w:val="single" w:sz="4" w:space="0" w:color="auto"/>
              <w:left w:val="single" w:sz="4" w:space="0" w:color="auto"/>
              <w:bottom w:val="single" w:sz="4" w:space="0" w:color="auto"/>
              <w:right w:val="single" w:sz="4" w:space="0" w:color="000000"/>
            </w:tcBorders>
            <w:noWrap/>
            <w:vAlign w:val="bottom"/>
          </w:tcPr>
          <w:p w14:paraId="46DEE52D" w14:textId="77777777" w:rsidR="00A06001" w:rsidRPr="002B21CF" w:rsidRDefault="00A06001" w:rsidP="00A06001">
            <w:pPr>
              <w:rPr>
                <w:rFonts w:ascii="Lato" w:hAnsi="Lato" w:cstheme="minorHAnsi"/>
                <w:color w:val="000000"/>
                <w:sz w:val="20"/>
                <w:szCs w:val="16"/>
                <w:lang w:eastAsia="es-MX"/>
              </w:rPr>
            </w:pPr>
            <w:r w:rsidRPr="002B21CF">
              <w:rPr>
                <w:rFonts w:ascii="Lato" w:hAnsi="Lato" w:cstheme="minorHAnsi"/>
                <w:color w:val="000000"/>
                <w:sz w:val="20"/>
                <w:szCs w:val="16"/>
                <w:lang w:eastAsia="es-MX"/>
              </w:rPr>
              <w:t>Activos Biológicos</w:t>
            </w:r>
          </w:p>
        </w:tc>
        <w:tc>
          <w:tcPr>
            <w:tcW w:w="1559" w:type="dxa"/>
            <w:tcBorders>
              <w:top w:val="single" w:sz="4" w:space="0" w:color="auto"/>
              <w:left w:val="nil"/>
              <w:bottom w:val="single" w:sz="4" w:space="0" w:color="auto"/>
              <w:right w:val="single" w:sz="4" w:space="0" w:color="000000"/>
            </w:tcBorders>
            <w:noWrap/>
            <w:vAlign w:val="bottom"/>
          </w:tcPr>
          <w:p w14:paraId="700ABADF" w14:textId="77777777" w:rsidR="00A06001" w:rsidRPr="002B21CF" w:rsidRDefault="00A06001" w:rsidP="00A06001">
            <w:pPr>
              <w:jc w:val="right"/>
              <w:rPr>
                <w:rFonts w:ascii="Lato" w:hAnsi="Lato" w:cstheme="minorHAnsi"/>
                <w:color w:val="000000"/>
                <w:sz w:val="20"/>
                <w:szCs w:val="16"/>
                <w:lang w:eastAsia="es-MX"/>
              </w:rPr>
            </w:pPr>
          </w:p>
        </w:tc>
        <w:tc>
          <w:tcPr>
            <w:tcW w:w="1418" w:type="dxa"/>
            <w:tcBorders>
              <w:top w:val="single" w:sz="4" w:space="0" w:color="auto"/>
              <w:left w:val="nil"/>
              <w:bottom w:val="single" w:sz="4" w:space="0" w:color="auto"/>
              <w:right w:val="single" w:sz="4" w:space="0" w:color="000000"/>
            </w:tcBorders>
            <w:noWrap/>
            <w:vAlign w:val="bottom"/>
          </w:tcPr>
          <w:p w14:paraId="66B000CF" w14:textId="77777777" w:rsidR="00A06001" w:rsidRPr="002B21CF" w:rsidRDefault="00A06001" w:rsidP="00A06001">
            <w:pPr>
              <w:jc w:val="right"/>
              <w:rPr>
                <w:rFonts w:ascii="Lato" w:hAnsi="Lato" w:cstheme="minorHAnsi"/>
                <w:color w:val="000000"/>
                <w:sz w:val="20"/>
                <w:szCs w:val="16"/>
                <w:lang w:eastAsia="es-MX"/>
              </w:rPr>
            </w:pPr>
          </w:p>
        </w:tc>
      </w:tr>
      <w:tr w:rsidR="00A06001" w:rsidRPr="002B21CF" w14:paraId="586D27CD" w14:textId="77777777" w:rsidTr="00A06001">
        <w:trPr>
          <w:trHeight w:val="157"/>
        </w:trPr>
        <w:tc>
          <w:tcPr>
            <w:tcW w:w="6516" w:type="dxa"/>
            <w:tcBorders>
              <w:top w:val="single" w:sz="4" w:space="0" w:color="auto"/>
              <w:left w:val="single" w:sz="4" w:space="0" w:color="auto"/>
              <w:bottom w:val="single" w:sz="4" w:space="0" w:color="auto"/>
              <w:right w:val="single" w:sz="4" w:space="0" w:color="000000"/>
            </w:tcBorders>
            <w:noWrap/>
            <w:vAlign w:val="bottom"/>
          </w:tcPr>
          <w:p w14:paraId="1033B2AF" w14:textId="77777777" w:rsidR="00A06001" w:rsidRPr="002B21CF" w:rsidRDefault="00A06001" w:rsidP="00A06001">
            <w:pPr>
              <w:rPr>
                <w:rFonts w:ascii="Lato" w:hAnsi="Lato" w:cstheme="minorHAnsi"/>
                <w:b/>
                <w:color w:val="000000"/>
                <w:sz w:val="20"/>
                <w:szCs w:val="16"/>
                <w:lang w:eastAsia="es-MX"/>
              </w:rPr>
            </w:pPr>
            <w:r w:rsidRPr="002B21CF">
              <w:rPr>
                <w:rFonts w:ascii="Lato" w:hAnsi="Lato" w:cstheme="minorHAnsi"/>
                <w:b/>
                <w:color w:val="000000"/>
                <w:sz w:val="20"/>
                <w:szCs w:val="16"/>
                <w:lang w:eastAsia="es-MX"/>
              </w:rPr>
              <w:t>Otras Inversiones</w:t>
            </w:r>
          </w:p>
        </w:tc>
        <w:tc>
          <w:tcPr>
            <w:tcW w:w="1559" w:type="dxa"/>
            <w:tcBorders>
              <w:top w:val="single" w:sz="4" w:space="0" w:color="auto"/>
              <w:left w:val="nil"/>
              <w:bottom w:val="single" w:sz="4" w:space="0" w:color="auto"/>
              <w:right w:val="single" w:sz="4" w:space="0" w:color="000000"/>
            </w:tcBorders>
            <w:noWrap/>
          </w:tcPr>
          <w:p w14:paraId="2A5A994D" w14:textId="77777777" w:rsidR="00A06001" w:rsidRPr="002B21CF" w:rsidRDefault="00A06001" w:rsidP="00A06001">
            <w:pPr>
              <w:jc w:val="right"/>
              <w:rPr>
                <w:rFonts w:ascii="Lato" w:hAnsi="Lato" w:cstheme="minorHAnsi"/>
                <w:b/>
                <w:color w:val="000000"/>
                <w:sz w:val="20"/>
                <w:szCs w:val="16"/>
                <w:lang w:eastAsia="es-MX"/>
              </w:rPr>
            </w:pPr>
            <w:r w:rsidRPr="002B21CF">
              <w:rPr>
                <w:rFonts w:ascii="Lato" w:hAnsi="Lato" w:cstheme="minorHAnsi"/>
                <w:b/>
                <w:color w:val="000000"/>
                <w:sz w:val="20"/>
                <w:szCs w:val="16"/>
                <w:lang w:eastAsia="es-MX"/>
              </w:rPr>
              <w:t>$ 0.00</w:t>
            </w:r>
          </w:p>
        </w:tc>
        <w:tc>
          <w:tcPr>
            <w:tcW w:w="1418" w:type="dxa"/>
            <w:tcBorders>
              <w:top w:val="single" w:sz="4" w:space="0" w:color="auto"/>
              <w:left w:val="nil"/>
              <w:bottom w:val="single" w:sz="4" w:space="0" w:color="auto"/>
              <w:right w:val="single" w:sz="4" w:space="0" w:color="000000"/>
            </w:tcBorders>
            <w:noWrap/>
            <w:vAlign w:val="bottom"/>
          </w:tcPr>
          <w:p w14:paraId="70B7DB83" w14:textId="77777777" w:rsidR="00A06001" w:rsidRPr="002B21CF" w:rsidRDefault="00A06001" w:rsidP="00A06001">
            <w:pPr>
              <w:jc w:val="right"/>
              <w:rPr>
                <w:rFonts w:ascii="Lato" w:hAnsi="Lato" w:cstheme="minorHAnsi"/>
                <w:color w:val="000000"/>
                <w:sz w:val="20"/>
                <w:szCs w:val="16"/>
                <w:lang w:eastAsia="es-MX"/>
              </w:rPr>
            </w:pPr>
            <w:r w:rsidRPr="002B21CF">
              <w:rPr>
                <w:rFonts w:ascii="Lato" w:hAnsi="Lato" w:cstheme="minorHAnsi"/>
                <w:b/>
                <w:color w:val="000000"/>
                <w:sz w:val="20"/>
                <w:szCs w:val="16"/>
                <w:lang w:eastAsia="es-MX"/>
              </w:rPr>
              <w:t>$ 0.00</w:t>
            </w:r>
          </w:p>
        </w:tc>
      </w:tr>
      <w:tr w:rsidR="00A06001" w:rsidRPr="002B21CF" w14:paraId="2EE7ED18" w14:textId="77777777" w:rsidTr="00A06001">
        <w:trPr>
          <w:trHeight w:val="165"/>
        </w:trPr>
        <w:tc>
          <w:tcPr>
            <w:tcW w:w="6516" w:type="dxa"/>
            <w:tcBorders>
              <w:top w:val="single" w:sz="4" w:space="0" w:color="auto"/>
              <w:left w:val="single" w:sz="4" w:space="0" w:color="auto"/>
              <w:bottom w:val="single" w:sz="4" w:space="0" w:color="auto"/>
              <w:right w:val="single" w:sz="4" w:space="0" w:color="000000"/>
            </w:tcBorders>
            <w:noWrap/>
            <w:vAlign w:val="bottom"/>
            <w:hideMark/>
          </w:tcPr>
          <w:p w14:paraId="6E9CBD02" w14:textId="77777777" w:rsidR="00A06001" w:rsidRPr="002B21CF" w:rsidRDefault="00A06001" w:rsidP="00A06001">
            <w:pPr>
              <w:jc w:val="right"/>
              <w:rPr>
                <w:rFonts w:ascii="Lato" w:hAnsi="Lato" w:cstheme="minorHAnsi"/>
                <w:b/>
                <w:bCs/>
                <w:color w:val="000000"/>
                <w:sz w:val="20"/>
                <w:szCs w:val="16"/>
                <w:lang w:eastAsia="es-MX"/>
              </w:rPr>
            </w:pPr>
            <w:r w:rsidRPr="002B21CF">
              <w:rPr>
                <w:rFonts w:ascii="Lato" w:hAnsi="Lato" w:cstheme="minorHAnsi"/>
                <w:b/>
                <w:bCs/>
                <w:color w:val="000000"/>
                <w:sz w:val="20"/>
                <w:szCs w:val="16"/>
                <w:lang w:eastAsia="es-MX"/>
              </w:rPr>
              <w:t xml:space="preserve">Total </w:t>
            </w:r>
          </w:p>
        </w:tc>
        <w:tc>
          <w:tcPr>
            <w:tcW w:w="1559" w:type="dxa"/>
            <w:tcBorders>
              <w:top w:val="single" w:sz="4" w:space="0" w:color="auto"/>
              <w:left w:val="nil"/>
              <w:bottom w:val="single" w:sz="4" w:space="0" w:color="auto"/>
              <w:right w:val="single" w:sz="4" w:space="0" w:color="000000"/>
            </w:tcBorders>
            <w:noWrap/>
            <w:hideMark/>
          </w:tcPr>
          <w:p w14:paraId="0E0BF841" w14:textId="77777777" w:rsidR="00A06001" w:rsidRPr="002B21CF" w:rsidRDefault="00A06001" w:rsidP="00A06001">
            <w:pPr>
              <w:jc w:val="right"/>
              <w:rPr>
                <w:rFonts w:ascii="Lato" w:hAnsi="Lato" w:cstheme="minorHAnsi"/>
                <w:b/>
                <w:bCs/>
                <w:color w:val="000000"/>
                <w:sz w:val="20"/>
                <w:szCs w:val="16"/>
                <w:lang w:eastAsia="es-MX"/>
              </w:rPr>
            </w:pPr>
            <w:r w:rsidRPr="002B21CF">
              <w:rPr>
                <w:rFonts w:ascii="Lato" w:hAnsi="Lato" w:cstheme="minorHAnsi"/>
                <w:b/>
                <w:color w:val="000000"/>
                <w:sz w:val="20"/>
                <w:szCs w:val="16"/>
                <w:lang w:eastAsia="es-MX"/>
              </w:rPr>
              <w:t>$ 0.00</w:t>
            </w:r>
          </w:p>
        </w:tc>
        <w:tc>
          <w:tcPr>
            <w:tcW w:w="1418" w:type="dxa"/>
            <w:tcBorders>
              <w:top w:val="single" w:sz="4" w:space="0" w:color="auto"/>
              <w:left w:val="nil"/>
              <w:bottom w:val="single" w:sz="4" w:space="0" w:color="auto"/>
              <w:right w:val="single" w:sz="4" w:space="0" w:color="000000"/>
            </w:tcBorders>
            <w:noWrap/>
            <w:vAlign w:val="bottom"/>
            <w:hideMark/>
          </w:tcPr>
          <w:p w14:paraId="7C3F9945" w14:textId="77777777" w:rsidR="00A06001" w:rsidRPr="002B21CF" w:rsidRDefault="00A06001" w:rsidP="00A06001">
            <w:pPr>
              <w:jc w:val="right"/>
              <w:rPr>
                <w:rFonts w:ascii="Lato" w:hAnsi="Lato" w:cstheme="minorHAnsi"/>
                <w:b/>
                <w:bCs/>
                <w:color w:val="000000"/>
                <w:sz w:val="20"/>
                <w:szCs w:val="16"/>
                <w:lang w:eastAsia="es-MX"/>
              </w:rPr>
            </w:pPr>
            <w:r w:rsidRPr="002B21CF">
              <w:rPr>
                <w:rFonts w:ascii="Lato" w:hAnsi="Lato" w:cstheme="minorHAnsi"/>
                <w:b/>
                <w:bCs/>
                <w:color w:val="000000"/>
                <w:sz w:val="20"/>
                <w:szCs w:val="16"/>
                <w:lang w:eastAsia="es-MX"/>
              </w:rPr>
              <w:t xml:space="preserve"> </w:t>
            </w:r>
            <w:r w:rsidRPr="002B21CF">
              <w:rPr>
                <w:rFonts w:ascii="Lato" w:hAnsi="Lato" w:cstheme="minorHAnsi"/>
                <w:b/>
                <w:color w:val="000000"/>
                <w:sz w:val="20"/>
                <w:szCs w:val="16"/>
                <w:lang w:eastAsia="es-MX"/>
              </w:rPr>
              <w:t>$ 0.00</w:t>
            </w:r>
          </w:p>
        </w:tc>
      </w:tr>
    </w:tbl>
    <w:p w14:paraId="781D9DE6" w14:textId="77777777" w:rsidR="0088235E" w:rsidRPr="002B21CF" w:rsidRDefault="0088235E" w:rsidP="00DA1E17">
      <w:pPr>
        <w:autoSpaceDE w:val="0"/>
        <w:autoSpaceDN w:val="0"/>
        <w:adjustRightInd w:val="0"/>
        <w:jc w:val="both"/>
        <w:rPr>
          <w:rFonts w:ascii="Lato" w:hAnsi="Lato" w:cstheme="minorHAnsi"/>
          <w:bCs/>
          <w:sz w:val="20"/>
          <w:szCs w:val="20"/>
        </w:rPr>
      </w:pPr>
    </w:p>
    <w:p w14:paraId="36BD532D" w14:textId="42B3403E" w:rsidR="007326D2" w:rsidRPr="002B21CF" w:rsidRDefault="007326D2" w:rsidP="006A5B85">
      <w:pPr>
        <w:autoSpaceDE w:val="0"/>
        <w:autoSpaceDN w:val="0"/>
        <w:adjustRightInd w:val="0"/>
        <w:jc w:val="both"/>
        <w:rPr>
          <w:rFonts w:ascii="Lato" w:hAnsi="Lato" w:cstheme="minorHAnsi"/>
          <w:bCs/>
          <w:sz w:val="20"/>
          <w:szCs w:val="20"/>
        </w:rPr>
      </w:pPr>
    </w:p>
    <w:p w14:paraId="71B45AC5" w14:textId="77777777" w:rsidR="00A06001" w:rsidRPr="002B21CF" w:rsidRDefault="00A06001" w:rsidP="006A5B85">
      <w:pPr>
        <w:autoSpaceDE w:val="0"/>
        <w:autoSpaceDN w:val="0"/>
        <w:adjustRightInd w:val="0"/>
        <w:jc w:val="both"/>
        <w:rPr>
          <w:rFonts w:ascii="Lato" w:hAnsi="Lato" w:cstheme="minorHAnsi"/>
          <w:bCs/>
          <w:sz w:val="20"/>
          <w:szCs w:val="20"/>
        </w:rPr>
      </w:pPr>
    </w:p>
    <w:p w14:paraId="029CB272" w14:textId="77777777" w:rsidR="0088235E" w:rsidRPr="002B21CF" w:rsidRDefault="0088235E" w:rsidP="006A5B85">
      <w:pPr>
        <w:autoSpaceDE w:val="0"/>
        <w:autoSpaceDN w:val="0"/>
        <w:adjustRightInd w:val="0"/>
        <w:jc w:val="both"/>
        <w:rPr>
          <w:rFonts w:ascii="Lato" w:hAnsi="Lato" w:cstheme="minorHAnsi"/>
          <w:bCs/>
          <w:sz w:val="20"/>
          <w:szCs w:val="20"/>
        </w:rPr>
      </w:pPr>
    </w:p>
    <w:p w14:paraId="50768027" w14:textId="77777777" w:rsidR="0088235E" w:rsidRPr="002B21CF" w:rsidRDefault="0088235E" w:rsidP="006A5B85">
      <w:pPr>
        <w:autoSpaceDE w:val="0"/>
        <w:autoSpaceDN w:val="0"/>
        <w:adjustRightInd w:val="0"/>
        <w:jc w:val="both"/>
        <w:rPr>
          <w:rFonts w:ascii="Lato" w:hAnsi="Lato" w:cstheme="minorHAnsi"/>
          <w:bCs/>
          <w:sz w:val="20"/>
          <w:szCs w:val="20"/>
        </w:rPr>
      </w:pPr>
    </w:p>
    <w:p w14:paraId="6D1F2F9C" w14:textId="77777777" w:rsidR="0088235E" w:rsidRPr="002B21CF" w:rsidRDefault="0088235E" w:rsidP="006A5B85">
      <w:pPr>
        <w:autoSpaceDE w:val="0"/>
        <w:autoSpaceDN w:val="0"/>
        <w:adjustRightInd w:val="0"/>
        <w:jc w:val="both"/>
        <w:rPr>
          <w:rFonts w:ascii="Lato" w:hAnsi="Lato" w:cstheme="minorHAnsi"/>
          <w:bCs/>
          <w:sz w:val="20"/>
          <w:szCs w:val="20"/>
        </w:rPr>
      </w:pPr>
    </w:p>
    <w:p w14:paraId="6072638A" w14:textId="77777777" w:rsidR="0088235E" w:rsidRPr="002B21CF" w:rsidRDefault="0088235E" w:rsidP="006A5B85">
      <w:pPr>
        <w:autoSpaceDE w:val="0"/>
        <w:autoSpaceDN w:val="0"/>
        <w:adjustRightInd w:val="0"/>
        <w:jc w:val="both"/>
        <w:rPr>
          <w:rFonts w:ascii="Lato" w:hAnsi="Lato" w:cstheme="minorHAnsi"/>
          <w:bCs/>
          <w:sz w:val="20"/>
          <w:szCs w:val="20"/>
        </w:rPr>
      </w:pPr>
    </w:p>
    <w:p w14:paraId="1F618651" w14:textId="77777777" w:rsidR="0088235E" w:rsidRPr="002B21CF" w:rsidRDefault="0088235E" w:rsidP="006A5B85">
      <w:pPr>
        <w:autoSpaceDE w:val="0"/>
        <w:autoSpaceDN w:val="0"/>
        <w:adjustRightInd w:val="0"/>
        <w:jc w:val="both"/>
        <w:rPr>
          <w:rFonts w:ascii="Lato" w:hAnsi="Lato" w:cstheme="minorHAnsi"/>
          <w:bCs/>
          <w:sz w:val="20"/>
          <w:szCs w:val="20"/>
        </w:rPr>
      </w:pPr>
    </w:p>
    <w:p w14:paraId="7B6A9B74" w14:textId="77777777" w:rsidR="0088235E" w:rsidRPr="002B21CF" w:rsidRDefault="0088235E" w:rsidP="006A5B85">
      <w:pPr>
        <w:autoSpaceDE w:val="0"/>
        <w:autoSpaceDN w:val="0"/>
        <w:adjustRightInd w:val="0"/>
        <w:jc w:val="both"/>
        <w:rPr>
          <w:rFonts w:ascii="Lato" w:hAnsi="Lato" w:cstheme="minorHAnsi"/>
          <w:bCs/>
          <w:sz w:val="20"/>
          <w:szCs w:val="20"/>
        </w:rPr>
      </w:pPr>
    </w:p>
    <w:p w14:paraId="4E5A7902" w14:textId="77777777" w:rsidR="00E832A4" w:rsidRPr="002B21CF" w:rsidRDefault="00E832A4" w:rsidP="006A5B85">
      <w:pPr>
        <w:autoSpaceDE w:val="0"/>
        <w:autoSpaceDN w:val="0"/>
        <w:adjustRightInd w:val="0"/>
        <w:jc w:val="both"/>
        <w:rPr>
          <w:rFonts w:ascii="Lato" w:hAnsi="Lato" w:cstheme="minorHAnsi"/>
          <w:bCs/>
          <w:sz w:val="20"/>
          <w:szCs w:val="20"/>
        </w:rPr>
      </w:pPr>
    </w:p>
    <w:p w14:paraId="79078671" w14:textId="77777777" w:rsidR="00BC1145" w:rsidRPr="002B21CF" w:rsidRDefault="00BC1145" w:rsidP="006A5B85">
      <w:pPr>
        <w:autoSpaceDE w:val="0"/>
        <w:autoSpaceDN w:val="0"/>
        <w:adjustRightInd w:val="0"/>
        <w:jc w:val="both"/>
        <w:rPr>
          <w:rFonts w:ascii="Lato" w:hAnsi="Lato" w:cstheme="minorHAnsi"/>
          <w:bCs/>
          <w:sz w:val="20"/>
          <w:szCs w:val="20"/>
        </w:rPr>
      </w:pPr>
    </w:p>
    <w:p w14:paraId="30BD8FC4" w14:textId="77777777" w:rsidR="00BC1145" w:rsidRPr="002B21CF" w:rsidRDefault="00BC1145" w:rsidP="006A5B85">
      <w:pPr>
        <w:autoSpaceDE w:val="0"/>
        <w:autoSpaceDN w:val="0"/>
        <w:adjustRightInd w:val="0"/>
        <w:jc w:val="both"/>
        <w:rPr>
          <w:rFonts w:ascii="Lato" w:hAnsi="Lato" w:cstheme="minorHAnsi"/>
          <w:bCs/>
          <w:sz w:val="20"/>
          <w:szCs w:val="20"/>
        </w:rPr>
      </w:pPr>
    </w:p>
    <w:p w14:paraId="73412FA3" w14:textId="77777777" w:rsidR="00BC1145" w:rsidRPr="002B21CF" w:rsidRDefault="00BC1145" w:rsidP="006A5B85">
      <w:pPr>
        <w:autoSpaceDE w:val="0"/>
        <w:autoSpaceDN w:val="0"/>
        <w:adjustRightInd w:val="0"/>
        <w:jc w:val="both"/>
        <w:rPr>
          <w:rFonts w:ascii="Lato" w:hAnsi="Lato" w:cstheme="minorHAnsi"/>
          <w:bCs/>
          <w:sz w:val="20"/>
          <w:szCs w:val="20"/>
        </w:rPr>
      </w:pPr>
    </w:p>
    <w:p w14:paraId="26CD6D76" w14:textId="77777777" w:rsidR="00BC1145" w:rsidRPr="002B21CF" w:rsidRDefault="00BC1145" w:rsidP="006A5B85">
      <w:pPr>
        <w:autoSpaceDE w:val="0"/>
        <w:autoSpaceDN w:val="0"/>
        <w:adjustRightInd w:val="0"/>
        <w:jc w:val="both"/>
        <w:rPr>
          <w:rFonts w:ascii="Lato" w:hAnsi="Lato" w:cstheme="minorHAnsi"/>
          <w:bCs/>
          <w:sz w:val="20"/>
          <w:szCs w:val="20"/>
        </w:rPr>
      </w:pPr>
    </w:p>
    <w:p w14:paraId="31ED1B6A" w14:textId="77777777" w:rsidR="00BC1145" w:rsidRPr="002B21CF" w:rsidRDefault="00BC1145" w:rsidP="006A5B85">
      <w:pPr>
        <w:autoSpaceDE w:val="0"/>
        <w:autoSpaceDN w:val="0"/>
        <w:adjustRightInd w:val="0"/>
        <w:jc w:val="both"/>
        <w:rPr>
          <w:rFonts w:ascii="Lato" w:hAnsi="Lato" w:cstheme="minorHAnsi"/>
          <w:bCs/>
          <w:sz w:val="20"/>
          <w:szCs w:val="20"/>
        </w:rPr>
      </w:pPr>
    </w:p>
    <w:p w14:paraId="70417949" w14:textId="77777777" w:rsidR="00BC1145" w:rsidRPr="002B21CF" w:rsidRDefault="00BC1145" w:rsidP="006A5B85">
      <w:pPr>
        <w:autoSpaceDE w:val="0"/>
        <w:autoSpaceDN w:val="0"/>
        <w:adjustRightInd w:val="0"/>
        <w:jc w:val="both"/>
        <w:rPr>
          <w:rFonts w:ascii="Lato" w:hAnsi="Lato" w:cstheme="minorHAnsi"/>
          <w:bCs/>
          <w:sz w:val="20"/>
          <w:szCs w:val="20"/>
        </w:rPr>
      </w:pPr>
    </w:p>
    <w:p w14:paraId="5614C052" w14:textId="77777777" w:rsidR="0088235E" w:rsidRPr="002B21CF" w:rsidRDefault="0088235E" w:rsidP="006A5B85">
      <w:pPr>
        <w:autoSpaceDE w:val="0"/>
        <w:autoSpaceDN w:val="0"/>
        <w:adjustRightInd w:val="0"/>
        <w:jc w:val="both"/>
        <w:rPr>
          <w:rFonts w:ascii="Lato" w:hAnsi="Lato" w:cstheme="minorHAnsi"/>
          <w:bCs/>
          <w:sz w:val="20"/>
          <w:szCs w:val="20"/>
        </w:rPr>
      </w:pPr>
    </w:p>
    <w:p w14:paraId="668840C6" w14:textId="77777777" w:rsidR="006A3710" w:rsidRPr="002B21CF" w:rsidRDefault="006A3710" w:rsidP="006A5B85">
      <w:pPr>
        <w:autoSpaceDE w:val="0"/>
        <w:autoSpaceDN w:val="0"/>
        <w:adjustRightInd w:val="0"/>
        <w:jc w:val="both"/>
        <w:rPr>
          <w:rFonts w:ascii="Lato" w:hAnsi="Lato" w:cstheme="minorHAnsi"/>
          <w:bCs/>
          <w:sz w:val="20"/>
          <w:szCs w:val="20"/>
        </w:rPr>
      </w:pPr>
    </w:p>
    <w:p w14:paraId="1429D5CE" w14:textId="77777777" w:rsidR="006A3710" w:rsidRPr="002B21CF" w:rsidRDefault="006A3710" w:rsidP="006A5B85">
      <w:pPr>
        <w:autoSpaceDE w:val="0"/>
        <w:autoSpaceDN w:val="0"/>
        <w:adjustRightInd w:val="0"/>
        <w:jc w:val="both"/>
        <w:rPr>
          <w:rFonts w:ascii="Lato" w:hAnsi="Lato" w:cstheme="minorHAnsi"/>
          <w:bCs/>
          <w:sz w:val="20"/>
          <w:szCs w:val="20"/>
        </w:rPr>
      </w:pPr>
    </w:p>
    <w:p w14:paraId="23FC0C91" w14:textId="77777777" w:rsidR="006A3710" w:rsidRPr="002B21CF" w:rsidRDefault="006A3710" w:rsidP="006A5B85">
      <w:pPr>
        <w:autoSpaceDE w:val="0"/>
        <w:autoSpaceDN w:val="0"/>
        <w:adjustRightInd w:val="0"/>
        <w:jc w:val="both"/>
        <w:rPr>
          <w:rFonts w:ascii="Lato" w:hAnsi="Lato" w:cstheme="minorHAnsi"/>
          <w:bCs/>
          <w:sz w:val="20"/>
          <w:szCs w:val="20"/>
        </w:rPr>
      </w:pPr>
    </w:p>
    <w:p w14:paraId="177ACA28" w14:textId="072123ED" w:rsidR="006A3710" w:rsidRPr="002B21CF" w:rsidRDefault="006A3710" w:rsidP="006A5B85">
      <w:pPr>
        <w:autoSpaceDE w:val="0"/>
        <w:autoSpaceDN w:val="0"/>
        <w:adjustRightInd w:val="0"/>
        <w:jc w:val="both"/>
        <w:rPr>
          <w:rFonts w:ascii="Lato" w:hAnsi="Lato" w:cstheme="minorHAnsi"/>
          <w:bCs/>
          <w:sz w:val="20"/>
          <w:szCs w:val="20"/>
        </w:rPr>
      </w:pPr>
    </w:p>
    <w:p w14:paraId="1D6C0222" w14:textId="685666BA" w:rsidR="008D1660" w:rsidRPr="002B21CF" w:rsidRDefault="008D1660" w:rsidP="006A5B85">
      <w:pPr>
        <w:autoSpaceDE w:val="0"/>
        <w:autoSpaceDN w:val="0"/>
        <w:adjustRightInd w:val="0"/>
        <w:jc w:val="both"/>
        <w:rPr>
          <w:rFonts w:ascii="Lato" w:hAnsi="Lato" w:cstheme="minorHAnsi"/>
          <w:bCs/>
          <w:sz w:val="20"/>
          <w:szCs w:val="20"/>
        </w:rPr>
      </w:pPr>
    </w:p>
    <w:p w14:paraId="55AFEDD9" w14:textId="59447679" w:rsidR="00C92447" w:rsidRPr="002B21CF" w:rsidRDefault="00C92447" w:rsidP="006A5B85">
      <w:pPr>
        <w:autoSpaceDE w:val="0"/>
        <w:autoSpaceDN w:val="0"/>
        <w:adjustRightInd w:val="0"/>
        <w:jc w:val="both"/>
        <w:rPr>
          <w:rFonts w:ascii="Lato" w:hAnsi="Lato" w:cstheme="minorHAnsi"/>
          <w:bCs/>
          <w:sz w:val="20"/>
          <w:szCs w:val="20"/>
        </w:rPr>
      </w:pPr>
    </w:p>
    <w:p w14:paraId="3281D53A" w14:textId="39DDE0AC" w:rsidR="00C92447" w:rsidRPr="002B21CF" w:rsidRDefault="00C92447" w:rsidP="006A5B85">
      <w:pPr>
        <w:autoSpaceDE w:val="0"/>
        <w:autoSpaceDN w:val="0"/>
        <w:adjustRightInd w:val="0"/>
        <w:jc w:val="both"/>
        <w:rPr>
          <w:rFonts w:ascii="Lato" w:hAnsi="Lato" w:cstheme="minorHAnsi"/>
          <w:bCs/>
          <w:sz w:val="20"/>
          <w:szCs w:val="20"/>
        </w:rPr>
      </w:pPr>
    </w:p>
    <w:p w14:paraId="1000EEB8" w14:textId="0ED2C038" w:rsidR="00C92447" w:rsidRPr="002B21CF" w:rsidRDefault="00C92447" w:rsidP="006A5B85">
      <w:pPr>
        <w:autoSpaceDE w:val="0"/>
        <w:autoSpaceDN w:val="0"/>
        <w:adjustRightInd w:val="0"/>
        <w:jc w:val="both"/>
        <w:rPr>
          <w:rFonts w:ascii="Lato" w:hAnsi="Lato" w:cstheme="minorHAnsi"/>
          <w:bCs/>
          <w:sz w:val="20"/>
          <w:szCs w:val="20"/>
        </w:rPr>
      </w:pPr>
    </w:p>
    <w:p w14:paraId="4624E0BC" w14:textId="0FCE7593" w:rsidR="00C92447" w:rsidRPr="002B21CF" w:rsidRDefault="00C92447" w:rsidP="006A5B85">
      <w:pPr>
        <w:autoSpaceDE w:val="0"/>
        <w:autoSpaceDN w:val="0"/>
        <w:adjustRightInd w:val="0"/>
        <w:jc w:val="both"/>
        <w:rPr>
          <w:rFonts w:ascii="Lato" w:hAnsi="Lato" w:cstheme="minorHAnsi"/>
          <w:bCs/>
          <w:sz w:val="20"/>
          <w:szCs w:val="20"/>
        </w:rPr>
      </w:pPr>
    </w:p>
    <w:p w14:paraId="7E8143BE" w14:textId="155CCA01" w:rsidR="00C92447" w:rsidRDefault="00C92447" w:rsidP="006A5B85">
      <w:pPr>
        <w:autoSpaceDE w:val="0"/>
        <w:autoSpaceDN w:val="0"/>
        <w:adjustRightInd w:val="0"/>
        <w:jc w:val="both"/>
        <w:rPr>
          <w:rFonts w:ascii="Lato" w:hAnsi="Lato" w:cstheme="minorHAnsi"/>
          <w:bCs/>
          <w:sz w:val="20"/>
          <w:szCs w:val="20"/>
        </w:rPr>
      </w:pPr>
    </w:p>
    <w:p w14:paraId="23BE4069" w14:textId="77777777" w:rsidR="002B21CF" w:rsidRPr="002B21CF" w:rsidRDefault="002B21CF" w:rsidP="006A5B85">
      <w:pPr>
        <w:autoSpaceDE w:val="0"/>
        <w:autoSpaceDN w:val="0"/>
        <w:adjustRightInd w:val="0"/>
        <w:jc w:val="both"/>
        <w:rPr>
          <w:rFonts w:ascii="Lato" w:hAnsi="Lato" w:cstheme="minorHAnsi"/>
          <w:bCs/>
          <w:sz w:val="20"/>
          <w:szCs w:val="20"/>
        </w:rPr>
      </w:pPr>
    </w:p>
    <w:p w14:paraId="4E161A8A" w14:textId="127F8378" w:rsidR="00C26766" w:rsidRPr="002B21CF" w:rsidRDefault="00E832A4" w:rsidP="006A5B85">
      <w:pPr>
        <w:autoSpaceDE w:val="0"/>
        <w:autoSpaceDN w:val="0"/>
        <w:adjustRightInd w:val="0"/>
        <w:jc w:val="both"/>
        <w:rPr>
          <w:rFonts w:ascii="Lato" w:hAnsi="Lato" w:cstheme="minorHAnsi"/>
          <w:bCs/>
          <w:sz w:val="20"/>
          <w:szCs w:val="20"/>
        </w:rPr>
      </w:pPr>
      <w:r w:rsidRPr="002B21CF">
        <w:rPr>
          <w:rFonts w:ascii="Lato" w:hAnsi="Lato" w:cstheme="minorHAnsi"/>
          <w:bCs/>
          <w:sz w:val="20"/>
          <w:szCs w:val="20"/>
        </w:rPr>
        <w:t>3.-</w:t>
      </w:r>
      <w:r w:rsidR="00BC1145" w:rsidRPr="002B21CF">
        <w:rPr>
          <w:rFonts w:ascii="Lato" w:hAnsi="Lato" w:cstheme="minorHAnsi"/>
          <w:bCs/>
          <w:sz w:val="20"/>
          <w:szCs w:val="20"/>
        </w:rPr>
        <w:t xml:space="preserve"> Se p</w:t>
      </w:r>
      <w:r w:rsidRPr="002B21CF">
        <w:rPr>
          <w:rFonts w:ascii="Lato" w:hAnsi="Lato" w:cstheme="minorHAnsi"/>
          <w:bCs/>
          <w:sz w:val="20"/>
          <w:szCs w:val="20"/>
        </w:rPr>
        <w:t>resenta</w:t>
      </w:r>
      <w:r w:rsidR="00BC1145" w:rsidRPr="002B21CF">
        <w:rPr>
          <w:rFonts w:ascii="Lato" w:hAnsi="Lato" w:cstheme="minorHAnsi"/>
          <w:bCs/>
          <w:sz w:val="20"/>
          <w:szCs w:val="20"/>
        </w:rPr>
        <w:t xml:space="preserve"> la</w:t>
      </w:r>
      <w:r w:rsidRPr="002B21CF">
        <w:rPr>
          <w:rFonts w:ascii="Lato" w:hAnsi="Lato" w:cstheme="minorHAnsi"/>
          <w:bCs/>
          <w:sz w:val="20"/>
          <w:szCs w:val="20"/>
        </w:rPr>
        <w:t xml:space="preserve"> conciliación de los Flujos de Efectivo Netos de las Actividades de Operación y los saldos de Resultados del Ejercicio (ahorro/Des</w:t>
      </w:r>
      <w:r w:rsidR="00AD514F" w:rsidRPr="002B21CF">
        <w:rPr>
          <w:rFonts w:ascii="Lato" w:hAnsi="Lato" w:cstheme="minorHAnsi"/>
          <w:bCs/>
          <w:sz w:val="20"/>
          <w:szCs w:val="20"/>
        </w:rPr>
        <w:t>a</w:t>
      </w:r>
      <w:r w:rsidRPr="002B21CF">
        <w:rPr>
          <w:rFonts w:ascii="Lato" w:hAnsi="Lato" w:cstheme="minorHAnsi"/>
          <w:bCs/>
          <w:sz w:val="20"/>
          <w:szCs w:val="20"/>
        </w:rPr>
        <w:t>h</w:t>
      </w:r>
      <w:r w:rsidR="00AD514F" w:rsidRPr="002B21CF">
        <w:rPr>
          <w:rFonts w:ascii="Lato" w:hAnsi="Lato" w:cstheme="minorHAnsi"/>
          <w:bCs/>
          <w:sz w:val="20"/>
          <w:szCs w:val="20"/>
        </w:rPr>
        <w:t>o</w:t>
      </w:r>
      <w:r w:rsidRPr="002B21CF">
        <w:rPr>
          <w:rFonts w:ascii="Lato" w:hAnsi="Lato" w:cstheme="minorHAnsi"/>
          <w:bCs/>
          <w:sz w:val="20"/>
          <w:szCs w:val="20"/>
        </w:rPr>
        <w:t xml:space="preserve">rro), utilizando el siguiente cuadro: </w:t>
      </w:r>
    </w:p>
    <w:p w14:paraId="40E34C97" w14:textId="6AFE06F5" w:rsidR="00A06001" w:rsidRPr="002B21CF" w:rsidRDefault="00A06001" w:rsidP="006A5B85">
      <w:pPr>
        <w:autoSpaceDE w:val="0"/>
        <w:autoSpaceDN w:val="0"/>
        <w:adjustRightInd w:val="0"/>
        <w:jc w:val="both"/>
        <w:rPr>
          <w:rFonts w:ascii="Lato" w:hAnsi="Lato" w:cstheme="minorHAnsi"/>
          <w:bCs/>
          <w:sz w:val="20"/>
          <w:szCs w:val="20"/>
        </w:rPr>
      </w:pPr>
    </w:p>
    <w:tbl>
      <w:tblPr>
        <w:tblpPr w:leftFromText="141" w:rightFromText="141" w:vertAnchor="text" w:horzAnchor="margin" w:tblpXSpec="center" w:tblpY="-14"/>
        <w:tblW w:w="12895" w:type="dxa"/>
        <w:tblCellMar>
          <w:left w:w="70" w:type="dxa"/>
          <w:right w:w="70" w:type="dxa"/>
        </w:tblCellMar>
        <w:tblLook w:val="04A0" w:firstRow="1" w:lastRow="0" w:firstColumn="1" w:lastColumn="0" w:noHBand="0" w:noVBand="1"/>
      </w:tblPr>
      <w:tblGrid>
        <w:gridCol w:w="8217"/>
        <w:gridCol w:w="2410"/>
        <w:gridCol w:w="2268"/>
      </w:tblGrid>
      <w:tr w:rsidR="00C92447" w:rsidRPr="002B21CF" w14:paraId="4C0C07AF" w14:textId="77777777" w:rsidTr="00C92447">
        <w:trPr>
          <w:trHeight w:val="221"/>
        </w:trPr>
        <w:tc>
          <w:tcPr>
            <w:tcW w:w="8217" w:type="dxa"/>
            <w:tcBorders>
              <w:top w:val="single" w:sz="4" w:space="0" w:color="auto"/>
              <w:left w:val="single" w:sz="4" w:space="0" w:color="auto"/>
              <w:bottom w:val="single" w:sz="4" w:space="0" w:color="auto"/>
              <w:right w:val="single" w:sz="4" w:space="0" w:color="auto"/>
            </w:tcBorders>
            <w:noWrap/>
            <w:vAlign w:val="bottom"/>
            <w:hideMark/>
          </w:tcPr>
          <w:p w14:paraId="19B9F4E8" w14:textId="77777777" w:rsidR="00C92447" w:rsidRPr="002B21CF" w:rsidRDefault="00C92447" w:rsidP="00C92447">
            <w:pPr>
              <w:rPr>
                <w:rFonts w:ascii="Lato" w:hAnsi="Lato" w:cstheme="minorHAnsi"/>
                <w:color w:val="000000"/>
                <w:sz w:val="20"/>
                <w:szCs w:val="20"/>
                <w:lang w:eastAsia="es-MX"/>
              </w:rPr>
            </w:pPr>
            <w:r w:rsidRPr="002B21CF">
              <w:rPr>
                <w:rFonts w:ascii="Lato" w:hAnsi="Lato" w:cstheme="minorHAnsi"/>
                <w:color w:val="000000"/>
                <w:sz w:val="20"/>
                <w:szCs w:val="20"/>
                <w:lang w:eastAsia="es-MX"/>
              </w:rPr>
              <w:t> </w:t>
            </w:r>
          </w:p>
        </w:tc>
        <w:tc>
          <w:tcPr>
            <w:tcW w:w="2410" w:type="dxa"/>
            <w:tcBorders>
              <w:top w:val="single" w:sz="4" w:space="0" w:color="auto"/>
              <w:left w:val="nil"/>
              <w:bottom w:val="single" w:sz="4" w:space="0" w:color="auto"/>
              <w:right w:val="single" w:sz="4" w:space="0" w:color="auto"/>
            </w:tcBorders>
            <w:noWrap/>
            <w:vAlign w:val="center"/>
            <w:hideMark/>
          </w:tcPr>
          <w:p w14:paraId="0DF52713" w14:textId="1B005BA3" w:rsidR="00C92447" w:rsidRPr="002B21CF" w:rsidRDefault="00C92447" w:rsidP="00C92447">
            <w:pPr>
              <w:jc w:val="center"/>
              <w:rPr>
                <w:rFonts w:ascii="Lato" w:hAnsi="Lato" w:cstheme="minorHAnsi"/>
                <w:b/>
                <w:bCs/>
                <w:color w:val="000000"/>
                <w:sz w:val="20"/>
                <w:szCs w:val="20"/>
                <w:lang w:eastAsia="es-MX"/>
              </w:rPr>
            </w:pPr>
            <w:r w:rsidRPr="002B21CF">
              <w:rPr>
                <w:rFonts w:ascii="Lato" w:hAnsi="Lato" w:cstheme="minorHAnsi"/>
                <w:b/>
                <w:bCs/>
                <w:color w:val="000000"/>
                <w:sz w:val="20"/>
                <w:szCs w:val="20"/>
                <w:lang w:eastAsia="es-MX"/>
              </w:rPr>
              <w:t>202</w:t>
            </w:r>
            <w:r w:rsidR="00954721" w:rsidRPr="002B21CF">
              <w:rPr>
                <w:rFonts w:ascii="Lato" w:hAnsi="Lato" w:cstheme="minorHAnsi"/>
                <w:b/>
                <w:bCs/>
                <w:color w:val="000000"/>
                <w:sz w:val="20"/>
                <w:szCs w:val="20"/>
                <w:lang w:eastAsia="es-MX"/>
              </w:rPr>
              <w:t>6</w:t>
            </w:r>
          </w:p>
        </w:tc>
        <w:tc>
          <w:tcPr>
            <w:tcW w:w="2268" w:type="dxa"/>
            <w:tcBorders>
              <w:top w:val="single" w:sz="4" w:space="0" w:color="auto"/>
              <w:left w:val="nil"/>
              <w:bottom w:val="single" w:sz="4" w:space="0" w:color="auto"/>
              <w:right w:val="single" w:sz="4" w:space="0" w:color="auto"/>
            </w:tcBorders>
            <w:noWrap/>
            <w:vAlign w:val="center"/>
            <w:hideMark/>
          </w:tcPr>
          <w:p w14:paraId="10E8BFA0" w14:textId="5628077B" w:rsidR="00C92447" w:rsidRPr="002B21CF" w:rsidRDefault="00C92447" w:rsidP="00C92447">
            <w:pPr>
              <w:jc w:val="center"/>
              <w:rPr>
                <w:rFonts w:ascii="Lato" w:hAnsi="Lato" w:cstheme="minorHAnsi"/>
                <w:b/>
                <w:bCs/>
                <w:color w:val="000000"/>
                <w:sz w:val="20"/>
                <w:szCs w:val="20"/>
                <w:lang w:eastAsia="es-MX"/>
              </w:rPr>
            </w:pPr>
            <w:r w:rsidRPr="002B21CF">
              <w:rPr>
                <w:rFonts w:ascii="Lato" w:hAnsi="Lato" w:cstheme="minorHAnsi"/>
                <w:b/>
                <w:bCs/>
                <w:color w:val="000000"/>
                <w:sz w:val="20"/>
                <w:szCs w:val="20"/>
                <w:lang w:eastAsia="es-MX"/>
              </w:rPr>
              <w:t>202</w:t>
            </w:r>
            <w:r w:rsidR="00954721" w:rsidRPr="002B21CF">
              <w:rPr>
                <w:rFonts w:ascii="Lato" w:hAnsi="Lato" w:cstheme="minorHAnsi"/>
                <w:b/>
                <w:bCs/>
                <w:color w:val="000000"/>
                <w:sz w:val="20"/>
                <w:szCs w:val="20"/>
                <w:lang w:eastAsia="es-MX"/>
              </w:rPr>
              <w:t>5</w:t>
            </w:r>
          </w:p>
        </w:tc>
      </w:tr>
      <w:tr w:rsidR="00C92447" w:rsidRPr="002B21CF" w14:paraId="4C57B583" w14:textId="77777777" w:rsidTr="00C92447">
        <w:trPr>
          <w:trHeight w:val="267"/>
        </w:trPr>
        <w:tc>
          <w:tcPr>
            <w:tcW w:w="8217" w:type="dxa"/>
            <w:tcBorders>
              <w:top w:val="nil"/>
              <w:left w:val="single" w:sz="4" w:space="0" w:color="auto"/>
              <w:bottom w:val="single" w:sz="4" w:space="0" w:color="auto"/>
              <w:right w:val="single" w:sz="4" w:space="0" w:color="auto"/>
            </w:tcBorders>
            <w:vAlign w:val="center"/>
            <w:hideMark/>
          </w:tcPr>
          <w:p w14:paraId="048FA503" w14:textId="77777777" w:rsidR="00C92447" w:rsidRPr="002B21CF" w:rsidRDefault="00C92447" w:rsidP="00C92447">
            <w:pPr>
              <w:rPr>
                <w:rFonts w:ascii="Lato" w:hAnsi="Lato" w:cstheme="minorHAnsi"/>
                <w:b/>
                <w:bCs/>
                <w:color w:val="000000"/>
                <w:sz w:val="20"/>
                <w:szCs w:val="20"/>
                <w:lang w:eastAsia="es-MX"/>
              </w:rPr>
            </w:pPr>
            <w:r w:rsidRPr="002B21CF">
              <w:rPr>
                <w:rFonts w:ascii="Lato" w:hAnsi="Lato" w:cstheme="minorHAnsi"/>
                <w:b/>
                <w:bCs/>
                <w:color w:val="000000"/>
                <w:sz w:val="20"/>
                <w:szCs w:val="20"/>
                <w:lang w:eastAsia="es-MX"/>
              </w:rPr>
              <w:t xml:space="preserve">Resultado del Ejercicio Ahorro/Desahorro </w:t>
            </w:r>
          </w:p>
        </w:tc>
        <w:tc>
          <w:tcPr>
            <w:tcW w:w="2410" w:type="dxa"/>
            <w:tcBorders>
              <w:top w:val="nil"/>
              <w:left w:val="nil"/>
              <w:bottom w:val="single" w:sz="4" w:space="0" w:color="auto"/>
              <w:right w:val="single" w:sz="4" w:space="0" w:color="auto"/>
            </w:tcBorders>
            <w:noWrap/>
            <w:vAlign w:val="center"/>
            <w:hideMark/>
          </w:tcPr>
          <w:p w14:paraId="15BA0ECD" w14:textId="77777777" w:rsidR="00C92447" w:rsidRPr="002B21CF" w:rsidRDefault="00C92447" w:rsidP="00C92447">
            <w:pPr>
              <w:jc w:val="right"/>
              <w:rPr>
                <w:rFonts w:ascii="Lato" w:hAnsi="Lato" w:cstheme="minorHAnsi"/>
                <w:b/>
                <w:bCs/>
                <w:color w:val="000000"/>
                <w:sz w:val="20"/>
                <w:szCs w:val="20"/>
                <w:lang w:eastAsia="es-MX"/>
              </w:rPr>
            </w:pPr>
            <w:r w:rsidRPr="002B21CF">
              <w:rPr>
                <w:rFonts w:ascii="Lato" w:hAnsi="Lato" w:cstheme="minorHAnsi"/>
                <w:b/>
                <w:bCs/>
                <w:color w:val="000000"/>
                <w:sz w:val="20"/>
                <w:szCs w:val="20"/>
                <w:lang w:eastAsia="es-MX"/>
              </w:rPr>
              <w:t>$ 0.00</w:t>
            </w:r>
          </w:p>
        </w:tc>
        <w:tc>
          <w:tcPr>
            <w:tcW w:w="2268" w:type="dxa"/>
            <w:tcBorders>
              <w:top w:val="nil"/>
              <w:left w:val="nil"/>
              <w:bottom w:val="single" w:sz="4" w:space="0" w:color="auto"/>
              <w:right w:val="single" w:sz="4" w:space="0" w:color="auto"/>
            </w:tcBorders>
            <w:noWrap/>
            <w:vAlign w:val="center"/>
            <w:hideMark/>
          </w:tcPr>
          <w:p w14:paraId="1DD6967B" w14:textId="77777777" w:rsidR="00C92447" w:rsidRPr="002B21CF" w:rsidRDefault="00C92447" w:rsidP="00C92447">
            <w:pPr>
              <w:jc w:val="right"/>
              <w:rPr>
                <w:rFonts w:ascii="Lato" w:hAnsi="Lato" w:cstheme="minorHAnsi"/>
                <w:b/>
                <w:bCs/>
                <w:color w:val="000000"/>
                <w:sz w:val="20"/>
                <w:szCs w:val="20"/>
                <w:lang w:eastAsia="es-MX"/>
              </w:rPr>
            </w:pPr>
            <w:r w:rsidRPr="002B21CF">
              <w:rPr>
                <w:rFonts w:ascii="Lato" w:hAnsi="Lato" w:cstheme="minorHAnsi"/>
                <w:b/>
                <w:bCs/>
                <w:color w:val="000000"/>
                <w:sz w:val="20"/>
                <w:szCs w:val="20"/>
                <w:lang w:eastAsia="es-MX"/>
              </w:rPr>
              <w:t>$ 0.00</w:t>
            </w:r>
          </w:p>
        </w:tc>
      </w:tr>
      <w:tr w:rsidR="00C92447" w:rsidRPr="002B21CF" w14:paraId="07FE5357" w14:textId="77777777" w:rsidTr="00C92447">
        <w:trPr>
          <w:trHeight w:val="215"/>
        </w:trPr>
        <w:tc>
          <w:tcPr>
            <w:tcW w:w="8217" w:type="dxa"/>
            <w:tcBorders>
              <w:top w:val="nil"/>
              <w:left w:val="single" w:sz="4" w:space="0" w:color="auto"/>
              <w:bottom w:val="single" w:sz="4" w:space="0" w:color="auto"/>
              <w:right w:val="single" w:sz="4" w:space="0" w:color="auto"/>
            </w:tcBorders>
            <w:vAlign w:val="bottom"/>
            <w:hideMark/>
          </w:tcPr>
          <w:p w14:paraId="5BDB51B5" w14:textId="77777777" w:rsidR="00C92447" w:rsidRPr="002B21CF" w:rsidRDefault="00C92447" w:rsidP="00C92447">
            <w:pPr>
              <w:rPr>
                <w:rFonts w:ascii="Lato" w:hAnsi="Lato" w:cstheme="minorHAnsi"/>
                <w:b/>
                <w:color w:val="000000"/>
                <w:sz w:val="20"/>
                <w:szCs w:val="20"/>
                <w:lang w:eastAsia="es-MX"/>
              </w:rPr>
            </w:pPr>
            <w:r w:rsidRPr="002B21CF">
              <w:rPr>
                <w:rFonts w:ascii="Lato" w:hAnsi="Lato" w:cstheme="minorHAnsi"/>
                <w:b/>
                <w:color w:val="000000"/>
                <w:sz w:val="20"/>
                <w:szCs w:val="20"/>
                <w:lang w:eastAsia="es-MX"/>
              </w:rPr>
              <w:t>Movimientos de partidas (o rubros) que no afectan efectivo</w:t>
            </w:r>
          </w:p>
        </w:tc>
        <w:tc>
          <w:tcPr>
            <w:tcW w:w="2410" w:type="dxa"/>
            <w:tcBorders>
              <w:top w:val="nil"/>
              <w:left w:val="nil"/>
              <w:bottom w:val="single" w:sz="4" w:space="0" w:color="auto"/>
              <w:right w:val="single" w:sz="4" w:space="0" w:color="auto"/>
            </w:tcBorders>
            <w:noWrap/>
            <w:vAlign w:val="bottom"/>
            <w:hideMark/>
          </w:tcPr>
          <w:p w14:paraId="07DA74E8" w14:textId="77777777" w:rsidR="00C92447" w:rsidRPr="002B21CF" w:rsidRDefault="00C92447" w:rsidP="00C92447">
            <w:pPr>
              <w:jc w:val="right"/>
              <w:rPr>
                <w:rFonts w:ascii="Lato" w:hAnsi="Lato" w:cstheme="minorHAnsi"/>
                <w:b/>
                <w:color w:val="000000"/>
                <w:sz w:val="20"/>
                <w:szCs w:val="20"/>
                <w:lang w:eastAsia="es-MX"/>
              </w:rPr>
            </w:pPr>
            <w:r w:rsidRPr="002B21CF">
              <w:rPr>
                <w:rFonts w:ascii="Lato" w:hAnsi="Lato" w:cstheme="minorHAnsi"/>
                <w:color w:val="000000"/>
                <w:sz w:val="20"/>
                <w:szCs w:val="20"/>
                <w:lang w:eastAsia="es-MX"/>
              </w:rPr>
              <w:t>0.00</w:t>
            </w:r>
          </w:p>
        </w:tc>
        <w:tc>
          <w:tcPr>
            <w:tcW w:w="2268" w:type="dxa"/>
            <w:tcBorders>
              <w:top w:val="nil"/>
              <w:left w:val="nil"/>
              <w:bottom w:val="single" w:sz="4" w:space="0" w:color="auto"/>
              <w:right w:val="single" w:sz="4" w:space="0" w:color="auto"/>
            </w:tcBorders>
            <w:noWrap/>
            <w:vAlign w:val="bottom"/>
            <w:hideMark/>
          </w:tcPr>
          <w:p w14:paraId="62C3AE30" w14:textId="77777777" w:rsidR="00C92447" w:rsidRPr="002B21CF" w:rsidRDefault="00C92447" w:rsidP="00C92447">
            <w:pPr>
              <w:jc w:val="right"/>
              <w:rPr>
                <w:rFonts w:ascii="Lato" w:hAnsi="Lato" w:cstheme="minorHAnsi"/>
                <w:b/>
                <w:color w:val="000000"/>
                <w:sz w:val="20"/>
                <w:szCs w:val="20"/>
                <w:lang w:eastAsia="es-MX"/>
              </w:rPr>
            </w:pPr>
            <w:r w:rsidRPr="002B21CF">
              <w:rPr>
                <w:rFonts w:ascii="Lato" w:hAnsi="Lato" w:cstheme="minorHAnsi"/>
                <w:b/>
                <w:color w:val="000000"/>
                <w:sz w:val="20"/>
                <w:szCs w:val="20"/>
                <w:lang w:eastAsia="es-MX"/>
              </w:rPr>
              <w:t xml:space="preserve"> $ 0.00</w:t>
            </w:r>
          </w:p>
        </w:tc>
      </w:tr>
      <w:tr w:rsidR="00C92447" w:rsidRPr="002B21CF" w14:paraId="24F5EA98" w14:textId="77777777" w:rsidTr="00C92447">
        <w:trPr>
          <w:trHeight w:val="215"/>
        </w:trPr>
        <w:tc>
          <w:tcPr>
            <w:tcW w:w="8217" w:type="dxa"/>
            <w:tcBorders>
              <w:top w:val="nil"/>
              <w:left w:val="single" w:sz="4" w:space="0" w:color="auto"/>
              <w:bottom w:val="single" w:sz="4" w:space="0" w:color="auto"/>
              <w:right w:val="single" w:sz="4" w:space="0" w:color="auto"/>
            </w:tcBorders>
            <w:vAlign w:val="bottom"/>
          </w:tcPr>
          <w:p w14:paraId="42CFD34C" w14:textId="77777777" w:rsidR="00C92447" w:rsidRPr="002B21CF" w:rsidRDefault="00C92447" w:rsidP="00C92447">
            <w:pPr>
              <w:rPr>
                <w:rFonts w:ascii="Lato" w:hAnsi="Lato" w:cstheme="minorHAnsi"/>
                <w:b/>
                <w:color w:val="000000"/>
                <w:sz w:val="20"/>
                <w:szCs w:val="20"/>
                <w:lang w:eastAsia="es-MX"/>
              </w:rPr>
            </w:pPr>
            <w:r w:rsidRPr="002B21CF">
              <w:rPr>
                <w:rFonts w:ascii="Lato" w:hAnsi="Lato" w:cstheme="minorHAnsi"/>
                <w:color w:val="000000"/>
                <w:sz w:val="20"/>
                <w:szCs w:val="20"/>
                <w:lang w:eastAsia="es-MX"/>
              </w:rPr>
              <w:t>Incremento</w:t>
            </w:r>
            <w:r w:rsidRPr="002B21CF">
              <w:rPr>
                <w:rFonts w:ascii="Lato" w:hAnsi="Lato" w:cstheme="minorHAnsi"/>
                <w:b/>
                <w:color w:val="000000"/>
                <w:sz w:val="20"/>
                <w:szCs w:val="20"/>
                <w:lang w:eastAsia="es-MX"/>
              </w:rPr>
              <w:t xml:space="preserve"> </w:t>
            </w:r>
            <w:r w:rsidRPr="002B21CF">
              <w:rPr>
                <w:rFonts w:ascii="Lato" w:hAnsi="Lato" w:cstheme="minorHAnsi"/>
                <w:color w:val="000000"/>
                <w:sz w:val="20"/>
                <w:szCs w:val="20"/>
                <w:lang w:eastAsia="es-MX"/>
              </w:rPr>
              <w:t xml:space="preserve">en cuentas por cobrar     </w:t>
            </w:r>
          </w:p>
        </w:tc>
        <w:tc>
          <w:tcPr>
            <w:tcW w:w="2410" w:type="dxa"/>
            <w:tcBorders>
              <w:top w:val="nil"/>
              <w:left w:val="nil"/>
              <w:bottom w:val="single" w:sz="4" w:space="0" w:color="auto"/>
              <w:right w:val="single" w:sz="4" w:space="0" w:color="auto"/>
            </w:tcBorders>
            <w:noWrap/>
          </w:tcPr>
          <w:p w14:paraId="39E9E845" w14:textId="77777777" w:rsidR="00C92447" w:rsidRPr="002B21CF" w:rsidRDefault="00C92447" w:rsidP="00C92447">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0.00</w:t>
            </w:r>
          </w:p>
        </w:tc>
        <w:tc>
          <w:tcPr>
            <w:tcW w:w="2268" w:type="dxa"/>
            <w:tcBorders>
              <w:top w:val="nil"/>
              <w:left w:val="nil"/>
              <w:bottom w:val="single" w:sz="4" w:space="0" w:color="auto"/>
              <w:right w:val="single" w:sz="4" w:space="0" w:color="auto"/>
            </w:tcBorders>
            <w:noWrap/>
            <w:vAlign w:val="bottom"/>
          </w:tcPr>
          <w:p w14:paraId="5D807ADA" w14:textId="77777777" w:rsidR="00C92447" w:rsidRPr="002B21CF" w:rsidRDefault="00C92447" w:rsidP="00C92447">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0.00</w:t>
            </w:r>
          </w:p>
        </w:tc>
      </w:tr>
      <w:tr w:rsidR="00C92447" w:rsidRPr="002B21CF" w14:paraId="36290F5B" w14:textId="77777777" w:rsidTr="00C92447">
        <w:trPr>
          <w:trHeight w:val="215"/>
        </w:trPr>
        <w:tc>
          <w:tcPr>
            <w:tcW w:w="8217" w:type="dxa"/>
            <w:tcBorders>
              <w:top w:val="nil"/>
              <w:left w:val="single" w:sz="4" w:space="0" w:color="auto"/>
              <w:bottom w:val="single" w:sz="4" w:space="0" w:color="auto"/>
              <w:right w:val="single" w:sz="4" w:space="0" w:color="auto"/>
            </w:tcBorders>
            <w:vAlign w:val="bottom"/>
          </w:tcPr>
          <w:p w14:paraId="09358431" w14:textId="36775C09" w:rsidR="00C92447" w:rsidRPr="002B21CF" w:rsidRDefault="00C92447" w:rsidP="00C92447">
            <w:pPr>
              <w:rPr>
                <w:rFonts w:ascii="Lato" w:hAnsi="Lato" w:cstheme="minorHAnsi"/>
                <w:b/>
                <w:color w:val="000000"/>
                <w:sz w:val="20"/>
                <w:szCs w:val="20"/>
                <w:lang w:eastAsia="es-MX"/>
              </w:rPr>
            </w:pPr>
            <w:r w:rsidRPr="002B21CF">
              <w:rPr>
                <w:rFonts w:ascii="Lato" w:hAnsi="Lato" w:cstheme="minorHAnsi"/>
                <w:color w:val="000000"/>
                <w:sz w:val="20"/>
                <w:szCs w:val="20"/>
                <w:lang w:eastAsia="es-MX"/>
              </w:rPr>
              <w:t xml:space="preserve">Incremento de pasivos      </w:t>
            </w:r>
          </w:p>
        </w:tc>
        <w:tc>
          <w:tcPr>
            <w:tcW w:w="2410" w:type="dxa"/>
            <w:tcBorders>
              <w:top w:val="nil"/>
              <w:left w:val="nil"/>
              <w:bottom w:val="single" w:sz="4" w:space="0" w:color="auto"/>
              <w:right w:val="single" w:sz="4" w:space="0" w:color="auto"/>
            </w:tcBorders>
            <w:noWrap/>
          </w:tcPr>
          <w:p w14:paraId="651CFD67" w14:textId="626B5F5F" w:rsidR="00C92447" w:rsidRPr="002B21CF" w:rsidRDefault="00B3555E" w:rsidP="00B3555E">
            <w:pPr>
              <w:tabs>
                <w:tab w:val="left" w:pos="492"/>
                <w:tab w:val="right" w:pos="2270"/>
              </w:tabs>
              <w:rPr>
                <w:rFonts w:ascii="Lato" w:hAnsi="Lato" w:cstheme="minorHAnsi"/>
                <w:color w:val="000000"/>
                <w:sz w:val="20"/>
                <w:szCs w:val="20"/>
                <w:lang w:eastAsia="es-MX"/>
              </w:rPr>
            </w:pPr>
            <w:r w:rsidRPr="002B21CF">
              <w:rPr>
                <w:rFonts w:ascii="Lato" w:hAnsi="Lato" w:cstheme="minorHAnsi"/>
                <w:color w:val="000000"/>
                <w:sz w:val="20"/>
                <w:szCs w:val="20"/>
                <w:lang w:eastAsia="es-MX"/>
              </w:rPr>
              <w:tab/>
              <w:t xml:space="preserve">                 </w:t>
            </w:r>
            <w:r w:rsidR="00864E51" w:rsidRPr="002B21CF">
              <w:rPr>
                <w:rFonts w:ascii="Lato" w:hAnsi="Lato" w:cstheme="minorHAnsi"/>
                <w:color w:val="000000"/>
                <w:sz w:val="20"/>
                <w:szCs w:val="20"/>
                <w:lang w:eastAsia="es-MX"/>
              </w:rPr>
              <w:t xml:space="preserve">                 0</w:t>
            </w:r>
            <w:r w:rsidRPr="002B21CF">
              <w:rPr>
                <w:rFonts w:ascii="Lato" w:hAnsi="Lato" w:cstheme="minorHAnsi"/>
                <w:color w:val="000000"/>
                <w:sz w:val="20"/>
                <w:szCs w:val="20"/>
                <w:lang w:eastAsia="es-MX"/>
              </w:rPr>
              <w:t>.</w:t>
            </w:r>
            <w:r w:rsidR="00864E51" w:rsidRPr="002B21CF">
              <w:rPr>
                <w:rFonts w:ascii="Lato" w:hAnsi="Lato" w:cstheme="minorHAnsi"/>
                <w:color w:val="000000"/>
                <w:sz w:val="20"/>
                <w:szCs w:val="20"/>
                <w:lang w:eastAsia="es-MX"/>
              </w:rPr>
              <w:t>00</w:t>
            </w:r>
          </w:p>
        </w:tc>
        <w:tc>
          <w:tcPr>
            <w:tcW w:w="2268" w:type="dxa"/>
            <w:tcBorders>
              <w:top w:val="nil"/>
              <w:left w:val="nil"/>
              <w:bottom w:val="single" w:sz="4" w:space="0" w:color="auto"/>
              <w:right w:val="single" w:sz="4" w:space="0" w:color="auto"/>
            </w:tcBorders>
            <w:noWrap/>
          </w:tcPr>
          <w:p w14:paraId="24323BB3" w14:textId="63953169" w:rsidR="00C92447" w:rsidRPr="002B21CF" w:rsidRDefault="00C92447" w:rsidP="00C92447">
            <w:pPr>
              <w:jc w:val="right"/>
              <w:rPr>
                <w:rFonts w:ascii="Lato" w:hAnsi="Lato" w:cstheme="minorHAnsi"/>
                <w:b/>
                <w:color w:val="000000"/>
                <w:sz w:val="20"/>
                <w:szCs w:val="20"/>
                <w:lang w:eastAsia="es-MX"/>
              </w:rPr>
            </w:pPr>
            <w:r w:rsidRPr="002B21CF">
              <w:rPr>
                <w:rFonts w:ascii="Lato" w:hAnsi="Lato" w:cstheme="minorHAnsi"/>
                <w:color w:val="000000"/>
                <w:sz w:val="20"/>
                <w:szCs w:val="20"/>
                <w:lang w:eastAsia="es-MX"/>
              </w:rPr>
              <w:t xml:space="preserve">$ </w:t>
            </w:r>
            <w:r w:rsidR="00954721" w:rsidRPr="002B21CF">
              <w:rPr>
                <w:rFonts w:ascii="Lato" w:hAnsi="Lato" w:cstheme="minorHAnsi"/>
                <w:color w:val="000000"/>
                <w:sz w:val="20"/>
                <w:szCs w:val="20"/>
                <w:lang w:eastAsia="es-MX"/>
              </w:rPr>
              <w:t>235</w:t>
            </w:r>
            <w:r w:rsidRPr="002B21CF">
              <w:rPr>
                <w:rFonts w:ascii="Lato" w:hAnsi="Lato" w:cstheme="minorHAnsi"/>
                <w:color w:val="000000"/>
                <w:sz w:val="20"/>
                <w:szCs w:val="20"/>
                <w:lang w:eastAsia="es-MX"/>
              </w:rPr>
              <w:t>,27</w:t>
            </w:r>
            <w:r w:rsidR="00954721" w:rsidRPr="002B21CF">
              <w:rPr>
                <w:rFonts w:ascii="Lato" w:hAnsi="Lato" w:cstheme="minorHAnsi"/>
                <w:color w:val="000000"/>
                <w:sz w:val="20"/>
                <w:szCs w:val="20"/>
                <w:lang w:eastAsia="es-MX"/>
              </w:rPr>
              <w:t>4</w:t>
            </w:r>
            <w:r w:rsidRPr="002B21CF">
              <w:rPr>
                <w:rFonts w:ascii="Lato" w:hAnsi="Lato" w:cstheme="minorHAnsi"/>
                <w:color w:val="000000"/>
                <w:sz w:val="20"/>
                <w:szCs w:val="20"/>
                <w:lang w:eastAsia="es-MX"/>
              </w:rPr>
              <w:t>.</w:t>
            </w:r>
            <w:r w:rsidR="00954721" w:rsidRPr="002B21CF">
              <w:rPr>
                <w:rFonts w:ascii="Lato" w:hAnsi="Lato" w:cstheme="minorHAnsi"/>
                <w:color w:val="000000"/>
                <w:sz w:val="20"/>
                <w:szCs w:val="20"/>
                <w:lang w:eastAsia="es-MX"/>
              </w:rPr>
              <w:t>21</w:t>
            </w:r>
          </w:p>
        </w:tc>
      </w:tr>
      <w:tr w:rsidR="00C92447" w:rsidRPr="002B21CF" w14:paraId="49EDE251" w14:textId="77777777" w:rsidTr="00C92447">
        <w:trPr>
          <w:trHeight w:val="205"/>
        </w:trPr>
        <w:tc>
          <w:tcPr>
            <w:tcW w:w="8217" w:type="dxa"/>
            <w:tcBorders>
              <w:top w:val="nil"/>
              <w:left w:val="single" w:sz="4" w:space="0" w:color="auto"/>
              <w:bottom w:val="single" w:sz="4" w:space="0" w:color="auto"/>
              <w:right w:val="single" w:sz="4" w:space="0" w:color="auto"/>
            </w:tcBorders>
            <w:vAlign w:val="bottom"/>
            <w:hideMark/>
          </w:tcPr>
          <w:p w14:paraId="603EDAEB" w14:textId="77777777" w:rsidR="00C92447" w:rsidRPr="002B21CF" w:rsidRDefault="00C92447" w:rsidP="00C92447">
            <w:pPr>
              <w:rPr>
                <w:rFonts w:ascii="Lato" w:hAnsi="Lato" w:cstheme="minorHAnsi"/>
                <w:color w:val="000000"/>
                <w:sz w:val="20"/>
                <w:szCs w:val="20"/>
                <w:lang w:eastAsia="es-MX"/>
              </w:rPr>
            </w:pPr>
            <w:r w:rsidRPr="002B21CF">
              <w:rPr>
                <w:rFonts w:ascii="Lato" w:hAnsi="Lato" w:cstheme="minorHAnsi"/>
                <w:color w:val="000000"/>
                <w:sz w:val="20"/>
                <w:szCs w:val="20"/>
                <w:lang w:eastAsia="es-MX"/>
              </w:rPr>
              <w:t xml:space="preserve">Disminución de pasivos      </w:t>
            </w:r>
          </w:p>
        </w:tc>
        <w:tc>
          <w:tcPr>
            <w:tcW w:w="2410" w:type="dxa"/>
            <w:tcBorders>
              <w:top w:val="nil"/>
              <w:left w:val="nil"/>
              <w:bottom w:val="single" w:sz="4" w:space="0" w:color="auto"/>
              <w:right w:val="single" w:sz="4" w:space="0" w:color="auto"/>
            </w:tcBorders>
            <w:noWrap/>
            <w:hideMark/>
          </w:tcPr>
          <w:p w14:paraId="66614070" w14:textId="2631ED42" w:rsidR="00C92447" w:rsidRPr="002B21CF" w:rsidRDefault="00864E51" w:rsidP="0017602B">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 $ 1</w:t>
            </w:r>
            <w:r w:rsidR="0017602B" w:rsidRPr="002B21CF">
              <w:rPr>
                <w:rFonts w:ascii="Lato" w:hAnsi="Lato" w:cstheme="minorHAnsi"/>
                <w:color w:val="000000"/>
                <w:sz w:val="20"/>
                <w:szCs w:val="20"/>
                <w:lang w:eastAsia="es-MX"/>
              </w:rPr>
              <w:t>1,283</w:t>
            </w:r>
            <w:r w:rsidRPr="002B21CF">
              <w:rPr>
                <w:rFonts w:ascii="Lato" w:hAnsi="Lato" w:cstheme="minorHAnsi"/>
                <w:color w:val="000000"/>
                <w:sz w:val="20"/>
                <w:szCs w:val="20"/>
                <w:lang w:eastAsia="es-MX"/>
              </w:rPr>
              <w:t>,</w:t>
            </w:r>
            <w:r w:rsidR="0017602B" w:rsidRPr="002B21CF">
              <w:rPr>
                <w:rFonts w:ascii="Lato" w:hAnsi="Lato" w:cstheme="minorHAnsi"/>
                <w:color w:val="000000"/>
                <w:sz w:val="20"/>
                <w:szCs w:val="20"/>
                <w:lang w:eastAsia="es-MX"/>
              </w:rPr>
              <w:t>545</w:t>
            </w:r>
            <w:r w:rsidR="00B3555E" w:rsidRPr="002B21CF">
              <w:rPr>
                <w:rFonts w:ascii="Lato" w:hAnsi="Lato" w:cstheme="minorHAnsi"/>
                <w:color w:val="000000"/>
                <w:sz w:val="20"/>
                <w:szCs w:val="20"/>
                <w:lang w:eastAsia="es-MX"/>
              </w:rPr>
              <w:t>.</w:t>
            </w:r>
            <w:r w:rsidR="0017602B" w:rsidRPr="002B21CF">
              <w:rPr>
                <w:rFonts w:ascii="Lato" w:hAnsi="Lato" w:cstheme="minorHAnsi"/>
                <w:color w:val="000000"/>
                <w:sz w:val="20"/>
                <w:szCs w:val="20"/>
                <w:lang w:eastAsia="es-MX"/>
              </w:rPr>
              <w:t>40</w:t>
            </w:r>
          </w:p>
        </w:tc>
        <w:tc>
          <w:tcPr>
            <w:tcW w:w="2268" w:type="dxa"/>
            <w:tcBorders>
              <w:top w:val="nil"/>
              <w:left w:val="nil"/>
              <w:bottom w:val="single" w:sz="4" w:space="0" w:color="auto"/>
              <w:right w:val="single" w:sz="4" w:space="0" w:color="auto"/>
            </w:tcBorders>
            <w:noWrap/>
            <w:hideMark/>
          </w:tcPr>
          <w:p w14:paraId="3BF1E513" w14:textId="77777777" w:rsidR="00C92447" w:rsidRPr="002B21CF" w:rsidRDefault="00C92447" w:rsidP="00C92447">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0.00</w:t>
            </w:r>
          </w:p>
        </w:tc>
      </w:tr>
      <w:tr w:rsidR="00C92447" w:rsidRPr="002B21CF" w14:paraId="5AFCB2E1" w14:textId="77777777" w:rsidTr="00C92447">
        <w:trPr>
          <w:trHeight w:val="153"/>
        </w:trPr>
        <w:tc>
          <w:tcPr>
            <w:tcW w:w="8217" w:type="dxa"/>
            <w:tcBorders>
              <w:top w:val="nil"/>
              <w:left w:val="single" w:sz="4" w:space="0" w:color="auto"/>
              <w:bottom w:val="single" w:sz="4" w:space="0" w:color="auto"/>
              <w:right w:val="single" w:sz="4" w:space="0" w:color="auto"/>
            </w:tcBorders>
            <w:vAlign w:val="bottom"/>
            <w:hideMark/>
          </w:tcPr>
          <w:p w14:paraId="46102427" w14:textId="77777777" w:rsidR="00C92447" w:rsidRPr="002B21CF" w:rsidRDefault="00C92447" w:rsidP="00C92447">
            <w:pPr>
              <w:rPr>
                <w:rFonts w:ascii="Lato" w:hAnsi="Lato" w:cstheme="minorHAnsi"/>
                <w:color w:val="000000"/>
                <w:sz w:val="20"/>
                <w:szCs w:val="20"/>
                <w:lang w:eastAsia="es-MX"/>
              </w:rPr>
            </w:pPr>
            <w:r w:rsidRPr="002B21CF">
              <w:rPr>
                <w:rFonts w:ascii="Lato" w:hAnsi="Lato" w:cstheme="minorHAnsi"/>
                <w:color w:val="000000"/>
                <w:sz w:val="20"/>
                <w:szCs w:val="20"/>
                <w:lang w:eastAsia="es-MX"/>
              </w:rPr>
              <w:t xml:space="preserve">Reintegro de Recurso </w:t>
            </w:r>
          </w:p>
        </w:tc>
        <w:tc>
          <w:tcPr>
            <w:tcW w:w="2410" w:type="dxa"/>
            <w:tcBorders>
              <w:top w:val="nil"/>
              <w:left w:val="nil"/>
              <w:bottom w:val="single" w:sz="4" w:space="0" w:color="auto"/>
              <w:right w:val="single" w:sz="4" w:space="0" w:color="auto"/>
            </w:tcBorders>
            <w:noWrap/>
            <w:hideMark/>
          </w:tcPr>
          <w:p w14:paraId="7447C721" w14:textId="77777777" w:rsidR="00C92447" w:rsidRPr="002B21CF" w:rsidRDefault="00C92447" w:rsidP="00C92447">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0.00</w:t>
            </w:r>
          </w:p>
        </w:tc>
        <w:tc>
          <w:tcPr>
            <w:tcW w:w="2268" w:type="dxa"/>
            <w:tcBorders>
              <w:top w:val="nil"/>
              <w:left w:val="nil"/>
              <w:bottom w:val="single" w:sz="4" w:space="0" w:color="auto"/>
              <w:right w:val="single" w:sz="4" w:space="0" w:color="auto"/>
            </w:tcBorders>
            <w:noWrap/>
            <w:hideMark/>
          </w:tcPr>
          <w:p w14:paraId="00AF2A76" w14:textId="77777777" w:rsidR="00C92447" w:rsidRPr="002B21CF" w:rsidRDefault="00C92447" w:rsidP="00C92447">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0.00</w:t>
            </w:r>
          </w:p>
        </w:tc>
      </w:tr>
      <w:tr w:rsidR="00954721" w:rsidRPr="002B21CF" w14:paraId="73AE6165" w14:textId="77777777" w:rsidTr="00C92447">
        <w:trPr>
          <w:trHeight w:val="58"/>
        </w:trPr>
        <w:tc>
          <w:tcPr>
            <w:tcW w:w="8217" w:type="dxa"/>
            <w:tcBorders>
              <w:top w:val="nil"/>
              <w:left w:val="single" w:sz="4" w:space="0" w:color="auto"/>
              <w:bottom w:val="single" w:sz="4" w:space="0" w:color="auto"/>
              <w:right w:val="single" w:sz="4" w:space="0" w:color="auto"/>
            </w:tcBorders>
            <w:vAlign w:val="bottom"/>
            <w:hideMark/>
          </w:tcPr>
          <w:p w14:paraId="2B673C8E" w14:textId="77777777" w:rsidR="00954721" w:rsidRPr="002B21CF" w:rsidRDefault="00954721" w:rsidP="00954721">
            <w:pPr>
              <w:rPr>
                <w:rFonts w:ascii="Lato" w:hAnsi="Lato" w:cstheme="minorHAnsi"/>
                <w:b/>
                <w:color w:val="000000"/>
                <w:sz w:val="20"/>
                <w:szCs w:val="20"/>
                <w:lang w:eastAsia="es-MX"/>
              </w:rPr>
            </w:pPr>
            <w:r w:rsidRPr="002B21CF">
              <w:rPr>
                <w:rFonts w:ascii="Lato" w:hAnsi="Lato" w:cstheme="minorHAnsi"/>
                <w:b/>
                <w:color w:val="000000"/>
                <w:sz w:val="20"/>
                <w:szCs w:val="20"/>
                <w:lang w:eastAsia="es-MX"/>
              </w:rPr>
              <w:t>Flujos de Efectivo Netos de las Actividades de Operación</w:t>
            </w:r>
          </w:p>
        </w:tc>
        <w:tc>
          <w:tcPr>
            <w:tcW w:w="2410" w:type="dxa"/>
            <w:tcBorders>
              <w:top w:val="nil"/>
              <w:left w:val="nil"/>
              <w:bottom w:val="single" w:sz="4" w:space="0" w:color="auto"/>
              <w:right w:val="single" w:sz="4" w:space="0" w:color="auto"/>
            </w:tcBorders>
            <w:noWrap/>
            <w:vAlign w:val="bottom"/>
            <w:hideMark/>
          </w:tcPr>
          <w:p w14:paraId="328AD839" w14:textId="42799763" w:rsidR="00954721" w:rsidRPr="002B21CF" w:rsidRDefault="00954721" w:rsidP="0017602B">
            <w:pPr>
              <w:pStyle w:val="Prrafodelista"/>
              <w:numPr>
                <w:ilvl w:val="0"/>
                <w:numId w:val="25"/>
              </w:numPr>
              <w:jc w:val="right"/>
              <w:rPr>
                <w:rFonts w:ascii="Lato" w:hAnsi="Lato" w:cstheme="minorHAnsi"/>
                <w:b/>
                <w:color w:val="000000"/>
                <w:sz w:val="20"/>
                <w:szCs w:val="20"/>
                <w:lang w:eastAsia="es-MX"/>
              </w:rPr>
            </w:pPr>
            <w:r w:rsidRPr="002B21CF">
              <w:rPr>
                <w:rFonts w:ascii="Lato" w:hAnsi="Lato" w:cstheme="minorHAnsi"/>
                <w:b/>
                <w:bCs/>
                <w:color w:val="000000"/>
                <w:sz w:val="20"/>
                <w:szCs w:val="20"/>
                <w:lang w:eastAsia="es-MX"/>
              </w:rPr>
              <w:t xml:space="preserve">$ </w:t>
            </w:r>
            <w:r w:rsidR="0017602B" w:rsidRPr="002B21CF">
              <w:rPr>
                <w:rFonts w:ascii="Lato" w:hAnsi="Lato" w:cstheme="minorHAnsi"/>
                <w:b/>
                <w:bCs/>
                <w:color w:val="000000"/>
                <w:sz w:val="20"/>
                <w:szCs w:val="20"/>
                <w:lang w:eastAsia="es-MX"/>
              </w:rPr>
              <w:t>11</w:t>
            </w:r>
            <w:r w:rsidRPr="002B21CF">
              <w:rPr>
                <w:rFonts w:ascii="Lato" w:hAnsi="Lato" w:cstheme="minorHAnsi"/>
                <w:b/>
                <w:bCs/>
                <w:color w:val="000000"/>
                <w:sz w:val="20"/>
                <w:szCs w:val="20"/>
                <w:lang w:eastAsia="es-MX"/>
              </w:rPr>
              <w:t>,</w:t>
            </w:r>
            <w:r w:rsidR="0017602B" w:rsidRPr="002B21CF">
              <w:rPr>
                <w:rFonts w:ascii="Lato" w:hAnsi="Lato" w:cstheme="minorHAnsi"/>
                <w:b/>
                <w:bCs/>
                <w:color w:val="000000"/>
                <w:sz w:val="20"/>
                <w:szCs w:val="20"/>
                <w:lang w:eastAsia="es-MX"/>
              </w:rPr>
              <w:t>283,545</w:t>
            </w:r>
            <w:r w:rsidRPr="002B21CF">
              <w:rPr>
                <w:rFonts w:ascii="Lato" w:hAnsi="Lato" w:cstheme="minorHAnsi"/>
                <w:b/>
                <w:bCs/>
                <w:color w:val="000000"/>
                <w:sz w:val="20"/>
                <w:szCs w:val="20"/>
                <w:lang w:eastAsia="es-MX"/>
              </w:rPr>
              <w:t>.</w:t>
            </w:r>
            <w:r w:rsidR="0017602B" w:rsidRPr="002B21CF">
              <w:rPr>
                <w:rFonts w:ascii="Lato" w:hAnsi="Lato" w:cstheme="minorHAnsi"/>
                <w:b/>
                <w:bCs/>
                <w:color w:val="000000"/>
                <w:sz w:val="20"/>
                <w:szCs w:val="20"/>
                <w:lang w:eastAsia="es-MX"/>
              </w:rPr>
              <w:t>40</w:t>
            </w:r>
          </w:p>
        </w:tc>
        <w:tc>
          <w:tcPr>
            <w:tcW w:w="2268" w:type="dxa"/>
            <w:tcBorders>
              <w:top w:val="nil"/>
              <w:left w:val="nil"/>
              <w:bottom w:val="single" w:sz="4" w:space="0" w:color="auto"/>
              <w:right w:val="single" w:sz="4" w:space="0" w:color="auto"/>
            </w:tcBorders>
            <w:noWrap/>
            <w:vAlign w:val="bottom"/>
            <w:hideMark/>
          </w:tcPr>
          <w:p w14:paraId="1395C4DF" w14:textId="59EFDFFB" w:rsidR="00954721" w:rsidRPr="002B21CF" w:rsidRDefault="00954721" w:rsidP="00954721">
            <w:pPr>
              <w:jc w:val="right"/>
              <w:rPr>
                <w:rFonts w:ascii="Lato" w:hAnsi="Lato" w:cstheme="minorHAnsi"/>
                <w:b/>
                <w:color w:val="000000"/>
                <w:sz w:val="20"/>
                <w:szCs w:val="20"/>
                <w:lang w:eastAsia="es-MX"/>
              </w:rPr>
            </w:pPr>
            <w:r w:rsidRPr="002B21CF">
              <w:rPr>
                <w:rFonts w:ascii="Lato" w:hAnsi="Lato" w:cstheme="minorHAnsi"/>
                <w:b/>
                <w:bCs/>
                <w:color w:val="000000"/>
                <w:sz w:val="20"/>
                <w:szCs w:val="20"/>
                <w:lang w:eastAsia="es-MX"/>
              </w:rPr>
              <w:t>$ 235,274.21</w:t>
            </w:r>
          </w:p>
        </w:tc>
      </w:tr>
    </w:tbl>
    <w:p w14:paraId="155873B5" w14:textId="77777777" w:rsidR="006F3BAB" w:rsidRPr="002B21CF" w:rsidRDefault="006F3BAB" w:rsidP="00DA1E17">
      <w:pPr>
        <w:autoSpaceDE w:val="0"/>
        <w:autoSpaceDN w:val="0"/>
        <w:adjustRightInd w:val="0"/>
        <w:jc w:val="both"/>
        <w:rPr>
          <w:rFonts w:ascii="Lato" w:hAnsi="Lato" w:cstheme="minorHAnsi"/>
          <w:bCs/>
          <w:sz w:val="20"/>
          <w:szCs w:val="20"/>
        </w:rPr>
      </w:pPr>
    </w:p>
    <w:p w14:paraId="76CD04D1" w14:textId="2BEE1036" w:rsidR="000769D2" w:rsidRPr="002B21CF" w:rsidRDefault="00FE2956" w:rsidP="00DA1E17">
      <w:pPr>
        <w:autoSpaceDE w:val="0"/>
        <w:autoSpaceDN w:val="0"/>
        <w:adjustRightInd w:val="0"/>
        <w:jc w:val="both"/>
        <w:rPr>
          <w:rFonts w:ascii="Lato" w:hAnsi="Lato" w:cstheme="minorHAnsi"/>
          <w:b/>
          <w:sz w:val="20"/>
          <w:szCs w:val="20"/>
        </w:rPr>
      </w:pPr>
      <w:r w:rsidRPr="002B21CF">
        <w:rPr>
          <w:rFonts w:ascii="Lato" w:hAnsi="Lato" w:cstheme="minorHAnsi"/>
          <w:b/>
          <w:sz w:val="20"/>
          <w:szCs w:val="20"/>
        </w:rPr>
        <w:t>V) CONCILIACIÓN ENTRE LOS INGRESOS PRESUPUESTARIOS Y CONTABLES, ASI COMO ENTRE LOS EGRESOS PRESUPUESTARIOS Y</w:t>
      </w:r>
      <w:r w:rsidR="001A5DBF" w:rsidRPr="002B21CF">
        <w:rPr>
          <w:rFonts w:ascii="Lato" w:hAnsi="Lato" w:cstheme="minorHAnsi"/>
          <w:b/>
          <w:sz w:val="20"/>
          <w:szCs w:val="20"/>
        </w:rPr>
        <w:t xml:space="preserve"> LOS</w:t>
      </w:r>
      <w:r w:rsidRPr="002B21CF">
        <w:rPr>
          <w:rFonts w:ascii="Lato" w:hAnsi="Lato" w:cstheme="minorHAnsi"/>
          <w:b/>
          <w:sz w:val="20"/>
          <w:szCs w:val="20"/>
        </w:rPr>
        <w:t xml:space="preserve"> GASTOS CONTABLES.</w:t>
      </w:r>
    </w:p>
    <w:p w14:paraId="4BFBB406" w14:textId="6E0B1503" w:rsidR="00F7431E" w:rsidRPr="002B21CF" w:rsidRDefault="008A37AF" w:rsidP="00F7431E">
      <w:pPr>
        <w:pStyle w:val="Prrafodelista"/>
        <w:numPr>
          <w:ilvl w:val="0"/>
          <w:numId w:val="11"/>
        </w:numPr>
        <w:autoSpaceDE w:val="0"/>
        <w:autoSpaceDN w:val="0"/>
        <w:adjustRightInd w:val="0"/>
        <w:spacing w:line="360" w:lineRule="auto"/>
        <w:jc w:val="both"/>
        <w:rPr>
          <w:rFonts w:ascii="Lato" w:hAnsi="Lato" w:cstheme="minorHAnsi"/>
          <w:sz w:val="20"/>
          <w:szCs w:val="20"/>
        </w:rPr>
      </w:pPr>
      <w:r w:rsidRPr="002B21CF">
        <w:rPr>
          <w:rFonts w:ascii="Lato" w:hAnsi="Lato" w:cstheme="minorHAnsi"/>
          <w:bCs/>
          <w:sz w:val="20"/>
          <w:szCs w:val="20"/>
        </w:rPr>
        <w:t xml:space="preserve">Conciliación de ingresos presupuestarios y contables del 1 de enero </w:t>
      </w:r>
      <w:r w:rsidR="0086690E" w:rsidRPr="002B21CF">
        <w:rPr>
          <w:rFonts w:ascii="Lato" w:hAnsi="Lato" w:cstheme="minorHAnsi"/>
          <w:bCs/>
          <w:sz w:val="20"/>
          <w:szCs w:val="20"/>
        </w:rPr>
        <w:t>al 28 de febrero de 2026</w:t>
      </w:r>
    </w:p>
    <w:tbl>
      <w:tblPr>
        <w:tblpPr w:leftFromText="141" w:rightFromText="141" w:vertAnchor="text" w:horzAnchor="margin" w:tblpXSpec="center" w:tblpY="34"/>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
        <w:gridCol w:w="5647"/>
        <w:gridCol w:w="1276"/>
        <w:gridCol w:w="2126"/>
      </w:tblGrid>
      <w:tr w:rsidR="00AA132E" w:rsidRPr="002B21CF" w14:paraId="7C11274D" w14:textId="77777777" w:rsidTr="00B15152">
        <w:trPr>
          <w:trHeight w:val="167"/>
        </w:trPr>
        <w:tc>
          <w:tcPr>
            <w:tcW w:w="5807" w:type="dxa"/>
            <w:gridSpan w:val="2"/>
            <w:shd w:val="clear" w:color="000000" w:fill="C0C0C0"/>
            <w:vAlign w:val="center"/>
            <w:hideMark/>
          </w:tcPr>
          <w:p w14:paraId="318034C1" w14:textId="77777777" w:rsidR="00AA132E" w:rsidRPr="002B21CF" w:rsidRDefault="00AA132E" w:rsidP="00AA132E">
            <w:pPr>
              <w:jc w:val="both"/>
              <w:rPr>
                <w:rFonts w:ascii="Lato" w:hAnsi="Lato" w:cstheme="minorHAnsi"/>
                <w:b/>
                <w:bCs/>
                <w:color w:val="000000"/>
                <w:sz w:val="20"/>
                <w:szCs w:val="20"/>
                <w:lang w:eastAsia="es-MX"/>
              </w:rPr>
            </w:pPr>
            <w:r w:rsidRPr="002B21CF">
              <w:rPr>
                <w:rFonts w:ascii="Lato" w:hAnsi="Lato" w:cstheme="minorHAnsi"/>
                <w:b/>
                <w:bCs/>
                <w:color w:val="000000"/>
                <w:sz w:val="20"/>
                <w:szCs w:val="20"/>
                <w:lang w:eastAsia="es-MX"/>
              </w:rPr>
              <w:t>1. Ingresos Presupuestarios</w:t>
            </w:r>
          </w:p>
        </w:tc>
        <w:tc>
          <w:tcPr>
            <w:tcW w:w="1276" w:type="dxa"/>
            <w:shd w:val="clear" w:color="auto" w:fill="BFBFBF" w:themeFill="background1" w:themeFillShade="BF"/>
            <w:vAlign w:val="center"/>
            <w:hideMark/>
          </w:tcPr>
          <w:p w14:paraId="1E749F17" w14:textId="77777777" w:rsidR="00AA132E" w:rsidRPr="002B21CF" w:rsidRDefault="00AA132E" w:rsidP="00AA132E">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 </w:t>
            </w:r>
          </w:p>
        </w:tc>
        <w:tc>
          <w:tcPr>
            <w:tcW w:w="2126" w:type="dxa"/>
            <w:shd w:val="clear" w:color="000000" w:fill="C0C0C0"/>
            <w:vAlign w:val="center"/>
            <w:hideMark/>
          </w:tcPr>
          <w:p w14:paraId="7B07FA10" w14:textId="1207C828" w:rsidR="00AA132E" w:rsidRPr="002B21CF" w:rsidRDefault="00AA132E" w:rsidP="009C528C">
            <w:pPr>
              <w:ind w:right="-140"/>
              <w:jc w:val="both"/>
              <w:rPr>
                <w:rFonts w:ascii="Lato" w:hAnsi="Lato" w:cstheme="minorHAnsi"/>
                <w:b/>
                <w:bCs/>
                <w:color w:val="000000"/>
                <w:sz w:val="20"/>
                <w:szCs w:val="20"/>
                <w:lang w:eastAsia="es-MX"/>
              </w:rPr>
            </w:pPr>
            <w:r w:rsidRPr="002B21CF">
              <w:rPr>
                <w:rFonts w:ascii="Lato" w:hAnsi="Lato" w:cstheme="minorHAnsi"/>
                <w:b/>
                <w:bCs/>
                <w:color w:val="000000"/>
                <w:sz w:val="20"/>
                <w:szCs w:val="20"/>
                <w:lang w:eastAsia="es-MX"/>
              </w:rPr>
              <w:t xml:space="preserve"> </w:t>
            </w:r>
            <w:r w:rsidR="009C528C" w:rsidRPr="002B21CF">
              <w:rPr>
                <w:rFonts w:ascii="Lato" w:hAnsi="Lato" w:cstheme="minorHAnsi"/>
                <w:b/>
                <w:bCs/>
                <w:color w:val="000000"/>
                <w:sz w:val="20"/>
                <w:szCs w:val="20"/>
                <w:lang w:eastAsia="es-MX"/>
              </w:rPr>
              <w:t xml:space="preserve">          </w:t>
            </w:r>
            <w:r w:rsidR="00B15152" w:rsidRPr="002B21CF">
              <w:rPr>
                <w:rFonts w:ascii="Lato" w:hAnsi="Lato" w:cstheme="minorHAnsi"/>
                <w:b/>
                <w:bCs/>
                <w:color w:val="000000"/>
                <w:sz w:val="20"/>
                <w:szCs w:val="20"/>
                <w:lang w:eastAsia="es-MX"/>
              </w:rPr>
              <w:t xml:space="preserve">$ </w:t>
            </w:r>
            <w:r w:rsidR="009C528C" w:rsidRPr="002B21CF">
              <w:rPr>
                <w:rFonts w:ascii="Lato" w:hAnsi="Lato" w:cstheme="minorHAnsi"/>
                <w:b/>
                <w:bCs/>
                <w:color w:val="000000"/>
                <w:sz w:val="20"/>
                <w:szCs w:val="20"/>
                <w:lang w:eastAsia="es-MX"/>
              </w:rPr>
              <w:t>0</w:t>
            </w:r>
            <w:r w:rsidRPr="002B21CF">
              <w:rPr>
                <w:rFonts w:ascii="Lato" w:hAnsi="Lato" w:cstheme="minorHAnsi"/>
                <w:b/>
                <w:bCs/>
                <w:color w:val="000000"/>
                <w:sz w:val="20"/>
                <w:szCs w:val="20"/>
                <w:lang w:eastAsia="es-MX"/>
              </w:rPr>
              <w:t>.</w:t>
            </w:r>
            <w:r w:rsidR="009C528C" w:rsidRPr="002B21CF">
              <w:rPr>
                <w:rFonts w:ascii="Lato" w:hAnsi="Lato" w:cstheme="minorHAnsi"/>
                <w:b/>
                <w:bCs/>
                <w:color w:val="000000"/>
                <w:sz w:val="20"/>
                <w:szCs w:val="20"/>
                <w:lang w:eastAsia="es-MX"/>
              </w:rPr>
              <w:t>0</w:t>
            </w:r>
            <w:r w:rsidR="009D4873" w:rsidRPr="002B21CF">
              <w:rPr>
                <w:rFonts w:ascii="Lato" w:hAnsi="Lato" w:cstheme="minorHAnsi"/>
                <w:b/>
                <w:bCs/>
                <w:color w:val="000000"/>
                <w:sz w:val="20"/>
                <w:szCs w:val="20"/>
                <w:lang w:eastAsia="es-MX"/>
              </w:rPr>
              <w:t>0</w:t>
            </w:r>
          </w:p>
        </w:tc>
      </w:tr>
      <w:tr w:rsidR="00AA132E" w:rsidRPr="002B21CF" w14:paraId="62977491" w14:textId="77777777" w:rsidTr="00B15152">
        <w:trPr>
          <w:trHeight w:val="205"/>
        </w:trPr>
        <w:tc>
          <w:tcPr>
            <w:tcW w:w="5807" w:type="dxa"/>
            <w:gridSpan w:val="2"/>
            <w:vAlign w:val="center"/>
            <w:hideMark/>
          </w:tcPr>
          <w:p w14:paraId="391DBFF7" w14:textId="77777777" w:rsidR="00AA132E" w:rsidRPr="002B21CF" w:rsidRDefault="00AA132E" w:rsidP="00AA132E">
            <w:pPr>
              <w:jc w:val="both"/>
              <w:rPr>
                <w:rFonts w:ascii="Lato" w:hAnsi="Lato" w:cstheme="minorHAnsi"/>
                <w:b/>
                <w:bCs/>
                <w:color w:val="000000"/>
                <w:sz w:val="20"/>
                <w:szCs w:val="20"/>
                <w:lang w:eastAsia="es-MX"/>
              </w:rPr>
            </w:pPr>
            <w:r w:rsidRPr="002B21CF">
              <w:rPr>
                <w:rFonts w:ascii="Lato" w:hAnsi="Lato" w:cstheme="minorHAnsi"/>
                <w:b/>
                <w:bCs/>
                <w:color w:val="000000"/>
                <w:sz w:val="20"/>
                <w:szCs w:val="20"/>
                <w:lang w:eastAsia="es-MX"/>
              </w:rPr>
              <w:t>2. Más ingresos contables no presupuestarios</w:t>
            </w:r>
          </w:p>
        </w:tc>
        <w:tc>
          <w:tcPr>
            <w:tcW w:w="1276" w:type="dxa"/>
            <w:vAlign w:val="center"/>
            <w:hideMark/>
          </w:tcPr>
          <w:p w14:paraId="455A3E79" w14:textId="77777777" w:rsidR="00AA132E" w:rsidRPr="002B21CF" w:rsidRDefault="00AA132E" w:rsidP="00AA132E">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 </w:t>
            </w:r>
          </w:p>
        </w:tc>
        <w:tc>
          <w:tcPr>
            <w:tcW w:w="2126" w:type="dxa"/>
            <w:vAlign w:val="center"/>
            <w:hideMark/>
          </w:tcPr>
          <w:p w14:paraId="321B7655" w14:textId="77777777" w:rsidR="00AA132E" w:rsidRPr="002B21CF" w:rsidRDefault="00AA132E" w:rsidP="00AA132E">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0.00</w:t>
            </w:r>
          </w:p>
        </w:tc>
      </w:tr>
      <w:tr w:rsidR="00AA132E" w:rsidRPr="002B21CF" w14:paraId="598D9D89" w14:textId="77777777" w:rsidTr="00B15152">
        <w:trPr>
          <w:trHeight w:val="153"/>
        </w:trPr>
        <w:tc>
          <w:tcPr>
            <w:tcW w:w="160" w:type="dxa"/>
            <w:vAlign w:val="center"/>
            <w:hideMark/>
          </w:tcPr>
          <w:p w14:paraId="675FC8C6" w14:textId="77777777" w:rsidR="00AA132E" w:rsidRPr="002B21CF" w:rsidRDefault="00AA132E" w:rsidP="00AA132E">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 </w:t>
            </w:r>
          </w:p>
        </w:tc>
        <w:tc>
          <w:tcPr>
            <w:tcW w:w="5647" w:type="dxa"/>
            <w:vAlign w:val="center"/>
            <w:hideMark/>
          </w:tcPr>
          <w:p w14:paraId="60A6358F" w14:textId="77777777" w:rsidR="00AA132E" w:rsidRPr="002B21CF" w:rsidRDefault="00AA132E" w:rsidP="00AA132E">
            <w:pPr>
              <w:rPr>
                <w:rFonts w:ascii="Lato" w:hAnsi="Lato" w:cstheme="minorHAnsi"/>
                <w:color w:val="000000"/>
                <w:sz w:val="20"/>
                <w:szCs w:val="20"/>
                <w:lang w:eastAsia="es-MX"/>
              </w:rPr>
            </w:pPr>
            <w:r w:rsidRPr="002B21CF">
              <w:rPr>
                <w:rFonts w:ascii="Lato" w:hAnsi="Lato" w:cstheme="minorHAnsi"/>
                <w:color w:val="000000"/>
                <w:sz w:val="20"/>
                <w:szCs w:val="20"/>
                <w:lang w:eastAsia="es-MX"/>
              </w:rPr>
              <w:t>Incremento por variación de inventarios</w:t>
            </w:r>
          </w:p>
        </w:tc>
        <w:tc>
          <w:tcPr>
            <w:tcW w:w="1276" w:type="dxa"/>
            <w:vAlign w:val="center"/>
            <w:hideMark/>
          </w:tcPr>
          <w:p w14:paraId="6361A2C9" w14:textId="77777777" w:rsidR="00AA132E" w:rsidRPr="002B21CF" w:rsidRDefault="00AA132E" w:rsidP="00AA132E">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0.00</w:t>
            </w:r>
          </w:p>
        </w:tc>
        <w:tc>
          <w:tcPr>
            <w:tcW w:w="2126" w:type="dxa"/>
            <w:vAlign w:val="center"/>
            <w:hideMark/>
          </w:tcPr>
          <w:p w14:paraId="33AEF22E" w14:textId="77777777" w:rsidR="00AA132E" w:rsidRPr="002B21CF" w:rsidRDefault="00AA132E" w:rsidP="00AA132E">
            <w:pPr>
              <w:jc w:val="right"/>
              <w:rPr>
                <w:rFonts w:ascii="Lato" w:hAnsi="Lato" w:cstheme="minorHAnsi"/>
                <w:color w:val="000000"/>
                <w:sz w:val="20"/>
                <w:szCs w:val="20"/>
                <w:lang w:eastAsia="es-MX"/>
              </w:rPr>
            </w:pPr>
          </w:p>
        </w:tc>
      </w:tr>
      <w:tr w:rsidR="00AA132E" w:rsidRPr="002B21CF" w14:paraId="1769002B" w14:textId="77777777" w:rsidTr="00B15152">
        <w:trPr>
          <w:trHeight w:val="151"/>
        </w:trPr>
        <w:tc>
          <w:tcPr>
            <w:tcW w:w="160" w:type="dxa"/>
            <w:vAlign w:val="center"/>
            <w:hideMark/>
          </w:tcPr>
          <w:p w14:paraId="28E16DE8" w14:textId="77777777" w:rsidR="00AA132E" w:rsidRPr="002B21CF" w:rsidRDefault="00AA132E" w:rsidP="00AA132E">
            <w:pPr>
              <w:jc w:val="both"/>
              <w:rPr>
                <w:rFonts w:ascii="Lato" w:hAnsi="Lato" w:cstheme="minorHAnsi"/>
                <w:color w:val="000000"/>
                <w:sz w:val="20"/>
                <w:szCs w:val="20"/>
                <w:lang w:eastAsia="es-MX"/>
              </w:rPr>
            </w:pPr>
          </w:p>
        </w:tc>
        <w:tc>
          <w:tcPr>
            <w:tcW w:w="5647" w:type="dxa"/>
            <w:vAlign w:val="center"/>
            <w:hideMark/>
          </w:tcPr>
          <w:p w14:paraId="6B422EA7" w14:textId="77777777" w:rsidR="00AA132E" w:rsidRPr="002B21CF" w:rsidRDefault="00AA132E" w:rsidP="00AA132E">
            <w:pPr>
              <w:rPr>
                <w:rFonts w:ascii="Lato" w:hAnsi="Lato" w:cstheme="minorHAnsi"/>
                <w:color w:val="000000"/>
                <w:sz w:val="20"/>
                <w:szCs w:val="20"/>
                <w:lang w:eastAsia="es-MX"/>
              </w:rPr>
            </w:pPr>
            <w:r w:rsidRPr="002B21CF">
              <w:rPr>
                <w:rFonts w:ascii="Lato" w:hAnsi="Lato" w:cstheme="minorHAnsi"/>
                <w:color w:val="000000"/>
                <w:sz w:val="20"/>
                <w:szCs w:val="20"/>
                <w:lang w:eastAsia="es-MX"/>
              </w:rPr>
              <w:t>Disminución del exceso de provisiones</w:t>
            </w:r>
          </w:p>
        </w:tc>
        <w:tc>
          <w:tcPr>
            <w:tcW w:w="1276" w:type="dxa"/>
            <w:vAlign w:val="center"/>
            <w:hideMark/>
          </w:tcPr>
          <w:p w14:paraId="6504A08C" w14:textId="77777777" w:rsidR="00AA132E" w:rsidRPr="002B21CF" w:rsidRDefault="00AA132E" w:rsidP="00AA132E">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0.00</w:t>
            </w:r>
          </w:p>
        </w:tc>
        <w:tc>
          <w:tcPr>
            <w:tcW w:w="2126" w:type="dxa"/>
            <w:vAlign w:val="center"/>
            <w:hideMark/>
          </w:tcPr>
          <w:p w14:paraId="7D8FF9A4" w14:textId="77777777" w:rsidR="00AA132E" w:rsidRPr="002B21CF" w:rsidRDefault="00AA132E" w:rsidP="00AA132E">
            <w:pPr>
              <w:jc w:val="right"/>
              <w:rPr>
                <w:rFonts w:ascii="Lato" w:hAnsi="Lato" w:cstheme="minorHAnsi"/>
                <w:color w:val="000000"/>
                <w:sz w:val="20"/>
                <w:szCs w:val="20"/>
                <w:lang w:eastAsia="es-MX"/>
              </w:rPr>
            </w:pPr>
          </w:p>
        </w:tc>
      </w:tr>
      <w:tr w:rsidR="00AA132E" w:rsidRPr="002B21CF" w14:paraId="660BE7EB" w14:textId="77777777" w:rsidTr="00B15152">
        <w:trPr>
          <w:trHeight w:val="98"/>
        </w:trPr>
        <w:tc>
          <w:tcPr>
            <w:tcW w:w="160" w:type="dxa"/>
            <w:vAlign w:val="center"/>
            <w:hideMark/>
          </w:tcPr>
          <w:p w14:paraId="32382134" w14:textId="77777777" w:rsidR="00AA132E" w:rsidRPr="002B21CF" w:rsidRDefault="00AA132E" w:rsidP="00AA132E">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 </w:t>
            </w:r>
          </w:p>
        </w:tc>
        <w:tc>
          <w:tcPr>
            <w:tcW w:w="5647" w:type="dxa"/>
            <w:vAlign w:val="center"/>
            <w:hideMark/>
          </w:tcPr>
          <w:p w14:paraId="2E5E887B" w14:textId="77777777" w:rsidR="00AA132E" w:rsidRPr="002B21CF" w:rsidRDefault="00AA132E" w:rsidP="00AA132E">
            <w:pPr>
              <w:rPr>
                <w:rFonts w:ascii="Lato" w:hAnsi="Lato" w:cstheme="minorHAnsi"/>
                <w:color w:val="000000"/>
                <w:sz w:val="20"/>
                <w:szCs w:val="20"/>
                <w:lang w:eastAsia="es-MX"/>
              </w:rPr>
            </w:pPr>
            <w:r w:rsidRPr="002B21CF">
              <w:rPr>
                <w:rFonts w:ascii="Lato" w:hAnsi="Lato" w:cstheme="minorHAnsi"/>
                <w:color w:val="000000"/>
                <w:sz w:val="20"/>
                <w:szCs w:val="20"/>
                <w:lang w:eastAsia="es-MX"/>
              </w:rPr>
              <w:t>Otros ingresos y beneficios varios</w:t>
            </w:r>
          </w:p>
        </w:tc>
        <w:tc>
          <w:tcPr>
            <w:tcW w:w="1276" w:type="dxa"/>
            <w:vAlign w:val="center"/>
            <w:hideMark/>
          </w:tcPr>
          <w:p w14:paraId="7BA6A02F" w14:textId="77777777" w:rsidR="00AA132E" w:rsidRPr="002B21CF" w:rsidRDefault="00AA132E" w:rsidP="00AA132E">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0.00</w:t>
            </w:r>
          </w:p>
        </w:tc>
        <w:tc>
          <w:tcPr>
            <w:tcW w:w="2126" w:type="dxa"/>
            <w:vAlign w:val="center"/>
            <w:hideMark/>
          </w:tcPr>
          <w:p w14:paraId="425C328B" w14:textId="77777777" w:rsidR="00AA132E" w:rsidRPr="002B21CF" w:rsidRDefault="00AA132E" w:rsidP="00AA132E">
            <w:pPr>
              <w:jc w:val="right"/>
              <w:rPr>
                <w:rFonts w:ascii="Lato" w:hAnsi="Lato" w:cstheme="minorHAnsi"/>
                <w:color w:val="000000"/>
                <w:sz w:val="20"/>
                <w:szCs w:val="20"/>
                <w:lang w:eastAsia="es-MX"/>
              </w:rPr>
            </w:pPr>
          </w:p>
        </w:tc>
      </w:tr>
      <w:tr w:rsidR="00AA132E" w:rsidRPr="002B21CF" w14:paraId="5C7C6387" w14:textId="77777777" w:rsidTr="00B15152">
        <w:trPr>
          <w:trHeight w:val="257"/>
        </w:trPr>
        <w:tc>
          <w:tcPr>
            <w:tcW w:w="5807" w:type="dxa"/>
            <w:gridSpan w:val="2"/>
            <w:vAlign w:val="center"/>
            <w:hideMark/>
          </w:tcPr>
          <w:p w14:paraId="71CD1203" w14:textId="77777777" w:rsidR="00AA132E" w:rsidRPr="002B21CF" w:rsidRDefault="00AA132E" w:rsidP="00AA132E">
            <w:pPr>
              <w:rPr>
                <w:rFonts w:ascii="Lato" w:hAnsi="Lato" w:cstheme="minorHAnsi"/>
                <w:color w:val="000000"/>
                <w:sz w:val="20"/>
                <w:szCs w:val="20"/>
                <w:lang w:eastAsia="es-MX"/>
              </w:rPr>
            </w:pPr>
            <w:r w:rsidRPr="002B21CF">
              <w:rPr>
                <w:rFonts w:ascii="Lato" w:hAnsi="Lato" w:cstheme="minorHAnsi"/>
                <w:color w:val="000000"/>
                <w:sz w:val="20"/>
                <w:szCs w:val="20"/>
                <w:lang w:eastAsia="es-MX"/>
              </w:rPr>
              <w:t>Otros ingresos contables no presupuestarios</w:t>
            </w:r>
          </w:p>
        </w:tc>
        <w:tc>
          <w:tcPr>
            <w:tcW w:w="1276" w:type="dxa"/>
            <w:vAlign w:val="center"/>
            <w:hideMark/>
          </w:tcPr>
          <w:p w14:paraId="6338EFA7" w14:textId="77777777" w:rsidR="00AA132E" w:rsidRPr="002B21CF" w:rsidRDefault="00AA132E" w:rsidP="00AA132E">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0.00</w:t>
            </w:r>
          </w:p>
        </w:tc>
        <w:tc>
          <w:tcPr>
            <w:tcW w:w="2126" w:type="dxa"/>
            <w:vAlign w:val="center"/>
            <w:hideMark/>
          </w:tcPr>
          <w:p w14:paraId="1A4ECF88" w14:textId="77777777" w:rsidR="00AA132E" w:rsidRPr="002B21CF" w:rsidRDefault="00AA132E" w:rsidP="00AA132E">
            <w:pPr>
              <w:jc w:val="right"/>
              <w:rPr>
                <w:rFonts w:ascii="Lato" w:hAnsi="Lato" w:cstheme="minorHAnsi"/>
                <w:color w:val="000000"/>
                <w:sz w:val="20"/>
                <w:szCs w:val="20"/>
                <w:lang w:eastAsia="es-MX"/>
              </w:rPr>
            </w:pPr>
          </w:p>
        </w:tc>
      </w:tr>
      <w:tr w:rsidR="00AA132E" w:rsidRPr="002B21CF" w14:paraId="4DCD5B5D" w14:textId="77777777" w:rsidTr="00B15152">
        <w:trPr>
          <w:trHeight w:val="149"/>
        </w:trPr>
        <w:tc>
          <w:tcPr>
            <w:tcW w:w="5807" w:type="dxa"/>
            <w:gridSpan w:val="2"/>
            <w:vAlign w:val="center"/>
            <w:hideMark/>
          </w:tcPr>
          <w:p w14:paraId="2B032B0E" w14:textId="77777777" w:rsidR="00AA132E" w:rsidRPr="002B21CF" w:rsidRDefault="00AA132E" w:rsidP="00AA132E">
            <w:pPr>
              <w:jc w:val="both"/>
              <w:rPr>
                <w:rFonts w:ascii="Lato" w:hAnsi="Lato" w:cstheme="minorHAnsi"/>
                <w:b/>
                <w:bCs/>
                <w:color w:val="000000"/>
                <w:sz w:val="20"/>
                <w:szCs w:val="20"/>
                <w:lang w:eastAsia="es-MX"/>
              </w:rPr>
            </w:pPr>
            <w:r w:rsidRPr="002B21CF">
              <w:rPr>
                <w:rFonts w:ascii="Lato" w:hAnsi="Lato" w:cstheme="minorHAnsi"/>
                <w:b/>
                <w:bCs/>
                <w:color w:val="000000"/>
                <w:sz w:val="20"/>
                <w:szCs w:val="20"/>
                <w:lang w:eastAsia="es-MX"/>
              </w:rPr>
              <w:t>3. Menos ingresos presupuestarios no contables</w:t>
            </w:r>
          </w:p>
        </w:tc>
        <w:tc>
          <w:tcPr>
            <w:tcW w:w="1276" w:type="dxa"/>
            <w:vAlign w:val="center"/>
            <w:hideMark/>
          </w:tcPr>
          <w:p w14:paraId="339778FA" w14:textId="77777777" w:rsidR="00AA132E" w:rsidRPr="002B21CF" w:rsidRDefault="00AA132E" w:rsidP="00AA132E">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 </w:t>
            </w:r>
          </w:p>
        </w:tc>
        <w:tc>
          <w:tcPr>
            <w:tcW w:w="2126" w:type="dxa"/>
            <w:vAlign w:val="center"/>
            <w:hideMark/>
          </w:tcPr>
          <w:p w14:paraId="5508CDD6" w14:textId="77777777" w:rsidR="00AA132E" w:rsidRPr="002B21CF" w:rsidRDefault="00AA132E" w:rsidP="00AA132E">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0.00</w:t>
            </w:r>
          </w:p>
        </w:tc>
      </w:tr>
      <w:tr w:rsidR="00AA132E" w:rsidRPr="002B21CF" w14:paraId="23835975" w14:textId="77777777" w:rsidTr="00B15152">
        <w:trPr>
          <w:trHeight w:val="239"/>
        </w:trPr>
        <w:tc>
          <w:tcPr>
            <w:tcW w:w="160" w:type="dxa"/>
            <w:vAlign w:val="center"/>
            <w:hideMark/>
          </w:tcPr>
          <w:p w14:paraId="5A36E9B5" w14:textId="77777777" w:rsidR="00AA132E" w:rsidRPr="002B21CF" w:rsidRDefault="00AA132E" w:rsidP="00AA132E">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 </w:t>
            </w:r>
          </w:p>
        </w:tc>
        <w:tc>
          <w:tcPr>
            <w:tcW w:w="5647" w:type="dxa"/>
            <w:vAlign w:val="center"/>
            <w:hideMark/>
          </w:tcPr>
          <w:p w14:paraId="07B0A650" w14:textId="77777777" w:rsidR="00AA132E" w:rsidRPr="002B21CF" w:rsidRDefault="00AA132E" w:rsidP="00AA132E">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Productos de capital</w:t>
            </w:r>
          </w:p>
        </w:tc>
        <w:tc>
          <w:tcPr>
            <w:tcW w:w="1276" w:type="dxa"/>
            <w:vAlign w:val="center"/>
            <w:hideMark/>
          </w:tcPr>
          <w:p w14:paraId="1EE91193" w14:textId="77777777" w:rsidR="00AA132E" w:rsidRPr="002B21CF" w:rsidRDefault="00AA132E" w:rsidP="00AA132E">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0.00</w:t>
            </w:r>
          </w:p>
        </w:tc>
        <w:tc>
          <w:tcPr>
            <w:tcW w:w="2126" w:type="dxa"/>
            <w:vAlign w:val="center"/>
            <w:hideMark/>
          </w:tcPr>
          <w:p w14:paraId="6E53E4F4" w14:textId="77777777" w:rsidR="00AA132E" w:rsidRPr="002B21CF" w:rsidRDefault="00AA132E" w:rsidP="00AA132E">
            <w:pPr>
              <w:jc w:val="right"/>
              <w:rPr>
                <w:rFonts w:ascii="Lato" w:hAnsi="Lato" w:cstheme="minorHAnsi"/>
                <w:color w:val="000000"/>
                <w:sz w:val="20"/>
                <w:szCs w:val="20"/>
                <w:lang w:eastAsia="es-MX"/>
              </w:rPr>
            </w:pPr>
          </w:p>
        </w:tc>
      </w:tr>
      <w:tr w:rsidR="00AA132E" w:rsidRPr="002B21CF" w14:paraId="2A814AAD" w14:textId="77777777" w:rsidTr="00B15152">
        <w:trPr>
          <w:trHeight w:val="257"/>
        </w:trPr>
        <w:tc>
          <w:tcPr>
            <w:tcW w:w="160" w:type="dxa"/>
            <w:vAlign w:val="center"/>
            <w:hideMark/>
          </w:tcPr>
          <w:p w14:paraId="010B97E1" w14:textId="77777777" w:rsidR="00AA132E" w:rsidRPr="002B21CF" w:rsidRDefault="00AA132E" w:rsidP="00AA132E">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 </w:t>
            </w:r>
          </w:p>
        </w:tc>
        <w:tc>
          <w:tcPr>
            <w:tcW w:w="5647" w:type="dxa"/>
            <w:vAlign w:val="center"/>
            <w:hideMark/>
          </w:tcPr>
          <w:p w14:paraId="34CE32F5" w14:textId="77777777" w:rsidR="00AA132E" w:rsidRPr="002B21CF" w:rsidRDefault="00AA132E" w:rsidP="00AA132E">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Aprovechamientos capital</w:t>
            </w:r>
          </w:p>
        </w:tc>
        <w:tc>
          <w:tcPr>
            <w:tcW w:w="1276" w:type="dxa"/>
            <w:vAlign w:val="center"/>
            <w:hideMark/>
          </w:tcPr>
          <w:p w14:paraId="6585BEE3" w14:textId="77777777" w:rsidR="00AA132E" w:rsidRPr="002B21CF" w:rsidRDefault="00AA132E" w:rsidP="00AA132E">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0.00</w:t>
            </w:r>
          </w:p>
        </w:tc>
        <w:tc>
          <w:tcPr>
            <w:tcW w:w="2126" w:type="dxa"/>
            <w:vAlign w:val="center"/>
            <w:hideMark/>
          </w:tcPr>
          <w:p w14:paraId="56F906A8" w14:textId="77777777" w:rsidR="00AA132E" w:rsidRPr="002B21CF" w:rsidRDefault="00AA132E" w:rsidP="00AA132E">
            <w:pPr>
              <w:jc w:val="right"/>
              <w:rPr>
                <w:rFonts w:ascii="Lato" w:hAnsi="Lato" w:cstheme="minorHAnsi"/>
                <w:color w:val="000000"/>
                <w:sz w:val="20"/>
                <w:szCs w:val="20"/>
                <w:lang w:eastAsia="es-MX"/>
              </w:rPr>
            </w:pPr>
          </w:p>
        </w:tc>
      </w:tr>
      <w:tr w:rsidR="00AA132E" w:rsidRPr="002B21CF" w14:paraId="749DB93A" w14:textId="77777777" w:rsidTr="00B15152">
        <w:trPr>
          <w:trHeight w:val="261"/>
        </w:trPr>
        <w:tc>
          <w:tcPr>
            <w:tcW w:w="160" w:type="dxa"/>
            <w:vAlign w:val="center"/>
            <w:hideMark/>
          </w:tcPr>
          <w:p w14:paraId="3D1A9B0D" w14:textId="77777777" w:rsidR="00AA132E" w:rsidRPr="002B21CF" w:rsidRDefault="00AA132E" w:rsidP="00AA132E">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 </w:t>
            </w:r>
          </w:p>
        </w:tc>
        <w:tc>
          <w:tcPr>
            <w:tcW w:w="5647" w:type="dxa"/>
            <w:vAlign w:val="center"/>
            <w:hideMark/>
          </w:tcPr>
          <w:p w14:paraId="40BB1126" w14:textId="77777777" w:rsidR="00AA132E" w:rsidRPr="002B21CF" w:rsidRDefault="00AA132E" w:rsidP="00AA132E">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Ingresos derivados de financiamientos</w:t>
            </w:r>
          </w:p>
        </w:tc>
        <w:tc>
          <w:tcPr>
            <w:tcW w:w="1276" w:type="dxa"/>
            <w:vAlign w:val="center"/>
            <w:hideMark/>
          </w:tcPr>
          <w:p w14:paraId="638DA6F5" w14:textId="77777777" w:rsidR="00AA132E" w:rsidRPr="002B21CF" w:rsidRDefault="00AA132E" w:rsidP="00AA132E">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0.00</w:t>
            </w:r>
          </w:p>
        </w:tc>
        <w:tc>
          <w:tcPr>
            <w:tcW w:w="2126" w:type="dxa"/>
            <w:vAlign w:val="center"/>
            <w:hideMark/>
          </w:tcPr>
          <w:p w14:paraId="4C4B0222" w14:textId="77777777" w:rsidR="00AA132E" w:rsidRPr="002B21CF" w:rsidRDefault="00AA132E" w:rsidP="00AA132E">
            <w:pPr>
              <w:jc w:val="right"/>
              <w:rPr>
                <w:rFonts w:ascii="Lato" w:hAnsi="Lato" w:cstheme="minorHAnsi"/>
                <w:color w:val="000000"/>
                <w:sz w:val="20"/>
                <w:szCs w:val="20"/>
                <w:lang w:eastAsia="es-MX"/>
              </w:rPr>
            </w:pPr>
          </w:p>
        </w:tc>
      </w:tr>
      <w:tr w:rsidR="00AA132E" w:rsidRPr="002B21CF" w14:paraId="7D47FBE7" w14:textId="77777777" w:rsidTr="00B15152">
        <w:trPr>
          <w:trHeight w:val="123"/>
        </w:trPr>
        <w:tc>
          <w:tcPr>
            <w:tcW w:w="5807" w:type="dxa"/>
            <w:gridSpan w:val="2"/>
            <w:vAlign w:val="center"/>
            <w:hideMark/>
          </w:tcPr>
          <w:p w14:paraId="61D7CEF8" w14:textId="77777777" w:rsidR="00AA132E" w:rsidRPr="002B21CF" w:rsidRDefault="00AA132E" w:rsidP="00AA132E">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Otros Ingresos presupuestarios no contables</w:t>
            </w:r>
          </w:p>
        </w:tc>
        <w:tc>
          <w:tcPr>
            <w:tcW w:w="1276" w:type="dxa"/>
            <w:vAlign w:val="center"/>
            <w:hideMark/>
          </w:tcPr>
          <w:p w14:paraId="2F2BE553" w14:textId="77777777" w:rsidR="00AA132E" w:rsidRPr="002B21CF" w:rsidRDefault="00AA132E" w:rsidP="00AA132E">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0.00</w:t>
            </w:r>
          </w:p>
        </w:tc>
        <w:tc>
          <w:tcPr>
            <w:tcW w:w="2126" w:type="dxa"/>
            <w:vAlign w:val="center"/>
            <w:hideMark/>
          </w:tcPr>
          <w:p w14:paraId="420963D7" w14:textId="77777777" w:rsidR="00AA132E" w:rsidRPr="002B21CF" w:rsidRDefault="00AA132E" w:rsidP="00AA132E">
            <w:pPr>
              <w:jc w:val="right"/>
              <w:rPr>
                <w:rFonts w:ascii="Lato" w:hAnsi="Lato" w:cstheme="minorHAnsi"/>
                <w:color w:val="000000"/>
                <w:sz w:val="20"/>
                <w:szCs w:val="20"/>
                <w:lang w:eastAsia="es-MX"/>
              </w:rPr>
            </w:pPr>
          </w:p>
        </w:tc>
      </w:tr>
      <w:tr w:rsidR="00AA132E" w:rsidRPr="002B21CF" w14:paraId="29AA9811" w14:textId="77777777" w:rsidTr="00B15152">
        <w:trPr>
          <w:trHeight w:val="348"/>
        </w:trPr>
        <w:tc>
          <w:tcPr>
            <w:tcW w:w="5807" w:type="dxa"/>
            <w:gridSpan w:val="2"/>
            <w:shd w:val="clear" w:color="000000" w:fill="C0C0C0"/>
            <w:vAlign w:val="center"/>
            <w:hideMark/>
          </w:tcPr>
          <w:p w14:paraId="4D97D417" w14:textId="77777777" w:rsidR="00AA132E" w:rsidRPr="002B21CF" w:rsidRDefault="00AA132E" w:rsidP="00AA132E">
            <w:pPr>
              <w:jc w:val="both"/>
              <w:rPr>
                <w:rFonts w:ascii="Lato" w:hAnsi="Lato" w:cstheme="minorHAnsi"/>
                <w:b/>
                <w:bCs/>
                <w:color w:val="000000"/>
                <w:sz w:val="20"/>
                <w:szCs w:val="20"/>
                <w:lang w:eastAsia="es-MX"/>
              </w:rPr>
            </w:pPr>
            <w:r w:rsidRPr="002B21CF">
              <w:rPr>
                <w:rFonts w:ascii="Lato" w:hAnsi="Lato" w:cstheme="minorHAnsi"/>
                <w:b/>
                <w:bCs/>
                <w:color w:val="000000"/>
                <w:sz w:val="20"/>
                <w:szCs w:val="20"/>
                <w:lang w:eastAsia="es-MX"/>
              </w:rPr>
              <w:t>4. Ingresos Contables (4 = 1 + 2 - 3)</w:t>
            </w:r>
          </w:p>
        </w:tc>
        <w:tc>
          <w:tcPr>
            <w:tcW w:w="1276" w:type="dxa"/>
            <w:vAlign w:val="center"/>
            <w:hideMark/>
          </w:tcPr>
          <w:p w14:paraId="54B043E8" w14:textId="77777777" w:rsidR="00AA132E" w:rsidRPr="002B21CF" w:rsidRDefault="00AA132E" w:rsidP="00AA132E">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 </w:t>
            </w:r>
          </w:p>
        </w:tc>
        <w:tc>
          <w:tcPr>
            <w:tcW w:w="2126" w:type="dxa"/>
            <w:shd w:val="clear" w:color="000000" w:fill="C0C0C0"/>
            <w:vAlign w:val="center"/>
            <w:hideMark/>
          </w:tcPr>
          <w:p w14:paraId="0929F50D" w14:textId="1E933FEA" w:rsidR="00AA132E" w:rsidRPr="002B21CF" w:rsidRDefault="00AA132E" w:rsidP="009C528C">
            <w:pPr>
              <w:ind w:right="-140"/>
              <w:rPr>
                <w:rFonts w:ascii="Lato" w:hAnsi="Lato" w:cstheme="minorHAnsi"/>
                <w:b/>
                <w:bCs/>
                <w:color w:val="000000"/>
                <w:sz w:val="20"/>
                <w:szCs w:val="20"/>
                <w:lang w:eastAsia="es-MX"/>
              </w:rPr>
            </w:pPr>
            <w:r w:rsidRPr="002B21CF">
              <w:rPr>
                <w:rFonts w:ascii="Lato" w:hAnsi="Lato" w:cstheme="minorHAnsi"/>
                <w:b/>
                <w:bCs/>
                <w:color w:val="000000"/>
                <w:sz w:val="20"/>
                <w:szCs w:val="20"/>
                <w:lang w:eastAsia="es-MX"/>
              </w:rPr>
              <w:t xml:space="preserve"> </w:t>
            </w:r>
            <w:r w:rsidR="009C528C" w:rsidRPr="002B21CF">
              <w:rPr>
                <w:rFonts w:ascii="Lato" w:hAnsi="Lato" w:cstheme="minorHAnsi"/>
                <w:b/>
                <w:bCs/>
                <w:color w:val="000000"/>
                <w:sz w:val="20"/>
                <w:szCs w:val="20"/>
                <w:lang w:eastAsia="es-MX"/>
              </w:rPr>
              <w:t xml:space="preserve">          </w:t>
            </w:r>
            <w:r w:rsidR="00B15152" w:rsidRPr="002B21CF">
              <w:rPr>
                <w:rFonts w:ascii="Lato" w:hAnsi="Lato" w:cstheme="minorHAnsi"/>
                <w:b/>
                <w:bCs/>
                <w:color w:val="000000"/>
                <w:sz w:val="20"/>
                <w:szCs w:val="20"/>
                <w:lang w:eastAsia="es-MX"/>
              </w:rPr>
              <w:t xml:space="preserve">$ </w:t>
            </w:r>
            <w:r w:rsidR="009C528C" w:rsidRPr="002B21CF">
              <w:rPr>
                <w:rFonts w:ascii="Lato" w:hAnsi="Lato" w:cstheme="minorHAnsi"/>
                <w:b/>
                <w:bCs/>
                <w:color w:val="000000"/>
                <w:sz w:val="20"/>
                <w:szCs w:val="20"/>
                <w:lang w:eastAsia="es-MX"/>
              </w:rPr>
              <w:t>0</w:t>
            </w:r>
            <w:r w:rsidRPr="002B21CF">
              <w:rPr>
                <w:rFonts w:ascii="Lato" w:hAnsi="Lato" w:cstheme="minorHAnsi"/>
                <w:b/>
                <w:bCs/>
                <w:color w:val="000000"/>
                <w:sz w:val="20"/>
                <w:szCs w:val="20"/>
                <w:lang w:eastAsia="es-MX"/>
              </w:rPr>
              <w:t>.</w:t>
            </w:r>
            <w:r w:rsidR="009D4873" w:rsidRPr="002B21CF">
              <w:rPr>
                <w:rFonts w:ascii="Lato" w:hAnsi="Lato" w:cstheme="minorHAnsi"/>
                <w:b/>
                <w:bCs/>
                <w:color w:val="000000"/>
                <w:sz w:val="20"/>
                <w:szCs w:val="20"/>
                <w:lang w:eastAsia="es-MX"/>
              </w:rPr>
              <w:t>0</w:t>
            </w:r>
            <w:r w:rsidR="009C528C" w:rsidRPr="002B21CF">
              <w:rPr>
                <w:rFonts w:ascii="Lato" w:hAnsi="Lato" w:cstheme="minorHAnsi"/>
                <w:b/>
                <w:bCs/>
                <w:color w:val="000000"/>
                <w:sz w:val="20"/>
                <w:szCs w:val="20"/>
                <w:lang w:eastAsia="es-MX"/>
              </w:rPr>
              <w:t>0</w:t>
            </w:r>
          </w:p>
        </w:tc>
      </w:tr>
    </w:tbl>
    <w:p w14:paraId="2DE78B0D" w14:textId="6BD21BD9" w:rsidR="00F33332" w:rsidRPr="002B21CF" w:rsidRDefault="00F33332" w:rsidP="00DA1E17">
      <w:pPr>
        <w:autoSpaceDE w:val="0"/>
        <w:autoSpaceDN w:val="0"/>
        <w:adjustRightInd w:val="0"/>
        <w:jc w:val="both"/>
        <w:rPr>
          <w:rFonts w:ascii="Lato" w:hAnsi="Lato" w:cstheme="minorHAnsi"/>
          <w:bCs/>
          <w:sz w:val="20"/>
          <w:szCs w:val="20"/>
        </w:rPr>
      </w:pPr>
    </w:p>
    <w:p w14:paraId="768352D5" w14:textId="270DB116" w:rsidR="00AA132E" w:rsidRPr="002B21CF" w:rsidRDefault="00AA132E" w:rsidP="00DA1E17">
      <w:pPr>
        <w:autoSpaceDE w:val="0"/>
        <w:autoSpaceDN w:val="0"/>
        <w:adjustRightInd w:val="0"/>
        <w:jc w:val="both"/>
        <w:rPr>
          <w:rFonts w:ascii="Lato" w:hAnsi="Lato" w:cstheme="minorHAnsi"/>
          <w:bCs/>
          <w:sz w:val="20"/>
          <w:szCs w:val="20"/>
        </w:rPr>
      </w:pPr>
    </w:p>
    <w:p w14:paraId="534F6EA2" w14:textId="77777777" w:rsidR="00AA132E" w:rsidRPr="002B21CF" w:rsidRDefault="00AA132E" w:rsidP="00DA1E17">
      <w:pPr>
        <w:autoSpaceDE w:val="0"/>
        <w:autoSpaceDN w:val="0"/>
        <w:adjustRightInd w:val="0"/>
        <w:jc w:val="both"/>
        <w:rPr>
          <w:rFonts w:ascii="Lato" w:hAnsi="Lato" w:cstheme="minorHAnsi"/>
          <w:bCs/>
          <w:sz w:val="20"/>
          <w:szCs w:val="20"/>
        </w:rPr>
      </w:pPr>
    </w:p>
    <w:p w14:paraId="5069E530" w14:textId="098A322A" w:rsidR="00F33332" w:rsidRPr="002B21CF" w:rsidRDefault="00F33332" w:rsidP="00DA1E17">
      <w:pPr>
        <w:autoSpaceDE w:val="0"/>
        <w:autoSpaceDN w:val="0"/>
        <w:adjustRightInd w:val="0"/>
        <w:jc w:val="both"/>
        <w:rPr>
          <w:rFonts w:ascii="Lato" w:hAnsi="Lato" w:cstheme="minorHAnsi"/>
          <w:bCs/>
          <w:sz w:val="20"/>
          <w:szCs w:val="20"/>
        </w:rPr>
      </w:pPr>
    </w:p>
    <w:p w14:paraId="15B332ED" w14:textId="16B57462" w:rsidR="00F33332" w:rsidRPr="002B21CF" w:rsidRDefault="00F33332" w:rsidP="00DA1E17">
      <w:pPr>
        <w:autoSpaceDE w:val="0"/>
        <w:autoSpaceDN w:val="0"/>
        <w:adjustRightInd w:val="0"/>
        <w:jc w:val="both"/>
        <w:rPr>
          <w:rFonts w:ascii="Lato" w:hAnsi="Lato" w:cstheme="minorHAnsi"/>
          <w:bCs/>
          <w:sz w:val="20"/>
          <w:szCs w:val="20"/>
        </w:rPr>
      </w:pPr>
    </w:p>
    <w:p w14:paraId="4A3E959D" w14:textId="5DFE82D9" w:rsidR="00F33332" w:rsidRPr="002B21CF" w:rsidRDefault="00F33332" w:rsidP="00DA1E17">
      <w:pPr>
        <w:autoSpaceDE w:val="0"/>
        <w:autoSpaceDN w:val="0"/>
        <w:adjustRightInd w:val="0"/>
        <w:jc w:val="both"/>
        <w:rPr>
          <w:rFonts w:ascii="Lato" w:hAnsi="Lato" w:cstheme="minorHAnsi"/>
          <w:bCs/>
          <w:sz w:val="20"/>
          <w:szCs w:val="20"/>
        </w:rPr>
      </w:pPr>
    </w:p>
    <w:p w14:paraId="07EE9E5F" w14:textId="683E4653" w:rsidR="00F33332" w:rsidRPr="002B21CF" w:rsidRDefault="00F33332" w:rsidP="00DA1E17">
      <w:pPr>
        <w:autoSpaceDE w:val="0"/>
        <w:autoSpaceDN w:val="0"/>
        <w:adjustRightInd w:val="0"/>
        <w:jc w:val="both"/>
        <w:rPr>
          <w:rFonts w:ascii="Lato" w:hAnsi="Lato" w:cstheme="minorHAnsi"/>
          <w:bCs/>
          <w:sz w:val="20"/>
          <w:szCs w:val="20"/>
        </w:rPr>
      </w:pPr>
    </w:p>
    <w:p w14:paraId="381CD79D" w14:textId="4588665F" w:rsidR="00F33332" w:rsidRPr="002B21CF" w:rsidRDefault="00F33332" w:rsidP="00DA1E17">
      <w:pPr>
        <w:autoSpaceDE w:val="0"/>
        <w:autoSpaceDN w:val="0"/>
        <w:adjustRightInd w:val="0"/>
        <w:jc w:val="both"/>
        <w:rPr>
          <w:rFonts w:ascii="Lato" w:hAnsi="Lato" w:cstheme="minorHAnsi"/>
          <w:bCs/>
          <w:sz w:val="20"/>
          <w:szCs w:val="20"/>
        </w:rPr>
      </w:pPr>
    </w:p>
    <w:p w14:paraId="1CCC172A" w14:textId="5CA17921" w:rsidR="00F33332" w:rsidRPr="002B21CF" w:rsidRDefault="00F33332" w:rsidP="00DA1E17">
      <w:pPr>
        <w:autoSpaceDE w:val="0"/>
        <w:autoSpaceDN w:val="0"/>
        <w:adjustRightInd w:val="0"/>
        <w:jc w:val="both"/>
        <w:rPr>
          <w:rFonts w:ascii="Lato" w:hAnsi="Lato" w:cstheme="minorHAnsi"/>
          <w:bCs/>
          <w:sz w:val="20"/>
          <w:szCs w:val="20"/>
        </w:rPr>
      </w:pPr>
    </w:p>
    <w:p w14:paraId="39B0BCC8" w14:textId="77777777" w:rsidR="00F33332" w:rsidRPr="002B21CF" w:rsidRDefault="00F33332" w:rsidP="00DA1E17">
      <w:pPr>
        <w:autoSpaceDE w:val="0"/>
        <w:autoSpaceDN w:val="0"/>
        <w:adjustRightInd w:val="0"/>
        <w:jc w:val="both"/>
        <w:rPr>
          <w:rFonts w:ascii="Lato" w:hAnsi="Lato" w:cstheme="minorHAnsi"/>
          <w:bCs/>
          <w:sz w:val="20"/>
          <w:szCs w:val="20"/>
        </w:rPr>
      </w:pPr>
    </w:p>
    <w:p w14:paraId="36134862" w14:textId="77777777" w:rsidR="00F33332" w:rsidRPr="002B21CF" w:rsidRDefault="00F33332" w:rsidP="00DA1E17">
      <w:pPr>
        <w:autoSpaceDE w:val="0"/>
        <w:autoSpaceDN w:val="0"/>
        <w:adjustRightInd w:val="0"/>
        <w:jc w:val="both"/>
        <w:rPr>
          <w:rFonts w:ascii="Lato" w:hAnsi="Lato" w:cstheme="minorHAnsi"/>
          <w:bCs/>
          <w:sz w:val="20"/>
          <w:szCs w:val="20"/>
        </w:rPr>
      </w:pPr>
    </w:p>
    <w:p w14:paraId="1E0E2F09" w14:textId="684ED5D3" w:rsidR="00F873FD" w:rsidRPr="002B21CF" w:rsidRDefault="00F873FD" w:rsidP="00DA1E17">
      <w:pPr>
        <w:autoSpaceDE w:val="0"/>
        <w:autoSpaceDN w:val="0"/>
        <w:adjustRightInd w:val="0"/>
        <w:jc w:val="both"/>
        <w:rPr>
          <w:rFonts w:ascii="Lato" w:hAnsi="Lato" w:cstheme="minorHAnsi"/>
          <w:bCs/>
          <w:sz w:val="20"/>
          <w:szCs w:val="20"/>
        </w:rPr>
      </w:pPr>
    </w:p>
    <w:p w14:paraId="1F0A96C4" w14:textId="6120EB97" w:rsidR="006A5B85" w:rsidRPr="002B21CF" w:rsidRDefault="006A5B85" w:rsidP="00DA1E17">
      <w:pPr>
        <w:autoSpaceDE w:val="0"/>
        <w:autoSpaceDN w:val="0"/>
        <w:adjustRightInd w:val="0"/>
        <w:jc w:val="both"/>
        <w:rPr>
          <w:rFonts w:ascii="Lato" w:hAnsi="Lato" w:cstheme="minorHAnsi"/>
          <w:bCs/>
          <w:sz w:val="20"/>
          <w:szCs w:val="20"/>
        </w:rPr>
      </w:pPr>
    </w:p>
    <w:p w14:paraId="46FAF27F" w14:textId="2435C888" w:rsidR="00A06001" w:rsidRPr="002B21CF" w:rsidRDefault="00A06001" w:rsidP="00DA1E17">
      <w:pPr>
        <w:autoSpaceDE w:val="0"/>
        <w:autoSpaceDN w:val="0"/>
        <w:adjustRightInd w:val="0"/>
        <w:jc w:val="both"/>
        <w:rPr>
          <w:rFonts w:ascii="Lato" w:hAnsi="Lato" w:cstheme="minorHAnsi"/>
          <w:bCs/>
          <w:sz w:val="20"/>
          <w:szCs w:val="20"/>
        </w:rPr>
      </w:pPr>
    </w:p>
    <w:p w14:paraId="2EB960ED" w14:textId="2A19C2D8" w:rsidR="000769D2" w:rsidRPr="002B21CF" w:rsidRDefault="001A0A33" w:rsidP="001A0A33">
      <w:pPr>
        <w:pStyle w:val="Prrafodelista"/>
        <w:numPr>
          <w:ilvl w:val="0"/>
          <w:numId w:val="11"/>
        </w:numPr>
        <w:autoSpaceDE w:val="0"/>
        <w:autoSpaceDN w:val="0"/>
        <w:adjustRightInd w:val="0"/>
        <w:spacing w:line="360" w:lineRule="auto"/>
        <w:jc w:val="both"/>
        <w:rPr>
          <w:rFonts w:ascii="Lato" w:hAnsi="Lato" w:cstheme="minorHAnsi"/>
          <w:bCs/>
          <w:sz w:val="20"/>
          <w:szCs w:val="20"/>
        </w:rPr>
      </w:pPr>
      <w:r w:rsidRPr="002B21CF">
        <w:rPr>
          <w:rFonts w:ascii="Lato" w:hAnsi="Lato" w:cstheme="minorHAnsi"/>
          <w:bCs/>
          <w:sz w:val="20"/>
          <w:szCs w:val="20"/>
        </w:rPr>
        <w:t>C</w:t>
      </w:r>
      <w:r w:rsidR="000769D2" w:rsidRPr="002B21CF">
        <w:rPr>
          <w:rFonts w:ascii="Lato" w:hAnsi="Lato" w:cstheme="minorHAnsi"/>
          <w:bCs/>
          <w:sz w:val="20"/>
          <w:szCs w:val="20"/>
        </w:rPr>
        <w:t xml:space="preserve">onciliación de Egresos presupuestarios y gastos contables del 1 de enero </w:t>
      </w:r>
      <w:r w:rsidR="0086690E" w:rsidRPr="002B21CF">
        <w:rPr>
          <w:rFonts w:ascii="Lato" w:hAnsi="Lato" w:cstheme="minorHAnsi"/>
          <w:bCs/>
          <w:sz w:val="20"/>
          <w:szCs w:val="20"/>
        </w:rPr>
        <w:t>al 28 de febrero de 2026</w:t>
      </w:r>
    </w:p>
    <w:p w14:paraId="6733BD7D" w14:textId="77777777" w:rsidR="00A06001" w:rsidRPr="002B21CF" w:rsidRDefault="00A06001" w:rsidP="002B21CF">
      <w:pPr>
        <w:autoSpaceDE w:val="0"/>
        <w:autoSpaceDN w:val="0"/>
        <w:adjustRightInd w:val="0"/>
        <w:spacing w:line="360" w:lineRule="auto"/>
        <w:jc w:val="both"/>
        <w:rPr>
          <w:rFonts w:ascii="Lato" w:hAnsi="Lato" w:cstheme="minorHAnsi"/>
          <w:bCs/>
          <w:sz w:val="20"/>
          <w:szCs w:val="20"/>
        </w:rPr>
      </w:pPr>
    </w:p>
    <w:tbl>
      <w:tblPr>
        <w:tblpPr w:leftFromText="141" w:rightFromText="141" w:vertAnchor="text" w:horzAnchor="margin" w:tblpXSpec="center" w:tblpY="59"/>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60"/>
        <w:gridCol w:w="5498"/>
        <w:gridCol w:w="1842"/>
        <w:gridCol w:w="1985"/>
      </w:tblGrid>
      <w:tr w:rsidR="006A3710" w:rsidRPr="002B21CF" w14:paraId="058219E7" w14:textId="77777777" w:rsidTr="006A3710">
        <w:trPr>
          <w:trHeight w:val="211"/>
        </w:trPr>
        <w:tc>
          <w:tcPr>
            <w:tcW w:w="6658" w:type="dxa"/>
            <w:gridSpan w:val="2"/>
            <w:shd w:val="clear" w:color="000000" w:fill="C0C0C0"/>
            <w:vAlign w:val="center"/>
            <w:hideMark/>
          </w:tcPr>
          <w:p w14:paraId="50BF19D8" w14:textId="77777777" w:rsidR="006A3710" w:rsidRPr="002B21CF" w:rsidRDefault="006A3710" w:rsidP="006A3710">
            <w:pPr>
              <w:jc w:val="both"/>
              <w:rPr>
                <w:rFonts w:ascii="Lato" w:hAnsi="Lato" w:cstheme="minorHAnsi"/>
                <w:b/>
                <w:bCs/>
                <w:color w:val="000000"/>
                <w:sz w:val="20"/>
                <w:szCs w:val="20"/>
                <w:lang w:eastAsia="es-MX"/>
              </w:rPr>
            </w:pPr>
            <w:r w:rsidRPr="002B21CF">
              <w:rPr>
                <w:rFonts w:ascii="Lato" w:hAnsi="Lato" w:cstheme="minorHAnsi"/>
                <w:b/>
                <w:bCs/>
                <w:color w:val="000000"/>
                <w:sz w:val="20"/>
                <w:szCs w:val="20"/>
                <w:lang w:eastAsia="es-MX"/>
              </w:rPr>
              <w:t>1. Total de egresos (presupuestarios)</w:t>
            </w:r>
          </w:p>
        </w:tc>
        <w:tc>
          <w:tcPr>
            <w:tcW w:w="1842" w:type="dxa"/>
            <w:vAlign w:val="center"/>
            <w:hideMark/>
          </w:tcPr>
          <w:p w14:paraId="4E4F4883" w14:textId="77777777" w:rsidR="006A3710" w:rsidRPr="002B21CF" w:rsidRDefault="006A3710" w:rsidP="006A3710">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 </w:t>
            </w:r>
          </w:p>
        </w:tc>
        <w:tc>
          <w:tcPr>
            <w:tcW w:w="1985" w:type="dxa"/>
            <w:shd w:val="clear" w:color="000000" w:fill="C0C0C0"/>
            <w:vAlign w:val="center"/>
            <w:hideMark/>
          </w:tcPr>
          <w:p w14:paraId="529DA9A6" w14:textId="61A4D131" w:rsidR="006A3710" w:rsidRPr="002B21CF" w:rsidRDefault="006A3710" w:rsidP="00253D6A">
            <w:pPr>
              <w:jc w:val="right"/>
              <w:rPr>
                <w:rFonts w:ascii="Lato" w:hAnsi="Lato" w:cstheme="minorHAnsi"/>
                <w:b/>
                <w:bCs/>
                <w:color w:val="000000"/>
                <w:sz w:val="20"/>
                <w:szCs w:val="20"/>
                <w:lang w:eastAsia="es-MX"/>
              </w:rPr>
            </w:pPr>
            <w:r w:rsidRPr="002B21CF">
              <w:rPr>
                <w:rFonts w:ascii="Lato" w:hAnsi="Lato" w:cstheme="minorHAnsi"/>
                <w:b/>
                <w:bCs/>
                <w:color w:val="000000"/>
                <w:sz w:val="20"/>
                <w:szCs w:val="20"/>
                <w:lang w:eastAsia="es-MX"/>
              </w:rPr>
              <w:t>$</w:t>
            </w:r>
            <w:r w:rsidR="00253D6A" w:rsidRPr="002B21CF">
              <w:rPr>
                <w:rFonts w:ascii="Lato" w:hAnsi="Lato" w:cstheme="minorHAnsi"/>
                <w:b/>
                <w:bCs/>
                <w:color w:val="000000"/>
                <w:sz w:val="20"/>
                <w:szCs w:val="20"/>
                <w:lang w:eastAsia="es-MX"/>
              </w:rPr>
              <w:t>0</w:t>
            </w:r>
            <w:r w:rsidRPr="002B21CF">
              <w:rPr>
                <w:rFonts w:ascii="Lato" w:hAnsi="Lato" w:cstheme="minorHAnsi"/>
                <w:b/>
                <w:bCs/>
                <w:color w:val="000000"/>
                <w:sz w:val="20"/>
                <w:szCs w:val="20"/>
                <w:lang w:eastAsia="es-MX"/>
              </w:rPr>
              <w:t>.0</w:t>
            </w:r>
            <w:r w:rsidR="00253D6A" w:rsidRPr="002B21CF">
              <w:rPr>
                <w:rFonts w:ascii="Lato" w:hAnsi="Lato" w:cstheme="minorHAnsi"/>
                <w:b/>
                <w:bCs/>
                <w:color w:val="000000"/>
                <w:sz w:val="20"/>
                <w:szCs w:val="20"/>
                <w:lang w:eastAsia="es-MX"/>
              </w:rPr>
              <w:t>0</w:t>
            </w:r>
          </w:p>
        </w:tc>
      </w:tr>
      <w:tr w:rsidR="006A3710" w:rsidRPr="002B21CF" w14:paraId="193F9AF3" w14:textId="77777777" w:rsidTr="006A3710">
        <w:trPr>
          <w:trHeight w:val="257"/>
        </w:trPr>
        <w:tc>
          <w:tcPr>
            <w:tcW w:w="6658" w:type="dxa"/>
            <w:gridSpan w:val="2"/>
            <w:vAlign w:val="center"/>
            <w:hideMark/>
          </w:tcPr>
          <w:p w14:paraId="6B28692A" w14:textId="77777777" w:rsidR="006A3710" w:rsidRPr="002B21CF" w:rsidRDefault="006A3710" w:rsidP="006A3710">
            <w:pPr>
              <w:jc w:val="both"/>
              <w:rPr>
                <w:rFonts w:ascii="Lato" w:hAnsi="Lato" w:cstheme="minorHAnsi"/>
                <w:b/>
                <w:bCs/>
                <w:color w:val="000000"/>
                <w:sz w:val="20"/>
                <w:szCs w:val="20"/>
                <w:lang w:eastAsia="es-MX"/>
              </w:rPr>
            </w:pPr>
            <w:r w:rsidRPr="002B21CF">
              <w:rPr>
                <w:rFonts w:ascii="Lato" w:hAnsi="Lato" w:cstheme="minorHAnsi"/>
                <w:b/>
                <w:bCs/>
                <w:color w:val="000000"/>
                <w:sz w:val="20"/>
                <w:szCs w:val="20"/>
                <w:lang w:eastAsia="es-MX"/>
              </w:rPr>
              <w:t>2. Menos egresos presupuestarios no contables</w:t>
            </w:r>
          </w:p>
        </w:tc>
        <w:tc>
          <w:tcPr>
            <w:tcW w:w="1842" w:type="dxa"/>
            <w:vAlign w:val="center"/>
            <w:hideMark/>
          </w:tcPr>
          <w:p w14:paraId="08575D95" w14:textId="77777777" w:rsidR="006A3710" w:rsidRPr="002B21CF" w:rsidRDefault="006A3710" w:rsidP="006A3710">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 </w:t>
            </w:r>
          </w:p>
        </w:tc>
        <w:tc>
          <w:tcPr>
            <w:tcW w:w="1985" w:type="dxa"/>
            <w:vAlign w:val="center"/>
            <w:hideMark/>
          </w:tcPr>
          <w:p w14:paraId="1AADD135" w14:textId="7F2CCC82" w:rsidR="006A3710" w:rsidRPr="002B21CF" w:rsidRDefault="006A3710" w:rsidP="00253D6A">
            <w:pPr>
              <w:jc w:val="right"/>
              <w:rPr>
                <w:rFonts w:ascii="Lato" w:hAnsi="Lato" w:cstheme="minorHAnsi"/>
                <w:b/>
                <w:bCs/>
                <w:color w:val="000000"/>
                <w:sz w:val="20"/>
                <w:szCs w:val="20"/>
                <w:lang w:eastAsia="es-MX"/>
              </w:rPr>
            </w:pPr>
            <w:r w:rsidRPr="002B21CF">
              <w:rPr>
                <w:rFonts w:ascii="Lato" w:hAnsi="Lato" w:cstheme="minorHAnsi"/>
                <w:b/>
                <w:bCs/>
                <w:color w:val="000000"/>
                <w:sz w:val="20"/>
                <w:szCs w:val="20"/>
                <w:lang w:eastAsia="es-MX"/>
              </w:rPr>
              <w:t>$ 0.</w:t>
            </w:r>
            <w:r w:rsidR="00253D6A" w:rsidRPr="002B21CF">
              <w:rPr>
                <w:rFonts w:ascii="Lato" w:hAnsi="Lato" w:cstheme="minorHAnsi"/>
                <w:b/>
                <w:bCs/>
                <w:color w:val="000000"/>
                <w:sz w:val="20"/>
                <w:szCs w:val="20"/>
                <w:lang w:eastAsia="es-MX"/>
              </w:rPr>
              <w:t>00</w:t>
            </w:r>
            <w:r w:rsidRPr="002B21CF">
              <w:rPr>
                <w:rFonts w:ascii="Lato" w:hAnsi="Lato" w:cstheme="minorHAnsi"/>
                <w:b/>
                <w:bCs/>
                <w:color w:val="000000"/>
                <w:sz w:val="20"/>
                <w:szCs w:val="20"/>
                <w:lang w:eastAsia="es-MX"/>
              </w:rPr>
              <w:t xml:space="preserve"> </w:t>
            </w:r>
          </w:p>
        </w:tc>
      </w:tr>
      <w:tr w:rsidR="006A3710" w:rsidRPr="002B21CF" w14:paraId="3D7A3890" w14:textId="77777777" w:rsidTr="006A3710">
        <w:trPr>
          <w:trHeight w:val="156"/>
        </w:trPr>
        <w:tc>
          <w:tcPr>
            <w:tcW w:w="1160" w:type="dxa"/>
            <w:vAlign w:val="center"/>
            <w:hideMark/>
          </w:tcPr>
          <w:p w14:paraId="382814B3" w14:textId="77777777" w:rsidR="006A3710" w:rsidRPr="002B21CF" w:rsidRDefault="006A3710" w:rsidP="006A3710">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 </w:t>
            </w:r>
          </w:p>
        </w:tc>
        <w:tc>
          <w:tcPr>
            <w:tcW w:w="5498" w:type="dxa"/>
            <w:vAlign w:val="center"/>
            <w:hideMark/>
          </w:tcPr>
          <w:p w14:paraId="74AEE83F" w14:textId="77777777" w:rsidR="006A3710" w:rsidRPr="002B21CF" w:rsidRDefault="006A3710" w:rsidP="006A3710">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Mobiliario y equipo de administración</w:t>
            </w:r>
          </w:p>
        </w:tc>
        <w:tc>
          <w:tcPr>
            <w:tcW w:w="1842" w:type="dxa"/>
            <w:vAlign w:val="center"/>
            <w:hideMark/>
          </w:tcPr>
          <w:p w14:paraId="7510B531" w14:textId="77777777" w:rsidR="006A3710" w:rsidRPr="002B21CF" w:rsidRDefault="006A3710" w:rsidP="006A3710">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0.00</w:t>
            </w:r>
          </w:p>
        </w:tc>
        <w:tc>
          <w:tcPr>
            <w:tcW w:w="1985" w:type="dxa"/>
            <w:vAlign w:val="center"/>
            <w:hideMark/>
          </w:tcPr>
          <w:p w14:paraId="1D03FFD4" w14:textId="77777777" w:rsidR="006A3710" w:rsidRPr="002B21CF" w:rsidRDefault="006A3710" w:rsidP="006A3710">
            <w:pPr>
              <w:jc w:val="right"/>
              <w:rPr>
                <w:rFonts w:ascii="Lato" w:hAnsi="Lato" w:cstheme="minorHAnsi"/>
                <w:color w:val="000000"/>
                <w:sz w:val="20"/>
                <w:szCs w:val="20"/>
                <w:lang w:eastAsia="es-MX"/>
              </w:rPr>
            </w:pPr>
          </w:p>
        </w:tc>
      </w:tr>
      <w:tr w:rsidR="006A3710" w:rsidRPr="002B21CF" w14:paraId="5C39586D" w14:textId="77777777" w:rsidTr="006A3710">
        <w:trPr>
          <w:trHeight w:val="201"/>
        </w:trPr>
        <w:tc>
          <w:tcPr>
            <w:tcW w:w="1160" w:type="dxa"/>
            <w:vAlign w:val="center"/>
            <w:hideMark/>
          </w:tcPr>
          <w:p w14:paraId="14D8D045" w14:textId="77777777" w:rsidR="006A3710" w:rsidRPr="002B21CF" w:rsidRDefault="006A3710" w:rsidP="006A3710">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 </w:t>
            </w:r>
          </w:p>
        </w:tc>
        <w:tc>
          <w:tcPr>
            <w:tcW w:w="5498" w:type="dxa"/>
            <w:vAlign w:val="center"/>
            <w:hideMark/>
          </w:tcPr>
          <w:p w14:paraId="5CBAA661" w14:textId="77777777" w:rsidR="006A3710" w:rsidRPr="002B21CF" w:rsidRDefault="006A3710" w:rsidP="006A3710">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Mobiliario y equipo educacional y recreativo</w:t>
            </w:r>
          </w:p>
        </w:tc>
        <w:tc>
          <w:tcPr>
            <w:tcW w:w="1842" w:type="dxa"/>
            <w:hideMark/>
          </w:tcPr>
          <w:p w14:paraId="7F8DC3BB" w14:textId="77777777" w:rsidR="006A3710" w:rsidRPr="002B21CF" w:rsidRDefault="006A3710" w:rsidP="006A3710">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0.00</w:t>
            </w:r>
          </w:p>
        </w:tc>
        <w:tc>
          <w:tcPr>
            <w:tcW w:w="1985" w:type="dxa"/>
            <w:hideMark/>
          </w:tcPr>
          <w:p w14:paraId="7C9ADDBB" w14:textId="77777777" w:rsidR="006A3710" w:rsidRPr="002B21CF" w:rsidRDefault="006A3710" w:rsidP="006A3710">
            <w:pPr>
              <w:jc w:val="right"/>
              <w:rPr>
                <w:rFonts w:ascii="Lato" w:hAnsi="Lato" w:cstheme="minorHAnsi"/>
                <w:color w:val="000000"/>
                <w:sz w:val="20"/>
                <w:szCs w:val="20"/>
                <w:lang w:eastAsia="es-MX"/>
              </w:rPr>
            </w:pPr>
          </w:p>
        </w:tc>
      </w:tr>
      <w:tr w:rsidR="006A3710" w:rsidRPr="002B21CF" w14:paraId="197B2C2D" w14:textId="77777777" w:rsidTr="006A3710">
        <w:trPr>
          <w:trHeight w:val="248"/>
        </w:trPr>
        <w:tc>
          <w:tcPr>
            <w:tcW w:w="1160" w:type="dxa"/>
            <w:vAlign w:val="center"/>
            <w:hideMark/>
          </w:tcPr>
          <w:p w14:paraId="1F02336D" w14:textId="77777777" w:rsidR="006A3710" w:rsidRPr="002B21CF" w:rsidRDefault="006A3710" w:rsidP="006A3710">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 </w:t>
            </w:r>
          </w:p>
        </w:tc>
        <w:tc>
          <w:tcPr>
            <w:tcW w:w="5498" w:type="dxa"/>
            <w:vAlign w:val="center"/>
            <w:hideMark/>
          </w:tcPr>
          <w:p w14:paraId="327BB0AB" w14:textId="77777777" w:rsidR="006A3710" w:rsidRPr="002B21CF" w:rsidRDefault="006A3710" w:rsidP="006A3710">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Equipo e instrumental médico y de laboratorio</w:t>
            </w:r>
          </w:p>
        </w:tc>
        <w:tc>
          <w:tcPr>
            <w:tcW w:w="1842" w:type="dxa"/>
            <w:hideMark/>
          </w:tcPr>
          <w:p w14:paraId="4E356251" w14:textId="77777777" w:rsidR="006A3710" w:rsidRPr="002B21CF" w:rsidRDefault="006A3710" w:rsidP="006A3710">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0.00</w:t>
            </w:r>
          </w:p>
        </w:tc>
        <w:tc>
          <w:tcPr>
            <w:tcW w:w="1985" w:type="dxa"/>
            <w:hideMark/>
          </w:tcPr>
          <w:p w14:paraId="7109A13A" w14:textId="77777777" w:rsidR="006A3710" w:rsidRPr="002B21CF" w:rsidRDefault="006A3710" w:rsidP="006A3710">
            <w:pPr>
              <w:jc w:val="right"/>
              <w:rPr>
                <w:rFonts w:ascii="Lato" w:hAnsi="Lato" w:cstheme="minorHAnsi"/>
                <w:color w:val="000000"/>
                <w:sz w:val="20"/>
                <w:szCs w:val="20"/>
                <w:lang w:eastAsia="es-MX"/>
              </w:rPr>
            </w:pPr>
          </w:p>
        </w:tc>
      </w:tr>
      <w:tr w:rsidR="00253D6A" w:rsidRPr="002B21CF" w14:paraId="3F66B9CC" w14:textId="77777777" w:rsidTr="001C07EE">
        <w:trPr>
          <w:trHeight w:val="109"/>
        </w:trPr>
        <w:tc>
          <w:tcPr>
            <w:tcW w:w="1160" w:type="dxa"/>
            <w:vAlign w:val="center"/>
            <w:hideMark/>
          </w:tcPr>
          <w:p w14:paraId="255A88CD" w14:textId="77777777" w:rsidR="00253D6A" w:rsidRPr="002B21CF" w:rsidRDefault="00253D6A" w:rsidP="00253D6A">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 </w:t>
            </w:r>
          </w:p>
        </w:tc>
        <w:tc>
          <w:tcPr>
            <w:tcW w:w="5498" w:type="dxa"/>
            <w:vAlign w:val="center"/>
            <w:hideMark/>
          </w:tcPr>
          <w:p w14:paraId="1D3EDAC5" w14:textId="77777777" w:rsidR="00253D6A" w:rsidRPr="002B21CF" w:rsidRDefault="00253D6A" w:rsidP="00253D6A">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Vehículos y equipo de transporte</w:t>
            </w:r>
          </w:p>
        </w:tc>
        <w:tc>
          <w:tcPr>
            <w:tcW w:w="1842" w:type="dxa"/>
            <w:hideMark/>
          </w:tcPr>
          <w:p w14:paraId="0F5B772F" w14:textId="19204D23" w:rsidR="00253D6A" w:rsidRPr="002B21CF" w:rsidRDefault="00253D6A" w:rsidP="00253D6A">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0.00</w:t>
            </w:r>
          </w:p>
        </w:tc>
        <w:tc>
          <w:tcPr>
            <w:tcW w:w="1985" w:type="dxa"/>
            <w:vAlign w:val="center"/>
            <w:hideMark/>
          </w:tcPr>
          <w:p w14:paraId="42F801B8" w14:textId="77777777" w:rsidR="00253D6A" w:rsidRPr="002B21CF" w:rsidRDefault="00253D6A" w:rsidP="00253D6A">
            <w:pPr>
              <w:jc w:val="right"/>
              <w:rPr>
                <w:rFonts w:ascii="Lato" w:hAnsi="Lato" w:cstheme="minorHAnsi"/>
                <w:color w:val="000000"/>
                <w:sz w:val="20"/>
                <w:szCs w:val="20"/>
                <w:lang w:eastAsia="es-MX"/>
              </w:rPr>
            </w:pPr>
          </w:p>
        </w:tc>
      </w:tr>
      <w:tr w:rsidR="00253D6A" w:rsidRPr="002B21CF" w14:paraId="1AE3C7DA" w14:textId="77777777" w:rsidTr="001C07EE">
        <w:trPr>
          <w:trHeight w:val="155"/>
        </w:trPr>
        <w:tc>
          <w:tcPr>
            <w:tcW w:w="1160" w:type="dxa"/>
            <w:vAlign w:val="center"/>
            <w:hideMark/>
          </w:tcPr>
          <w:p w14:paraId="62F2ABA9" w14:textId="77777777" w:rsidR="00253D6A" w:rsidRPr="002B21CF" w:rsidRDefault="00253D6A" w:rsidP="00253D6A">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 </w:t>
            </w:r>
          </w:p>
        </w:tc>
        <w:tc>
          <w:tcPr>
            <w:tcW w:w="5498" w:type="dxa"/>
            <w:vAlign w:val="center"/>
            <w:hideMark/>
          </w:tcPr>
          <w:p w14:paraId="12B06975" w14:textId="77777777" w:rsidR="00253D6A" w:rsidRPr="002B21CF" w:rsidRDefault="00253D6A" w:rsidP="00253D6A">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Equipo de defensa y seguridad</w:t>
            </w:r>
          </w:p>
        </w:tc>
        <w:tc>
          <w:tcPr>
            <w:tcW w:w="1842" w:type="dxa"/>
            <w:hideMark/>
          </w:tcPr>
          <w:p w14:paraId="14CA7909" w14:textId="2124E3B1" w:rsidR="00253D6A" w:rsidRPr="002B21CF" w:rsidRDefault="00253D6A" w:rsidP="00253D6A">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0.00</w:t>
            </w:r>
          </w:p>
        </w:tc>
        <w:tc>
          <w:tcPr>
            <w:tcW w:w="1985" w:type="dxa"/>
            <w:vAlign w:val="center"/>
            <w:hideMark/>
          </w:tcPr>
          <w:p w14:paraId="36920558" w14:textId="77777777" w:rsidR="00253D6A" w:rsidRPr="002B21CF" w:rsidRDefault="00253D6A" w:rsidP="00253D6A">
            <w:pPr>
              <w:jc w:val="right"/>
              <w:rPr>
                <w:rFonts w:ascii="Lato" w:hAnsi="Lato" w:cstheme="minorHAnsi"/>
                <w:color w:val="000000"/>
                <w:sz w:val="20"/>
                <w:szCs w:val="20"/>
                <w:lang w:eastAsia="es-MX"/>
              </w:rPr>
            </w:pPr>
          </w:p>
        </w:tc>
      </w:tr>
      <w:tr w:rsidR="00253D6A" w:rsidRPr="002B21CF" w14:paraId="51A24B2F" w14:textId="77777777" w:rsidTr="001C07EE">
        <w:trPr>
          <w:trHeight w:val="201"/>
        </w:trPr>
        <w:tc>
          <w:tcPr>
            <w:tcW w:w="1160" w:type="dxa"/>
            <w:vAlign w:val="center"/>
            <w:hideMark/>
          </w:tcPr>
          <w:p w14:paraId="2F76C998" w14:textId="77777777" w:rsidR="00253D6A" w:rsidRPr="002B21CF" w:rsidRDefault="00253D6A" w:rsidP="00253D6A">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 </w:t>
            </w:r>
          </w:p>
        </w:tc>
        <w:tc>
          <w:tcPr>
            <w:tcW w:w="5498" w:type="dxa"/>
            <w:vAlign w:val="center"/>
            <w:hideMark/>
          </w:tcPr>
          <w:p w14:paraId="7B20860F" w14:textId="77777777" w:rsidR="00253D6A" w:rsidRPr="002B21CF" w:rsidRDefault="00253D6A" w:rsidP="00253D6A">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Maquinaria, otros equipos y herramientas</w:t>
            </w:r>
          </w:p>
        </w:tc>
        <w:tc>
          <w:tcPr>
            <w:tcW w:w="1842" w:type="dxa"/>
            <w:hideMark/>
          </w:tcPr>
          <w:p w14:paraId="29C3F658" w14:textId="6981B30F" w:rsidR="00253D6A" w:rsidRPr="002B21CF" w:rsidRDefault="00253D6A" w:rsidP="00253D6A">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0.00</w:t>
            </w:r>
          </w:p>
        </w:tc>
        <w:tc>
          <w:tcPr>
            <w:tcW w:w="1985" w:type="dxa"/>
            <w:vAlign w:val="center"/>
            <w:hideMark/>
          </w:tcPr>
          <w:p w14:paraId="5DCE6269" w14:textId="77777777" w:rsidR="00253D6A" w:rsidRPr="002B21CF" w:rsidRDefault="00253D6A" w:rsidP="00253D6A">
            <w:pPr>
              <w:jc w:val="right"/>
              <w:rPr>
                <w:rFonts w:ascii="Lato" w:hAnsi="Lato" w:cstheme="minorHAnsi"/>
                <w:color w:val="000000"/>
                <w:sz w:val="20"/>
                <w:szCs w:val="20"/>
                <w:lang w:eastAsia="es-MX"/>
              </w:rPr>
            </w:pPr>
          </w:p>
        </w:tc>
      </w:tr>
      <w:tr w:rsidR="006A3710" w:rsidRPr="002B21CF" w14:paraId="4E085057" w14:textId="77777777" w:rsidTr="006A3710">
        <w:trPr>
          <w:trHeight w:val="105"/>
        </w:trPr>
        <w:tc>
          <w:tcPr>
            <w:tcW w:w="1160" w:type="dxa"/>
            <w:vAlign w:val="center"/>
            <w:hideMark/>
          </w:tcPr>
          <w:p w14:paraId="5A2B1946" w14:textId="77777777" w:rsidR="006A3710" w:rsidRPr="002B21CF" w:rsidRDefault="006A3710" w:rsidP="006A3710">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 </w:t>
            </w:r>
          </w:p>
        </w:tc>
        <w:tc>
          <w:tcPr>
            <w:tcW w:w="5498" w:type="dxa"/>
            <w:vAlign w:val="center"/>
            <w:hideMark/>
          </w:tcPr>
          <w:p w14:paraId="42756C0B" w14:textId="77777777" w:rsidR="006A3710" w:rsidRPr="002B21CF" w:rsidRDefault="006A3710" w:rsidP="006A3710">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Activos biológicos</w:t>
            </w:r>
          </w:p>
        </w:tc>
        <w:tc>
          <w:tcPr>
            <w:tcW w:w="1842" w:type="dxa"/>
            <w:vAlign w:val="center"/>
            <w:hideMark/>
          </w:tcPr>
          <w:p w14:paraId="2DBEC521" w14:textId="77777777" w:rsidR="006A3710" w:rsidRPr="002B21CF" w:rsidRDefault="006A3710" w:rsidP="006A3710">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0.00</w:t>
            </w:r>
          </w:p>
        </w:tc>
        <w:tc>
          <w:tcPr>
            <w:tcW w:w="1985" w:type="dxa"/>
            <w:vAlign w:val="center"/>
            <w:hideMark/>
          </w:tcPr>
          <w:p w14:paraId="0A9D4262" w14:textId="77777777" w:rsidR="006A3710" w:rsidRPr="002B21CF" w:rsidRDefault="006A3710" w:rsidP="006A3710">
            <w:pPr>
              <w:jc w:val="right"/>
              <w:rPr>
                <w:rFonts w:ascii="Lato" w:hAnsi="Lato" w:cstheme="minorHAnsi"/>
                <w:color w:val="000000"/>
                <w:sz w:val="20"/>
                <w:szCs w:val="20"/>
                <w:lang w:eastAsia="es-MX"/>
              </w:rPr>
            </w:pPr>
          </w:p>
        </w:tc>
      </w:tr>
      <w:tr w:rsidR="006A3710" w:rsidRPr="002B21CF" w14:paraId="0324626E" w14:textId="77777777" w:rsidTr="006A3710">
        <w:trPr>
          <w:trHeight w:val="48"/>
        </w:trPr>
        <w:tc>
          <w:tcPr>
            <w:tcW w:w="1160" w:type="dxa"/>
            <w:vAlign w:val="center"/>
            <w:hideMark/>
          </w:tcPr>
          <w:p w14:paraId="2FFEEFED" w14:textId="77777777" w:rsidR="006A3710" w:rsidRPr="002B21CF" w:rsidRDefault="006A3710" w:rsidP="006A3710">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 </w:t>
            </w:r>
          </w:p>
        </w:tc>
        <w:tc>
          <w:tcPr>
            <w:tcW w:w="5498" w:type="dxa"/>
            <w:vAlign w:val="center"/>
            <w:hideMark/>
          </w:tcPr>
          <w:p w14:paraId="6247142A" w14:textId="77777777" w:rsidR="006A3710" w:rsidRPr="002B21CF" w:rsidRDefault="006A3710" w:rsidP="006A3710">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Bienes inmuebles</w:t>
            </w:r>
          </w:p>
        </w:tc>
        <w:tc>
          <w:tcPr>
            <w:tcW w:w="1842" w:type="dxa"/>
            <w:vAlign w:val="center"/>
            <w:hideMark/>
          </w:tcPr>
          <w:p w14:paraId="5BDD6A85" w14:textId="77777777" w:rsidR="006A3710" w:rsidRPr="002B21CF" w:rsidRDefault="006A3710" w:rsidP="006A3710">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0.00</w:t>
            </w:r>
          </w:p>
        </w:tc>
        <w:tc>
          <w:tcPr>
            <w:tcW w:w="1985" w:type="dxa"/>
            <w:vAlign w:val="center"/>
            <w:hideMark/>
          </w:tcPr>
          <w:p w14:paraId="584C534C" w14:textId="77777777" w:rsidR="006A3710" w:rsidRPr="002B21CF" w:rsidRDefault="006A3710" w:rsidP="006A3710">
            <w:pPr>
              <w:jc w:val="right"/>
              <w:rPr>
                <w:rFonts w:ascii="Lato" w:hAnsi="Lato" w:cstheme="minorHAnsi"/>
                <w:color w:val="000000"/>
                <w:sz w:val="20"/>
                <w:szCs w:val="20"/>
                <w:lang w:eastAsia="es-MX"/>
              </w:rPr>
            </w:pPr>
          </w:p>
        </w:tc>
      </w:tr>
      <w:tr w:rsidR="006A3710" w:rsidRPr="002B21CF" w14:paraId="14A3556F" w14:textId="77777777" w:rsidTr="006A3710">
        <w:trPr>
          <w:trHeight w:val="55"/>
        </w:trPr>
        <w:tc>
          <w:tcPr>
            <w:tcW w:w="1160" w:type="dxa"/>
            <w:vAlign w:val="center"/>
            <w:hideMark/>
          </w:tcPr>
          <w:p w14:paraId="25E0C4F1" w14:textId="77777777" w:rsidR="006A3710" w:rsidRPr="002B21CF" w:rsidRDefault="006A3710" w:rsidP="006A3710">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 </w:t>
            </w:r>
          </w:p>
        </w:tc>
        <w:tc>
          <w:tcPr>
            <w:tcW w:w="5498" w:type="dxa"/>
            <w:vAlign w:val="center"/>
            <w:hideMark/>
          </w:tcPr>
          <w:p w14:paraId="3AF0271F" w14:textId="77777777" w:rsidR="006A3710" w:rsidRPr="002B21CF" w:rsidRDefault="006A3710" w:rsidP="006A3710">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Activos intangibles</w:t>
            </w:r>
          </w:p>
        </w:tc>
        <w:tc>
          <w:tcPr>
            <w:tcW w:w="1842" w:type="dxa"/>
            <w:vAlign w:val="center"/>
            <w:hideMark/>
          </w:tcPr>
          <w:p w14:paraId="2A19AB60" w14:textId="77777777" w:rsidR="006A3710" w:rsidRPr="002B21CF" w:rsidRDefault="006A3710" w:rsidP="006A3710">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0.00</w:t>
            </w:r>
          </w:p>
        </w:tc>
        <w:tc>
          <w:tcPr>
            <w:tcW w:w="1985" w:type="dxa"/>
            <w:vAlign w:val="center"/>
            <w:hideMark/>
          </w:tcPr>
          <w:p w14:paraId="35D056EB" w14:textId="77777777" w:rsidR="006A3710" w:rsidRPr="002B21CF" w:rsidRDefault="006A3710" w:rsidP="006A3710">
            <w:pPr>
              <w:jc w:val="right"/>
              <w:rPr>
                <w:rFonts w:ascii="Lato" w:hAnsi="Lato" w:cstheme="minorHAnsi"/>
                <w:color w:val="000000"/>
                <w:sz w:val="20"/>
                <w:szCs w:val="20"/>
                <w:lang w:eastAsia="es-MX"/>
              </w:rPr>
            </w:pPr>
          </w:p>
        </w:tc>
      </w:tr>
      <w:tr w:rsidR="006A3710" w:rsidRPr="002B21CF" w14:paraId="6C93A33B" w14:textId="77777777" w:rsidTr="006A3710">
        <w:trPr>
          <w:trHeight w:val="230"/>
        </w:trPr>
        <w:tc>
          <w:tcPr>
            <w:tcW w:w="1160" w:type="dxa"/>
            <w:vAlign w:val="center"/>
            <w:hideMark/>
          </w:tcPr>
          <w:p w14:paraId="5911318E" w14:textId="77777777" w:rsidR="006A3710" w:rsidRPr="002B21CF" w:rsidRDefault="006A3710" w:rsidP="006A3710">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 </w:t>
            </w:r>
          </w:p>
        </w:tc>
        <w:tc>
          <w:tcPr>
            <w:tcW w:w="5498" w:type="dxa"/>
            <w:vAlign w:val="center"/>
            <w:hideMark/>
          </w:tcPr>
          <w:p w14:paraId="03A6F134" w14:textId="77777777" w:rsidR="006A3710" w:rsidRPr="002B21CF" w:rsidRDefault="006A3710" w:rsidP="006A3710">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Obra pública en bienes propios</w:t>
            </w:r>
          </w:p>
        </w:tc>
        <w:tc>
          <w:tcPr>
            <w:tcW w:w="1842" w:type="dxa"/>
            <w:hideMark/>
          </w:tcPr>
          <w:p w14:paraId="367FF87C" w14:textId="77777777" w:rsidR="006A3710" w:rsidRPr="002B21CF" w:rsidRDefault="006A3710" w:rsidP="006A3710">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0.00</w:t>
            </w:r>
          </w:p>
        </w:tc>
        <w:tc>
          <w:tcPr>
            <w:tcW w:w="1985" w:type="dxa"/>
            <w:hideMark/>
          </w:tcPr>
          <w:p w14:paraId="666C8769" w14:textId="77777777" w:rsidR="006A3710" w:rsidRPr="002B21CF" w:rsidRDefault="006A3710" w:rsidP="006A3710">
            <w:pPr>
              <w:jc w:val="right"/>
              <w:rPr>
                <w:rFonts w:ascii="Lato" w:hAnsi="Lato" w:cstheme="minorHAnsi"/>
                <w:color w:val="000000"/>
                <w:sz w:val="20"/>
                <w:szCs w:val="20"/>
                <w:lang w:eastAsia="es-MX"/>
              </w:rPr>
            </w:pPr>
          </w:p>
        </w:tc>
      </w:tr>
      <w:tr w:rsidR="006A3710" w:rsidRPr="002B21CF" w14:paraId="2EFC3D60" w14:textId="77777777" w:rsidTr="006A3710">
        <w:trPr>
          <w:trHeight w:val="133"/>
        </w:trPr>
        <w:tc>
          <w:tcPr>
            <w:tcW w:w="6658" w:type="dxa"/>
            <w:gridSpan w:val="2"/>
            <w:vAlign w:val="center"/>
            <w:hideMark/>
          </w:tcPr>
          <w:p w14:paraId="76E9F156" w14:textId="77777777" w:rsidR="006A3710" w:rsidRPr="002B21CF" w:rsidRDefault="006A3710" w:rsidP="006A3710">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Otros Egresos Presupuestales No Contables</w:t>
            </w:r>
          </w:p>
        </w:tc>
        <w:tc>
          <w:tcPr>
            <w:tcW w:w="1842" w:type="dxa"/>
            <w:vAlign w:val="center"/>
            <w:hideMark/>
          </w:tcPr>
          <w:p w14:paraId="07DC6775" w14:textId="77777777" w:rsidR="006A3710" w:rsidRPr="002B21CF" w:rsidRDefault="006A3710" w:rsidP="006A3710">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0.00</w:t>
            </w:r>
          </w:p>
        </w:tc>
        <w:tc>
          <w:tcPr>
            <w:tcW w:w="1985" w:type="dxa"/>
            <w:vAlign w:val="center"/>
            <w:hideMark/>
          </w:tcPr>
          <w:p w14:paraId="2D79A6AE" w14:textId="77777777" w:rsidR="006A3710" w:rsidRPr="002B21CF" w:rsidRDefault="006A3710" w:rsidP="006A3710">
            <w:pPr>
              <w:jc w:val="right"/>
              <w:rPr>
                <w:rFonts w:ascii="Lato" w:hAnsi="Lato" w:cstheme="minorHAnsi"/>
                <w:color w:val="000000"/>
                <w:sz w:val="20"/>
                <w:szCs w:val="20"/>
                <w:lang w:eastAsia="es-MX"/>
              </w:rPr>
            </w:pPr>
          </w:p>
        </w:tc>
      </w:tr>
      <w:tr w:rsidR="006A3710" w:rsidRPr="002B21CF" w14:paraId="659CD3BF" w14:textId="77777777" w:rsidTr="006A3710">
        <w:trPr>
          <w:trHeight w:val="121"/>
        </w:trPr>
        <w:tc>
          <w:tcPr>
            <w:tcW w:w="6658" w:type="dxa"/>
            <w:gridSpan w:val="2"/>
            <w:vAlign w:val="center"/>
            <w:hideMark/>
          </w:tcPr>
          <w:p w14:paraId="1DCB4F63" w14:textId="77777777" w:rsidR="006A3710" w:rsidRPr="002B21CF" w:rsidRDefault="006A3710" w:rsidP="006A3710">
            <w:pPr>
              <w:jc w:val="both"/>
              <w:rPr>
                <w:rFonts w:ascii="Lato" w:hAnsi="Lato" w:cstheme="minorHAnsi"/>
                <w:b/>
                <w:bCs/>
                <w:color w:val="000000"/>
                <w:sz w:val="20"/>
                <w:szCs w:val="20"/>
                <w:lang w:eastAsia="es-MX"/>
              </w:rPr>
            </w:pPr>
            <w:r w:rsidRPr="002B21CF">
              <w:rPr>
                <w:rFonts w:ascii="Lato" w:hAnsi="Lato" w:cstheme="minorHAnsi"/>
                <w:b/>
                <w:bCs/>
                <w:color w:val="000000"/>
                <w:sz w:val="20"/>
                <w:szCs w:val="20"/>
                <w:lang w:eastAsia="es-MX"/>
              </w:rPr>
              <w:t>3. Más gastos contables no presupuestales</w:t>
            </w:r>
          </w:p>
        </w:tc>
        <w:tc>
          <w:tcPr>
            <w:tcW w:w="1842" w:type="dxa"/>
            <w:vAlign w:val="center"/>
            <w:hideMark/>
          </w:tcPr>
          <w:p w14:paraId="1BB155B2" w14:textId="77777777" w:rsidR="006A3710" w:rsidRPr="002B21CF" w:rsidRDefault="006A3710" w:rsidP="006A3710">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 </w:t>
            </w:r>
          </w:p>
        </w:tc>
        <w:tc>
          <w:tcPr>
            <w:tcW w:w="1985" w:type="dxa"/>
            <w:vAlign w:val="center"/>
            <w:hideMark/>
          </w:tcPr>
          <w:p w14:paraId="7D314123" w14:textId="246C2120" w:rsidR="006A3710" w:rsidRPr="002B21CF" w:rsidRDefault="006A3710" w:rsidP="00253D6A">
            <w:pPr>
              <w:jc w:val="right"/>
              <w:rPr>
                <w:rFonts w:ascii="Lato" w:hAnsi="Lato" w:cstheme="minorHAnsi"/>
                <w:b/>
                <w:bCs/>
                <w:color w:val="000000"/>
                <w:sz w:val="20"/>
                <w:szCs w:val="20"/>
                <w:lang w:eastAsia="es-MX"/>
              </w:rPr>
            </w:pPr>
            <w:r w:rsidRPr="002B21CF">
              <w:rPr>
                <w:rFonts w:ascii="Lato" w:hAnsi="Lato" w:cstheme="minorHAnsi"/>
                <w:b/>
                <w:bCs/>
                <w:color w:val="000000"/>
                <w:sz w:val="20"/>
                <w:szCs w:val="20"/>
                <w:lang w:eastAsia="es-MX"/>
              </w:rPr>
              <w:t>$ 0.</w:t>
            </w:r>
            <w:r w:rsidR="00253D6A" w:rsidRPr="002B21CF">
              <w:rPr>
                <w:rFonts w:ascii="Lato" w:hAnsi="Lato" w:cstheme="minorHAnsi"/>
                <w:b/>
                <w:bCs/>
                <w:color w:val="000000"/>
                <w:sz w:val="20"/>
                <w:szCs w:val="20"/>
                <w:lang w:eastAsia="es-MX"/>
              </w:rPr>
              <w:t>00</w:t>
            </w:r>
          </w:p>
        </w:tc>
      </w:tr>
      <w:tr w:rsidR="006A3710" w:rsidRPr="002B21CF" w14:paraId="7F85537F" w14:textId="77777777" w:rsidTr="006A3710">
        <w:trPr>
          <w:trHeight w:val="389"/>
        </w:trPr>
        <w:tc>
          <w:tcPr>
            <w:tcW w:w="1160" w:type="dxa"/>
            <w:vAlign w:val="center"/>
            <w:hideMark/>
          </w:tcPr>
          <w:p w14:paraId="4C74464A" w14:textId="77777777" w:rsidR="006A3710" w:rsidRPr="002B21CF" w:rsidRDefault="006A3710" w:rsidP="006A3710">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 </w:t>
            </w:r>
          </w:p>
        </w:tc>
        <w:tc>
          <w:tcPr>
            <w:tcW w:w="5498" w:type="dxa"/>
            <w:vAlign w:val="center"/>
            <w:hideMark/>
          </w:tcPr>
          <w:p w14:paraId="23B9610C" w14:textId="77777777" w:rsidR="006A3710" w:rsidRPr="002B21CF" w:rsidRDefault="006A3710" w:rsidP="006A3710">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Estimaciones, depreciaciones, deterioros, obsolescencia y amortizaciones</w:t>
            </w:r>
          </w:p>
        </w:tc>
        <w:tc>
          <w:tcPr>
            <w:tcW w:w="1842" w:type="dxa"/>
            <w:vAlign w:val="center"/>
            <w:hideMark/>
          </w:tcPr>
          <w:p w14:paraId="19CCCCDF" w14:textId="77777777" w:rsidR="006A3710" w:rsidRPr="002B21CF" w:rsidRDefault="006A3710" w:rsidP="006A3710">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0.00</w:t>
            </w:r>
          </w:p>
        </w:tc>
        <w:tc>
          <w:tcPr>
            <w:tcW w:w="1985" w:type="dxa"/>
            <w:vAlign w:val="center"/>
            <w:hideMark/>
          </w:tcPr>
          <w:p w14:paraId="60DC53BD" w14:textId="77777777" w:rsidR="006A3710" w:rsidRPr="002B21CF" w:rsidRDefault="006A3710" w:rsidP="006A3710">
            <w:pPr>
              <w:jc w:val="right"/>
              <w:rPr>
                <w:rFonts w:ascii="Lato" w:hAnsi="Lato" w:cstheme="minorHAnsi"/>
                <w:color w:val="000000"/>
                <w:sz w:val="20"/>
                <w:szCs w:val="20"/>
                <w:lang w:eastAsia="es-MX"/>
              </w:rPr>
            </w:pPr>
          </w:p>
        </w:tc>
      </w:tr>
      <w:tr w:rsidR="006A3710" w:rsidRPr="002B21CF" w14:paraId="1CB4E2EA" w14:textId="77777777" w:rsidTr="006A3710">
        <w:trPr>
          <w:trHeight w:val="202"/>
        </w:trPr>
        <w:tc>
          <w:tcPr>
            <w:tcW w:w="1160" w:type="dxa"/>
            <w:vAlign w:val="center"/>
            <w:hideMark/>
          </w:tcPr>
          <w:p w14:paraId="38E1272C" w14:textId="77777777" w:rsidR="006A3710" w:rsidRPr="002B21CF" w:rsidRDefault="006A3710" w:rsidP="006A3710">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 </w:t>
            </w:r>
          </w:p>
        </w:tc>
        <w:tc>
          <w:tcPr>
            <w:tcW w:w="5498" w:type="dxa"/>
            <w:vAlign w:val="center"/>
            <w:hideMark/>
          </w:tcPr>
          <w:p w14:paraId="30A89C86" w14:textId="77777777" w:rsidR="006A3710" w:rsidRPr="002B21CF" w:rsidRDefault="006A3710" w:rsidP="006A3710">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Provisiones</w:t>
            </w:r>
          </w:p>
        </w:tc>
        <w:tc>
          <w:tcPr>
            <w:tcW w:w="1842" w:type="dxa"/>
            <w:vAlign w:val="center"/>
            <w:hideMark/>
          </w:tcPr>
          <w:p w14:paraId="4F899CD7" w14:textId="77777777" w:rsidR="006A3710" w:rsidRPr="002B21CF" w:rsidRDefault="006A3710" w:rsidP="006A3710">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0.00</w:t>
            </w:r>
          </w:p>
        </w:tc>
        <w:tc>
          <w:tcPr>
            <w:tcW w:w="1985" w:type="dxa"/>
            <w:vAlign w:val="center"/>
            <w:hideMark/>
          </w:tcPr>
          <w:p w14:paraId="6D52CDFA" w14:textId="77777777" w:rsidR="006A3710" w:rsidRPr="002B21CF" w:rsidRDefault="006A3710" w:rsidP="006A3710">
            <w:pPr>
              <w:jc w:val="right"/>
              <w:rPr>
                <w:rFonts w:ascii="Lato" w:hAnsi="Lato" w:cstheme="minorHAnsi"/>
                <w:color w:val="000000"/>
                <w:sz w:val="20"/>
                <w:szCs w:val="20"/>
                <w:lang w:eastAsia="es-MX"/>
              </w:rPr>
            </w:pPr>
          </w:p>
        </w:tc>
      </w:tr>
      <w:tr w:rsidR="006A3710" w:rsidRPr="002B21CF" w14:paraId="7D4ED5EE" w14:textId="77777777" w:rsidTr="006A3710">
        <w:trPr>
          <w:trHeight w:val="234"/>
        </w:trPr>
        <w:tc>
          <w:tcPr>
            <w:tcW w:w="1160" w:type="dxa"/>
            <w:vAlign w:val="center"/>
            <w:hideMark/>
          </w:tcPr>
          <w:p w14:paraId="6271DE7B" w14:textId="77777777" w:rsidR="006A3710" w:rsidRPr="002B21CF" w:rsidRDefault="006A3710" w:rsidP="006A3710">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 </w:t>
            </w:r>
          </w:p>
        </w:tc>
        <w:tc>
          <w:tcPr>
            <w:tcW w:w="5498" w:type="dxa"/>
            <w:vAlign w:val="center"/>
            <w:hideMark/>
          </w:tcPr>
          <w:p w14:paraId="45710CB8" w14:textId="77777777" w:rsidR="006A3710" w:rsidRPr="002B21CF" w:rsidRDefault="006A3710" w:rsidP="006A3710">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Otros Gastos</w:t>
            </w:r>
          </w:p>
        </w:tc>
        <w:tc>
          <w:tcPr>
            <w:tcW w:w="1842" w:type="dxa"/>
            <w:vAlign w:val="center"/>
            <w:hideMark/>
          </w:tcPr>
          <w:p w14:paraId="1D01C83C" w14:textId="53A258E8" w:rsidR="006A3710" w:rsidRPr="002B21CF" w:rsidRDefault="00253D6A" w:rsidP="006A3710">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0.00</w:t>
            </w:r>
          </w:p>
        </w:tc>
        <w:tc>
          <w:tcPr>
            <w:tcW w:w="1985" w:type="dxa"/>
            <w:vAlign w:val="center"/>
            <w:hideMark/>
          </w:tcPr>
          <w:p w14:paraId="686B7405" w14:textId="77777777" w:rsidR="006A3710" w:rsidRPr="002B21CF" w:rsidRDefault="006A3710" w:rsidP="006A3710">
            <w:pPr>
              <w:jc w:val="right"/>
              <w:rPr>
                <w:rFonts w:ascii="Lato" w:hAnsi="Lato" w:cstheme="minorHAnsi"/>
                <w:color w:val="000000"/>
                <w:sz w:val="20"/>
                <w:szCs w:val="20"/>
                <w:lang w:eastAsia="es-MX"/>
              </w:rPr>
            </w:pPr>
          </w:p>
        </w:tc>
      </w:tr>
      <w:tr w:rsidR="006A3710" w:rsidRPr="002B21CF" w14:paraId="25092431" w14:textId="77777777" w:rsidTr="006A3710">
        <w:trPr>
          <w:trHeight w:val="123"/>
        </w:trPr>
        <w:tc>
          <w:tcPr>
            <w:tcW w:w="6658" w:type="dxa"/>
            <w:gridSpan w:val="2"/>
            <w:vAlign w:val="center"/>
            <w:hideMark/>
          </w:tcPr>
          <w:p w14:paraId="5471FDCD" w14:textId="77777777" w:rsidR="006A3710" w:rsidRPr="002B21CF" w:rsidRDefault="006A3710" w:rsidP="006A3710">
            <w:pPr>
              <w:jc w:val="both"/>
              <w:rPr>
                <w:rFonts w:ascii="Lato" w:hAnsi="Lato" w:cstheme="minorHAnsi"/>
                <w:color w:val="000000"/>
                <w:sz w:val="20"/>
                <w:szCs w:val="20"/>
                <w:lang w:eastAsia="es-MX"/>
              </w:rPr>
            </w:pPr>
            <w:r w:rsidRPr="002B21CF">
              <w:rPr>
                <w:rFonts w:ascii="Lato" w:hAnsi="Lato" w:cstheme="minorHAnsi"/>
                <w:color w:val="000000"/>
                <w:sz w:val="20"/>
                <w:szCs w:val="20"/>
                <w:lang w:eastAsia="es-MX"/>
              </w:rPr>
              <w:t>Otros Gastos Contables No Presupuestales</w:t>
            </w:r>
          </w:p>
        </w:tc>
        <w:tc>
          <w:tcPr>
            <w:tcW w:w="1842" w:type="dxa"/>
            <w:vAlign w:val="center"/>
            <w:hideMark/>
          </w:tcPr>
          <w:p w14:paraId="34228281" w14:textId="77777777" w:rsidR="006A3710" w:rsidRPr="002B21CF" w:rsidRDefault="006A3710" w:rsidP="006A3710">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0.00</w:t>
            </w:r>
          </w:p>
        </w:tc>
        <w:tc>
          <w:tcPr>
            <w:tcW w:w="1985" w:type="dxa"/>
            <w:vAlign w:val="center"/>
            <w:hideMark/>
          </w:tcPr>
          <w:p w14:paraId="2AF57152" w14:textId="77777777" w:rsidR="006A3710" w:rsidRPr="002B21CF" w:rsidRDefault="006A3710" w:rsidP="006A3710">
            <w:pPr>
              <w:jc w:val="right"/>
              <w:rPr>
                <w:rFonts w:ascii="Lato" w:hAnsi="Lato" w:cstheme="minorHAnsi"/>
                <w:color w:val="000000"/>
                <w:sz w:val="20"/>
                <w:szCs w:val="20"/>
                <w:lang w:eastAsia="es-MX"/>
              </w:rPr>
            </w:pPr>
          </w:p>
        </w:tc>
      </w:tr>
      <w:tr w:rsidR="006A3710" w:rsidRPr="002B21CF" w14:paraId="3FBA21E3" w14:textId="77777777" w:rsidTr="006A3710">
        <w:trPr>
          <w:trHeight w:val="120"/>
        </w:trPr>
        <w:tc>
          <w:tcPr>
            <w:tcW w:w="6658" w:type="dxa"/>
            <w:gridSpan w:val="2"/>
            <w:shd w:val="clear" w:color="000000" w:fill="C0C0C0"/>
            <w:vAlign w:val="center"/>
            <w:hideMark/>
          </w:tcPr>
          <w:p w14:paraId="6ABE37A0" w14:textId="77777777" w:rsidR="006A3710" w:rsidRPr="002B21CF" w:rsidRDefault="006A3710" w:rsidP="006A3710">
            <w:pPr>
              <w:jc w:val="both"/>
              <w:rPr>
                <w:rFonts w:ascii="Lato" w:hAnsi="Lato" w:cstheme="minorHAnsi"/>
                <w:b/>
                <w:bCs/>
                <w:color w:val="000000"/>
                <w:sz w:val="20"/>
                <w:szCs w:val="20"/>
                <w:lang w:eastAsia="es-MX"/>
              </w:rPr>
            </w:pPr>
            <w:r w:rsidRPr="002B21CF">
              <w:rPr>
                <w:rFonts w:ascii="Lato" w:hAnsi="Lato" w:cstheme="minorHAnsi"/>
                <w:b/>
                <w:bCs/>
                <w:color w:val="000000"/>
                <w:sz w:val="20"/>
                <w:szCs w:val="20"/>
                <w:lang w:eastAsia="es-MX"/>
              </w:rPr>
              <w:t>4. Total de Gasto Contable (4 = 1 - 2 + 3)</w:t>
            </w:r>
          </w:p>
        </w:tc>
        <w:tc>
          <w:tcPr>
            <w:tcW w:w="1842" w:type="dxa"/>
            <w:vAlign w:val="center"/>
            <w:hideMark/>
          </w:tcPr>
          <w:p w14:paraId="1E68EE70" w14:textId="77777777" w:rsidR="006A3710" w:rsidRPr="002B21CF" w:rsidRDefault="006A3710" w:rsidP="006A3710">
            <w:pPr>
              <w:jc w:val="right"/>
              <w:rPr>
                <w:rFonts w:ascii="Lato" w:hAnsi="Lato" w:cstheme="minorHAnsi"/>
                <w:color w:val="000000"/>
                <w:sz w:val="20"/>
                <w:szCs w:val="20"/>
                <w:lang w:eastAsia="es-MX"/>
              </w:rPr>
            </w:pPr>
            <w:r w:rsidRPr="002B21CF">
              <w:rPr>
                <w:rFonts w:ascii="Lato" w:hAnsi="Lato" w:cstheme="minorHAnsi"/>
                <w:color w:val="000000"/>
                <w:sz w:val="20"/>
                <w:szCs w:val="20"/>
                <w:lang w:eastAsia="es-MX"/>
              </w:rPr>
              <w:t> </w:t>
            </w:r>
          </w:p>
        </w:tc>
        <w:tc>
          <w:tcPr>
            <w:tcW w:w="1985" w:type="dxa"/>
            <w:shd w:val="clear" w:color="000000" w:fill="C0C0C0"/>
            <w:vAlign w:val="center"/>
            <w:hideMark/>
          </w:tcPr>
          <w:p w14:paraId="3A8FF516" w14:textId="012EAE56" w:rsidR="006A3710" w:rsidRPr="002B21CF" w:rsidRDefault="00253D6A" w:rsidP="006A3710">
            <w:pPr>
              <w:jc w:val="right"/>
              <w:rPr>
                <w:rFonts w:ascii="Lato" w:hAnsi="Lato" w:cstheme="minorHAnsi"/>
                <w:b/>
                <w:bCs/>
                <w:color w:val="000000"/>
                <w:sz w:val="20"/>
                <w:szCs w:val="20"/>
                <w:lang w:eastAsia="es-MX"/>
              </w:rPr>
            </w:pPr>
            <w:r w:rsidRPr="002B21CF">
              <w:rPr>
                <w:rFonts w:ascii="Lato" w:hAnsi="Lato" w:cstheme="minorHAnsi"/>
                <w:b/>
                <w:bCs/>
                <w:color w:val="000000"/>
                <w:sz w:val="20"/>
                <w:szCs w:val="20"/>
                <w:lang w:eastAsia="es-MX"/>
              </w:rPr>
              <w:t>$0.00</w:t>
            </w:r>
          </w:p>
        </w:tc>
      </w:tr>
    </w:tbl>
    <w:p w14:paraId="7553C193" w14:textId="77777777" w:rsidR="007326D2" w:rsidRPr="002B21CF" w:rsidRDefault="007326D2" w:rsidP="007326D2">
      <w:pPr>
        <w:autoSpaceDE w:val="0"/>
        <w:autoSpaceDN w:val="0"/>
        <w:adjustRightInd w:val="0"/>
        <w:spacing w:line="360" w:lineRule="auto"/>
        <w:jc w:val="both"/>
        <w:rPr>
          <w:rFonts w:ascii="Lato" w:hAnsi="Lato" w:cstheme="minorHAnsi"/>
          <w:sz w:val="20"/>
          <w:szCs w:val="20"/>
        </w:rPr>
      </w:pPr>
    </w:p>
    <w:p w14:paraId="064ED1BC" w14:textId="77777777" w:rsidR="00954904" w:rsidRPr="002B21CF" w:rsidRDefault="00954904" w:rsidP="00FE2956">
      <w:pPr>
        <w:autoSpaceDE w:val="0"/>
        <w:autoSpaceDN w:val="0"/>
        <w:adjustRightInd w:val="0"/>
        <w:spacing w:line="360" w:lineRule="auto"/>
        <w:jc w:val="both"/>
        <w:rPr>
          <w:rFonts w:ascii="Lato" w:hAnsi="Lato" w:cstheme="minorHAnsi"/>
          <w:sz w:val="20"/>
          <w:szCs w:val="20"/>
        </w:rPr>
      </w:pPr>
    </w:p>
    <w:p w14:paraId="18D0CD86" w14:textId="77777777" w:rsidR="00954904" w:rsidRPr="002B21CF" w:rsidRDefault="00954904" w:rsidP="004A08F3">
      <w:pPr>
        <w:pStyle w:val="Prrafodelista"/>
        <w:autoSpaceDE w:val="0"/>
        <w:autoSpaceDN w:val="0"/>
        <w:adjustRightInd w:val="0"/>
        <w:spacing w:line="360" w:lineRule="auto"/>
        <w:ind w:left="1068"/>
        <w:jc w:val="both"/>
        <w:rPr>
          <w:rFonts w:ascii="Lato" w:hAnsi="Lato" w:cstheme="minorHAnsi"/>
          <w:sz w:val="20"/>
          <w:szCs w:val="20"/>
        </w:rPr>
      </w:pPr>
    </w:p>
    <w:p w14:paraId="1D695850" w14:textId="77777777" w:rsidR="00954904" w:rsidRPr="002B21CF" w:rsidRDefault="00954904" w:rsidP="004A08F3">
      <w:pPr>
        <w:pStyle w:val="Prrafodelista"/>
        <w:autoSpaceDE w:val="0"/>
        <w:autoSpaceDN w:val="0"/>
        <w:adjustRightInd w:val="0"/>
        <w:spacing w:line="360" w:lineRule="auto"/>
        <w:ind w:left="1068"/>
        <w:jc w:val="both"/>
        <w:rPr>
          <w:rFonts w:ascii="Lato" w:hAnsi="Lato" w:cstheme="minorHAnsi"/>
          <w:sz w:val="20"/>
          <w:szCs w:val="20"/>
        </w:rPr>
      </w:pPr>
    </w:p>
    <w:p w14:paraId="6D6DA53D" w14:textId="5C3B358A" w:rsidR="00954904" w:rsidRPr="002B21CF" w:rsidRDefault="00954904" w:rsidP="004A08F3">
      <w:pPr>
        <w:pStyle w:val="Prrafodelista"/>
        <w:autoSpaceDE w:val="0"/>
        <w:autoSpaceDN w:val="0"/>
        <w:adjustRightInd w:val="0"/>
        <w:spacing w:line="360" w:lineRule="auto"/>
        <w:ind w:left="1068"/>
        <w:jc w:val="both"/>
        <w:rPr>
          <w:rFonts w:ascii="Lato" w:hAnsi="Lato" w:cstheme="minorHAnsi"/>
          <w:sz w:val="20"/>
          <w:szCs w:val="20"/>
        </w:rPr>
      </w:pPr>
    </w:p>
    <w:p w14:paraId="6681CE97" w14:textId="1CDF606F" w:rsidR="00FE2956" w:rsidRPr="002B21CF" w:rsidRDefault="00FE2956" w:rsidP="004A08F3">
      <w:pPr>
        <w:pStyle w:val="Prrafodelista"/>
        <w:autoSpaceDE w:val="0"/>
        <w:autoSpaceDN w:val="0"/>
        <w:adjustRightInd w:val="0"/>
        <w:spacing w:line="360" w:lineRule="auto"/>
        <w:ind w:left="1068"/>
        <w:jc w:val="both"/>
        <w:rPr>
          <w:rFonts w:ascii="Lato" w:hAnsi="Lato" w:cstheme="minorHAnsi"/>
          <w:sz w:val="20"/>
          <w:szCs w:val="20"/>
        </w:rPr>
      </w:pPr>
    </w:p>
    <w:p w14:paraId="4083332E" w14:textId="044F2FAD" w:rsidR="00FE2956" w:rsidRPr="002B21CF" w:rsidRDefault="00FE2956" w:rsidP="004A08F3">
      <w:pPr>
        <w:pStyle w:val="Prrafodelista"/>
        <w:autoSpaceDE w:val="0"/>
        <w:autoSpaceDN w:val="0"/>
        <w:adjustRightInd w:val="0"/>
        <w:spacing w:line="360" w:lineRule="auto"/>
        <w:ind w:left="1068"/>
        <w:jc w:val="both"/>
        <w:rPr>
          <w:rFonts w:ascii="Lato" w:hAnsi="Lato" w:cstheme="minorHAnsi"/>
          <w:sz w:val="20"/>
          <w:szCs w:val="20"/>
        </w:rPr>
      </w:pPr>
    </w:p>
    <w:p w14:paraId="7553D081" w14:textId="7BE1F2EA" w:rsidR="008254AF" w:rsidRPr="002B21CF" w:rsidRDefault="008254AF" w:rsidP="00C4137E">
      <w:pPr>
        <w:autoSpaceDE w:val="0"/>
        <w:autoSpaceDN w:val="0"/>
        <w:adjustRightInd w:val="0"/>
        <w:spacing w:line="360" w:lineRule="auto"/>
        <w:ind w:left="708"/>
        <w:jc w:val="both"/>
        <w:rPr>
          <w:rFonts w:ascii="Lato" w:hAnsi="Lato" w:cstheme="minorHAnsi"/>
          <w:bCs/>
          <w:sz w:val="20"/>
          <w:szCs w:val="20"/>
        </w:rPr>
      </w:pPr>
    </w:p>
    <w:p w14:paraId="2630FECF" w14:textId="40AC1228" w:rsidR="007326D2" w:rsidRPr="002B21CF" w:rsidRDefault="007326D2" w:rsidP="00C4137E">
      <w:pPr>
        <w:autoSpaceDE w:val="0"/>
        <w:autoSpaceDN w:val="0"/>
        <w:adjustRightInd w:val="0"/>
        <w:spacing w:line="360" w:lineRule="auto"/>
        <w:ind w:left="708"/>
        <w:jc w:val="both"/>
        <w:rPr>
          <w:rFonts w:ascii="Lato" w:hAnsi="Lato" w:cstheme="minorHAnsi"/>
          <w:bCs/>
          <w:sz w:val="20"/>
          <w:szCs w:val="20"/>
        </w:rPr>
      </w:pPr>
    </w:p>
    <w:p w14:paraId="244162E6" w14:textId="7B7BC746" w:rsidR="007326D2" w:rsidRPr="002B21CF" w:rsidRDefault="007326D2" w:rsidP="00C4137E">
      <w:pPr>
        <w:autoSpaceDE w:val="0"/>
        <w:autoSpaceDN w:val="0"/>
        <w:adjustRightInd w:val="0"/>
        <w:spacing w:line="360" w:lineRule="auto"/>
        <w:ind w:left="708"/>
        <w:jc w:val="both"/>
        <w:rPr>
          <w:rFonts w:ascii="Lato" w:hAnsi="Lato" w:cstheme="minorHAnsi"/>
          <w:bCs/>
          <w:sz w:val="20"/>
          <w:szCs w:val="20"/>
        </w:rPr>
      </w:pPr>
    </w:p>
    <w:p w14:paraId="5698D1B2" w14:textId="3FB190E0" w:rsidR="007326D2" w:rsidRPr="002B21CF" w:rsidRDefault="007326D2" w:rsidP="00C4137E">
      <w:pPr>
        <w:autoSpaceDE w:val="0"/>
        <w:autoSpaceDN w:val="0"/>
        <w:adjustRightInd w:val="0"/>
        <w:spacing w:line="360" w:lineRule="auto"/>
        <w:ind w:left="708"/>
        <w:jc w:val="both"/>
        <w:rPr>
          <w:rFonts w:ascii="Lato" w:hAnsi="Lato" w:cstheme="minorHAnsi"/>
          <w:bCs/>
          <w:sz w:val="20"/>
          <w:szCs w:val="20"/>
        </w:rPr>
      </w:pPr>
    </w:p>
    <w:p w14:paraId="1A0FBAD8" w14:textId="687F9F4C" w:rsidR="007326D2" w:rsidRPr="002B21CF" w:rsidRDefault="007326D2" w:rsidP="00C4137E">
      <w:pPr>
        <w:autoSpaceDE w:val="0"/>
        <w:autoSpaceDN w:val="0"/>
        <w:adjustRightInd w:val="0"/>
        <w:spacing w:line="360" w:lineRule="auto"/>
        <w:ind w:left="708"/>
        <w:jc w:val="both"/>
        <w:rPr>
          <w:rFonts w:ascii="Lato" w:hAnsi="Lato" w:cstheme="minorHAnsi"/>
          <w:bCs/>
          <w:sz w:val="20"/>
          <w:szCs w:val="20"/>
        </w:rPr>
      </w:pPr>
    </w:p>
    <w:p w14:paraId="030F149C" w14:textId="74964AA8" w:rsidR="007326D2" w:rsidRPr="002B21CF" w:rsidRDefault="007326D2" w:rsidP="00C4137E">
      <w:pPr>
        <w:autoSpaceDE w:val="0"/>
        <w:autoSpaceDN w:val="0"/>
        <w:adjustRightInd w:val="0"/>
        <w:spacing w:line="360" w:lineRule="auto"/>
        <w:ind w:left="708"/>
        <w:jc w:val="both"/>
        <w:rPr>
          <w:rFonts w:ascii="Lato" w:hAnsi="Lato" w:cstheme="minorHAnsi"/>
          <w:bCs/>
          <w:sz w:val="20"/>
          <w:szCs w:val="20"/>
        </w:rPr>
      </w:pPr>
    </w:p>
    <w:p w14:paraId="44BB12C2" w14:textId="57CB7378" w:rsidR="007326D2" w:rsidRPr="002B21CF" w:rsidRDefault="007326D2" w:rsidP="00C4137E">
      <w:pPr>
        <w:autoSpaceDE w:val="0"/>
        <w:autoSpaceDN w:val="0"/>
        <w:adjustRightInd w:val="0"/>
        <w:spacing w:line="360" w:lineRule="auto"/>
        <w:ind w:left="708"/>
        <w:jc w:val="both"/>
        <w:rPr>
          <w:rFonts w:ascii="Lato" w:hAnsi="Lato" w:cstheme="minorHAnsi"/>
          <w:bCs/>
          <w:sz w:val="20"/>
          <w:szCs w:val="20"/>
        </w:rPr>
      </w:pPr>
    </w:p>
    <w:p w14:paraId="33199803" w14:textId="77E987A0" w:rsidR="007326D2" w:rsidRPr="002B21CF" w:rsidRDefault="007326D2" w:rsidP="00C4137E">
      <w:pPr>
        <w:autoSpaceDE w:val="0"/>
        <w:autoSpaceDN w:val="0"/>
        <w:adjustRightInd w:val="0"/>
        <w:spacing w:line="360" w:lineRule="auto"/>
        <w:ind w:left="708"/>
        <w:jc w:val="both"/>
        <w:rPr>
          <w:rFonts w:ascii="Lato" w:hAnsi="Lato" w:cstheme="minorHAnsi"/>
          <w:bCs/>
          <w:sz w:val="20"/>
          <w:szCs w:val="20"/>
        </w:rPr>
      </w:pPr>
    </w:p>
    <w:p w14:paraId="5504EB7A" w14:textId="592C8840" w:rsidR="007326D2" w:rsidRPr="002B21CF" w:rsidRDefault="007326D2" w:rsidP="00C4137E">
      <w:pPr>
        <w:autoSpaceDE w:val="0"/>
        <w:autoSpaceDN w:val="0"/>
        <w:adjustRightInd w:val="0"/>
        <w:spacing w:line="360" w:lineRule="auto"/>
        <w:ind w:left="708"/>
        <w:jc w:val="both"/>
        <w:rPr>
          <w:rFonts w:ascii="Lato" w:hAnsi="Lato" w:cstheme="minorHAnsi"/>
          <w:bCs/>
          <w:sz w:val="20"/>
          <w:szCs w:val="20"/>
        </w:rPr>
      </w:pPr>
    </w:p>
    <w:p w14:paraId="1C73DFFC" w14:textId="24648D22" w:rsidR="00FD08F0" w:rsidRPr="002B21CF" w:rsidRDefault="00FD08F0" w:rsidP="00C4137E">
      <w:pPr>
        <w:autoSpaceDE w:val="0"/>
        <w:autoSpaceDN w:val="0"/>
        <w:adjustRightInd w:val="0"/>
        <w:spacing w:line="360" w:lineRule="auto"/>
        <w:ind w:left="708"/>
        <w:jc w:val="both"/>
        <w:rPr>
          <w:rFonts w:ascii="Lato" w:hAnsi="Lato" w:cstheme="minorHAnsi"/>
          <w:bCs/>
          <w:sz w:val="20"/>
          <w:szCs w:val="20"/>
        </w:rPr>
      </w:pPr>
    </w:p>
    <w:p w14:paraId="408708E0" w14:textId="00815DC2" w:rsidR="00FD08F0" w:rsidRPr="002B21CF" w:rsidRDefault="00A06001" w:rsidP="00A06001">
      <w:pPr>
        <w:tabs>
          <w:tab w:val="left" w:pos="8844"/>
        </w:tabs>
        <w:autoSpaceDE w:val="0"/>
        <w:autoSpaceDN w:val="0"/>
        <w:adjustRightInd w:val="0"/>
        <w:spacing w:line="360" w:lineRule="auto"/>
        <w:ind w:left="708"/>
        <w:jc w:val="both"/>
        <w:rPr>
          <w:rFonts w:ascii="Lato" w:hAnsi="Lato" w:cstheme="minorHAnsi"/>
          <w:bCs/>
          <w:sz w:val="20"/>
          <w:szCs w:val="20"/>
        </w:rPr>
      </w:pPr>
      <w:r w:rsidRPr="002B21CF">
        <w:rPr>
          <w:rFonts w:ascii="Lato" w:hAnsi="Lato" w:cstheme="minorHAnsi"/>
          <w:bCs/>
          <w:sz w:val="20"/>
          <w:szCs w:val="20"/>
        </w:rPr>
        <w:tab/>
      </w:r>
    </w:p>
    <w:p w14:paraId="6BEDF9B3" w14:textId="0A930100" w:rsidR="00FD08F0" w:rsidRPr="002B21CF" w:rsidRDefault="00FD08F0" w:rsidP="002B21CF">
      <w:pPr>
        <w:autoSpaceDE w:val="0"/>
        <w:autoSpaceDN w:val="0"/>
        <w:adjustRightInd w:val="0"/>
        <w:spacing w:line="360" w:lineRule="auto"/>
        <w:jc w:val="both"/>
        <w:rPr>
          <w:rFonts w:ascii="Lato" w:hAnsi="Lato" w:cstheme="minorHAnsi"/>
          <w:bCs/>
          <w:sz w:val="20"/>
          <w:szCs w:val="20"/>
        </w:rPr>
      </w:pPr>
    </w:p>
    <w:p w14:paraId="6331F868" w14:textId="1894F4AD" w:rsidR="00251A08" w:rsidRPr="002B21CF" w:rsidRDefault="00251A08" w:rsidP="005652E6">
      <w:pPr>
        <w:pStyle w:val="Prrafodelista"/>
        <w:numPr>
          <w:ilvl w:val="0"/>
          <w:numId w:val="7"/>
        </w:numPr>
        <w:spacing w:after="200"/>
        <w:jc w:val="center"/>
        <w:rPr>
          <w:rFonts w:ascii="Lato" w:hAnsi="Lato" w:cstheme="minorHAnsi"/>
          <w:b/>
          <w:sz w:val="20"/>
          <w:szCs w:val="20"/>
        </w:rPr>
      </w:pPr>
      <w:bookmarkStart w:id="11" w:name="m25"/>
      <w:bookmarkEnd w:id="11"/>
      <w:r w:rsidRPr="002B21CF">
        <w:rPr>
          <w:rFonts w:ascii="Lato" w:hAnsi="Lato" w:cstheme="minorHAnsi"/>
          <w:b/>
          <w:sz w:val="20"/>
          <w:szCs w:val="20"/>
        </w:rPr>
        <w:t>NOTAS DE MEMORIA</w:t>
      </w:r>
      <w:r w:rsidR="00110A0C" w:rsidRPr="002B21CF">
        <w:rPr>
          <w:rFonts w:ascii="Lato" w:hAnsi="Lato" w:cstheme="minorHAnsi"/>
          <w:b/>
          <w:sz w:val="20"/>
          <w:szCs w:val="20"/>
        </w:rPr>
        <w:t xml:space="preserve"> (CUENTAS DE ORDEN)</w:t>
      </w:r>
    </w:p>
    <w:p w14:paraId="26B1F113" w14:textId="77777777" w:rsidR="00BC1145" w:rsidRPr="002B21CF" w:rsidRDefault="00BC1145" w:rsidP="00BC1145">
      <w:pPr>
        <w:autoSpaceDE w:val="0"/>
        <w:autoSpaceDN w:val="0"/>
        <w:adjustRightInd w:val="0"/>
        <w:jc w:val="both"/>
        <w:rPr>
          <w:rFonts w:ascii="Lato" w:hAnsi="Lato" w:cstheme="minorHAnsi"/>
          <w:sz w:val="20"/>
          <w:szCs w:val="20"/>
        </w:rPr>
      </w:pPr>
      <w:r w:rsidRPr="002B21CF">
        <w:rPr>
          <w:rFonts w:ascii="Lato" w:hAnsi="Lato" w:cstheme="minorHAnsi"/>
          <w:bCs/>
          <w:sz w:val="20"/>
          <w:szCs w:val="20"/>
        </w:rPr>
        <w:t>Los saldos de las cuentas de orden contables y presupuestales se presentan a continuación</w:t>
      </w:r>
      <w:r w:rsidRPr="002B21CF">
        <w:rPr>
          <w:rFonts w:ascii="Lato" w:hAnsi="Lato" w:cstheme="minorHAnsi"/>
          <w:sz w:val="20"/>
          <w:szCs w:val="20"/>
        </w:rPr>
        <w:t>:</w:t>
      </w:r>
    </w:p>
    <w:p w14:paraId="42691A20" w14:textId="77777777" w:rsidR="00FE1B07" w:rsidRPr="002B21CF" w:rsidRDefault="00FE1B07" w:rsidP="00096F24">
      <w:pPr>
        <w:autoSpaceDE w:val="0"/>
        <w:autoSpaceDN w:val="0"/>
        <w:adjustRightInd w:val="0"/>
        <w:jc w:val="both"/>
        <w:rPr>
          <w:rFonts w:ascii="Lato" w:hAnsi="Lato" w:cstheme="minorHAnsi"/>
          <w:bCs/>
          <w:sz w:val="8"/>
          <w:szCs w:val="20"/>
        </w:rPr>
      </w:pPr>
    </w:p>
    <w:p w14:paraId="468A98C4" w14:textId="7B6AE5AD" w:rsidR="00FE1B07" w:rsidRPr="002B21CF" w:rsidRDefault="00FE1B07" w:rsidP="00FE1B07">
      <w:pPr>
        <w:numPr>
          <w:ilvl w:val="0"/>
          <w:numId w:val="6"/>
        </w:numPr>
        <w:autoSpaceDE w:val="0"/>
        <w:autoSpaceDN w:val="0"/>
        <w:adjustRightInd w:val="0"/>
        <w:jc w:val="both"/>
        <w:rPr>
          <w:rFonts w:ascii="Lato" w:hAnsi="Lato" w:cstheme="minorHAnsi"/>
          <w:b/>
          <w:bCs/>
          <w:sz w:val="20"/>
          <w:szCs w:val="20"/>
        </w:rPr>
      </w:pPr>
      <w:r w:rsidRPr="002B21CF">
        <w:rPr>
          <w:rFonts w:ascii="Lato" w:hAnsi="Lato" w:cstheme="minorHAnsi"/>
          <w:b/>
          <w:bCs/>
          <w:sz w:val="20"/>
          <w:szCs w:val="20"/>
        </w:rPr>
        <w:t>Cuentas de Orden contables.</w:t>
      </w:r>
    </w:p>
    <w:p w14:paraId="15E719BD" w14:textId="4EFA23E5" w:rsidR="00110A0C" w:rsidRPr="002B21CF" w:rsidRDefault="00110A0C" w:rsidP="00096F24">
      <w:pPr>
        <w:autoSpaceDE w:val="0"/>
        <w:autoSpaceDN w:val="0"/>
        <w:adjustRightInd w:val="0"/>
        <w:jc w:val="both"/>
        <w:rPr>
          <w:rFonts w:ascii="Lato" w:hAnsi="Lato" w:cstheme="minorHAnsi"/>
          <w:bCs/>
          <w:sz w:val="8"/>
          <w:szCs w:val="20"/>
        </w:rPr>
      </w:pPr>
    </w:p>
    <w:p w14:paraId="54551D06" w14:textId="128AAC56" w:rsidR="000A53B7" w:rsidRPr="002B21CF" w:rsidRDefault="000A53B7" w:rsidP="00096F24">
      <w:pPr>
        <w:autoSpaceDE w:val="0"/>
        <w:autoSpaceDN w:val="0"/>
        <w:adjustRightInd w:val="0"/>
        <w:jc w:val="both"/>
        <w:rPr>
          <w:rFonts w:ascii="Lato" w:hAnsi="Lato" w:cstheme="minorHAnsi"/>
          <w:bCs/>
          <w:sz w:val="20"/>
          <w:szCs w:val="20"/>
        </w:rPr>
      </w:pPr>
      <w:r w:rsidRPr="002B21CF">
        <w:rPr>
          <w:rFonts w:ascii="Lato" w:hAnsi="Lato" w:cstheme="minorHAnsi"/>
          <w:bCs/>
          <w:sz w:val="20"/>
          <w:szCs w:val="20"/>
        </w:rPr>
        <w:t xml:space="preserve">Cabe aclarar que </w:t>
      </w:r>
      <w:r w:rsidR="00900CD3" w:rsidRPr="002B21CF">
        <w:rPr>
          <w:rFonts w:ascii="Lato" w:hAnsi="Lato" w:cstheme="minorHAnsi"/>
          <w:sz w:val="20"/>
          <w:szCs w:val="20"/>
        </w:rPr>
        <w:t>a la fecha de su extinción</w:t>
      </w:r>
      <w:r w:rsidRPr="002B21CF">
        <w:rPr>
          <w:rFonts w:ascii="Lato" w:hAnsi="Lato" w:cstheme="minorHAnsi"/>
          <w:bCs/>
          <w:sz w:val="20"/>
          <w:szCs w:val="20"/>
        </w:rPr>
        <w:t xml:space="preserve"> el Fondo de Seguridad Pública del Estado de Yucatán no cuenta con saldo en cuentas de orden contables que afecten o modifiquen el balance y que su incorporación en libros sea necesaria con fines de recordatorio contable, de control y en general sobre los aspectos administrativos, o bien, para </w:t>
      </w:r>
      <w:r w:rsidR="00096F24" w:rsidRPr="002B21CF">
        <w:rPr>
          <w:rFonts w:ascii="Lato" w:hAnsi="Lato" w:cstheme="minorHAnsi"/>
          <w:bCs/>
          <w:sz w:val="20"/>
          <w:szCs w:val="20"/>
        </w:rPr>
        <w:t>consignar sus derechos o responsabilidades contingentes que puedan, o no, presentarse en futuro.</w:t>
      </w:r>
    </w:p>
    <w:p w14:paraId="234B5BAB" w14:textId="77777777" w:rsidR="00D41DC0" w:rsidRPr="002B21CF" w:rsidRDefault="00D41DC0" w:rsidP="00096F24">
      <w:pPr>
        <w:autoSpaceDE w:val="0"/>
        <w:autoSpaceDN w:val="0"/>
        <w:adjustRightInd w:val="0"/>
        <w:jc w:val="both"/>
        <w:rPr>
          <w:rFonts w:ascii="Lato" w:hAnsi="Lato" w:cstheme="minorHAnsi"/>
          <w:bCs/>
          <w:sz w:val="20"/>
          <w:szCs w:val="20"/>
        </w:rPr>
      </w:pPr>
    </w:p>
    <w:p w14:paraId="6A4A64BF" w14:textId="29CA918B" w:rsidR="00D41DC0" w:rsidRPr="002B21CF" w:rsidRDefault="00D41DC0" w:rsidP="00D41DC0">
      <w:pPr>
        <w:numPr>
          <w:ilvl w:val="0"/>
          <w:numId w:val="6"/>
        </w:numPr>
        <w:autoSpaceDE w:val="0"/>
        <w:autoSpaceDN w:val="0"/>
        <w:adjustRightInd w:val="0"/>
        <w:jc w:val="both"/>
        <w:rPr>
          <w:rFonts w:ascii="Lato" w:hAnsi="Lato" w:cstheme="minorHAnsi"/>
          <w:b/>
          <w:bCs/>
          <w:sz w:val="20"/>
          <w:szCs w:val="20"/>
        </w:rPr>
      </w:pPr>
      <w:r w:rsidRPr="002B21CF">
        <w:rPr>
          <w:rFonts w:ascii="Lato" w:hAnsi="Lato" w:cstheme="minorHAnsi"/>
          <w:b/>
          <w:bCs/>
          <w:sz w:val="20"/>
          <w:szCs w:val="20"/>
        </w:rPr>
        <w:t>Cuentas de Orden presupuestario.</w:t>
      </w:r>
    </w:p>
    <w:p w14:paraId="4307DB9D" w14:textId="77777777" w:rsidR="00D41DC0" w:rsidRPr="002B21CF" w:rsidRDefault="00D41DC0" w:rsidP="00D41DC0">
      <w:pPr>
        <w:autoSpaceDE w:val="0"/>
        <w:autoSpaceDN w:val="0"/>
        <w:adjustRightInd w:val="0"/>
        <w:jc w:val="both"/>
        <w:rPr>
          <w:rFonts w:ascii="Lato" w:hAnsi="Lato" w:cstheme="minorHAnsi"/>
          <w:bCs/>
          <w:sz w:val="8"/>
          <w:szCs w:val="20"/>
        </w:rPr>
      </w:pPr>
    </w:p>
    <w:p w14:paraId="1F80E2EA" w14:textId="6427ED9D" w:rsidR="00D41DC0" w:rsidRPr="002B21CF" w:rsidRDefault="00D41DC0" w:rsidP="00D41DC0">
      <w:pPr>
        <w:autoSpaceDE w:val="0"/>
        <w:autoSpaceDN w:val="0"/>
        <w:adjustRightInd w:val="0"/>
        <w:jc w:val="both"/>
        <w:rPr>
          <w:rFonts w:ascii="Lato" w:hAnsi="Lato" w:cstheme="minorHAnsi"/>
          <w:bCs/>
          <w:sz w:val="20"/>
          <w:szCs w:val="20"/>
        </w:rPr>
      </w:pPr>
      <w:r w:rsidRPr="002B21CF">
        <w:rPr>
          <w:rFonts w:ascii="Lato" w:hAnsi="Lato" w:cstheme="minorHAnsi"/>
          <w:bCs/>
          <w:sz w:val="20"/>
          <w:szCs w:val="20"/>
        </w:rPr>
        <w:t xml:space="preserve">Cabe aclarar que </w:t>
      </w:r>
      <w:r w:rsidR="00900CD3" w:rsidRPr="002B21CF">
        <w:rPr>
          <w:rFonts w:ascii="Lato" w:hAnsi="Lato" w:cstheme="minorHAnsi"/>
          <w:sz w:val="20"/>
          <w:szCs w:val="20"/>
        </w:rPr>
        <w:t>a la fecha de su extinción</w:t>
      </w:r>
      <w:r w:rsidR="00900CD3" w:rsidRPr="002B21CF">
        <w:rPr>
          <w:rFonts w:ascii="Lato" w:hAnsi="Lato" w:cstheme="minorHAnsi"/>
          <w:bCs/>
          <w:sz w:val="20"/>
          <w:szCs w:val="20"/>
        </w:rPr>
        <w:t xml:space="preserve"> </w:t>
      </w:r>
      <w:r w:rsidRPr="002B21CF">
        <w:rPr>
          <w:rFonts w:ascii="Lato" w:hAnsi="Lato" w:cstheme="minorHAnsi"/>
          <w:bCs/>
          <w:sz w:val="20"/>
          <w:szCs w:val="20"/>
        </w:rPr>
        <w:t>el Fondo de Seguridad Pública del Estado de Yucatán no cuenta con saldo en cuentas de orden presupuestario que afecten o modifiquen el balance o información presupuestal y que su incorporación en libros sea necesaria con fines de recordatorio contable o presupuestal, de control y en general sobre los aspectos administrativos, o bien, para consignar sus derechos o responsabilidades contingentes que puedan, o no, presentarse en futuro.</w:t>
      </w:r>
    </w:p>
    <w:p w14:paraId="1D088105" w14:textId="77777777" w:rsidR="00D41DC0" w:rsidRPr="002B21CF" w:rsidRDefault="00D41DC0" w:rsidP="00096F24">
      <w:pPr>
        <w:autoSpaceDE w:val="0"/>
        <w:autoSpaceDN w:val="0"/>
        <w:adjustRightInd w:val="0"/>
        <w:jc w:val="both"/>
        <w:rPr>
          <w:rFonts w:ascii="Lato" w:hAnsi="Lato" w:cstheme="minorHAnsi"/>
          <w:bCs/>
          <w:sz w:val="20"/>
          <w:szCs w:val="20"/>
        </w:rPr>
      </w:pPr>
    </w:p>
    <w:p w14:paraId="214B0DA2" w14:textId="77777777" w:rsidR="00576B21" w:rsidRPr="002B21CF" w:rsidRDefault="00576B21" w:rsidP="00FC4AA1">
      <w:pPr>
        <w:autoSpaceDE w:val="0"/>
        <w:autoSpaceDN w:val="0"/>
        <w:adjustRightInd w:val="0"/>
        <w:jc w:val="both"/>
        <w:rPr>
          <w:rFonts w:ascii="Lato" w:hAnsi="Lato" w:cstheme="minorHAnsi"/>
          <w:color w:val="000000"/>
          <w:sz w:val="20"/>
          <w:szCs w:val="20"/>
          <w:lang w:eastAsia="es-MX"/>
        </w:rPr>
      </w:pPr>
      <w:bookmarkStart w:id="12" w:name="m15"/>
      <w:bookmarkEnd w:id="12"/>
    </w:p>
    <w:p w14:paraId="5756BA12" w14:textId="77777777" w:rsidR="00576B21" w:rsidRPr="002B21CF" w:rsidRDefault="00576B21" w:rsidP="00FC4AA1">
      <w:pPr>
        <w:autoSpaceDE w:val="0"/>
        <w:autoSpaceDN w:val="0"/>
        <w:adjustRightInd w:val="0"/>
        <w:jc w:val="both"/>
        <w:rPr>
          <w:rFonts w:ascii="Lato" w:hAnsi="Lato" w:cstheme="minorHAnsi"/>
          <w:color w:val="000000"/>
          <w:sz w:val="20"/>
          <w:szCs w:val="20"/>
          <w:lang w:eastAsia="es-MX"/>
        </w:rPr>
      </w:pPr>
    </w:p>
    <w:p w14:paraId="380E7444" w14:textId="0DC61637" w:rsidR="00FC4AA1" w:rsidRPr="002B21CF" w:rsidRDefault="00FC4AA1" w:rsidP="00FC4AA1">
      <w:pPr>
        <w:autoSpaceDE w:val="0"/>
        <w:autoSpaceDN w:val="0"/>
        <w:adjustRightInd w:val="0"/>
        <w:jc w:val="both"/>
        <w:rPr>
          <w:rFonts w:ascii="Lato" w:hAnsi="Lato" w:cstheme="minorHAnsi"/>
          <w:noProof/>
          <w:lang w:eastAsia="es-MX"/>
        </w:rPr>
      </w:pPr>
      <w:r w:rsidRPr="002B21CF">
        <w:rPr>
          <w:rFonts w:ascii="Lato" w:hAnsi="Lato" w:cstheme="minorHAnsi"/>
          <w:color w:val="000000"/>
          <w:sz w:val="20"/>
          <w:szCs w:val="20"/>
          <w:lang w:eastAsia="es-MX"/>
        </w:rPr>
        <w:t>Bajo protesta de decir verdad declaramos que los Estados Financieros y sus Notas</w:t>
      </w:r>
      <w:r w:rsidR="00A828D5">
        <w:rPr>
          <w:rFonts w:ascii="Lato" w:hAnsi="Lato" w:cstheme="minorHAnsi"/>
          <w:color w:val="000000"/>
          <w:sz w:val="20"/>
          <w:szCs w:val="20"/>
          <w:lang w:eastAsia="es-MX"/>
        </w:rPr>
        <w:t>,</w:t>
      </w:r>
      <w:bookmarkStart w:id="13" w:name="_GoBack"/>
      <w:bookmarkEnd w:id="13"/>
      <w:r w:rsidRPr="002B21CF">
        <w:rPr>
          <w:rFonts w:ascii="Lato" w:hAnsi="Lato" w:cstheme="minorHAnsi"/>
          <w:color w:val="000000"/>
          <w:sz w:val="20"/>
          <w:szCs w:val="20"/>
          <w:lang w:eastAsia="es-MX"/>
        </w:rPr>
        <w:t xml:space="preserve"> son razonablemente correctos y son responsabilidad del emisor.</w:t>
      </w:r>
      <w:r w:rsidR="00F22C96" w:rsidRPr="002B21CF">
        <w:rPr>
          <w:rFonts w:ascii="Lato" w:hAnsi="Lato" w:cstheme="minorHAnsi"/>
          <w:noProof/>
          <w:lang w:eastAsia="es-MX"/>
        </w:rPr>
        <w:t xml:space="preserve"> </w:t>
      </w:r>
    </w:p>
    <w:p w14:paraId="4F2295E4" w14:textId="1B9A3190" w:rsidR="001A0A33" w:rsidRDefault="001A0A33" w:rsidP="00FC4AA1">
      <w:pPr>
        <w:autoSpaceDE w:val="0"/>
        <w:autoSpaceDN w:val="0"/>
        <w:adjustRightInd w:val="0"/>
        <w:jc w:val="both"/>
        <w:rPr>
          <w:rFonts w:asciiTheme="minorHAnsi" w:hAnsiTheme="minorHAnsi" w:cstheme="minorHAnsi"/>
          <w:noProof/>
          <w:lang w:eastAsia="es-MX"/>
        </w:rPr>
      </w:pPr>
    </w:p>
    <w:p w14:paraId="4E9E38E4" w14:textId="7C210D24" w:rsidR="001A0A33" w:rsidRDefault="001A0A33" w:rsidP="00FC4AA1">
      <w:pPr>
        <w:autoSpaceDE w:val="0"/>
        <w:autoSpaceDN w:val="0"/>
        <w:adjustRightInd w:val="0"/>
        <w:jc w:val="both"/>
        <w:rPr>
          <w:rFonts w:asciiTheme="minorHAnsi" w:hAnsiTheme="minorHAnsi" w:cstheme="minorHAnsi"/>
          <w:noProof/>
          <w:lang w:eastAsia="es-MX"/>
        </w:rPr>
      </w:pPr>
    </w:p>
    <w:p w14:paraId="26F963DD" w14:textId="3A1210EB" w:rsidR="001A0A33" w:rsidRPr="003E52D9" w:rsidRDefault="001A0A33" w:rsidP="00FC4AA1">
      <w:pPr>
        <w:autoSpaceDE w:val="0"/>
        <w:autoSpaceDN w:val="0"/>
        <w:adjustRightInd w:val="0"/>
        <w:jc w:val="both"/>
        <w:rPr>
          <w:rFonts w:ascii="Barlow" w:hAnsi="Barlow" w:cstheme="minorHAnsi"/>
          <w:b/>
          <w:sz w:val="20"/>
          <w:szCs w:val="20"/>
        </w:rPr>
      </w:pPr>
    </w:p>
    <w:sectPr w:rsidR="001A0A33" w:rsidRPr="003E52D9" w:rsidSect="003E52D9">
      <w:footerReference w:type="even" r:id="rId8"/>
      <w:footerReference w:type="default" r:id="rId9"/>
      <w:pgSz w:w="15840" w:h="12240" w:orient="landscape" w:code="1"/>
      <w:pgMar w:top="2835" w:right="1134" w:bottom="1701" w:left="1134" w:header="142"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843C9" w14:textId="77777777" w:rsidR="00255938" w:rsidRDefault="00255938" w:rsidP="00DA679B">
      <w:r>
        <w:separator/>
      </w:r>
    </w:p>
  </w:endnote>
  <w:endnote w:type="continuationSeparator" w:id="0">
    <w:p w14:paraId="5A9015FF" w14:textId="77777777" w:rsidR="00255938" w:rsidRDefault="00255938"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rlow">
    <w:altName w:val="Courier New"/>
    <w:panose1 w:val="00000000000000000000"/>
    <w:charset w:val="00"/>
    <w:family w:val="modern"/>
    <w:notTrueType/>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5E546" w14:textId="77777777" w:rsidR="00255938" w:rsidRDefault="0025593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C796D71" w14:textId="77777777" w:rsidR="00255938" w:rsidRDefault="00255938">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E6732" w14:textId="77777777" w:rsidR="00255938" w:rsidRDefault="00255938" w:rsidP="00A17B3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766A2" w14:textId="77777777" w:rsidR="00255938" w:rsidRDefault="00255938" w:rsidP="00DA679B">
      <w:r>
        <w:separator/>
      </w:r>
    </w:p>
  </w:footnote>
  <w:footnote w:type="continuationSeparator" w:id="0">
    <w:p w14:paraId="39461546" w14:textId="77777777" w:rsidR="00255938" w:rsidRDefault="00255938" w:rsidP="00DA67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DEE"/>
    <w:multiLevelType w:val="hybridMultilevel"/>
    <w:tmpl w:val="D5F6F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C7506A"/>
    <w:multiLevelType w:val="hybridMultilevel"/>
    <w:tmpl w:val="F28C8692"/>
    <w:lvl w:ilvl="0" w:tplc="5844BF0E">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8DC70B7"/>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A7C4C73"/>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670D11"/>
    <w:multiLevelType w:val="multilevel"/>
    <w:tmpl w:val="5D7AA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BE6CB9"/>
    <w:multiLevelType w:val="hybridMultilevel"/>
    <w:tmpl w:val="3848A46A"/>
    <w:lvl w:ilvl="0" w:tplc="D3CCCDF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985DCC"/>
    <w:multiLevelType w:val="hybridMultilevel"/>
    <w:tmpl w:val="39E69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F12AA"/>
    <w:multiLevelType w:val="hybridMultilevel"/>
    <w:tmpl w:val="6336A0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B3A4F85"/>
    <w:multiLevelType w:val="hybridMultilevel"/>
    <w:tmpl w:val="F4F29E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412CE"/>
    <w:multiLevelType w:val="hybridMultilevel"/>
    <w:tmpl w:val="70E0C2E2"/>
    <w:lvl w:ilvl="0" w:tplc="B64CF1BC">
      <w:numFmt w:val="bullet"/>
      <w:lvlText w:val="-"/>
      <w:lvlJc w:val="left"/>
      <w:pPr>
        <w:ind w:left="720" w:hanging="360"/>
      </w:pPr>
      <w:rPr>
        <w:rFonts w:ascii="Barlow" w:eastAsia="Times New Roman" w:hAnsi="Barlow"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5BB3847"/>
    <w:multiLevelType w:val="multilevel"/>
    <w:tmpl w:val="5D7AA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BE7845"/>
    <w:multiLevelType w:val="hybridMultilevel"/>
    <w:tmpl w:val="F28C8692"/>
    <w:lvl w:ilvl="0" w:tplc="5844BF0E">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97F2436"/>
    <w:multiLevelType w:val="hybridMultilevel"/>
    <w:tmpl w:val="B23896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F66974"/>
    <w:multiLevelType w:val="hybridMultilevel"/>
    <w:tmpl w:val="AB56A7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8841C4"/>
    <w:multiLevelType w:val="hybridMultilevel"/>
    <w:tmpl w:val="56DC9B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2D420E9"/>
    <w:multiLevelType w:val="hybridMultilevel"/>
    <w:tmpl w:val="9CF26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69E01C5"/>
    <w:multiLevelType w:val="hybridMultilevel"/>
    <w:tmpl w:val="1752FC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CB5821"/>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24" w15:restartNumberingAfterBreak="0">
    <w:nsid w:val="7C9959CA"/>
    <w:multiLevelType w:val="hybridMultilevel"/>
    <w:tmpl w:val="9364FCCE"/>
    <w:lvl w:ilvl="0" w:tplc="6C66F0DA">
      <w:numFmt w:val="bullet"/>
      <w:lvlText w:val="-"/>
      <w:lvlJc w:val="left"/>
      <w:pPr>
        <w:ind w:left="720" w:hanging="360"/>
      </w:pPr>
      <w:rPr>
        <w:rFonts w:ascii="Barlow" w:eastAsia="Times New Roman" w:hAnsi="Barlow"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9"/>
  </w:num>
  <w:num w:numId="4">
    <w:abstractNumId w:val="14"/>
  </w:num>
  <w:num w:numId="5">
    <w:abstractNumId w:val="22"/>
  </w:num>
  <w:num w:numId="6">
    <w:abstractNumId w:val="0"/>
  </w:num>
  <w:num w:numId="7">
    <w:abstractNumId w:val="5"/>
  </w:num>
  <w:num w:numId="8">
    <w:abstractNumId w:val="19"/>
  </w:num>
  <w:num w:numId="9">
    <w:abstractNumId w:val="21"/>
  </w:num>
  <w:num w:numId="10">
    <w:abstractNumId w:val="23"/>
  </w:num>
  <w:num w:numId="11">
    <w:abstractNumId w:val="13"/>
  </w:num>
  <w:num w:numId="12">
    <w:abstractNumId w:val="3"/>
  </w:num>
  <w:num w:numId="13">
    <w:abstractNumId w:val="16"/>
  </w:num>
  <w:num w:numId="14">
    <w:abstractNumId w:val="6"/>
  </w:num>
  <w:num w:numId="15">
    <w:abstractNumId w:val="7"/>
  </w:num>
  <w:num w:numId="16">
    <w:abstractNumId w:val="10"/>
  </w:num>
  <w:num w:numId="17">
    <w:abstractNumId w:val="17"/>
  </w:num>
  <w:num w:numId="18">
    <w:abstractNumId w:val="20"/>
  </w:num>
  <w:num w:numId="19">
    <w:abstractNumId w:val="15"/>
  </w:num>
  <w:num w:numId="20">
    <w:abstractNumId w:val="2"/>
  </w:num>
  <w:num w:numId="21">
    <w:abstractNumId w:val="1"/>
  </w:num>
  <w:num w:numId="22">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23">
    <w:abstractNumId w:val="4"/>
  </w:num>
  <w:num w:numId="24">
    <w:abstractNumId w:val="24"/>
  </w:num>
  <w:num w:numId="2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07D1"/>
    <w:rsid w:val="00001A77"/>
    <w:rsid w:val="0000375A"/>
    <w:rsid w:val="000041B9"/>
    <w:rsid w:val="00004F8E"/>
    <w:rsid w:val="00005ABB"/>
    <w:rsid w:val="00005D4F"/>
    <w:rsid w:val="000064EA"/>
    <w:rsid w:val="00006FA0"/>
    <w:rsid w:val="000109BC"/>
    <w:rsid w:val="0001275E"/>
    <w:rsid w:val="0001315A"/>
    <w:rsid w:val="0001378A"/>
    <w:rsid w:val="000144F5"/>
    <w:rsid w:val="0001625D"/>
    <w:rsid w:val="00016AF8"/>
    <w:rsid w:val="000171F1"/>
    <w:rsid w:val="0001792B"/>
    <w:rsid w:val="00020429"/>
    <w:rsid w:val="00026DDA"/>
    <w:rsid w:val="00026DF4"/>
    <w:rsid w:val="00027142"/>
    <w:rsid w:val="0003112E"/>
    <w:rsid w:val="00031CA1"/>
    <w:rsid w:val="000320C2"/>
    <w:rsid w:val="00032BB1"/>
    <w:rsid w:val="000336F3"/>
    <w:rsid w:val="0003650E"/>
    <w:rsid w:val="000404D4"/>
    <w:rsid w:val="00040F2F"/>
    <w:rsid w:val="00042929"/>
    <w:rsid w:val="0004371F"/>
    <w:rsid w:val="00044391"/>
    <w:rsid w:val="0004525B"/>
    <w:rsid w:val="00050210"/>
    <w:rsid w:val="00051C2B"/>
    <w:rsid w:val="00052C47"/>
    <w:rsid w:val="000544A3"/>
    <w:rsid w:val="000547CB"/>
    <w:rsid w:val="00055DF3"/>
    <w:rsid w:val="0006186C"/>
    <w:rsid w:val="000630C9"/>
    <w:rsid w:val="0006428F"/>
    <w:rsid w:val="00064C4F"/>
    <w:rsid w:val="00066D03"/>
    <w:rsid w:val="0007023B"/>
    <w:rsid w:val="000702DD"/>
    <w:rsid w:val="00072BD6"/>
    <w:rsid w:val="000755FF"/>
    <w:rsid w:val="0007594B"/>
    <w:rsid w:val="00075A43"/>
    <w:rsid w:val="000760AB"/>
    <w:rsid w:val="000769D2"/>
    <w:rsid w:val="00081753"/>
    <w:rsid w:val="00082456"/>
    <w:rsid w:val="000831D9"/>
    <w:rsid w:val="000832BD"/>
    <w:rsid w:val="00084CEB"/>
    <w:rsid w:val="000854D4"/>
    <w:rsid w:val="00087D4B"/>
    <w:rsid w:val="00093686"/>
    <w:rsid w:val="00096F24"/>
    <w:rsid w:val="000A1C1B"/>
    <w:rsid w:val="000A1E6D"/>
    <w:rsid w:val="000A1FCF"/>
    <w:rsid w:val="000A302E"/>
    <w:rsid w:val="000A427F"/>
    <w:rsid w:val="000A4558"/>
    <w:rsid w:val="000A53B7"/>
    <w:rsid w:val="000A578A"/>
    <w:rsid w:val="000A7362"/>
    <w:rsid w:val="000A7471"/>
    <w:rsid w:val="000A78A6"/>
    <w:rsid w:val="000B1288"/>
    <w:rsid w:val="000B3057"/>
    <w:rsid w:val="000B5133"/>
    <w:rsid w:val="000B61E7"/>
    <w:rsid w:val="000B73EE"/>
    <w:rsid w:val="000C0FBD"/>
    <w:rsid w:val="000C189E"/>
    <w:rsid w:val="000C2A28"/>
    <w:rsid w:val="000C4DE4"/>
    <w:rsid w:val="000C7C7D"/>
    <w:rsid w:val="000D04AA"/>
    <w:rsid w:val="000D0DD7"/>
    <w:rsid w:val="000D16E3"/>
    <w:rsid w:val="000D2D6F"/>
    <w:rsid w:val="000D5D69"/>
    <w:rsid w:val="000D61D6"/>
    <w:rsid w:val="000D691D"/>
    <w:rsid w:val="000D70E9"/>
    <w:rsid w:val="000E294F"/>
    <w:rsid w:val="000E3167"/>
    <w:rsid w:val="000E3825"/>
    <w:rsid w:val="000E45CD"/>
    <w:rsid w:val="000E4FB8"/>
    <w:rsid w:val="000E5AAA"/>
    <w:rsid w:val="000E654E"/>
    <w:rsid w:val="000F1D87"/>
    <w:rsid w:val="000F54E0"/>
    <w:rsid w:val="000F564F"/>
    <w:rsid w:val="000F5D63"/>
    <w:rsid w:val="000F764C"/>
    <w:rsid w:val="001060BF"/>
    <w:rsid w:val="00106441"/>
    <w:rsid w:val="00107192"/>
    <w:rsid w:val="001071D3"/>
    <w:rsid w:val="001100EC"/>
    <w:rsid w:val="001105EC"/>
    <w:rsid w:val="00110A0C"/>
    <w:rsid w:val="00110B2A"/>
    <w:rsid w:val="001121C1"/>
    <w:rsid w:val="00112D72"/>
    <w:rsid w:val="001160EF"/>
    <w:rsid w:val="001161A5"/>
    <w:rsid w:val="00117463"/>
    <w:rsid w:val="00121CEB"/>
    <w:rsid w:val="00122129"/>
    <w:rsid w:val="001238F2"/>
    <w:rsid w:val="00124DC2"/>
    <w:rsid w:val="00127518"/>
    <w:rsid w:val="00127C1E"/>
    <w:rsid w:val="00131F6F"/>
    <w:rsid w:val="001320CB"/>
    <w:rsid w:val="00142ACD"/>
    <w:rsid w:val="0014716A"/>
    <w:rsid w:val="00147CEC"/>
    <w:rsid w:val="00150FE4"/>
    <w:rsid w:val="00151391"/>
    <w:rsid w:val="001547A3"/>
    <w:rsid w:val="00155916"/>
    <w:rsid w:val="001573D2"/>
    <w:rsid w:val="00157A4C"/>
    <w:rsid w:val="00157A67"/>
    <w:rsid w:val="00160462"/>
    <w:rsid w:val="00161F42"/>
    <w:rsid w:val="00162791"/>
    <w:rsid w:val="00163F0C"/>
    <w:rsid w:val="00164977"/>
    <w:rsid w:val="00164BB0"/>
    <w:rsid w:val="00164BDE"/>
    <w:rsid w:val="00165E3F"/>
    <w:rsid w:val="00167B72"/>
    <w:rsid w:val="001720C0"/>
    <w:rsid w:val="00174D6C"/>
    <w:rsid w:val="00174EA7"/>
    <w:rsid w:val="0017602B"/>
    <w:rsid w:val="0017605A"/>
    <w:rsid w:val="00183C54"/>
    <w:rsid w:val="001844AE"/>
    <w:rsid w:val="00184626"/>
    <w:rsid w:val="00184B9D"/>
    <w:rsid w:val="00185164"/>
    <w:rsid w:val="001851E1"/>
    <w:rsid w:val="00185700"/>
    <w:rsid w:val="00185FB7"/>
    <w:rsid w:val="001860C4"/>
    <w:rsid w:val="00186762"/>
    <w:rsid w:val="00190D31"/>
    <w:rsid w:val="00191A0A"/>
    <w:rsid w:val="00192C39"/>
    <w:rsid w:val="001933DA"/>
    <w:rsid w:val="001938E0"/>
    <w:rsid w:val="00196319"/>
    <w:rsid w:val="00196D8B"/>
    <w:rsid w:val="00197818"/>
    <w:rsid w:val="001A0A33"/>
    <w:rsid w:val="001A1132"/>
    <w:rsid w:val="001A1578"/>
    <w:rsid w:val="001A1640"/>
    <w:rsid w:val="001A31D3"/>
    <w:rsid w:val="001A5DBF"/>
    <w:rsid w:val="001B320E"/>
    <w:rsid w:val="001B389A"/>
    <w:rsid w:val="001B4122"/>
    <w:rsid w:val="001B698E"/>
    <w:rsid w:val="001C0345"/>
    <w:rsid w:val="001C07EE"/>
    <w:rsid w:val="001C1E2F"/>
    <w:rsid w:val="001C2700"/>
    <w:rsid w:val="001C466C"/>
    <w:rsid w:val="001C5AEC"/>
    <w:rsid w:val="001C652E"/>
    <w:rsid w:val="001C67F9"/>
    <w:rsid w:val="001C6AD4"/>
    <w:rsid w:val="001C6E76"/>
    <w:rsid w:val="001C7401"/>
    <w:rsid w:val="001E0215"/>
    <w:rsid w:val="001E14E2"/>
    <w:rsid w:val="001E1596"/>
    <w:rsid w:val="001E163C"/>
    <w:rsid w:val="001E25D0"/>
    <w:rsid w:val="001E2682"/>
    <w:rsid w:val="001E6396"/>
    <w:rsid w:val="001F1975"/>
    <w:rsid w:val="001F51A3"/>
    <w:rsid w:val="001F7237"/>
    <w:rsid w:val="001F768D"/>
    <w:rsid w:val="001F7AFC"/>
    <w:rsid w:val="0020086C"/>
    <w:rsid w:val="00202C8E"/>
    <w:rsid w:val="00202F32"/>
    <w:rsid w:val="00204084"/>
    <w:rsid w:val="00205062"/>
    <w:rsid w:val="00206C6B"/>
    <w:rsid w:val="00206E21"/>
    <w:rsid w:val="00212556"/>
    <w:rsid w:val="00213220"/>
    <w:rsid w:val="00213381"/>
    <w:rsid w:val="0021389A"/>
    <w:rsid w:val="00213CFF"/>
    <w:rsid w:val="00216493"/>
    <w:rsid w:val="00216AAE"/>
    <w:rsid w:val="00216AF8"/>
    <w:rsid w:val="002214BB"/>
    <w:rsid w:val="002214C9"/>
    <w:rsid w:val="002220F8"/>
    <w:rsid w:val="00222282"/>
    <w:rsid w:val="002225C3"/>
    <w:rsid w:val="00222762"/>
    <w:rsid w:val="00222F7D"/>
    <w:rsid w:val="0022650D"/>
    <w:rsid w:val="00230693"/>
    <w:rsid w:val="002317FA"/>
    <w:rsid w:val="002332E4"/>
    <w:rsid w:val="00233782"/>
    <w:rsid w:val="00234B5D"/>
    <w:rsid w:val="002354AF"/>
    <w:rsid w:val="00235DDB"/>
    <w:rsid w:val="00235F55"/>
    <w:rsid w:val="0023603E"/>
    <w:rsid w:val="0023705C"/>
    <w:rsid w:val="00240562"/>
    <w:rsid w:val="00240C3B"/>
    <w:rsid w:val="002410F5"/>
    <w:rsid w:val="0024117A"/>
    <w:rsid w:val="0024531E"/>
    <w:rsid w:val="002458BE"/>
    <w:rsid w:val="00245CFB"/>
    <w:rsid w:val="00246190"/>
    <w:rsid w:val="002512C8"/>
    <w:rsid w:val="00251A08"/>
    <w:rsid w:val="00252CC4"/>
    <w:rsid w:val="00252FF2"/>
    <w:rsid w:val="00253AED"/>
    <w:rsid w:val="00253D6A"/>
    <w:rsid w:val="00255938"/>
    <w:rsid w:val="002562DC"/>
    <w:rsid w:val="002563E6"/>
    <w:rsid w:val="00256443"/>
    <w:rsid w:val="00257165"/>
    <w:rsid w:val="0025728F"/>
    <w:rsid w:val="0025785D"/>
    <w:rsid w:val="0026180B"/>
    <w:rsid w:val="00262465"/>
    <w:rsid w:val="00265EF8"/>
    <w:rsid w:val="002662AF"/>
    <w:rsid w:val="00267590"/>
    <w:rsid w:val="002679A0"/>
    <w:rsid w:val="00270896"/>
    <w:rsid w:val="00271D04"/>
    <w:rsid w:val="002772BC"/>
    <w:rsid w:val="002824F9"/>
    <w:rsid w:val="00283B4C"/>
    <w:rsid w:val="00284283"/>
    <w:rsid w:val="00284DAF"/>
    <w:rsid w:val="00286DA2"/>
    <w:rsid w:val="0029084C"/>
    <w:rsid w:val="00290ED6"/>
    <w:rsid w:val="00291770"/>
    <w:rsid w:val="002920B2"/>
    <w:rsid w:val="002940B3"/>
    <w:rsid w:val="0029681E"/>
    <w:rsid w:val="002A2A09"/>
    <w:rsid w:val="002A2B78"/>
    <w:rsid w:val="002A49EE"/>
    <w:rsid w:val="002A4BE8"/>
    <w:rsid w:val="002A56A5"/>
    <w:rsid w:val="002A5FF1"/>
    <w:rsid w:val="002A6A34"/>
    <w:rsid w:val="002B21CF"/>
    <w:rsid w:val="002B4062"/>
    <w:rsid w:val="002B4C8F"/>
    <w:rsid w:val="002B4F5C"/>
    <w:rsid w:val="002B5055"/>
    <w:rsid w:val="002C10A6"/>
    <w:rsid w:val="002C1A37"/>
    <w:rsid w:val="002C2D08"/>
    <w:rsid w:val="002C2EBB"/>
    <w:rsid w:val="002C663F"/>
    <w:rsid w:val="002D0BE6"/>
    <w:rsid w:val="002D1448"/>
    <w:rsid w:val="002D2B5B"/>
    <w:rsid w:val="002D3464"/>
    <w:rsid w:val="002D41C8"/>
    <w:rsid w:val="002D4AD6"/>
    <w:rsid w:val="002D5C7D"/>
    <w:rsid w:val="002D773E"/>
    <w:rsid w:val="002D7C5C"/>
    <w:rsid w:val="002E06C8"/>
    <w:rsid w:val="002E1A3A"/>
    <w:rsid w:val="002E2183"/>
    <w:rsid w:val="002E378E"/>
    <w:rsid w:val="002E6169"/>
    <w:rsid w:val="002F14F7"/>
    <w:rsid w:val="002F1F80"/>
    <w:rsid w:val="002F2493"/>
    <w:rsid w:val="002F2940"/>
    <w:rsid w:val="002F33FF"/>
    <w:rsid w:val="002F58BA"/>
    <w:rsid w:val="002F5EEE"/>
    <w:rsid w:val="002F6128"/>
    <w:rsid w:val="003047DD"/>
    <w:rsid w:val="003049F3"/>
    <w:rsid w:val="00306BEA"/>
    <w:rsid w:val="003102BA"/>
    <w:rsid w:val="003105B5"/>
    <w:rsid w:val="00311488"/>
    <w:rsid w:val="00313196"/>
    <w:rsid w:val="0031449C"/>
    <w:rsid w:val="00314C97"/>
    <w:rsid w:val="003153C1"/>
    <w:rsid w:val="00325FD1"/>
    <w:rsid w:val="003301EC"/>
    <w:rsid w:val="0033205B"/>
    <w:rsid w:val="003327BB"/>
    <w:rsid w:val="00333AF6"/>
    <w:rsid w:val="00333CF3"/>
    <w:rsid w:val="003347B0"/>
    <w:rsid w:val="00335CAE"/>
    <w:rsid w:val="003368F6"/>
    <w:rsid w:val="00342161"/>
    <w:rsid w:val="0034445C"/>
    <w:rsid w:val="003467F7"/>
    <w:rsid w:val="0035079D"/>
    <w:rsid w:val="003509EC"/>
    <w:rsid w:val="00353DC5"/>
    <w:rsid w:val="00355B44"/>
    <w:rsid w:val="003565AD"/>
    <w:rsid w:val="00357845"/>
    <w:rsid w:val="00357F62"/>
    <w:rsid w:val="0036136E"/>
    <w:rsid w:val="00361866"/>
    <w:rsid w:val="003619F5"/>
    <w:rsid w:val="003624BD"/>
    <w:rsid w:val="003645D0"/>
    <w:rsid w:val="00365E23"/>
    <w:rsid w:val="003661A9"/>
    <w:rsid w:val="00373189"/>
    <w:rsid w:val="00373A1D"/>
    <w:rsid w:val="003756FA"/>
    <w:rsid w:val="00376949"/>
    <w:rsid w:val="00380EF0"/>
    <w:rsid w:val="003814C1"/>
    <w:rsid w:val="00381AA1"/>
    <w:rsid w:val="00383F3D"/>
    <w:rsid w:val="00387789"/>
    <w:rsid w:val="00387981"/>
    <w:rsid w:val="00387C59"/>
    <w:rsid w:val="00390587"/>
    <w:rsid w:val="00391A0E"/>
    <w:rsid w:val="00392142"/>
    <w:rsid w:val="00392D11"/>
    <w:rsid w:val="003931EB"/>
    <w:rsid w:val="00393442"/>
    <w:rsid w:val="003947A5"/>
    <w:rsid w:val="00397A3F"/>
    <w:rsid w:val="00397FC3"/>
    <w:rsid w:val="003A18DB"/>
    <w:rsid w:val="003A1D93"/>
    <w:rsid w:val="003A2BC1"/>
    <w:rsid w:val="003A2D42"/>
    <w:rsid w:val="003A2D4F"/>
    <w:rsid w:val="003A6427"/>
    <w:rsid w:val="003A6B9E"/>
    <w:rsid w:val="003A6E8F"/>
    <w:rsid w:val="003A7680"/>
    <w:rsid w:val="003B1778"/>
    <w:rsid w:val="003B18B6"/>
    <w:rsid w:val="003B2462"/>
    <w:rsid w:val="003B3B5A"/>
    <w:rsid w:val="003B4964"/>
    <w:rsid w:val="003B4B84"/>
    <w:rsid w:val="003B5D3C"/>
    <w:rsid w:val="003B60CA"/>
    <w:rsid w:val="003C1D54"/>
    <w:rsid w:val="003C6EFC"/>
    <w:rsid w:val="003D0924"/>
    <w:rsid w:val="003D1793"/>
    <w:rsid w:val="003D33E2"/>
    <w:rsid w:val="003D5B75"/>
    <w:rsid w:val="003D61D4"/>
    <w:rsid w:val="003D7C6A"/>
    <w:rsid w:val="003E193F"/>
    <w:rsid w:val="003E2039"/>
    <w:rsid w:val="003E4E9A"/>
    <w:rsid w:val="003E52D9"/>
    <w:rsid w:val="003E5BD2"/>
    <w:rsid w:val="003F40BF"/>
    <w:rsid w:val="003F434D"/>
    <w:rsid w:val="003F4C7A"/>
    <w:rsid w:val="0040153B"/>
    <w:rsid w:val="00401EBA"/>
    <w:rsid w:val="00401FD4"/>
    <w:rsid w:val="0040708F"/>
    <w:rsid w:val="00407B2E"/>
    <w:rsid w:val="00410493"/>
    <w:rsid w:val="004126B9"/>
    <w:rsid w:val="004127AA"/>
    <w:rsid w:val="00412DEE"/>
    <w:rsid w:val="004162FE"/>
    <w:rsid w:val="00424140"/>
    <w:rsid w:val="0042723A"/>
    <w:rsid w:val="00434BB8"/>
    <w:rsid w:val="0043560D"/>
    <w:rsid w:val="0043704A"/>
    <w:rsid w:val="00440A84"/>
    <w:rsid w:val="004451A9"/>
    <w:rsid w:val="00453440"/>
    <w:rsid w:val="00453458"/>
    <w:rsid w:val="00453B11"/>
    <w:rsid w:val="00453E01"/>
    <w:rsid w:val="00454BA9"/>
    <w:rsid w:val="00455288"/>
    <w:rsid w:val="00456620"/>
    <w:rsid w:val="004568A1"/>
    <w:rsid w:val="00461136"/>
    <w:rsid w:val="00464119"/>
    <w:rsid w:val="004651D3"/>
    <w:rsid w:val="004658EE"/>
    <w:rsid w:val="00467283"/>
    <w:rsid w:val="00471335"/>
    <w:rsid w:val="0047465B"/>
    <w:rsid w:val="00476DB9"/>
    <w:rsid w:val="00477944"/>
    <w:rsid w:val="00481155"/>
    <w:rsid w:val="00482399"/>
    <w:rsid w:val="00482B06"/>
    <w:rsid w:val="00482B0C"/>
    <w:rsid w:val="004832E5"/>
    <w:rsid w:val="0048331C"/>
    <w:rsid w:val="00484D69"/>
    <w:rsid w:val="00485542"/>
    <w:rsid w:val="00485CDE"/>
    <w:rsid w:val="00490849"/>
    <w:rsid w:val="00493297"/>
    <w:rsid w:val="00493D45"/>
    <w:rsid w:val="0049715B"/>
    <w:rsid w:val="004A08F3"/>
    <w:rsid w:val="004A1023"/>
    <w:rsid w:val="004A2419"/>
    <w:rsid w:val="004B0334"/>
    <w:rsid w:val="004B0DA1"/>
    <w:rsid w:val="004B203A"/>
    <w:rsid w:val="004B41AF"/>
    <w:rsid w:val="004B426C"/>
    <w:rsid w:val="004B58A5"/>
    <w:rsid w:val="004B6928"/>
    <w:rsid w:val="004C1C8B"/>
    <w:rsid w:val="004C2203"/>
    <w:rsid w:val="004C43D4"/>
    <w:rsid w:val="004C5F9E"/>
    <w:rsid w:val="004C732F"/>
    <w:rsid w:val="004C7A21"/>
    <w:rsid w:val="004D075A"/>
    <w:rsid w:val="004D258E"/>
    <w:rsid w:val="004D780F"/>
    <w:rsid w:val="004E1DA3"/>
    <w:rsid w:val="004E48D3"/>
    <w:rsid w:val="004E7F0F"/>
    <w:rsid w:val="004F22A7"/>
    <w:rsid w:val="004F40EF"/>
    <w:rsid w:val="004F4949"/>
    <w:rsid w:val="004F7965"/>
    <w:rsid w:val="00500544"/>
    <w:rsid w:val="00501A41"/>
    <w:rsid w:val="005026A0"/>
    <w:rsid w:val="005049AE"/>
    <w:rsid w:val="00505431"/>
    <w:rsid w:val="005108BB"/>
    <w:rsid w:val="00510B4B"/>
    <w:rsid w:val="00512E42"/>
    <w:rsid w:val="00512ECE"/>
    <w:rsid w:val="00515A02"/>
    <w:rsid w:val="00517419"/>
    <w:rsid w:val="005211AD"/>
    <w:rsid w:val="00522850"/>
    <w:rsid w:val="005228DC"/>
    <w:rsid w:val="00523299"/>
    <w:rsid w:val="00524FEF"/>
    <w:rsid w:val="005321F9"/>
    <w:rsid w:val="005351F8"/>
    <w:rsid w:val="0053617C"/>
    <w:rsid w:val="00542205"/>
    <w:rsid w:val="00543730"/>
    <w:rsid w:val="00544C10"/>
    <w:rsid w:val="00550847"/>
    <w:rsid w:val="00550D70"/>
    <w:rsid w:val="005546DC"/>
    <w:rsid w:val="00557193"/>
    <w:rsid w:val="00560EAD"/>
    <w:rsid w:val="005624F2"/>
    <w:rsid w:val="00563060"/>
    <w:rsid w:val="0056330B"/>
    <w:rsid w:val="00564227"/>
    <w:rsid w:val="005652E6"/>
    <w:rsid w:val="00565897"/>
    <w:rsid w:val="0056667B"/>
    <w:rsid w:val="00566C42"/>
    <w:rsid w:val="0057093C"/>
    <w:rsid w:val="005720ED"/>
    <w:rsid w:val="00575261"/>
    <w:rsid w:val="00576B21"/>
    <w:rsid w:val="00580968"/>
    <w:rsid w:val="00580E5E"/>
    <w:rsid w:val="00581B69"/>
    <w:rsid w:val="00583C6C"/>
    <w:rsid w:val="005848A4"/>
    <w:rsid w:val="00584A11"/>
    <w:rsid w:val="0058504F"/>
    <w:rsid w:val="0058535B"/>
    <w:rsid w:val="00585774"/>
    <w:rsid w:val="00590F1A"/>
    <w:rsid w:val="00590F35"/>
    <w:rsid w:val="00591C78"/>
    <w:rsid w:val="0059395B"/>
    <w:rsid w:val="00594E85"/>
    <w:rsid w:val="005967AD"/>
    <w:rsid w:val="005A0960"/>
    <w:rsid w:val="005A2D1D"/>
    <w:rsid w:val="005A3097"/>
    <w:rsid w:val="005A3DE1"/>
    <w:rsid w:val="005A4A11"/>
    <w:rsid w:val="005A4A75"/>
    <w:rsid w:val="005A5195"/>
    <w:rsid w:val="005A5E02"/>
    <w:rsid w:val="005B042C"/>
    <w:rsid w:val="005B0A62"/>
    <w:rsid w:val="005B1480"/>
    <w:rsid w:val="005B17D0"/>
    <w:rsid w:val="005B5581"/>
    <w:rsid w:val="005B5927"/>
    <w:rsid w:val="005B6DF2"/>
    <w:rsid w:val="005B7570"/>
    <w:rsid w:val="005C0C8F"/>
    <w:rsid w:val="005C28A8"/>
    <w:rsid w:val="005C386B"/>
    <w:rsid w:val="005C534E"/>
    <w:rsid w:val="005C5E74"/>
    <w:rsid w:val="005C7934"/>
    <w:rsid w:val="005D055C"/>
    <w:rsid w:val="005D0E44"/>
    <w:rsid w:val="005D2C5C"/>
    <w:rsid w:val="005D5DB2"/>
    <w:rsid w:val="005D6501"/>
    <w:rsid w:val="005E0839"/>
    <w:rsid w:val="005E1BAD"/>
    <w:rsid w:val="005E21C6"/>
    <w:rsid w:val="005E29D9"/>
    <w:rsid w:val="005E46EF"/>
    <w:rsid w:val="005E4E30"/>
    <w:rsid w:val="005E6003"/>
    <w:rsid w:val="005F0D38"/>
    <w:rsid w:val="005F268C"/>
    <w:rsid w:val="005F30D3"/>
    <w:rsid w:val="005F3621"/>
    <w:rsid w:val="005F603F"/>
    <w:rsid w:val="00600CF0"/>
    <w:rsid w:val="006036B8"/>
    <w:rsid w:val="00603B37"/>
    <w:rsid w:val="00604919"/>
    <w:rsid w:val="00606462"/>
    <w:rsid w:val="00613430"/>
    <w:rsid w:val="006139CB"/>
    <w:rsid w:val="0062340E"/>
    <w:rsid w:val="006240D9"/>
    <w:rsid w:val="006261A4"/>
    <w:rsid w:val="00630DA9"/>
    <w:rsid w:val="00632474"/>
    <w:rsid w:val="006329D5"/>
    <w:rsid w:val="0063397B"/>
    <w:rsid w:val="00633C8F"/>
    <w:rsid w:val="006354A8"/>
    <w:rsid w:val="006373FF"/>
    <w:rsid w:val="00640719"/>
    <w:rsid w:val="00642CC8"/>
    <w:rsid w:val="0064330A"/>
    <w:rsid w:val="00644BEC"/>
    <w:rsid w:val="00647114"/>
    <w:rsid w:val="00647299"/>
    <w:rsid w:val="00650DDC"/>
    <w:rsid w:val="0065182A"/>
    <w:rsid w:val="00651D0A"/>
    <w:rsid w:val="006532F3"/>
    <w:rsid w:val="00654326"/>
    <w:rsid w:val="00655F59"/>
    <w:rsid w:val="006608DD"/>
    <w:rsid w:val="00662428"/>
    <w:rsid w:val="00664DEE"/>
    <w:rsid w:val="006659F7"/>
    <w:rsid w:val="00671B20"/>
    <w:rsid w:val="006720EF"/>
    <w:rsid w:val="00672BB0"/>
    <w:rsid w:val="00672CB0"/>
    <w:rsid w:val="00673B01"/>
    <w:rsid w:val="00675509"/>
    <w:rsid w:val="0067650C"/>
    <w:rsid w:val="00677289"/>
    <w:rsid w:val="00677F9F"/>
    <w:rsid w:val="006826C9"/>
    <w:rsid w:val="00683238"/>
    <w:rsid w:val="00683597"/>
    <w:rsid w:val="00683F90"/>
    <w:rsid w:val="0068442C"/>
    <w:rsid w:val="00686872"/>
    <w:rsid w:val="00687BDF"/>
    <w:rsid w:val="00690CBD"/>
    <w:rsid w:val="006922D5"/>
    <w:rsid w:val="006933D0"/>
    <w:rsid w:val="00693BE1"/>
    <w:rsid w:val="00694603"/>
    <w:rsid w:val="0069477C"/>
    <w:rsid w:val="006954A4"/>
    <w:rsid w:val="00696718"/>
    <w:rsid w:val="006967F4"/>
    <w:rsid w:val="006A0BB0"/>
    <w:rsid w:val="006A26B5"/>
    <w:rsid w:val="006A3710"/>
    <w:rsid w:val="006A4DF8"/>
    <w:rsid w:val="006A5B85"/>
    <w:rsid w:val="006A6419"/>
    <w:rsid w:val="006A6D32"/>
    <w:rsid w:val="006A714B"/>
    <w:rsid w:val="006B117A"/>
    <w:rsid w:val="006B1A44"/>
    <w:rsid w:val="006B248C"/>
    <w:rsid w:val="006B4C79"/>
    <w:rsid w:val="006B65F8"/>
    <w:rsid w:val="006B75D9"/>
    <w:rsid w:val="006B77E6"/>
    <w:rsid w:val="006B7DA5"/>
    <w:rsid w:val="006C346C"/>
    <w:rsid w:val="006C4D57"/>
    <w:rsid w:val="006C4E4C"/>
    <w:rsid w:val="006C5C1A"/>
    <w:rsid w:val="006C656E"/>
    <w:rsid w:val="006C73FB"/>
    <w:rsid w:val="006D5236"/>
    <w:rsid w:val="006D7A04"/>
    <w:rsid w:val="006E1089"/>
    <w:rsid w:val="006E1D92"/>
    <w:rsid w:val="006E2687"/>
    <w:rsid w:val="006E3356"/>
    <w:rsid w:val="006F0767"/>
    <w:rsid w:val="006F1389"/>
    <w:rsid w:val="006F34DE"/>
    <w:rsid w:val="006F3BAB"/>
    <w:rsid w:val="006F57BF"/>
    <w:rsid w:val="006F631C"/>
    <w:rsid w:val="006F6703"/>
    <w:rsid w:val="006F7510"/>
    <w:rsid w:val="00705583"/>
    <w:rsid w:val="007064CB"/>
    <w:rsid w:val="00706E8B"/>
    <w:rsid w:val="00710140"/>
    <w:rsid w:val="0071143C"/>
    <w:rsid w:val="00711783"/>
    <w:rsid w:val="007120CD"/>
    <w:rsid w:val="0071299C"/>
    <w:rsid w:val="00712AB6"/>
    <w:rsid w:val="00713F85"/>
    <w:rsid w:val="007161F2"/>
    <w:rsid w:val="00716E21"/>
    <w:rsid w:val="00717B86"/>
    <w:rsid w:val="007203AB"/>
    <w:rsid w:val="0072194E"/>
    <w:rsid w:val="00721A11"/>
    <w:rsid w:val="00723BCC"/>
    <w:rsid w:val="00723D9B"/>
    <w:rsid w:val="00725A48"/>
    <w:rsid w:val="007277F4"/>
    <w:rsid w:val="00727A0D"/>
    <w:rsid w:val="00727D89"/>
    <w:rsid w:val="00731788"/>
    <w:rsid w:val="007321A5"/>
    <w:rsid w:val="007326D2"/>
    <w:rsid w:val="0073282A"/>
    <w:rsid w:val="00733988"/>
    <w:rsid w:val="00733A68"/>
    <w:rsid w:val="007345D7"/>
    <w:rsid w:val="00734839"/>
    <w:rsid w:val="0073632D"/>
    <w:rsid w:val="007368E9"/>
    <w:rsid w:val="007401F7"/>
    <w:rsid w:val="00740B81"/>
    <w:rsid w:val="00740FB7"/>
    <w:rsid w:val="007420B0"/>
    <w:rsid w:val="007464D4"/>
    <w:rsid w:val="00746655"/>
    <w:rsid w:val="00746907"/>
    <w:rsid w:val="00747DC6"/>
    <w:rsid w:val="00754336"/>
    <w:rsid w:val="007603C3"/>
    <w:rsid w:val="0076163D"/>
    <w:rsid w:val="00765652"/>
    <w:rsid w:val="00770D84"/>
    <w:rsid w:val="00771C84"/>
    <w:rsid w:val="00773AA9"/>
    <w:rsid w:val="00773C5F"/>
    <w:rsid w:val="00775193"/>
    <w:rsid w:val="0077593D"/>
    <w:rsid w:val="00775CDD"/>
    <w:rsid w:val="00777001"/>
    <w:rsid w:val="00780474"/>
    <w:rsid w:val="0078237E"/>
    <w:rsid w:val="007824F2"/>
    <w:rsid w:val="00784295"/>
    <w:rsid w:val="007848F3"/>
    <w:rsid w:val="007855B7"/>
    <w:rsid w:val="007855F5"/>
    <w:rsid w:val="00785D65"/>
    <w:rsid w:val="007900C8"/>
    <w:rsid w:val="00790F0E"/>
    <w:rsid w:val="00795A81"/>
    <w:rsid w:val="00796054"/>
    <w:rsid w:val="007A0046"/>
    <w:rsid w:val="007A18D1"/>
    <w:rsid w:val="007A230C"/>
    <w:rsid w:val="007A26A2"/>
    <w:rsid w:val="007A27BB"/>
    <w:rsid w:val="007A3EF1"/>
    <w:rsid w:val="007A45B6"/>
    <w:rsid w:val="007A4E92"/>
    <w:rsid w:val="007A6BA1"/>
    <w:rsid w:val="007A716A"/>
    <w:rsid w:val="007A7DD6"/>
    <w:rsid w:val="007B0620"/>
    <w:rsid w:val="007B3B3E"/>
    <w:rsid w:val="007C2BB7"/>
    <w:rsid w:val="007C360F"/>
    <w:rsid w:val="007C3F9B"/>
    <w:rsid w:val="007C478E"/>
    <w:rsid w:val="007C5329"/>
    <w:rsid w:val="007C57AC"/>
    <w:rsid w:val="007C5B18"/>
    <w:rsid w:val="007C789A"/>
    <w:rsid w:val="007D06BB"/>
    <w:rsid w:val="007D09B8"/>
    <w:rsid w:val="007D0F52"/>
    <w:rsid w:val="007D1AC9"/>
    <w:rsid w:val="007D4946"/>
    <w:rsid w:val="007D6679"/>
    <w:rsid w:val="007D6C10"/>
    <w:rsid w:val="007D7165"/>
    <w:rsid w:val="007D7342"/>
    <w:rsid w:val="007E063F"/>
    <w:rsid w:val="007E47C6"/>
    <w:rsid w:val="007E5CED"/>
    <w:rsid w:val="007E7D58"/>
    <w:rsid w:val="007F0420"/>
    <w:rsid w:val="007F050E"/>
    <w:rsid w:val="007F1C9E"/>
    <w:rsid w:val="007F2568"/>
    <w:rsid w:val="007F2F3B"/>
    <w:rsid w:val="008000B9"/>
    <w:rsid w:val="00800557"/>
    <w:rsid w:val="00803BD8"/>
    <w:rsid w:val="00804593"/>
    <w:rsid w:val="008052FE"/>
    <w:rsid w:val="00807223"/>
    <w:rsid w:val="00812110"/>
    <w:rsid w:val="00812E20"/>
    <w:rsid w:val="0081748B"/>
    <w:rsid w:val="008177BB"/>
    <w:rsid w:val="00817958"/>
    <w:rsid w:val="00817F23"/>
    <w:rsid w:val="00820879"/>
    <w:rsid w:val="00820CF1"/>
    <w:rsid w:val="00820F2E"/>
    <w:rsid w:val="00823027"/>
    <w:rsid w:val="008254AF"/>
    <w:rsid w:val="0082734A"/>
    <w:rsid w:val="008273DF"/>
    <w:rsid w:val="00833D98"/>
    <w:rsid w:val="00834141"/>
    <w:rsid w:val="008360E7"/>
    <w:rsid w:val="00840D05"/>
    <w:rsid w:val="00842987"/>
    <w:rsid w:val="00842ED5"/>
    <w:rsid w:val="00847294"/>
    <w:rsid w:val="0084764A"/>
    <w:rsid w:val="00847863"/>
    <w:rsid w:val="00847BB2"/>
    <w:rsid w:val="008515B8"/>
    <w:rsid w:val="00852D69"/>
    <w:rsid w:val="00852EB6"/>
    <w:rsid w:val="00854D74"/>
    <w:rsid w:val="00855CEE"/>
    <w:rsid w:val="00860E23"/>
    <w:rsid w:val="0086191D"/>
    <w:rsid w:val="00864E51"/>
    <w:rsid w:val="008659A4"/>
    <w:rsid w:val="0086690E"/>
    <w:rsid w:val="00866AC7"/>
    <w:rsid w:val="00871611"/>
    <w:rsid w:val="00872E71"/>
    <w:rsid w:val="0088235E"/>
    <w:rsid w:val="008832B7"/>
    <w:rsid w:val="00883E17"/>
    <w:rsid w:val="00883EF1"/>
    <w:rsid w:val="00885AA8"/>
    <w:rsid w:val="008861E4"/>
    <w:rsid w:val="00886595"/>
    <w:rsid w:val="008911FC"/>
    <w:rsid w:val="00891D16"/>
    <w:rsid w:val="00892B51"/>
    <w:rsid w:val="0089345E"/>
    <w:rsid w:val="00893495"/>
    <w:rsid w:val="0089545A"/>
    <w:rsid w:val="00895C70"/>
    <w:rsid w:val="00895DA8"/>
    <w:rsid w:val="00896D10"/>
    <w:rsid w:val="00897CF9"/>
    <w:rsid w:val="008A0458"/>
    <w:rsid w:val="008A065E"/>
    <w:rsid w:val="008A1B61"/>
    <w:rsid w:val="008A1D20"/>
    <w:rsid w:val="008A304E"/>
    <w:rsid w:val="008A37AF"/>
    <w:rsid w:val="008A6353"/>
    <w:rsid w:val="008A76C8"/>
    <w:rsid w:val="008B1A84"/>
    <w:rsid w:val="008B2857"/>
    <w:rsid w:val="008B5AFA"/>
    <w:rsid w:val="008B620B"/>
    <w:rsid w:val="008B6E6D"/>
    <w:rsid w:val="008B70CE"/>
    <w:rsid w:val="008C2780"/>
    <w:rsid w:val="008C40BA"/>
    <w:rsid w:val="008C73C4"/>
    <w:rsid w:val="008C7EDD"/>
    <w:rsid w:val="008D0360"/>
    <w:rsid w:val="008D1226"/>
    <w:rsid w:val="008D1660"/>
    <w:rsid w:val="008D6053"/>
    <w:rsid w:val="008D7A2C"/>
    <w:rsid w:val="008E31D7"/>
    <w:rsid w:val="008E456C"/>
    <w:rsid w:val="008E48E4"/>
    <w:rsid w:val="008E5D0C"/>
    <w:rsid w:val="008E6222"/>
    <w:rsid w:val="008E64F7"/>
    <w:rsid w:val="008E7F6A"/>
    <w:rsid w:val="008F232E"/>
    <w:rsid w:val="008F39ED"/>
    <w:rsid w:val="008F67FA"/>
    <w:rsid w:val="008F6E97"/>
    <w:rsid w:val="00900CD3"/>
    <w:rsid w:val="00903D82"/>
    <w:rsid w:val="00905802"/>
    <w:rsid w:val="009067A0"/>
    <w:rsid w:val="00906A55"/>
    <w:rsid w:val="00906F33"/>
    <w:rsid w:val="0090791D"/>
    <w:rsid w:val="00910BA3"/>
    <w:rsid w:val="0091151C"/>
    <w:rsid w:val="00912A40"/>
    <w:rsid w:val="0091551B"/>
    <w:rsid w:val="0091567C"/>
    <w:rsid w:val="00915960"/>
    <w:rsid w:val="00920914"/>
    <w:rsid w:val="0092157F"/>
    <w:rsid w:val="00923C29"/>
    <w:rsid w:val="00926119"/>
    <w:rsid w:val="00933C7C"/>
    <w:rsid w:val="0093585E"/>
    <w:rsid w:val="00937885"/>
    <w:rsid w:val="00944EAC"/>
    <w:rsid w:val="00945B9F"/>
    <w:rsid w:val="00950B8F"/>
    <w:rsid w:val="00950F98"/>
    <w:rsid w:val="009522FC"/>
    <w:rsid w:val="00954721"/>
    <w:rsid w:val="00954904"/>
    <w:rsid w:val="00954DFF"/>
    <w:rsid w:val="00955EF9"/>
    <w:rsid w:val="009571C1"/>
    <w:rsid w:val="009579AC"/>
    <w:rsid w:val="00961E03"/>
    <w:rsid w:val="00962E2B"/>
    <w:rsid w:val="00964C09"/>
    <w:rsid w:val="0096557A"/>
    <w:rsid w:val="0097130F"/>
    <w:rsid w:val="00972AF0"/>
    <w:rsid w:val="00973D06"/>
    <w:rsid w:val="00976106"/>
    <w:rsid w:val="00980392"/>
    <w:rsid w:val="0098050B"/>
    <w:rsid w:val="009809A0"/>
    <w:rsid w:val="009863B6"/>
    <w:rsid w:val="009902A8"/>
    <w:rsid w:val="00990C30"/>
    <w:rsid w:val="00991A96"/>
    <w:rsid w:val="00991EFD"/>
    <w:rsid w:val="009922E0"/>
    <w:rsid w:val="00992712"/>
    <w:rsid w:val="009952B3"/>
    <w:rsid w:val="009A1145"/>
    <w:rsid w:val="009A2466"/>
    <w:rsid w:val="009A2770"/>
    <w:rsid w:val="009A2F11"/>
    <w:rsid w:val="009A47C0"/>
    <w:rsid w:val="009A4A45"/>
    <w:rsid w:val="009B2088"/>
    <w:rsid w:val="009B25EF"/>
    <w:rsid w:val="009B3FAA"/>
    <w:rsid w:val="009B4C56"/>
    <w:rsid w:val="009B5ACD"/>
    <w:rsid w:val="009B76DE"/>
    <w:rsid w:val="009B7816"/>
    <w:rsid w:val="009B7A20"/>
    <w:rsid w:val="009C148A"/>
    <w:rsid w:val="009C3FBD"/>
    <w:rsid w:val="009C4317"/>
    <w:rsid w:val="009C4FA9"/>
    <w:rsid w:val="009C528C"/>
    <w:rsid w:val="009C5399"/>
    <w:rsid w:val="009C5616"/>
    <w:rsid w:val="009C77EE"/>
    <w:rsid w:val="009D116A"/>
    <w:rsid w:val="009D290F"/>
    <w:rsid w:val="009D3345"/>
    <w:rsid w:val="009D3BFD"/>
    <w:rsid w:val="009D3CD5"/>
    <w:rsid w:val="009D4873"/>
    <w:rsid w:val="009D77C0"/>
    <w:rsid w:val="009E09D7"/>
    <w:rsid w:val="009F0039"/>
    <w:rsid w:val="009F0C64"/>
    <w:rsid w:val="009F0E24"/>
    <w:rsid w:val="009F176D"/>
    <w:rsid w:val="009F268A"/>
    <w:rsid w:val="009F7C28"/>
    <w:rsid w:val="00A01402"/>
    <w:rsid w:val="00A01697"/>
    <w:rsid w:val="00A02BBD"/>
    <w:rsid w:val="00A02EF3"/>
    <w:rsid w:val="00A039EC"/>
    <w:rsid w:val="00A042CB"/>
    <w:rsid w:val="00A056CF"/>
    <w:rsid w:val="00A06001"/>
    <w:rsid w:val="00A0681D"/>
    <w:rsid w:val="00A14EB7"/>
    <w:rsid w:val="00A160E8"/>
    <w:rsid w:val="00A17B33"/>
    <w:rsid w:val="00A22499"/>
    <w:rsid w:val="00A2263F"/>
    <w:rsid w:val="00A26B77"/>
    <w:rsid w:val="00A31DFE"/>
    <w:rsid w:val="00A3206B"/>
    <w:rsid w:val="00A334A7"/>
    <w:rsid w:val="00A34511"/>
    <w:rsid w:val="00A34D23"/>
    <w:rsid w:val="00A35F8B"/>
    <w:rsid w:val="00A37D94"/>
    <w:rsid w:val="00A40306"/>
    <w:rsid w:val="00A41EA1"/>
    <w:rsid w:val="00A4470F"/>
    <w:rsid w:val="00A44D38"/>
    <w:rsid w:val="00A4575D"/>
    <w:rsid w:val="00A537B4"/>
    <w:rsid w:val="00A53F75"/>
    <w:rsid w:val="00A542BB"/>
    <w:rsid w:val="00A5482B"/>
    <w:rsid w:val="00A563A1"/>
    <w:rsid w:val="00A56D65"/>
    <w:rsid w:val="00A573B9"/>
    <w:rsid w:val="00A574F8"/>
    <w:rsid w:val="00A6005C"/>
    <w:rsid w:val="00A61393"/>
    <w:rsid w:val="00A6204D"/>
    <w:rsid w:val="00A66BFF"/>
    <w:rsid w:val="00A67FAE"/>
    <w:rsid w:val="00A70892"/>
    <w:rsid w:val="00A72851"/>
    <w:rsid w:val="00A77C37"/>
    <w:rsid w:val="00A77C6D"/>
    <w:rsid w:val="00A828D5"/>
    <w:rsid w:val="00A8429E"/>
    <w:rsid w:val="00A84E26"/>
    <w:rsid w:val="00A91048"/>
    <w:rsid w:val="00A92A01"/>
    <w:rsid w:val="00A92B97"/>
    <w:rsid w:val="00A9325D"/>
    <w:rsid w:val="00A938CB"/>
    <w:rsid w:val="00A95038"/>
    <w:rsid w:val="00A9555F"/>
    <w:rsid w:val="00AA132E"/>
    <w:rsid w:val="00AA14F8"/>
    <w:rsid w:val="00AA1D9A"/>
    <w:rsid w:val="00AA3BB3"/>
    <w:rsid w:val="00AA433D"/>
    <w:rsid w:val="00AA55FA"/>
    <w:rsid w:val="00AA7F21"/>
    <w:rsid w:val="00AB046A"/>
    <w:rsid w:val="00AB0980"/>
    <w:rsid w:val="00AB180F"/>
    <w:rsid w:val="00AB2A30"/>
    <w:rsid w:val="00AB529F"/>
    <w:rsid w:val="00AC03FC"/>
    <w:rsid w:val="00AC3DDF"/>
    <w:rsid w:val="00AC4021"/>
    <w:rsid w:val="00AC6314"/>
    <w:rsid w:val="00AC6A25"/>
    <w:rsid w:val="00AC6FFC"/>
    <w:rsid w:val="00AC7064"/>
    <w:rsid w:val="00AC79B9"/>
    <w:rsid w:val="00AD04A4"/>
    <w:rsid w:val="00AD04E7"/>
    <w:rsid w:val="00AD3205"/>
    <w:rsid w:val="00AD514F"/>
    <w:rsid w:val="00AD5FCD"/>
    <w:rsid w:val="00AD620F"/>
    <w:rsid w:val="00AD6F64"/>
    <w:rsid w:val="00AD7F6D"/>
    <w:rsid w:val="00AE1837"/>
    <w:rsid w:val="00AE5989"/>
    <w:rsid w:val="00AE5BB4"/>
    <w:rsid w:val="00AE67CC"/>
    <w:rsid w:val="00AE7A43"/>
    <w:rsid w:val="00AF0286"/>
    <w:rsid w:val="00AF0D82"/>
    <w:rsid w:val="00AF286E"/>
    <w:rsid w:val="00AF61A9"/>
    <w:rsid w:val="00AF7A05"/>
    <w:rsid w:val="00B01582"/>
    <w:rsid w:val="00B01C82"/>
    <w:rsid w:val="00B02C77"/>
    <w:rsid w:val="00B03829"/>
    <w:rsid w:val="00B04CC0"/>
    <w:rsid w:val="00B05B00"/>
    <w:rsid w:val="00B07414"/>
    <w:rsid w:val="00B07B07"/>
    <w:rsid w:val="00B118D9"/>
    <w:rsid w:val="00B135E4"/>
    <w:rsid w:val="00B13DDD"/>
    <w:rsid w:val="00B1506B"/>
    <w:rsid w:val="00B15152"/>
    <w:rsid w:val="00B1785F"/>
    <w:rsid w:val="00B210A2"/>
    <w:rsid w:val="00B265F6"/>
    <w:rsid w:val="00B3121F"/>
    <w:rsid w:val="00B3253A"/>
    <w:rsid w:val="00B33A99"/>
    <w:rsid w:val="00B3555E"/>
    <w:rsid w:val="00B36F69"/>
    <w:rsid w:val="00B37AE5"/>
    <w:rsid w:val="00B419D7"/>
    <w:rsid w:val="00B43200"/>
    <w:rsid w:val="00B43732"/>
    <w:rsid w:val="00B4383E"/>
    <w:rsid w:val="00B43D54"/>
    <w:rsid w:val="00B44AD3"/>
    <w:rsid w:val="00B56903"/>
    <w:rsid w:val="00B61106"/>
    <w:rsid w:val="00B6242D"/>
    <w:rsid w:val="00B62852"/>
    <w:rsid w:val="00B64609"/>
    <w:rsid w:val="00B65305"/>
    <w:rsid w:val="00B66F45"/>
    <w:rsid w:val="00B70A06"/>
    <w:rsid w:val="00B71F24"/>
    <w:rsid w:val="00B76817"/>
    <w:rsid w:val="00B8021D"/>
    <w:rsid w:val="00B803AD"/>
    <w:rsid w:val="00B81BA7"/>
    <w:rsid w:val="00B81E09"/>
    <w:rsid w:val="00B82925"/>
    <w:rsid w:val="00B83254"/>
    <w:rsid w:val="00B83705"/>
    <w:rsid w:val="00B85569"/>
    <w:rsid w:val="00B85591"/>
    <w:rsid w:val="00B85B4E"/>
    <w:rsid w:val="00B85C58"/>
    <w:rsid w:val="00B86B8A"/>
    <w:rsid w:val="00B93DE4"/>
    <w:rsid w:val="00BA0EE8"/>
    <w:rsid w:val="00BA18D0"/>
    <w:rsid w:val="00BA1D34"/>
    <w:rsid w:val="00BA2A87"/>
    <w:rsid w:val="00BA6327"/>
    <w:rsid w:val="00BA6774"/>
    <w:rsid w:val="00BB158B"/>
    <w:rsid w:val="00BB19F5"/>
    <w:rsid w:val="00BB2487"/>
    <w:rsid w:val="00BB2DB4"/>
    <w:rsid w:val="00BB33BA"/>
    <w:rsid w:val="00BB42BE"/>
    <w:rsid w:val="00BC1145"/>
    <w:rsid w:val="00BC4943"/>
    <w:rsid w:val="00BC4BFC"/>
    <w:rsid w:val="00BC4EE1"/>
    <w:rsid w:val="00BC5D72"/>
    <w:rsid w:val="00BC6213"/>
    <w:rsid w:val="00BC6B9F"/>
    <w:rsid w:val="00BC6C2B"/>
    <w:rsid w:val="00BC78D6"/>
    <w:rsid w:val="00BD0CB7"/>
    <w:rsid w:val="00BD289F"/>
    <w:rsid w:val="00BD2D2F"/>
    <w:rsid w:val="00BD4CFF"/>
    <w:rsid w:val="00BD63EC"/>
    <w:rsid w:val="00BD6515"/>
    <w:rsid w:val="00BD70FC"/>
    <w:rsid w:val="00BE03B2"/>
    <w:rsid w:val="00BE4BE2"/>
    <w:rsid w:val="00BE65A2"/>
    <w:rsid w:val="00BF0153"/>
    <w:rsid w:val="00BF01CA"/>
    <w:rsid w:val="00BF1DCF"/>
    <w:rsid w:val="00BF33E6"/>
    <w:rsid w:val="00BF44AD"/>
    <w:rsid w:val="00BF458F"/>
    <w:rsid w:val="00BF4FDC"/>
    <w:rsid w:val="00BF525A"/>
    <w:rsid w:val="00BF6CAF"/>
    <w:rsid w:val="00BF7969"/>
    <w:rsid w:val="00C003CF"/>
    <w:rsid w:val="00C010BB"/>
    <w:rsid w:val="00C038BF"/>
    <w:rsid w:val="00C0622D"/>
    <w:rsid w:val="00C1115B"/>
    <w:rsid w:val="00C138A5"/>
    <w:rsid w:val="00C1466B"/>
    <w:rsid w:val="00C16C44"/>
    <w:rsid w:val="00C225EF"/>
    <w:rsid w:val="00C24CD4"/>
    <w:rsid w:val="00C24ED3"/>
    <w:rsid w:val="00C2531C"/>
    <w:rsid w:val="00C26766"/>
    <w:rsid w:val="00C3082A"/>
    <w:rsid w:val="00C30BA3"/>
    <w:rsid w:val="00C32258"/>
    <w:rsid w:val="00C332FB"/>
    <w:rsid w:val="00C34379"/>
    <w:rsid w:val="00C401ED"/>
    <w:rsid w:val="00C40725"/>
    <w:rsid w:val="00C40954"/>
    <w:rsid w:val="00C40A14"/>
    <w:rsid w:val="00C4137E"/>
    <w:rsid w:val="00C41B4B"/>
    <w:rsid w:val="00C42F46"/>
    <w:rsid w:val="00C44983"/>
    <w:rsid w:val="00C4584A"/>
    <w:rsid w:val="00C45FFB"/>
    <w:rsid w:val="00C509FF"/>
    <w:rsid w:val="00C52856"/>
    <w:rsid w:val="00C52AA5"/>
    <w:rsid w:val="00C53F1B"/>
    <w:rsid w:val="00C6048B"/>
    <w:rsid w:val="00C6085E"/>
    <w:rsid w:val="00C62654"/>
    <w:rsid w:val="00C64420"/>
    <w:rsid w:val="00C646EE"/>
    <w:rsid w:val="00C6672E"/>
    <w:rsid w:val="00C66E9A"/>
    <w:rsid w:val="00C674C1"/>
    <w:rsid w:val="00C7270A"/>
    <w:rsid w:val="00C73605"/>
    <w:rsid w:val="00C73BA2"/>
    <w:rsid w:val="00C73E79"/>
    <w:rsid w:val="00C7418A"/>
    <w:rsid w:val="00C75B72"/>
    <w:rsid w:val="00C7696E"/>
    <w:rsid w:val="00C80F2F"/>
    <w:rsid w:val="00C81D32"/>
    <w:rsid w:val="00C8254D"/>
    <w:rsid w:val="00C85063"/>
    <w:rsid w:val="00C850B8"/>
    <w:rsid w:val="00C86740"/>
    <w:rsid w:val="00C86886"/>
    <w:rsid w:val="00C90CF3"/>
    <w:rsid w:val="00C912E5"/>
    <w:rsid w:val="00C91C14"/>
    <w:rsid w:val="00C91D4B"/>
    <w:rsid w:val="00C92447"/>
    <w:rsid w:val="00C93FAF"/>
    <w:rsid w:val="00C93FCF"/>
    <w:rsid w:val="00C955D7"/>
    <w:rsid w:val="00C96219"/>
    <w:rsid w:val="00C96BD5"/>
    <w:rsid w:val="00CA20D3"/>
    <w:rsid w:val="00CA36B1"/>
    <w:rsid w:val="00CA4BFB"/>
    <w:rsid w:val="00CA7800"/>
    <w:rsid w:val="00CA7FA5"/>
    <w:rsid w:val="00CA7FF4"/>
    <w:rsid w:val="00CB3AD4"/>
    <w:rsid w:val="00CB7A0D"/>
    <w:rsid w:val="00CC3AF1"/>
    <w:rsid w:val="00CC5928"/>
    <w:rsid w:val="00CC6C37"/>
    <w:rsid w:val="00CD00D9"/>
    <w:rsid w:val="00CD09B7"/>
    <w:rsid w:val="00CD2B6A"/>
    <w:rsid w:val="00CD30AC"/>
    <w:rsid w:val="00CD391B"/>
    <w:rsid w:val="00CD4405"/>
    <w:rsid w:val="00CD5739"/>
    <w:rsid w:val="00CD63AA"/>
    <w:rsid w:val="00CD7254"/>
    <w:rsid w:val="00CE0174"/>
    <w:rsid w:val="00CE236D"/>
    <w:rsid w:val="00CE25C8"/>
    <w:rsid w:val="00CE3092"/>
    <w:rsid w:val="00CE34D8"/>
    <w:rsid w:val="00CE35B8"/>
    <w:rsid w:val="00CE3717"/>
    <w:rsid w:val="00CE50C8"/>
    <w:rsid w:val="00CE62D1"/>
    <w:rsid w:val="00CE724E"/>
    <w:rsid w:val="00CF0494"/>
    <w:rsid w:val="00CF1CF7"/>
    <w:rsid w:val="00CF207A"/>
    <w:rsid w:val="00CF3009"/>
    <w:rsid w:val="00CF4A41"/>
    <w:rsid w:val="00CF4B48"/>
    <w:rsid w:val="00CF5765"/>
    <w:rsid w:val="00CF5EFE"/>
    <w:rsid w:val="00CF6FAB"/>
    <w:rsid w:val="00CF7FBF"/>
    <w:rsid w:val="00D01A42"/>
    <w:rsid w:val="00D02723"/>
    <w:rsid w:val="00D05CDA"/>
    <w:rsid w:val="00D110DD"/>
    <w:rsid w:val="00D20015"/>
    <w:rsid w:val="00D2266F"/>
    <w:rsid w:val="00D2382F"/>
    <w:rsid w:val="00D24AC0"/>
    <w:rsid w:val="00D258C6"/>
    <w:rsid w:val="00D25E67"/>
    <w:rsid w:val="00D265A1"/>
    <w:rsid w:val="00D26D1D"/>
    <w:rsid w:val="00D26EBE"/>
    <w:rsid w:val="00D27415"/>
    <w:rsid w:val="00D30E1D"/>
    <w:rsid w:val="00D32281"/>
    <w:rsid w:val="00D33A8E"/>
    <w:rsid w:val="00D35180"/>
    <w:rsid w:val="00D356ED"/>
    <w:rsid w:val="00D3693E"/>
    <w:rsid w:val="00D36EA1"/>
    <w:rsid w:val="00D3760C"/>
    <w:rsid w:val="00D37AF1"/>
    <w:rsid w:val="00D41DC0"/>
    <w:rsid w:val="00D42613"/>
    <w:rsid w:val="00D42A85"/>
    <w:rsid w:val="00D433EA"/>
    <w:rsid w:val="00D456B7"/>
    <w:rsid w:val="00D45902"/>
    <w:rsid w:val="00D4661A"/>
    <w:rsid w:val="00D46C51"/>
    <w:rsid w:val="00D52C18"/>
    <w:rsid w:val="00D5351F"/>
    <w:rsid w:val="00D54564"/>
    <w:rsid w:val="00D55B9F"/>
    <w:rsid w:val="00D62038"/>
    <w:rsid w:val="00D624AC"/>
    <w:rsid w:val="00D632AD"/>
    <w:rsid w:val="00D64FF2"/>
    <w:rsid w:val="00D65420"/>
    <w:rsid w:val="00D65B44"/>
    <w:rsid w:val="00D65C1D"/>
    <w:rsid w:val="00D70FEB"/>
    <w:rsid w:val="00D738C3"/>
    <w:rsid w:val="00D747A1"/>
    <w:rsid w:val="00D747BF"/>
    <w:rsid w:val="00D77372"/>
    <w:rsid w:val="00D8106F"/>
    <w:rsid w:val="00D83798"/>
    <w:rsid w:val="00D84843"/>
    <w:rsid w:val="00D86383"/>
    <w:rsid w:val="00D87616"/>
    <w:rsid w:val="00D9176F"/>
    <w:rsid w:val="00D9194F"/>
    <w:rsid w:val="00D94A15"/>
    <w:rsid w:val="00D95211"/>
    <w:rsid w:val="00D952BE"/>
    <w:rsid w:val="00D95E65"/>
    <w:rsid w:val="00D961E1"/>
    <w:rsid w:val="00DA0411"/>
    <w:rsid w:val="00DA1519"/>
    <w:rsid w:val="00DA1E17"/>
    <w:rsid w:val="00DA3FD5"/>
    <w:rsid w:val="00DA4136"/>
    <w:rsid w:val="00DA4698"/>
    <w:rsid w:val="00DA679B"/>
    <w:rsid w:val="00DA79E3"/>
    <w:rsid w:val="00DA7A82"/>
    <w:rsid w:val="00DB046E"/>
    <w:rsid w:val="00DB0D2C"/>
    <w:rsid w:val="00DB162B"/>
    <w:rsid w:val="00DB25FF"/>
    <w:rsid w:val="00DB2B36"/>
    <w:rsid w:val="00DB3B03"/>
    <w:rsid w:val="00DB45CB"/>
    <w:rsid w:val="00DB5E38"/>
    <w:rsid w:val="00DB6BFE"/>
    <w:rsid w:val="00DC07A3"/>
    <w:rsid w:val="00DC21B1"/>
    <w:rsid w:val="00DC4D54"/>
    <w:rsid w:val="00DC5194"/>
    <w:rsid w:val="00DC6566"/>
    <w:rsid w:val="00DC7CA6"/>
    <w:rsid w:val="00DD0BB7"/>
    <w:rsid w:val="00DD3BD4"/>
    <w:rsid w:val="00DD3D28"/>
    <w:rsid w:val="00DD40EF"/>
    <w:rsid w:val="00DD5CDA"/>
    <w:rsid w:val="00DD5E18"/>
    <w:rsid w:val="00DD643F"/>
    <w:rsid w:val="00DD6AD1"/>
    <w:rsid w:val="00DD738B"/>
    <w:rsid w:val="00DD7698"/>
    <w:rsid w:val="00DE0733"/>
    <w:rsid w:val="00DE1C4D"/>
    <w:rsid w:val="00DE3218"/>
    <w:rsid w:val="00DE5A28"/>
    <w:rsid w:val="00DE5C93"/>
    <w:rsid w:val="00DE7BDE"/>
    <w:rsid w:val="00DF06E0"/>
    <w:rsid w:val="00DF240E"/>
    <w:rsid w:val="00DF308F"/>
    <w:rsid w:val="00DF3706"/>
    <w:rsid w:val="00DF4686"/>
    <w:rsid w:val="00DF5487"/>
    <w:rsid w:val="00DF5A50"/>
    <w:rsid w:val="00DF5C47"/>
    <w:rsid w:val="00DF5F30"/>
    <w:rsid w:val="00DF7D5B"/>
    <w:rsid w:val="00DF7FB5"/>
    <w:rsid w:val="00E02187"/>
    <w:rsid w:val="00E02B40"/>
    <w:rsid w:val="00E045F8"/>
    <w:rsid w:val="00E047C9"/>
    <w:rsid w:val="00E06903"/>
    <w:rsid w:val="00E069DF"/>
    <w:rsid w:val="00E06E3B"/>
    <w:rsid w:val="00E07BE3"/>
    <w:rsid w:val="00E1436E"/>
    <w:rsid w:val="00E15260"/>
    <w:rsid w:val="00E15E81"/>
    <w:rsid w:val="00E17AD4"/>
    <w:rsid w:val="00E17E25"/>
    <w:rsid w:val="00E20254"/>
    <w:rsid w:val="00E20BDB"/>
    <w:rsid w:val="00E23F20"/>
    <w:rsid w:val="00E24F8E"/>
    <w:rsid w:val="00E25EFA"/>
    <w:rsid w:val="00E30669"/>
    <w:rsid w:val="00E30C2B"/>
    <w:rsid w:val="00E315E5"/>
    <w:rsid w:val="00E32B30"/>
    <w:rsid w:val="00E330AD"/>
    <w:rsid w:val="00E34064"/>
    <w:rsid w:val="00E351D8"/>
    <w:rsid w:val="00E359F3"/>
    <w:rsid w:val="00E35F67"/>
    <w:rsid w:val="00E3678C"/>
    <w:rsid w:val="00E37615"/>
    <w:rsid w:val="00E3797B"/>
    <w:rsid w:val="00E37B27"/>
    <w:rsid w:val="00E40079"/>
    <w:rsid w:val="00E40D88"/>
    <w:rsid w:val="00E42A29"/>
    <w:rsid w:val="00E43A85"/>
    <w:rsid w:val="00E442B2"/>
    <w:rsid w:val="00E45D53"/>
    <w:rsid w:val="00E51E16"/>
    <w:rsid w:val="00E54FC9"/>
    <w:rsid w:val="00E552BE"/>
    <w:rsid w:val="00E55617"/>
    <w:rsid w:val="00E56522"/>
    <w:rsid w:val="00E5714B"/>
    <w:rsid w:val="00E57749"/>
    <w:rsid w:val="00E605B4"/>
    <w:rsid w:val="00E61547"/>
    <w:rsid w:val="00E75EA5"/>
    <w:rsid w:val="00E76F0C"/>
    <w:rsid w:val="00E776EC"/>
    <w:rsid w:val="00E832A4"/>
    <w:rsid w:val="00E836C7"/>
    <w:rsid w:val="00E84A31"/>
    <w:rsid w:val="00E84BF4"/>
    <w:rsid w:val="00E85B69"/>
    <w:rsid w:val="00E91FB0"/>
    <w:rsid w:val="00E95372"/>
    <w:rsid w:val="00E96B29"/>
    <w:rsid w:val="00EA6DDD"/>
    <w:rsid w:val="00EA7AFA"/>
    <w:rsid w:val="00EB30EA"/>
    <w:rsid w:val="00EB3BC3"/>
    <w:rsid w:val="00EC07DC"/>
    <w:rsid w:val="00EC2D0D"/>
    <w:rsid w:val="00EC2F51"/>
    <w:rsid w:val="00EC39DE"/>
    <w:rsid w:val="00EC3D8E"/>
    <w:rsid w:val="00EC517C"/>
    <w:rsid w:val="00EC51B0"/>
    <w:rsid w:val="00EC5EA4"/>
    <w:rsid w:val="00EC73C7"/>
    <w:rsid w:val="00ED15E1"/>
    <w:rsid w:val="00ED3C33"/>
    <w:rsid w:val="00ED5FBD"/>
    <w:rsid w:val="00ED7F4D"/>
    <w:rsid w:val="00EE0DE5"/>
    <w:rsid w:val="00EE1544"/>
    <w:rsid w:val="00EE1999"/>
    <w:rsid w:val="00EE1B6C"/>
    <w:rsid w:val="00EE3538"/>
    <w:rsid w:val="00EE3C6B"/>
    <w:rsid w:val="00EE4C9A"/>
    <w:rsid w:val="00EE4D62"/>
    <w:rsid w:val="00EE624F"/>
    <w:rsid w:val="00EE7D38"/>
    <w:rsid w:val="00EF15F0"/>
    <w:rsid w:val="00EF24C7"/>
    <w:rsid w:val="00EF4F94"/>
    <w:rsid w:val="00EF585F"/>
    <w:rsid w:val="00EF6745"/>
    <w:rsid w:val="00EF7733"/>
    <w:rsid w:val="00EF796F"/>
    <w:rsid w:val="00F02290"/>
    <w:rsid w:val="00F03944"/>
    <w:rsid w:val="00F03FB4"/>
    <w:rsid w:val="00F06815"/>
    <w:rsid w:val="00F07FE8"/>
    <w:rsid w:val="00F13098"/>
    <w:rsid w:val="00F13E54"/>
    <w:rsid w:val="00F14D6A"/>
    <w:rsid w:val="00F15390"/>
    <w:rsid w:val="00F22AF0"/>
    <w:rsid w:val="00F22C96"/>
    <w:rsid w:val="00F2495B"/>
    <w:rsid w:val="00F25530"/>
    <w:rsid w:val="00F279AA"/>
    <w:rsid w:val="00F27E6E"/>
    <w:rsid w:val="00F31A47"/>
    <w:rsid w:val="00F33332"/>
    <w:rsid w:val="00F34865"/>
    <w:rsid w:val="00F35EEA"/>
    <w:rsid w:val="00F40BB3"/>
    <w:rsid w:val="00F40DE1"/>
    <w:rsid w:val="00F42728"/>
    <w:rsid w:val="00F439F8"/>
    <w:rsid w:val="00F43A15"/>
    <w:rsid w:val="00F447FA"/>
    <w:rsid w:val="00F45401"/>
    <w:rsid w:val="00F4625A"/>
    <w:rsid w:val="00F51832"/>
    <w:rsid w:val="00F52013"/>
    <w:rsid w:val="00F52D19"/>
    <w:rsid w:val="00F54E96"/>
    <w:rsid w:val="00F54EC0"/>
    <w:rsid w:val="00F55414"/>
    <w:rsid w:val="00F55C1B"/>
    <w:rsid w:val="00F5643D"/>
    <w:rsid w:val="00F56712"/>
    <w:rsid w:val="00F569A4"/>
    <w:rsid w:val="00F57CBB"/>
    <w:rsid w:val="00F608F4"/>
    <w:rsid w:val="00F620D5"/>
    <w:rsid w:val="00F62E25"/>
    <w:rsid w:val="00F65B29"/>
    <w:rsid w:val="00F66A3F"/>
    <w:rsid w:val="00F67407"/>
    <w:rsid w:val="00F67ABD"/>
    <w:rsid w:val="00F708A1"/>
    <w:rsid w:val="00F7130B"/>
    <w:rsid w:val="00F73CB9"/>
    <w:rsid w:val="00F7431E"/>
    <w:rsid w:val="00F75709"/>
    <w:rsid w:val="00F77421"/>
    <w:rsid w:val="00F7773E"/>
    <w:rsid w:val="00F829E4"/>
    <w:rsid w:val="00F8348C"/>
    <w:rsid w:val="00F84ABC"/>
    <w:rsid w:val="00F873FD"/>
    <w:rsid w:val="00F91142"/>
    <w:rsid w:val="00F915B2"/>
    <w:rsid w:val="00F9305A"/>
    <w:rsid w:val="00F95B60"/>
    <w:rsid w:val="00F97100"/>
    <w:rsid w:val="00FA104C"/>
    <w:rsid w:val="00FA502F"/>
    <w:rsid w:val="00FA5917"/>
    <w:rsid w:val="00FA798C"/>
    <w:rsid w:val="00FB03FA"/>
    <w:rsid w:val="00FB1788"/>
    <w:rsid w:val="00FB40F0"/>
    <w:rsid w:val="00FB4A74"/>
    <w:rsid w:val="00FC2B05"/>
    <w:rsid w:val="00FC2F2D"/>
    <w:rsid w:val="00FC4A66"/>
    <w:rsid w:val="00FC4AA1"/>
    <w:rsid w:val="00FC56EE"/>
    <w:rsid w:val="00FD032C"/>
    <w:rsid w:val="00FD08F0"/>
    <w:rsid w:val="00FD0DCD"/>
    <w:rsid w:val="00FD35D2"/>
    <w:rsid w:val="00FD4A95"/>
    <w:rsid w:val="00FD531B"/>
    <w:rsid w:val="00FD6A69"/>
    <w:rsid w:val="00FD6E2C"/>
    <w:rsid w:val="00FE045F"/>
    <w:rsid w:val="00FE1B07"/>
    <w:rsid w:val="00FE2480"/>
    <w:rsid w:val="00FE2956"/>
    <w:rsid w:val="00FE4257"/>
    <w:rsid w:val="00FE4583"/>
    <w:rsid w:val="00FE47D1"/>
    <w:rsid w:val="00FE4BDF"/>
    <w:rsid w:val="00FF094B"/>
    <w:rsid w:val="00FF44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4181DF0"/>
  <w15:docId w15:val="{07C0AE55-7F81-4256-8391-71964E5E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1"/>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qFormat/>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297491864">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50033619">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19384904">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996500421">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28068014">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16953575">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513836478">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61889144">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2145937">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97414-BC93-4B61-9011-BF96E5CDD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5073</Words>
  <Characters>27905</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Eduar Raul Chi Santana</cp:lastModifiedBy>
  <cp:revision>2</cp:revision>
  <cp:lastPrinted>2024-07-13T00:00:00Z</cp:lastPrinted>
  <dcterms:created xsi:type="dcterms:W3CDTF">2026-04-29T22:18:00Z</dcterms:created>
  <dcterms:modified xsi:type="dcterms:W3CDTF">2026-04-29T22:18:00Z</dcterms:modified>
</cp:coreProperties>
</file>