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CA07B" w14:textId="77777777" w:rsidR="00082D18" w:rsidRPr="00082D18" w:rsidRDefault="00082D18" w:rsidP="00082D18">
      <w:pPr>
        <w:pStyle w:val="Texto"/>
        <w:jc w:val="center"/>
        <w:rPr>
          <w:rFonts w:ascii="Lato" w:hAnsi="Lato"/>
          <w:b/>
          <w:sz w:val="20"/>
          <w:szCs w:val="20"/>
        </w:rPr>
      </w:pPr>
      <w:r w:rsidRPr="00082D18">
        <w:rPr>
          <w:rFonts w:ascii="Lato" w:hAnsi="Lato"/>
          <w:b/>
          <w:sz w:val="20"/>
          <w:szCs w:val="20"/>
        </w:rPr>
        <w:t>Notas a los Estados Financieros</w:t>
      </w:r>
    </w:p>
    <w:p w14:paraId="7C0537E4" w14:textId="3587FA34" w:rsidR="00082D18" w:rsidRPr="00082D18" w:rsidRDefault="00112BC6" w:rsidP="00082D18">
      <w:pPr>
        <w:pStyle w:val="Texto"/>
        <w:jc w:val="center"/>
        <w:rPr>
          <w:rFonts w:ascii="Lato" w:hAnsi="Lato"/>
          <w:b/>
          <w:sz w:val="20"/>
          <w:szCs w:val="20"/>
        </w:rPr>
      </w:pPr>
      <w:r>
        <w:rPr>
          <w:rFonts w:ascii="Lato" w:hAnsi="Lato"/>
          <w:b/>
          <w:sz w:val="20"/>
          <w:szCs w:val="20"/>
        </w:rPr>
        <w:t>Al 31 de marzo de 2026</w:t>
      </w:r>
      <w:bookmarkStart w:id="0" w:name="_GoBack"/>
      <w:bookmarkEnd w:id="0"/>
    </w:p>
    <w:p w14:paraId="6F3E2248" w14:textId="77777777" w:rsidR="00082D18" w:rsidRPr="00082D18" w:rsidRDefault="00082D18" w:rsidP="00082D18">
      <w:pPr>
        <w:pStyle w:val="Texto"/>
        <w:jc w:val="center"/>
        <w:rPr>
          <w:rFonts w:ascii="Lato" w:hAnsi="Lato"/>
          <w:b/>
          <w:sz w:val="20"/>
          <w:szCs w:val="20"/>
        </w:rPr>
      </w:pPr>
      <w:r w:rsidRPr="00082D18">
        <w:rPr>
          <w:rFonts w:ascii="Lato" w:hAnsi="Lato"/>
          <w:b/>
          <w:sz w:val="20"/>
          <w:szCs w:val="20"/>
        </w:rPr>
        <w:t>(Cifras en Pesos)</w:t>
      </w:r>
    </w:p>
    <w:p w14:paraId="3DB6191F" w14:textId="77777777" w:rsidR="00082D18" w:rsidRPr="00082D18" w:rsidRDefault="00082D18" w:rsidP="00082D18">
      <w:pPr>
        <w:rPr>
          <w:rFonts w:ascii="Lato" w:hAnsi="Lato" w:cs="Arial"/>
          <w:b/>
          <w:sz w:val="20"/>
          <w:szCs w:val="20"/>
        </w:rPr>
      </w:pPr>
    </w:p>
    <w:p w14:paraId="0DEE8292" w14:textId="77777777" w:rsidR="00082D18" w:rsidRPr="00082D18" w:rsidRDefault="00082D18" w:rsidP="00082D18">
      <w:pPr>
        <w:rPr>
          <w:rFonts w:ascii="Lato" w:hAnsi="Lato" w:cs="Arial"/>
          <w:b/>
          <w:sz w:val="20"/>
          <w:szCs w:val="20"/>
        </w:rPr>
      </w:pPr>
      <w:r w:rsidRPr="00082D18">
        <w:rPr>
          <w:rFonts w:ascii="Lato" w:hAnsi="Lato" w:cs="Arial"/>
          <w:b/>
          <w:sz w:val="20"/>
          <w:szCs w:val="20"/>
        </w:rPr>
        <w:t>Ente Público:  FIDEICOMISO FONDO DE BECAS ABOGADO FRANCISCO REPETTO MILÁN</w:t>
      </w:r>
    </w:p>
    <w:p w14:paraId="4CD716D6" w14:textId="77777777" w:rsidR="00C17412" w:rsidRPr="00082D18" w:rsidRDefault="00C17412" w:rsidP="00C17412">
      <w:pPr>
        <w:autoSpaceDE w:val="0"/>
        <w:autoSpaceDN w:val="0"/>
        <w:adjustRightInd w:val="0"/>
        <w:spacing w:line="360" w:lineRule="auto"/>
        <w:rPr>
          <w:rFonts w:ascii="Lato" w:hAnsi="Lato" w:cs="Arial"/>
          <w:b/>
          <w:sz w:val="20"/>
          <w:szCs w:val="20"/>
        </w:rPr>
      </w:pPr>
    </w:p>
    <w:p w14:paraId="3013C50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Con el propósito de dar cumplimiento a los artículos 46 y 49 de la Ley General de Contabilidad Gubernamental, artículo 31 fracciones XXVI y XXXII del Código de Administración Pública de Yucatán y al artículo 59 fracciones XXV y XXVII del Reglamento del Código de la Administración Pública de Yucatán, el Fideicomiso “Fondo de Becas Francisco </w:t>
      </w:r>
      <w:proofErr w:type="spellStart"/>
      <w:r w:rsidRPr="00112BC6">
        <w:rPr>
          <w:rFonts w:ascii="Lato" w:hAnsi="Lato" w:cs="Arial"/>
          <w:bCs/>
          <w:sz w:val="20"/>
          <w:szCs w:val="20"/>
        </w:rPr>
        <w:t>Repetto</w:t>
      </w:r>
      <w:proofErr w:type="spellEnd"/>
      <w:r w:rsidRPr="00112BC6">
        <w:rPr>
          <w:rFonts w:ascii="Lato" w:hAnsi="Lato" w:cs="Arial"/>
          <w:bCs/>
          <w:sz w:val="20"/>
          <w:szCs w:val="20"/>
        </w:rPr>
        <w:t xml:space="preserve"> Milán”, ha preparado los Estados Financieros incluyendo las operaciones efectuadas al 31 marzo del 2026.</w:t>
      </w:r>
    </w:p>
    <w:p w14:paraId="017B3A2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A continuación, se presentan los tres tipos de notas que acompañan a los estados, a saber:</w:t>
      </w:r>
    </w:p>
    <w:p w14:paraId="6F718C27" w14:textId="77777777" w:rsidR="00112BC6" w:rsidRPr="00112BC6" w:rsidRDefault="00112BC6" w:rsidP="00112BC6">
      <w:pPr>
        <w:numPr>
          <w:ilvl w:val="0"/>
          <w:numId w:val="5"/>
        </w:num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Notas de gestión administrativa,</w:t>
      </w:r>
    </w:p>
    <w:p w14:paraId="721AACA7" w14:textId="77777777" w:rsidR="00112BC6" w:rsidRPr="00112BC6" w:rsidRDefault="00112BC6" w:rsidP="00112BC6">
      <w:pPr>
        <w:numPr>
          <w:ilvl w:val="0"/>
          <w:numId w:val="5"/>
        </w:num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Notas de desglose, y</w:t>
      </w:r>
    </w:p>
    <w:p w14:paraId="045E6B0C" w14:textId="77777777" w:rsidR="00112BC6" w:rsidRPr="00112BC6" w:rsidRDefault="00112BC6" w:rsidP="00112BC6">
      <w:pPr>
        <w:numPr>
          <w:ilvl w:val="0"/>
          <w:numId w:val="5"/>
        </w:num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Notas de memoria (cuentas de orden)</w:t>
      </w:r>
    </w:p>
    <w:p w14:paraId="353D5FE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0E94479B" w14:textId="77777777" w:rsidR="00112BC6" w:rsidRPr="00112BC6" w:rsidRDefault="00112BC6" w:rsidP="00112BC6">
      <w:pPr>
        <w:numPr>
          <w:ilvl w:val="0"/>
          <w:numId w:val="6"/>
        </w:num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NOTAS DE GESTIÓN ADMINISTRATIVA</w:t>
      </w:r>
    </w:p>
    <w:p w14:paraId="698BCB5D"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p w14:paraId="3305A89F"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1.- Autorización e Historia</w:t>
      </w:r>
    </w:p>
    <w:p w14:paraId="7B229C92"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Cs/>
          <w:sz w:val="20"/>
          <w:szCs w:val="20"/>
        </w:rPr>
        <w:t xml:space="preserve"> </w:t>
      </w:r>
      <w:r w:rsidRPr="00112BC6">
        <w:rPr>
          <w:rFonts w:ascii="Lato" w:hAnsi="Lato" w:cs="Arial"/>
          <w:b/>
          <w:bCs/>
          <w:sz w:val="20"/>
          <w:szCs w:val="20"/>
        </w:rPr>
        <w:t>Introducción</w:t>
      </w:r>
    </w:p>
    <w:p w14:paraId="79DD91C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El objetivo es dar seguridad y transparencia a los recursos </w:t>
      </w:r>
      <w:proofErr w:type="spellStart"/>
      <w:r w:rsidRPr="00112BC6">
        <w:rPr>
          <w:rFonts w:ascii="Lato" w:hAnsi="Lato" w:cs="Arial"/>
          <w:bCs/>
          <w:sz w:val="20"/>
          <w:szCs w:val="20"/>
        </w:rPr>
        <w:t>fideicomitidos</w:t>
      </w:r>
      <w:proofErr w:type="spellEnd"/>
      <w:r w:rsidRPr="00112BC6">
        <w:rPr>
          <w:rFonts w:ascii="Lato" w:hAnsi="Lato" w:cs="Arial"/>
          <w:bCs/>
          <w:sz w:val="20"/>
          <w:szCs w:val="20"/>
        </w:rPr>
        <w:t xml:space="preserve"> los cuales se destinarán para otorgar a los beneficiarios matriculados en las escuelas, facultades o centros de investigación dependientes directamente de la Universidad Autónoma de Yucatán contribuyendo a su superación académica.</w:t>
      </w:r>
    </w:p>
    <w:p w14:paraId="442FAD4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Los Estados Financieros del Fideicomiso Fondo de Becas Francisco </w:t>
      </w:r>
      <w:proofErr w:type="spellStart"/>
      <w:r w:rsidRPr="00112BC6">
        <w:rPr>
          <w:rFonts w:ascii="Lato" w:hAnsi="Lato" w:cs="Arial"/>
          <w:bCs/>
          <w:sz w:val="20"/>
          <w:szCs w:val="20"/>
        </w:rPr>
        <w:t>Repetto</w:t>
      </w:r>
      <w:proofErr w:type="spellEnd"/>
      <w:r w:rsidRPr="00112BC6">
        <w:rPr>
          <w:rFonts w:ascii="Lato" w:hAnsi="Lato" w:cs="Arial"/>
          <w:bCs/>
          <w:sz w:val="20"/>
          <w:szCs w:val="20"/>
        </w:rPr>
        <w:t xml:space="preserve"> Milán proveen información financiera a los administradores de la de la secretaria de Administración y Finanzas, al Gobierno del Estado, a la Institución Bancaria y a la Universidad, entre otros.  </w:t>
      </w:r>
    </w:p>
    <w:p w14:paraId="741873F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69256A0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Se informará sobre:</w:t>
      </w:r>
    </w:p>
    <w:p w14:paraId="5B624BDD" w14:textId="77777777" w:rsidR="00112BC6" w:rsidRPr="00112BC6" w:rsidRDefault="00112BC6" w:rsidP="00112BC6">
      <w:pPr>
        <w:numPr>
          <w:ilvl w:val="0"/>
          <w:numId w:val="4"/>
        </w:num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Fecha de creación del ente. </w:t>
      </w:r>
    </w:p>
    <w:p w14:paraId="650540A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El Fideicomiso denominado “Fondo de Becas Abogado Francisco </w:t>
      </w:r>
      <w:proofErr w:type="spellStart"/>
      <w:r w:rsidRPr="00112BC6">
        <w:rPr>
          <w:rFonts w:ascii="Lato" w:hAnsi="Lato" w:cs="Arial"/>
          <w:bCs/>
          <w:sz w:val="20"/>
          <w:szCs w:val="20"/>
        </w:rPr>
        <w:t>Repetto</w:t>
      </w:r>
      <w:proofErr w:type="spellEnd"/>
      <w:r w:rsidRPr="00112BC6">
        <w:rPr>
          <w:rFonts w:ascii="Lato" w:hAnsi="Lato" w:cs="Arial"/>
          <w:bCs/>
          <w:sz w:val="20"/>
          <w:szCs w:val="20"/>
        </w:rPr>
        <w:t xml:space="preserve"> Milán”, fue constituido el 14 de enero 1999, con la finalidad de crear un patrimonio autónomo que le permita dar seguridad y transparencia a los recursos </w:t>
      </w:r>
      <w:proofErr w:type="spellStart"/>
      <w:r w:rsidRPr="00112BC6">
        <w:rPr>
          <w:rFonts w:ascii="Lato" w:hAnsi="Lato" w:cs="Arial"/>
          <w:bCs/>
          <w:sz w:val="20"/>
          <w:szCs w:val="20"/>
        </w:rPr>
        <w:t>fideicomitidos</w:t>
      </w:r>
      <w:proofErr w:type="spellEnd"/>
      <w:r w:rsidRPr="00112BC6">
        <w:rPr>
          <w:rFonts w:ascii="Lato" w:hAnsi="Lato" w:cs="Arial"/>
          <w:bCs/>
          <w:sz w:val="20"/>
          <w:szCs w:val="20"/>
        </w:rPr>
        <w:t>.</w:t>
      </w:r>
    </w:p>
    <w:p w14:paraId="158DA7E0"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b) Principales cambios en su estructura.</w:t>
      </w:r>
    </w:p>
    <w:p w14:paraId="766DFD1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El comité técnico estará integrado de la siguiente manera: </w:t>
      </w:r>
    </w:p>
    <w:p w14:paraId="749418F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Presidente, Secretario, y 6 Vocales, estos tendrán voz, voto y firma y tendrán la responsabilidad de notificar por escrito todo lo relacionado con el fideicomiso.</w:t>
      </w:r>
    </w:p>
    <w:p w14:paraId="708F07C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En caso de que algún o algunos de los miembros del comité sean sustituidos, el comité técnico deberá comunicarlo al fiduciario y por escrito.</w:t>
      </w:r>
    </w:p>
    <w:p w14:paraId="3A298EB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675407D2"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2.- Panorama Económico y Financiero</w:t>
      </w:r>
    </w:p>
    <w:p w14:paraId="1DBCF63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Las inversiones del capital son administradas por Banco Santander S.A, Institución de banca múltiple, Grupo financiero Santander, misma que tiene el encargo de invertir los recursos en los mejores instrumentos de inversión de más seguridad.</w:t>
      </w:r>
    </w:p>
    <w:p w14:paraId="753F015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0D231A2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
          <w:bCs/>
          <w:sz w:val="20"/>
          <w:szCs w:val="20"/>
        </w:rPr>
        <w:t>3.- Organización y Objeto Social</w:t>
      </w:r>
    </w:p>
    <w:p w14:paraId="16AF492D" w14:textId="77777777" w:rsidR="00112BC6" w:rsidRPr="00112BC6" w:rsidRDefault="00112BC6" w:rsidP="00112BC6">
      <w:pPr>
        <w:numPr>
          <w:ilvl w:val="0"/>
          <w:numId w:val="1"/>
        </w:num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Objeto social.</w:t>
      </w:r>
    </w:p>
    <w:p w14:paraId="5D96F24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Los recursos se destinarán para otorgar a los beneficiarios matriculados en las escuelas, facultades o centros de investigación dependientes directamente de la Universidad Autónoma de Yucatán contribuyendo a su superación académica.</w:t>
      </w:r>
    </w:p>
    <w:p w14:paraId="02D87638" w14:textId="77777777" w:rsidR="00112BC6" w:rsidRPr="00112BC6" w:rsidRDefault="00112BC6" w:rsidP="00112BC6">
      <w:pPr>
        <w:numPr>
          <w:ilvl w:val="0"/>
          <w:numId w:val="1"/>
        </w:num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Principal actividad</w:t>
      </w:r>
    </w:p>
    <w:p w14:paraId="453BE43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Desde 1999 la Universidad Autónoma de Yucatán ha brindado su apoyo a los estudiantes de escasos recursos económicos que tienen el deseo de superarse, buscando otorgarles medios que le permitan concluir sus estudios en forma satisfactoria.</w:t>
      </w:r>
    </w:p>
    <w:p w14:paraId="25AEC95B"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 4.-</w:t>
      </w:r>
      <w:r w:rsidRPr="00112BC6">
        <w:rPr>
          <w:rFonts w:ascii="Lato" w:hAnsi="Lato" w:cs="Arial"/>
          <w:bCs/>
          <w:sz w:val="20"/>
          <w:szCs w:val="20"/>
        </w:rPr>
        <w:t xml:space="preserve"> </w:t>
      </w:r>
      <w:r w:rsidRPr="00112BC6">
        <w:rPr>
          <w:rFonts w:ascii="Lato" w:hAnsi="Lato" w:cs="Arial"/>
          <w:b/>
          <w:bCs/>
          <w:sz w:val="20"/>
          <w:szCs w:val="20"/>
        </w:rPr>
        <w:t>Bases para la Preparación de Estados Financieros.</w:t>
      </w:r>
    </w:p>
    <w:p w14:paraId="3D6F7B7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En la preparación de los Estados Financieros del Fideicomiso, se observó con lo establecido en la Ley General de Contabilidad Gubernamental, la Ley de Presupuesto y Contabilidad Gubernamental del Estado de Yucatán y demás disposiciones emitidas para tal efecto por el Consejo Nacional de Armonización Contable (CONAC).  </w:t>
      </w:r>
    </w:p>
    <w:p w14:paraId="78DFF158"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5.- Políticas de Contabilidad Significativas.</w:t>
      </w:r>
    </w:p>
    <w:p w14:paraId="423AC5D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Ser informa sobre:</w:t>
      </w:r>
    </w:p>
    <w:p w14:paraId="63C583B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A) En general. -</w:t>
      </w:r>
    </w:p>
    <w:p w14:paraId="2B5B6B9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1.-Los requisitos, documentos, fechas, entre otros, deberán especificarse en la convocatoria dirigida a aquellos alumnos interesados en la obtención de las becas de este Fondo.</w:t>
      </w:r>
    </w:p>
    <w:p w14:paraId="6D3C0ED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2.-La administración de los recursos del Fondo deberá apegarse al procedimiento administrativo correspondiente a este fondo.</w:t>
      </w:r>
    </w:p>
    <w:p w14:paraId="34135AA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3.-El alumno acreedor a una beca, deberá contar con su TUI (Tarjeta Universitaria Inteligente).</w:t>
      </w:r>
    </w:p>
    <w:p w14:paraId="65888F4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4.-El alumno deberá activar su TUI para poder recibir los depósitos de la beca.</w:t>
      </w:r>
    </w:p>
    <w:p w14:paraId="42EC965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5.-La Dirección General de Desarrollo Académico a través de la Coordinación del Sistema de Atención Integral al Estudiante, deberá validar con la Institución Bancaria que todos los alumnos seleccionados como acreedores a las becas, cuentan con las </w:t>
      </w:r>
      <w:proofErr w:type="spellStart"/>
      <w:r w:rsidRPr="00112BC6">
        <w:rPr>
          <w:rFonts w:ascii="Lato" w:hAnsi="Lato" w:cs="Arial"/>
          <w:bCs/>
          <w:sz w:val="20"/>
          <w:szCs w:val="20"/>
        </w:rPr>
        <w:t>TUI’s</w:t>
      </w:r>
      <w:proofErr w:type="spellEnd"/>
      <w:r w:rsidRPr="00112BC6">
        <w:rPr>
          <w:rFonts w:ascii="Lato" w:hAnsi="Lato" w:cs="Arial"/>
          <w:bCs/>
          <w:sz w:val="20"/>
          <w:szCs w:val="20"/>
        </w:rPr>
        <w:t xml:space="preserve"> activadas.</w:t>
      </w:r>
    </w:p>
    <w:p w14:paraId="09516141" w14:textId="77777777" w:rsidR="00112BC6" w:rsidRPr="00112BC6" w:rsidRDefault="00112BC6" w:rsidP="00112BC6">
      <w:pPr>
        <w:numPr>
          <w:ilvl w:val="0"/>
          <w:numId w:val="2"/>
        </w:num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Del pago de Becas</w:t>
      </w:r>
    </w:p>
    <w:p w14:paraId="120CAA9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1.-La Dirección General de Desarrollo Académico a través de la Coordinación del Sistema de Atención Integral al Estudiante deberá elaborar la lista de los alumnos con los importes y las cuentas bancarias de los alumnos donde se realizará el pago y enviará el archivo electrónico para su dispersión al área fiduciaria, en un plazo de tres días hábiles anteriores a la fecha indicada en el calendario.</w:t>
      </w:r>
    </w:p>
    <w:p w14:paraId="0AF8601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2.- El área Fiduciaria realizará en las fechas establecidas en el calendario, las transferencias de las becas a los alumnos seleccionados. </w:t>
      </w:r>
    </w:p>
    <w:p w14:paraId="758BC71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3.-Estudiante solicitará el reporte de los pagos solicitados al Fiduciario y revisar que todas las transferencias se hayan realizado. En caso de que ocurra un reverso en algún pago, la Dirección General de Desarrollo Académico a través de la Coordinación del Sistema de Atención Integral al Estudiante deberá identificar la razón que originó este incidente y   proceder a regularizarlo para realizar su reenvío.</w:t>
      </w:r>
    </w:p>
    <w:p w14:paraId="0E60E08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4.-Los recursos asignados al Fondo deberán ser transferidos por el Instituto de Becas y Crédito Educativo del Estado de Yucatán (IBECEY) a la cuenta del Fideicomiso asignada, dentro de los primeros 5 días hábiles de cada mes. </w:t>
      </w:r>
    </w:p>
    <w:p w14:paraId="3592263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5.-La Dirección General de Finanzas y Administración a través del Departamento de Tesorería gestiona y recaba el recurso asignado en el mes ante el IBECEY y deposita el recurso a la cuenta del Fideicomiso y da aviso al Fiduciario.</w:t>
      </w:r>
    </w:p>
    <w:p w14:paraId="42D09B9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6.-La Dirección General de Finanzas y Administración a través del Departamento de Tesorería vigila que el recurso se invierta oportunamente, así como que exista disponibilidad de acuerdo a las fechas de pago, según calendario.</w:t>
      </w:r>
    </w:p>
    <w:p w14:paraId="57ECDB1F" w14:textId="77777777" w:rsidR="00112BC6" w:rsidRPr="00112BC6" w:rsidRDefault="00112BC6" w:rsidP="00112BC6">
      <w:pPr>
        <w:numPr>
          <w:ilvl w:val="0"/>
          <w:numId w:val="2"/>
        </w:num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Del registro y control</w:t>
      </w:r>
    </w:p>
    <w:p w14:paraId="349F1F1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1.-Como parte de la administración y control del Fondo de becas Abogado Francisco </w:t>
      </w:r>
      <w:proofErr w:type="spellStart"/>
      <w:r w:rsidRPr="00112BC6">
        <w:rPr>
          <w:rFonts w:ascii="Lato" w:hAnsi="Lato" w:cs="Arial"/>
          <w:bCs/>
          <w:sz w:val="20"/>
          <w:szCs w:val="20"/>
        </w:rPr>
        <w:t>Repetto</w:t>
      </w:r>
      <w:proofErr w:type="spellEnd"/>
      <w:r w:rsidRPr="00112BC6">
        <w:rPr>
          <w:rFonts w:ascii="Lato" w:hAnsi="Lato" w:cs="Arial"/>
          <w:bCs/>
          <w:sz w:val="20"/>
          <w:szCs w:val="20"/>
        </w:rPr>
        <w:t xml:space="preserve"> Milán, se cuenta con un software en ambiente web, destinado a apoyar el proceso de asignación de becas. El software se encuentra vinculado con el Sistema de Información de Control Escolar Institucional (SICEI), por lo que solo permite a los alumnos, realizar alguna solicitud de beca. Dicho software alberga los datos personales y socioeconómicos de los estudiantes y genera información de los solicitantes para análisis del Comité. Estas acciones garantizan que los alumnos seleccionados estén matriculados en nuestra Institución.</w:t>
      </w:r>
    </w:p>
    <w:p w14:paraId="57794FC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2.-El Centro de Atención Integral al Estudiante (CAE) registra los datos académicos de los alumnos solicitantes con la información proporcionada por las Escuelas Preparatorias.</w:t>
      </w:r>
    </w:p>
    <w:p w14:paraId="63F5B67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3.-En caso de que existiera alguna baja voluntaria en el padrón de beneficiados, el CAE informa vía oficio al Coordinación del Sistema de Atención Integral al Estudiante, quien actualiza el padrón en la base de datos del sistema y se elimina al alumno del listado de pago. </w:t>
      </w:r>
    </w:p>
    <w:p w14:paraId="6465F02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4.-El Departamento de Tesorería, deberá elaborar informes y conciliaciones mensuales, de las operaciones realizadas según el estado de cuenta del Fideicomiso.</w:t>
      </w:r>
    </w:p>
    <w:p w14:paraId="35BA40B0" w14:textId="77777777" w:rsidR="00112BC6" w:rsidRPr="00112BC6" w:rsidRDefault="00112BC6" w:rsidP="00112BC6">
      <w:pPr>
        <w:numPr>
          <w:ilvl w:val="0"/>
          <w:numId w:val="2"/>
        </w:num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Rendición de cuentas</w:t>
      </w:r>
    </w:p>
    <w:p w14:paraId="45506ED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1.- La Dirección General de Finanzas y Administración a través del Departamento de Tesorería enviará trimestralmente a través de un oficio a la Secretaría de Administración y Finanzas del Estado de Yucatán los Estados Financieros correspondientes al Fideicomiso.</w:t>
      </w:r>
    </w:p>
    <w:p w14:paraId="39B8EBD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2.-La Dirección General de Finanzas y Administración a través del Departamento de Tesorería enviará   semestralmente a través de un oficio a la Auditoría Superior del Estado de Yucatán el avance de la gestión financiera del Fideicomiso, anexando los Estados Financieros y Reportes acordes a dicho avance.</w:t>
      </w:r>
    </w:p>
    <w:p w14:paraId="063CB11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616256E2" w14:textId="77777777" w:rsidR="00112BC6" w:rsidRPr="00112BC6" w:rsidRDefault="00112BC6" w:rsidP="00112BC6">
      <w:pPr>
        <w:numPr>
          <w:ilvl w:val="0"/>
          <w:numId w:val="2"/>
        </w:num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De la supervisión</w:t>
      </w:r>
    </w:p>
    <w:p w14:paraId="14ABF74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243AADE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1.-El Departamento de Auditoría Interna de la Universidad Autónoma de Yucatán anualmente, realizará revisiones del manejo y administración del Fideicomiso Fondo de Becas Abogado Francisco </w:t>
      </w:r>
      <w:proofErr w:type="spellStart"/>
      <w:r w:rsidRPr="00112BC6">
        <w:rPr>
          <w:rFonts w:ascii="Lato" w:hAnsi="Lato" w:cs="Arial"/>
          <w:bCs/>
          <w:sz w:val="20"/>
          <w:szCs w:val="20"/>
        </w:rPr>
        <w:t>Repetto</w:t>
      </w:r>
      <w:proofErr w:type="spellEnd"/>
      <w:r w:rsidRPr="00112BC6">
        <w:rPr>
          <w:rFonts w:ascii="Lato" w:hAnsi="Lato" w:cs="Arial"/>
          <w:bCs/>
          <w:sz w:val="20"/>
          <w:szCs w:val="20"/>
        </w:rPr>
        <w:t xml:space="preserve"> Milán. </w:t>
      </w:r>
    </w:p>
    <w:p w14:paraId="7A2E062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2.-De acuerdo a los resultados emitidos por el Departamento de Auditoría Interna, se analizarán y efectuarán acciones correctivas y de mejora.</w:t>
      </w:r>
    </w:p>
    <w:p w14:paraId="52ADF4F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
          <w:bCs/>
          <w:sz w:val="20"/>
          <w:szCs w:val="20"/>
        </w:rPr>
        <w:t xml:space="preserve">6.- Posición en Moneda Extranjera y Protección por Riesgo Cambiario: </w:t>
      </w:r>
    </w:p>
    <w:p w14:paraId="769B343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Este mes no aplica para el fideicomiso.</w:t>
      </w:r>
    </w:p>
    <w:p w14:paraId="3B30152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
          <w:bCs/>
          <w:sz w:val="20"/>
          <w:szCs w:val="20"/>
        </w:rPr>
        <w:t>7.- Reporte Analítico del Activo:</w:t>
      </w:r>
      <w:r w:rsidRPr="00112BC6">
        <w:rPr>
          <w:rFonts w:ascii="Lato" w:hAnsi="Lato" w:cs="Arial"/>
          <w:bCs/>
          <w:sz w:val="20"/>
          <w:szCs w:val="20"/>
        </w:rPr>
        <w:t xml:space="preserve"> </w:t>
      </w:r>
    </w:p>
    <w:p w14:paraId="3EA9337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mes no aplica para el fideicomiso.</w:t>
      </w:r>
    </w:p>
    <w:p w14:paraId="7C2941EF"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8.- Fideicomisos, Mandatos y Análogos:</w:t>
      </w:r>
    </w:p>
    <w:p w14:paraId="55D373D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mes no aplica para el fideicomiso.</w:t>
      </w:r>
    </w:p>
    <w:p w14:paraId="2C110A3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
          <w:bCs/>
          <w:sz w:val="20"/>
          <w:szCs w:val="20"/>
        </w:rPr>
        <w:t>9.- Reporte de la Recaudación</w:t>
      </w:r>
      <w:r w:rsidRPr="00112BC6">
        <w:rPr>
          <w:rFonts w:ascii="Lato" w:hAnsi="Lato" w:cs="Arial"/>
          <w:bCs/>
          <w:sz w:val="20"/>
          <w:szCs w:val="20"/>
        </w:rPr>
        <w:t xml:space="preserve">: </w:t>
      </w:r>
    </w:p>
    <w:p w14:paraId="24C13EB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mes no aplica para el fideicomiso.</w:t>
      </w:r>
    </w:p>
    <w:p w14:paraId="248FB372"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10. Información sobre la Deuda y el Reporte Analítico de la Deuda: </w:t>
      </w:r>
    </w:p>
    <w:p w14:paraId="37E3E26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mes no aplica para el fideicomiso.</w:t>
      </w:r>
    </w:p>
    <w:p w14:paraId="3C712F8F"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11.- Calificaciones otorgadas:</w:t>
      </w:r>
    </w:p>
    <w:p w14:paraId="5D3A45E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mes no aplica para el fideicomiso.</w:t>
      </w:r>
    </w:p>
    <w:p w14:paraId="1F97CD24"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12.- Proceso de Mejora</w:t>
      </w:r>
    </w:p>
    <w:p w14:paraId="1DA58FF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Dar mayor seguridad y transparencia a los recursos </w:t>
      </w:r>
      <w:proofErr w:type="spellStart"/>
      <w:r w:rsidRPr="00112BC6">
        <w:rPr>
          <w:rFonts w:ascii="Lato" w:hAnsi="Lato" w:cs="Arial"/>
          <w:bCs/>
          <w:sz w:val="20"/>
          <w:szCs w:val="20"/>
        </w:rPr>
        <w:t>fideicomitidos</w:t>
      </w:r>
      <w:proofErr w:type="spellEnd"/>
      <w:r w:rsidRPr="00112BC6">
        <w:rPr>
          <w:rFonts w:ascii="Lato" w:hAnsi="Lato" w:cs="Arial"/>
          <w:bCs/>
          <w:sz w:val="20"/>
          <w:szCs w:val="20"/>
        </w:rPr>
        <w:t xml:space="preserve"> los cuales se destinarán para otorgar a los beneficiarios matriculados en las escuelas, facultades o centros de investigación dependientes directamente de la Universidad Autónoma de Yucatán contribuyendo a su superación académica.</w:t>
      </w:r>
    </w:p>
    <w:p w14:paraId="739168F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Metas:</w:t>
      </w:r>
    </w:p>
    <w:p w14:paraId="2C74FBAA" w14:textId="77777777" w:rsidR="00112BC6" w:rsidRPr="00112BC6" w:rsidRDefault="00112BC6" w:rsidP="00112BC6">
      <w:pPr>
        <w:numPr>
          <w:ilvl w:val="0"/>
          <w:numId w:val="3"/>
        </w:num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Emitir y aprobar la convocatoria de cada ciclo escolar dirigida a los alumnos interesados en obtener la beca, que incluye los requisitos, documentos y fechas para la solicitud.</w:t>
      </w:r>
    </w:p>
    <w:p w14:paraId="1EE76F1E" w14:textId="77777777" w:rsidR="00112BC6" w:rsidRPr="00112BC6" w:rsidRDefault="00112BC6" w:rsidP="00112BC6">
      <w:pPr>
        <w:numPr>
          <w:ilvl w:val="0"/>
          <w:numId w:val="3"/>
        </w:num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Vigilar que el recurso del fondo sea invertido oportunamente en las mejores condiciones y que exista disponibilidad de acuerdo a las fechas de pago según el calendario.</w:t>
      </w:r>
    </w:p>
    <w:p w14:paraId="2F9E9AE1" w14:textId="77777777" w:rsidR="00112BC6" w:rsidRPr="00112BC6" w:rsidRDefault="00112BC6" w:rsidP="00112BC6">
      <w:pPr>
        <w:numPr>
          <w:ilvl w:val="0"/>
          <w:numId w:val="3"/>
        </w:num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Mantener actualizado el padrón de beneficiarios con los datos de las cuentas bancarias utilizadas para la dispersión, mismas que garantizan que el recurso sea recibido.</w:t>
      </w:r>
    </w:p>
    <w:p w14:paraId="72A8806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Indicadores para medir las metas:</w:t>
      </w:r>
    </w:p>
    <w:p w14:paraId="4553DBD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1.- Número de convocatorias que deberían emitirse en cada ciclo escolar: 1</w:t>
      </w:r>
    </w:p>
    <w:p w14:paraId="3D26C0A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 Importe de los recursos disponibles para el pago de becas / Importe pagado a los beneficiarios</w:t>
      </w:r>
    </w:p>
    <w:p w14:paraId="12BA44F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3.- Número de transacciones exitosas y número de reversos en las dispersiones de las becas.</w:t>
      </w:r>
    </w:p>
    <w:p w14:paraId="0EF4F10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65CF7AF3"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13. Información por Segmentos:</w:t>
      </w:r>
    </w:p>
    <w:p w14:paraId="63AC9B3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mes no aplica para el fideicomiso.</w:t>
      </w:r>
    </w:p>
    <w:p w14:paraId="6FCB45C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
          <w:bCs/>
          <w:sz w:val="20"/>
          <w:szCs w:val="20"/>
        </w:rPr>
        <w:t xml:space="preserve">14.- Eventos Posteriores al cierre: </w:t>
      </w:r>
    </w:p>
    <w:p w14:paraId="6440B0F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mes no aplica para el fideicomiso.</w:t>
      </w:r>
    </w:p>
    <w:p w14:paraId="20D2E80D"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15.- Partes Relacionadas: </w:t>
      </w:r>
    </w:p>
    <w:p w14:paraId="561D042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En este fideicomiso no existen partes relacionadas que pudieran ejercer influencia significativa sobre la toma de decisiones financieras y operativas.</w:t>
      </w:r>
    </w:p>
    <w:p w14:paraId="3235264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3C0B6BE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1D368602" w14:textId="77777777" w:rsidR="00112BC6" w:rsidRPr="00112BC6" w:rsidRDefault="00112BC6" w:rsidP="00112BC6">
      <w:pPr>
        <w:numPr>
          <w:ilvl w:val="0"/>
          <w:numId w:val="4"/>
        </w:num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NOTAS DE DESGLOCE</w:t>
      </w:r>
    </w:p>
    <w:p w14:paraId="4FBFCA73"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p w14:paraId="0BC681CF"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I) NOTAS AL ESTADO DE ACTIVIDADES</w:t>
      </w:r>
    </w:p>
    <w:p w14:paraId="596EA87B"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Ingresos de Gestión:</w:t>
      </w:r>
    </w:p>
    <w:p w14:paraId="05425F1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Representa el monto de los ingresos recaudados durante el ejercicio fiscal y que se previeron en la Ley de Ingresos del Estado de Yucatán</w:t>
      </w:r>
      <w:r w:rsidRPr="00112BC6">
        <w:rPr>
          <w:rFonts w:ascii="Lato" w:hAnsi="Lato" w:cs="Arial"/>
          <w:b/>
          <w:bCs/>
          <w:sz w:val="20"/>
          <w:szCs w:val="20"/>
        </w:rPr>
        <w:t xml:space="preserve">, </w:t>
      </w:r>
      <w:r w:rsidRPr="00112BC6">
        <w:rPr>
          <w:rFonts w:ascii="Lato" w:hAnsi="Lato" w:cs="Arial"/>
          <w:bCs/>
          <w:sz w:val="20"/>
          <w:szCs w:val="20"/>
        </w:rPr>
        <w:t>para este fideicomiso no se consideró en el presupuesto del 2023.</w:t>
      </w:r>
    </w:p>
    <w:p w14:paraId="5E459D4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Los importes utilizados corresponden a Remanentes de Ejercicios Anteriores.</w:t>
      </w:r>
    </w:p>
    <w:p w14:paraId="2FAEF2E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A continuación, se relacionan las cuentas que lo integran:</w:t>
      </w:r>
    </w:p>
    <w:p w14:paraId="65A8458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03812BA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1.- Las cuentas que integran los ingresos de la gestión, presentan los siguientes saldos:</w:t>
      </w:r>
    </w:p>
    <w:p w14:paraId="0D759CE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bl>
      <w:tblPr>
        <w:tblW w:w="93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9"/>
        <w:gridCol w:w="4936"/>
      </w:tblGrid>
      <w:tr w:rsidR="00112BC6" w:rsidRPr="00112BC6" w14:paraId="5FAC9DA0" w14:textId="77777777" w:rsidTr="00003CF2">
        <w:tc>
          <w:tcPr>
            <w:tcW w:w="4379" w:type="dxa"/>
            <w:shd w:val="clear" w:color="auto" w:fill="D9D9D9" w:themeFill="background1" w:themeFillShade="D9"/>
          </w:tcPr>
          <w:p w14:paraId="7411634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CONCEPTO</w:t>
            </w:r>
          </w:p>
        </w:tc>
        <w:tc>
          <w:tcPr>
            <w:tcW w:w="4936" w:type="dxa"/>
            <w:shd w:val="clear" w:color="auto" w:fill="D9D9D9" w:themeFill="background1" w:themeFillShade="D9"/>
          </w:tcPr>
          <w:p w14:paraId="5A1B2D7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Importe del 01 al 31 de marzo 2026</w:t>
            </w:r>
          </w:p>
        </w:tc>
      </w:tr>
      <w:tr w:rsidR="00112BC6" w:rsidRPr="00112BC6" w14:paraId="79637EC3" w14:textId="77777777" w:rsidTr="00003CF2">
        <w:tc>
          <w:tcPr>
            <w:tcW w:w="4379" w:type="dxa"/>
          </w:tcPr>
          <w:tbl>
            <w:tblPr>
              <w:tblW w:w="3520" w:type="dxa"/>
              <w:tblCellMar>
                <w:left w:w="70" w:type="dxa"/>
                <w:right w:w="70" w:type="dxa"/>
              </w:tblCellMar>
              <w:tblLook w:val="04A0" w:firstRow="1" w:lastRow="0" w:firstColumn="1" w:lastColumn="0" w:noHBand="0" w:noVBand="1"/>
            </w:tblPr>
            <w:tblGrid>
              <w:gridCol w:w="3520"/>
            </w:tblGrid>
            <w:tr w:rsidR="00112BC6" w:rsidRPr="00112BC6" w14:paraId="224BCAC6" w14:textId="77777777" w:rsidTr="00003CF2">
              <w:trPr>
                <w:trHeight w:val="330"/>
              </w:trPr>
              <w:tc>
                <w:tcPr>
                  <w:tcW w:w="3520" w:type="dxa"/>
                  <w:tcBorders>
                    <w:top w:val="nil"/>
                    <w:left w:val="nil"/>
                    <w:bottom w:val="nil"/>
                    <w:right w:val="nil"/>
                  </w:tcBorders>
                  <w:shd w:val="clear" w:color="auto" w:fill="auto"/>
                  <w:noWrap/>
                  <w:vAlign w:val="bottom"/>
                  <w:hideMark/>
                </w:tcPr>
                <w:p w14:paraId="7C27EA13" w14:textId="77777777" w:rsidR="00112BC6" w:rsidRPr="00112BC6" w:rsidRDefault="00112BC6" w:rsidP="00112BC6">
                  <w:pPr>
                    <w:autoSpaceDE w:val="0"/>
                    <w:autoSpaceDN w:val="0"/>
                    <w:adjustRightInd w:val="0"/>
                    <w:spacing w:line="360" w:lineRule="auto"/>
                    <w:jc w:val="both"/>
                    <w:rPr>
                      <w:rFonts w:ascii="Lato" w:hAnsi="Lato" w:cs="Arial"/>
                      <w:bCs/>
                      <w:sz w:val="20"/>
                      <w:szCs w:val="20"/>
                      <w:lang w:val="es-ES"/>
                    </w:rPr>
                  </w:pPr>
                  <w:r w:rsidRPr="00112BC6">
                    <w:rPr>
                      <w:rFonts w:ascii="Lato" w:hAnsi="Lato" w:cs="Arial"/>
                      <w:bCs/>
                      <w:sz w:val="20"/>
                      <w:szCs w:val="20"/>
                      <w:lang w:val="es-ES"/>
                    </w:rPr>
                    <w:t>Transferencias, Asignaciones, Subsidios, Otras, Ayudas</w:t>
                  </w:r>
                </w:p>
              </w:tc>
            </w:tr>
            <w:tr w:rsidR="00112BC6" w:rsidRPr="00112BC6" w14:paraId="5C5837C7" w14:textId="77777777" w:rsidTr="00003CF2">
              <w:trPr>
                <w:trHeight w:val="330"/>
              </w:trPr>
              <w:tc>
                <w:tcPr>
                  <w:tcW w:w="3520" w:type="dxa"/>
                  <w:tcBorders>
                    <w:top w:val="nil"/>
                    <w:left w:val="nil"/>
                    <w:bottom w:val="nil"/>
                    <w:right w:val="nil"/>
                  </w:tcBorders>
                  <w:shd w:val="clear" w:color="auto" w:fill="auto"/>
                  <w:noWrap/>
                  <w:vAlign w:val="bottom"/>
                  <w:hideMark/>
                </w:tcPr>
                <w:p w14:paraId="50AEC8BF" w14:textId="77777777" w:rsidR="00112BC6" w:rsidRPr="00112BC6" w:rsidRDefault="00112BC6" w:rsidP="00112BC6">
                  <w:pPr>
                    <w:autoSpaceDE w:val="0"/>
                    <w:autoSpaceDN w:val="0"/>
                    <w:adjustRightInd w:val="0"/>
                    <w:spacing w:line="360" w:lineRule="auto"/>
                    <w:jc w:val="both"/>
                    <w:rPr>
                      <w:rFonts w:ascii="Lato" w:hAnsi="Lato" w:cs="Arial"/>
                      <w:bCs/>
                      <w:i/>
                      <w:iCs/>
                      <w:sz w:val="20"/>
                      <w:szCs w:val="20"/>
                      <w:lang w:val="es-ES"/>
                    </w:rPr>
                  </w:pPr>
                  <w:r w:rsidRPr="00112BC6">
                    <w:rPr>
                      <w:rFonts w:ascii="Lato" w:hAnsi="Lato" w:cs="Arial"/>
                      <w:bCs/>
                      <w:i/>
                      <w:iCs/>
                      <w:sz w:val="20"/>
                      <w:szCs w:val="20"/>
                      <w:lang w:val="es-ES"/>
                    </w:rPr>
                    <w:t>Ayudas Sociales</w:t>
                  </w:r>
                </w:p>
              </w:tc>
            </w:tr>
          </w:tbl>
          <w:p w14:paraId="3F60B8D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c>
          <w:tcPr>
            <w:tcW w:w="4936" w:type="dxa"/>
          </w:tcPr>
          <w:p w14:paraId="7C9EF68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0.00</w:t>
            </w:r>
          </w:p>
        </w:tc>
      </w:tr>
      <w:tr w:rsidR="00112BC6" w:rsidRPr="00112BC6" w14:paraId="396FB8FC" w14:textId="77777777" w:rsidTr="00003CF2">
        <w:trPr>
          <w:trHeight w:val="538"/>
        </w:trPr>
        <w:tc>
          <w:tcPr>
            <w:tcW w:w="4379" w:type="dxa"/>
          </w:tcPr>
          <w:p w14:paraId="7902FF30" w14:textId="77777777" w:rsidR="00112BC6" w:rsidRPr="00112BC6" w:rsidRDefault="00112BC6" w:rsidP="00112BC6">
            <w:pPr>
              <w:autoSpaceDE w:val="0"/>
              <w:autoSpaceDN w:val="0"/>
              <w:adjustRightInd w:val="0"/>
              <w:spacing w:line="360" w:lineRule="auto"/>
              <w:jc w:val="both"/>
              <w:rPr>
                <w:rFonts w:ascii="Lato" w:hAnsi="Lato" w:cs="Arial"/>
                <w:bCs/>
                <w:sz w:val="20"/>
                <w:szCs w:val="20"/>
                <w:lang w:val="es-ES"/>
              </w:rPr>
            </w:pPr>
            <w:r w:rsidRPr="00112BC6">
              <w:rPr>
                <w:rFonts w:ascii="Lato" w:hAnsi="Lato" w:cs="Arial"/>
                <w:bCs/>
                <w:sz w:val="20"/>
                <w:szCs w:val="20"/>
                <w:lang w:val="es-ES"/>
              </w:rPr>
              <w:t>Productos</w:t>
            </w:r>
          </w:p>
          <w:p w14:paraId="0304DA7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c>
          <w:tcPr>
            <w:tcW w:w="4936" w:type="dxa"/>
          </w:tcPr>
          <w:p w14:paraId="6C3E9F3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25.21</w:t>
            </w:r>
          </w:p>
        </w:tc>
      </w:tr>
      <w:tr w:rsidR="00112BC6" w:rsidRPr="00112BC6" w14:paraId="22F5E13B" w14:textId="77777777" w:rsidTr="00003CF2">
        <w:tc>
          <w:tcPr>
            <w:tcW w:w="4379" w:type="dxa"/>
          </w:tcPr>
          <w:p w14:paraId="0E18739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Total de ingresos</w:t>
            </w:r>
          </w:p>
        </w:tc>
        <w:tc>
          <w:tcPr>
            <w:tcW w:w="4936" w:type="dxa"/>
          </w:tcPr>
          <w:p w14:paraId="5B172BB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25.21</w:t>
            </w:r>
          </w:p>
        </w:tc>
      </w:tr>
    </w:tbl>
    <w:p w14:paraId="4DCE59AB"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tbl>
      <w:tblPr>
        <w:tblW w:w="93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4939"/>
      </w:tblGrid>
      <w:tr w:rsidR="00112BC6" w:rsidRPr="00112BC6" w14:paraId="4213EB35" w14:textId="77777777" w:rsidTr="00003CF2">
        <w:tc>
          <w:tcPr>
            <w:tcW w:w="4376" w:type="dxa"/>
            <w:shd w:val="clear" w:color="auto" w:fill="D9D9D9" w:themeFill="background1" w:themeFillShade="D9"/>
          </w:tcPr>
          <w:p w14:paraId="0052C8A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CONCEPTO</w:t>
            </w:r>
          </w:p>
        </w:tc>
        <w:tc>
          <w:tcPr>
            <w:tcW w:w="4939" w:type="dxa"/>
            <w:shd w:val="clear" w:color="auto" w:fill="D9D9D9" w:themeFill="background1" w:themeFillShade="D9"/>
          </w:tcPr>
          <w:p w14:paraId="02E90FE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Importe Acumulado al 31 de marzo de 2026</w:t>
            </w:r>
          </w:p>
        </w:tc>
      </w:tr>
      <w:tr w:rsidR="00112BC6" w:rsidRPr="00112BC6" w14:paraId="445A0539" w14:textId="77777777" w:rsidTr="00003CF2">
        <w:tc>
          <w:tcPr>
            <w:tcW w:w="4376" w:type="dxa"/>
          </w:tcPr>
          <w:tbl>
            <w:tblPr>
              <w:tblW w:w="3520" w:type="dxa"/>
              <w:tblCellMar>
                <w:left w:w="70" w:type="dxa"/>
                <w:right w:w="70" w:type="dxa"/>
              </w:tblCellMar>
              <w:tblLook w:val="04A0" w:firstRow="1" w:lastRow="0" w:firstColumn="1" w:lastColumn="0" w:noHBand="0" w:noVBand="1"/>
            </w:tblPr>
            <w:tblGrid>
              <w:gridCol w:w="3520"/>
            </w:tblGrid>
            <w:tr w:rsidR="00112BC6" w:rsidRPr="00112BC6" w14:paraId="745508B1" w14:textId="77777777" w:rsidTr="00003CF2">
              <w:trPr>
                <w:trHeight w:val="330"/>
              </w:trPr>
              <w:tc>
                <w:tcPr>
                  <w:tcW w:w="3520" w:type="dxa"/>
                  <w:tcBorders>
                    <w:top w:val="nil"/>
                    <w:left w:val="nil"/>
                    <w:bottom w:val="nil"/>
                    <w:right w:val="nil"/>
                  </w:tcBorders>
                  <w:shd w:val="clear" w:color="auto" w:fill="auto"/>
                  <w:noWrap/>
                  <w:vAlign w:val="bottom"/>
                  <w:hideMark/>
                </w:tcPr>
                <w:p w14:paraId="113333C0" w14:textId="77777777" w:rsidR="00112BC6" w:rsidRPr="00112BC6" w:rsidRDefault="00112BC6" w:rsidP="00112BC6">
                  <w:pPr>
                    <w:autoSpaceDE w:val="0"/>
                    <w:autoSpaceDN w:val="0"/>
                    <w:adjustRightInd w:val="0"/>
                    <w:spacing w:line="360" w:lineRule="auto"/>
                    <w:jc w:val="both"/>
                    <w:rPr>
                      <w:rFonts w:ascii="Lato" w:hAnsi="Lato" w:cs="Arial"/>
                      <w:bCs/>
                      <w:sz w:val="20"/>
                      <w:szCs w:val="20"/>
                      <w:lang w:val="es-ES"/>
                    </w:rPr>
                  </w:pPr>
                  <w:r w:rsidRPr="00112BC6">
                    <w:rPr>
                      <w:rFonts w:ascii="Lato" w:hAnsi="Lato" w:cs="Arial"/>
                      <w:bCs/>
                      <w:sz w:val="20"/>
                      <w:szCs w:val="20"/>
                      <w:lang w:val="es-ES"/>
                    </w:rPr>
                    <w:t>Transferencias, Asignaciones, Subsidios, Otras, Ayudas</w:t>
                  </w:r>
                </w:p>
              </w:tc>
            </w:tr>
            <w:tr w:rsidR="00112BC6" w:rsidRPr="00112BC6" w14:paraId="68174A21" w14:textId="77777777" w:rsidTr="00003CF2">
              <w:trPr>
                <w:trHeight w:val="330"/>
              </w:trPr>
              <w:tc>
                <w:tcPr>
                  <w:tcW w:w="3520" w:type="dxa"/>
                  <w:tcBorders>
                    <w:top w:val="nil"/>
                    <w:left w:val="nil"/>
                    <w:bottom w:val="nil"/>
                    <w:right w:val="nil"/>
                  </w:tcBorders>
                  <w:shd w:val="clear" w:color="auto" w:fill="auto"/>
                  <w:noWrap/>
                  <w:vAlign w:val="bottom"/>
                  <w:hideMark/>
                </w:tcPr>
                <w:p w14:paraId="7D3B5420" w14:textId="77777777" w:rsidR="00112BC6" w:rsidRPr="00112BC6" w:rsidRDefault="00112BC6" w:rsidP="00112BC6">
                  <w:pPr>
                    <w:autoSpaceDE w:val="0"/>
                    <w:autoSpaceDN w:val="0"/>
                    <w:adjustRightInd w:val="0"/>
                    <w:spacing w:line="360" w:lineRule="auto"/>
                    <w:jc w:val="both"/>
                    <w:rPr>
                      <w:rFonts w:ascii="Lato" w:hAnsi="Lato" w:cs="Arial"/>
                      <w:bCs/>
                      <w:i/>
                      <w:iCs/>
                      <w:sz w:val="20"/>
                      <w:szCs w:val="20"/>
                      <w:lang w:val="es-ES"/>
                    </w:rPr>
                  </w:pPr>
                  <w:r w:rsidRPr="00112BC6">
                    <w:rPr>
                      <w:rFonts w:ascii="Lato" w:hAnsi="Lato" w:cs="Arial"/>
                      <w:bCs/>
                      <w:i/>
                      <w:iCs/>
                      <w:sz w:val="20"/>
                      <w:szCs w:val="20"/>
                      <w:lang w:val="es-ES"/>
                    </w:rPr>
                    <w:t>Ayudas Sociales</w:t>
                  </w:r>
                </w:p>
              </w:tc>
            </w:tr>
          </w:tbl>
          <w:p w14:paraId="6083D39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c>
          <w:tcPr>
            <w:tcW w:w="4939" w:type="dxa"/>
          </w:tcPr>
          <w:p w14:paraId="3C592E8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00.00</w:t>
            </w:r>
          </w:p>
        </w:tc>
      </w:tr>
      <w:tr w:rsidR="00112BC6" w:rsidRPr="00112BC6" w14:paraId="25E98FF2" w14:textId="77777777" w:rsidTr="00003CF2">
        <w:trPr>
          <w:trHeight w:val="538"/>
        </w:trPr>
        <w:tc>
          <w:tcPr>
            <w:tcW w:w="4376" w:type="dxa"/>
          </w:tcPr>
          <w:p w14:paraId="4C8726EF" w14:textId="77777777" w:rsidR="00112BC6" w:rsidRPr="00112BC6" w:rsidRDefault="00112BC6" w:rsidP="00112BC6">
            <w:pPr>
              <w:autoSpaceDE w:val="0"/>
              <w:autoSpaceDN w:val="0"/>
              <w:adjustRightInd w:val="0"/>
              <w:spacing w:line="360" w:lineRule="auto"/>
              <w:jc w:val="both"/>
              <w:rPr>
                <w:rFonts w:ascii="Lato" w:hAnsi="Lato" w:cs="Arial"/>
                <w:bCs/>
                <w:sz w:val="20"/>
                <w:szCs w:val="20"/>
                <w:lang w:val="es-ES"/>
              </w:rPr>
            </w:pPr>
            <w:r w:rsidRPr="00112BC6">
              <w:rPr>
                <w:rFonts w:ascii="Lato" w:hAnsi="Lato" w:cs="Arial"/>
                <w:bCs/>
                <w:sz w:val="20"/>
                <w:szCs w:val="20"/>
                <w:lang w:val="es-ES"/>
              </w:rPr>
              <w:t>Productos</w:t>
            </w:r>
          </w:p>
          <w:p w14:paraId="77ED86B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c>
          <w:tcPr>
            <w:tcW w:w="4939" w:type="dxa"/>
          </w:tcPr>
          <w:p w14:paraId="6E574B1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72.74</w:t>
            </w:r>
          </w:p>
        </w:tc>
      </w:tr>
      <w:tr w:rsidR="00112BC6" w:rsidRPr="00112BC6" w14:paraId="3E97E414" w14:textId="77777777" w:rsidTr="00003CF2">
        <w:tc>
          <w:tcPr>
            <w:tcW w:w="4376" w:type="dxa"/>
          </w:tcPr>
          <w:p w14:paraId="0C440CD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Total de ingresos</w:t>
            </w:r>
          </w:p>
        </w:tc>
        <w:tc>
          <w:tcPr>
            <w:tcW w:w="4939" w:type="dxa"/>
          </w:tcPr>
          <w:p w14:paraId="29AE148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72.74</w:t>
            </w:r>
          </w:p>
          <w:p w14:paraId="1655AF1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702B0CD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r>
    </w:tbl>
    <w:p w14:paraId="64159C9E"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 </w:t>
      </w:r>
    </w:p>
    <w:p w14:paraId="2C2652EF"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1.-Otros Ingresos y Beneficios:</w:t>
      </w:r>
    </w:p>
    <w:p w14:paraId="5548662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mes sin información que revelar del fideicomiso. No se obtuvieron aportaciones adicionales.</w:t>
      </w:r>
    </w:p>
    <w:p w14:paraId="5582C885"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2.-Gastos y Otras Perdidas:</w:t>
      </w:r>
    </w:p>
    <w:p w14:paraId="15536991" w14:textId="77777777" w:rsidR="00112BC6" w:rsidRPr="00112BC6" w:rsidRDefault="00112BC6" w:rsidP="00112BC6">
      <w:pPr>
        <w:numPr>
          <w:ilvl w:val="0"/>
          <w:numId w:val="7"/>
        </w:num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La cuenta de “Servicios Generales” corresponden al pago de los honorarios mensuales correspondientes al manejo del fideicomiso.</w:t>
      </w:r>
    </w:p>
    <w:p w14:paraId="3C058B96" w14:textId="77777777" w:rsidR="00112BC6" w:rsidRPr="00112BC6" w:rsidRDefault="00112BC6" w:rsidP="00112BC6">
      <w:pPr>
        <w:numPr>
          <w:ilvl w:val="0"/>
          <w:numId w:val="7"/>
        </w:num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Las cuentas de “Transferencias, Asignaciones, Subsidios y Ayudas”, corresponde a los recursos transferidos para ayudas sociales (becas). </w:t>
      </w:r>
    </w:p>
    <w:p w14:paraId="3BC8BDE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1F2A1A8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6"/>
        <w:gridCol w:w="4649"/>
      </w:tblGrid>
      <w:tr w:rsidR="00112BC6" w:rsidRPr="00112BC6" w14:paraId="61BF6E8F" w14:textId="77777777" w:rsidTr="00003CF2">
        <w:tc>
          <w:tcPr>
            <w:tcW w:w="4496" w:type="dxa"/>
            <w:shd w:val="clear" w:color="auto" w:fill="D9D9D9" w:themeFill="background1" w:themeFillShade="D9"/>
          </w:tcPr>
          <w:p w14:paraId="2D48EEE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CONCEPTO</w:t>
            </w:r>
          </w:p>
        </w:tc>
        <w:tc>
          <w:tcPr>
            <w:tcW w:w="4649" w:type="dxa"/>
            <w:shd w:val="clear" w:color="auto" w:fill="D9D9D9" w:themeFill="background1" w:themeFillShade="D9"/>
          </w:tcPr>
          <w:p w14:paraId="62012A4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Importe del 01 al 31 marzo 2026</w:t>
            </w:r>
          </w:p>
        </w:tc>
      </w:tr>
      <w:tr w:rsidR="00112BC6" w:rsidRPr="00112BC6" w14:paraId="056BAAB5" w14:textId="77777777" w:rsidTr="00003CF2">
        <w:trPr>
          <w:trHeight w:val="618"/>
        </w:trPr>
        <w:tc>
          <w:tcPr>
            <w:tcW w:w="4496" w:type="dxa"/>
          </w:tcPr>
          <w:p w14:paraId="0801477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Servicios Generales (honorarios).</w:t>
            </w:r>
          </w:p>
        </w:tc>
        <w:tc>
          <w:tcPr>
            <w:tcW w:w="4649" w:type="dxa"/>
          </w:tcPr>
          <w:p w14:paraId="341F0F5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00.00</w:t>
            </w:r>
          </w:p>
          <w:p w14:paraId="269D8E5F" w14:textId="77777777" w:rsidR="00112BC6" w:rsidRPr="00112BC6" w:rsidRDefault="00112BC6" w:rsidP="00112BC6">
            <w:pPr>
              <w:autoSpaceDE w:val="0"/>
              <w:autoSpaceDN w:val="0"/>
              <w:adjustRightInd w:val="0"/>
              <w:spacing w:line="360" w:lineRule="auto"/>
              <w:jc w:val="both"/>
              <w:rPr>
                <w:rFonts w:ascii="Lato" w:hAnsi="Lato" w:cs="Arial"/>
                <w:bCs/>
                <w:sz w:val="20"/>
                <w:szCs w:val="20"/>
                <w:lang w:val="es-ES"/>
              </w:rPr>
            </w:pPr>
          </w:p>
        </w:tc>
      </w:tr>
      <w:tr w:rsidR="00112BC6" w:rsidRPr="00112BC6" w14:paraId="0D8D04E7" w14:textId="77777777" w:rsidTr="00003CF2">
        <w:trPr>
          <w:trHeight w:val="538"/>
        </w:trPr>
        <w:tc>
          <w:tcPr>
            <w:tcW w:w="4496" w:type="dxa"/>
          </w:tcPr>
          <w:p w14:paraId="0E808D3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lang w:val="es-ES"/>
              </w:rPr>
              <w:t>Transferencias, Asignaciones, Subsidios</w:t>
            </w:r>
          </w:p>
        </w:tc>
        <w:tc>
          <w:tcPr>
            <w:tcW w:w="4649" w:type="dxa"/>
            <w:tcBorders>
              <w:bottom w:val="single" w:sz="4" w:space="0" w:color="auto"/>
            </w:tcBorders>
          </w:tcPr>
          <w:p w14:paraId="74B637F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00.00</w:t>
            </w:r>
          </w:p>
        </w:tc>
      </w:tr>
      <w:tr w:rsidR="00112BC6" w:rsidRPr="00112BC6" w14:paraId="3AE64D92" w14:textId="77777777" w:rsidTr="00003CF2">
        <w:tc>
          <w:tcPr>
            <w:tcW w:w="4496" w:type="dxa"/>
          </w:tcPr>
          <w:p w14:paraId="7601B83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Total de gastos </w:t>
            </w:r>
          </w:p>
        </w:tc>
        <w:tc>
          <w:tcPr>
            <w:tcW w:w="4649" w:type="dxa"/>
          </w:tcPr>
          <w:p w14:paraId="3B049C2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00.00</w:t>
            </w:r>
          </w:p>
        </w:tc>
      </w:tr>
    </w:tbl>
    <w:p w14:paraId="303A9AA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bl>
      <w:tblPr>
        <w:tblW w:w="90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1"/>
        <w:gridCol w:w="4631"/>
      </w:tblGrid>
      <w:tr w:rsidR="00112BC6" w:rsidRPr="00112BC6" w14:paraId="1AD7F2AA" w14:textId="77777777" w:rsidTr="00003CF2">
        <w:tc>
          <w:tcPr>
            <w:tcW w:w="4401" w:type="dxa"/>
            <w:shd w:val="clear" w:color="auto" w:fill="D9D9D9" w:themeFill="background1" w:themeFillShade="D9"/>
          </w:tcPr>
          <w:p w14:paraId="534ADBF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CONCEPTO</w:t>
            </w:r>
          </w:p>
        </w:tc>
        <w:tc>
          <w:tcPr>
            <w:tcW w:w="4631" w:type="dxa"/>
            <w:shd w:val="clear" w:color="auto" w:fill="D9D9D9" w:themeFill="background1" w:themeFillShade="D9"/>
          </w:tcPr>
          <w:p w14:paraId="79E6806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Importe Acumulado al 31 marzo 2026</w:t>
            </w:r>
          </w:p>
        </w:tc>
      </w:tr>
      <w:tr w:rsidR="00112BC6" w:rsidRPr="00112BC6" w14:paraId="3B8FDF0F" w14:textId="77777777" w:rsidTr="00003CF2">
        <w:tc>
          <w:tcPr>
            <w:tcW w:w="4401" w:type="dxa"/>
          </w:tcPr>
          <w:p w14:paraId="69852D1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Servicios Generales (honorarios).</w:t>
            </w:r>
          </w:p>
        </w:tc>
        <w:tc>
          <w:tcPr>
            <w:tcW w:w="4631" w:type="dxa"/>
            <w:shd w:val="clear" w:color="auto" w:fill="auto"/>
          </w:tcPr>
          <w:p w14:paraId="352084B5" w14:textId="77777777" w:rsidR="00112BC6" w:rsidRPr="00112BC6" w:rsidRDefault="00112BC6" w:rsidP="00112BC6">
            <w:pPr>
              <w:autoSpaceDE w:val="0"/>
              <w:autoSpaceDN w:val="0"/>
              <w:adjustRightInd w:val="0"/>
              <w:spacing w:line="360" w:lineRule="auto"/>
              <w:jc w:val="both"/>
              <w:rPr>
                <w:rFonts w:ascii="Lato" w:hAnsi="Lato" w:cs="Arial"/>
                <w:bCs/>
                <w:sz w:val="20"/>
                <w:szCs w:val="20"/>
                <w:lang w:val="es-ES"/>
              </w:rPr>
            </w:pPr>
            <w:r w:rsidRPr="00112BC6">
              <w:rPr>
                <w:rFonts w:ascii="Lato" w:hAnsi="Lato" w:cs="Arial"/>
                <w:bCs/>
                <w:sz w:val="20"/>
                <w:szCs w:val="20"/>
              </w:rPr>
              <w:t>$        00.00</w:t>
            </w:r>
          </w:p>
        </w:tc>
      </w:tr>
      <w:tr w:rsidR="00112BC6" w:rsidRPr="00112BC6" w14:paraId="628A3A34" w14:textId="77777777" w:rsidTr="00003CF2">
        <w:trPr>
          <w:trHeight w:val="538"/>
        </w:trPr>
        <w:tc>
          <w:tcPr>
            <w:tcW w:w="4401" w:type="dxa"/>
          </w:tcPr>
          <w:p w14:paraId="196D0AF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lang w:val="es-ES"/>
              </w:rPr>
              <w:t>Transferencias, Asignaciones, Subsidios</w:t>
            </w:r>
          </w:p>
        </w:tc>
        <w:tc>
          <w:tcPr>
            <w:tcW w:w="4631" w:type="dxa"/>
            <w:tcBorders>
              <w:bottom w:val="single" w:sz="4" w:space="0" w:color="auto"/>
            </w:tcBorders>
            <w:shd w:val="clear" w:color="auto" w:fill="auto"/>
          </w:tcPr>
          <w:p w14:paraId="074B126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00.00</w:t>
            </w:r>
          </w:p>
          <w:p w14:paraId="660ED83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r>
      <w:tr w:rsidR="00112BC6" w:rsidRPr="00112BC6" w14:paraId="692F87DE" w14:textId="77777777" w:rsidTr="00003CF2">
        <w:tc>
          <w:tcPr>
            <w:tcW w:w="4401" w:type="dxa"/>
          </w:tcPr>
          <w:p w14:paraId="6BE7D6D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Total de gastos </w:t>
            </w:r>
          </w:p>
        </w:tc>
        <w:tc>
          <w:tcPr>
            <w:tcW w:w="4631" w:type="dxa"/>
            <w:shd w:val="clear" w:color="auto" w:fill="auto"/>
          </w:tcPr>
          <w:p w14:paraId="382B1E2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00.00</w:t>
            </w:r>
          </w:p>
        </w:tc>
      </w:tr>
    </w:tbl>
    <w:p w14:paraId="5F7C2C1C"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p w14:paraId="39B50D8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71D5E330"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II) NOTAS AL ESTADO DE SITUACIÓN FINANCIERA.</w:t>
      </w:r>
    </w:p>
    <w:p w14:paraId="3579AA24" w14:textId="77777777" w:rsidR="00112BC6" w:rsidRPr="00112BC6" w:rsidRDefault="00112BC6" w:rsidP="00112BC6">
      <w:pPr>
        <w:autoSpaceDE w:val="0"/>
        <w:autoSpaceDN w:val="0"/>
        <w:adjustRightInd w:val="0"/>
        <w:spacing w:line="360" w:lineRule="auto"/>
        <w:jc w:val="both"/>
        <w:rPr>
          <w:rFonts w:ascii="Lato" w:hAnsi="Lato" w:cs="Arial"/>
          <w:b/>
          <w:bCs/>
          <w:i/>
          <w:iCs/>
          <w:sz w:val="20"/>
          <w:szCs w:val="20"/>
        </w:rPr>
      </w:pPr>
      <w:r w:rsidRPr="00112BC6">
        <w:rPr>
          <w:rFonts w:ascii="Lato" w:hAnsi="Lato" w:cs="Arial"/>
          <w:b/>
          <w:bCs/>
          <w:i/>
          <w:iCs/>
          <w:sz w:val="20"/>
          <w:szCs w:val="20"/>
        </w:rPr>
        <w:t>ACTIVO</w:t>
      </w:r>
    </w:p>
    <w:p w14:paraId="1780EABE"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1.-Efectivo y Equivalentes:</w:t>
      </w:r>
    </w:p>
    <w:p w14:paraId="47BA2F5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Se apertura en el Banco Santander S.A, Institución de Banca Múltiple, Grupo Financiero Santander, la cual funge como fiduciaria de este Fideicomiso, este invierte los recursos a las mejores tasas de inversión.</w:t>
      </w:r>
    </w:p>
    <w:p w14:paraId="4CB654C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Estas inversiones son afectadas cuando se reciben aportaciones o se realizan los pagos de las becas.</w:t>
      </w:r>
    </w:p>
    <w:p w14:paraId="09DE1C2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La cuenta de bancos y la de inversiones temporales y equivalentes se encuentra integrada de la siguiente manera:</w:t>
      </w:r>
    </w:p>
    <w:p w14:paraId="28EB965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112BC6" w:rsidRPr="00112BC6" w14:paraId="652DD484" w14:textId="77777777" w:rsidTr="00003CF2">
        <w:tc>
          <w:tcPr>
            <w:tcW w:w="4322" w:type="dxa"/>
            <w:shd w:val="clear" w:color="auto" w:fill="D9D9D9" w:themeFill="background1" w:themeFillShade="D9"/>
          </w:tcPr>
          <w:p w14:paraId="70F3064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CONCEPTO</w:t>
            </w:r>
          </w:p>
        </w:tc>
        <w:tc>
          <w:tcPr>
            <w:tcW w:w="4322" w:type="dxa"/>
            <w:shd w:val="clear" w:color="auto" w:fill="D9D9D9" w:themeFill="background1" w:themeFillShade="D9"/>
          </w:tcPr>
          <w:p w14:paraId="3643E17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Importe al 31 de marzo 2026</w:t>
            </w:r>
          </w:p>
        </w:tc>
      </w:tr>
      <w:tr w:rsidR="00112BC6" w:rsidRPr="00112BC6" w14:paraId="2CE1229C" w14:textId="77777777" w:rsidTr="00003CF2">
        <w:tc>
          <w:tcPr>
            <w:tcW w:w="4322" w:type="dxa"/>
          </w:tcPr>
          <w:p w14:paraId="2A3ECBE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Efectivo/Equivalentes</w:t>
            </w:r>
          </w:p>
        </w:tc>
        <w:tc>
          <w:tcPr>
            <w:tcW w:w="4322" w:type="dxa"/>
          </w:tcPr>
          <w:p w14:paraId="46224C9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00.00</w:t>
            </w:r>
          </w:p>
        </w:tc>
      </w:tr>
      <w:tr w:rsidR="00112BC6" w:rsidRPr="00112BC6" w14:paraId="29698D51" w14:textId="77777777" w:rsidTr="00003CF2">
        <w:tc>
          <w:tcPr>
            <w:tcW w:w="4322" w:type="dxa"/>
          </w:tcPr>
          <w:p w14:paraId="53F987C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Bancos/Tesorería</w:t>
            </w:r>
          </w:p>
        </w:tc>
        <w:tc>
          <w:tcPr>
            <w:tcW w:w="4322" w:type="dxa"/>
          </w:tcPr>
          <w:p w14:paraId="26DA8D4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4,774.32</w:t>
            </w:r>
          </w:p>
        </w:tc>
      </w:tr>
      <w:tr w:rsidR="00112BC6" w:rsidRPr="00112BC6" w14:paraId="049C3831" w14:textId="77777777" w:rsidTr="00003CF2">
        <w:tc>
          <w:tcPr>
            <w:tcW w:w="4322" w:type="dxa"/>
          </w:tcPr>
          <w:p w14:paraId="515F37B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Fondos con afectación especifica</w:t>
            </w:r>
          </w:p>
        </w:tc>
        <w:tc>
          <w:tcPr>
            <w:tcW w:w="4322" w:type="dxa"/>
          </w:tcPr>
          <w:p w14:paraId="4CE83DE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00.00</w:t>
            </w:r>
          </w:p>
        </w:tc>
      </w:tr>
      <w:tr w:rsidR="00112BC6" w:rsidRPr="00112BC6" w14:paraId="242A1955" w14:textId="77777777" w:rsidTr="00003CF2">
        <w:tc>
          <w:tcPr>
            <w:tcW w:w="4322" w:type="dxa"/>
          </w:tcPr>
          <w:p w14:paraId="78245EC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Derechos a recibir Efectivo y Equivalentes</w:t>
            </w:r>
          </w:p>
        </w:tc>
        <w:tc>
          <w:tcPr>
            <w:tcW w:w="4322" w:type="dxa"/>
          </w:tcPr>
          <w:p w14:paraId="2654F43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00.00</w:t>
            </w:r>
          </w:p>
        </w:tc>
      </w:tr>
      <w:tr w:rsidR="00112BC6" w:rsidRPr="00112BC6" w14:paraId="5FD6F3D4" w14:textId="77777777" w:rsidTr="00003CF2">
        <w:tc>
          <w:tcPr>
            <w:tcW w:w="4322" w:type="dxa"/>
          </w:tcPr>
          <w:p w14:paraId="7E1A978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Bienes muebles, inmuebles e intangibles</w:t>
            </w:r>
          </w:p>
        </w:tc>
        <w:tc>
          <w:tcPr>
            <w:tcW w:w="4322" w:type="dxa"/>
          </w:tcPr>
          <w:p w14:paraId="5D35464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00.00</w:t>
            </w:r>
          </w:p>
        </w:tc>
      </w:tr>
      <w:tr w:rsidR="00112BC6" w:rsidRPr="00112BC6" w14:paraId="111010B9" w14:textId="77777777" w:rsidTr="00003CF2">
        <w:tc>
          <w:tcPr>
            <w:tcW w:w="4322" w:type="dxa"/>
          </w:tcPr>
          <w:p w14:paraId="5454EF8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Otro Activos</w:t>
            </w:r>
          </w:p>
        </w:tc>
        <w:tc>
          <w:tcPr>
            <w:tcW w:w="4322" w:type="dxa"/>
          </w:tcPr>
          <w:p w14:paraId="5975A38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00.00</w:t>
            </w:r>
          </w:p>
        </w:tc>
      </w:tr>
    </w:tbl>
    <w:p w14:paraId="305E3B0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bookmarkStart w:id="1" w:name="m1"/>
      <w:bookmarkEnd w:id="1"/>
    </w:p>
    <w:p w14:paraId="2A0B9A18"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2.-Derechos a Recibir Efectivo y Equivalentes y Bienes y Servicios a Recibir: </w:t>
      </w:r>
      <w:bookmarkStart w:id="2" w:name="_Hlk81923925"/>
    </w:p>
    <w:p w14:paraId="1A234BA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mes no aplica para el fideicomiso.</w:t>
      </w:r>
      <w:bookmarkEnd w:id="2"/>
    </w:p>
    <w:p w14:paraId="571B3E8E"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3.- Inventarios </w:t>
      </w:r>
    </w:p>
    <w:p w14:paraId="4B3BC07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mes no aplica para el fideicomiso.</w:t>
      </w:r>
    </w:p>
    <w:p w14:paraId="4E52E713"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4.-Almacenes</w:t>
      </w:r>
    </w:p>
    <w:p w14:paraId="5D77A1F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mes no aplica para el fideicomiso.</w:t>
      </w:r>
    </w:p>
    <w:p w14:paraId="518C4C74"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bookmarkStart w:id="3" w:name="m4"/>
      <w:bookmarkEnd w:id="3"/>
      <w:r w:rsidRPr="00112BC6">
        <w:rPr>
          <w:rFonts w:ascii="Lato" w:hAnsi="Lato" w:cs="Arial"/>
          <w:b/>
          <w:bCs/>
          <w:sz w:val="20"/>
          <w:szCs w:val="20"/>
        </w:rPr>
        <w:t>5.-Inversiones financieras:</w:t>
      </w:r>
    </w:p>
    <w:p w14:paraId="0E5DD6E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De la cuenta de inversiones financieras para este año 2026 no se asignó presupuesto en el Gobierno del Estado, por lo que la inversión en el fideicomiso corresponde al importe de remanentes de años anteriores. </w:t>
      </w:r>
    </w:p>
    <w:p w14:paraId="410B4BAB"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6.-Bienes Muebles, Inmuebles e intangibles: </w:t>
      </w:r>
    </w:p>
    <w:p w14:paraId="6962A57A"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Cs/>
          <w:sz w:val="20"/>
          <w:szCs w:val="20"/>
        </w:rPr>
        <w:t>Este mes no aplica para el fideicomiso.</w:t>
      </w:r>
    </w:p>
    <w:p w14:paraId="087328AB"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bookmarkStart w:id="4" w:name="m3"/>
      <w:bookmarkEnd w:id="4"/>
      <w:r w:rsidRPr="00112BC6">
        <w:rPr>
          <w:rFonts w:ascii="Lato" w:hAnsi="Lato" w:cs="Arial"/>
          <w:b/>
          <w:bCs/>
          <w:sz w:val="20"/>
          <w:szCs w:val="20"/>
        </w:rPr>
        <w:t xml:space="preserve">7.-Estimaciones y Deterioros: </w:t>
      </w:r>
    </w:p>
    <w:p w14:paraId="44EBD873"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Cs/>
          <w:sz w:val="20"/>
          <w:szCs w:val="20"/>
        </w:rPr>
        <w:t>Este mes no aplica para el fideicomiso.</w:t>
      </w:r>
    </w:p>
    <w:p w14:paraId="26DB93B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
          <w:bCs/>
          <w:sz w:val="20"/>
          <w:szCs w:val="20"/>
        </w:rPr>
        <w:t xml:space="preserve">8.-Otros Activos: </w:t>
      </w:r>
    </w:p>
    <w:p w14:paraId="50BD8D9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mes no aplica para el fideicomiso.</w:t>
      </w:r>
    </w:p>
    <w:p w14:paraId="12EDE513" w14:textId="77777777" w:rsidR="00112BC6" w:rsidRPr="00112BC6" w:rsidRDefault="00112BC6" w:rsidP="00112BC6">
      <w:pPr>
        <w:autoSpaceDE w:val="0"/>
        <w:autoSpaceDN w:val="0"/>
        <w:adjustRightInd w:val="0"/>
        <w:spacing w:line="360" w:lineRule="auto"/>
        <w:jc w:val="both"/>
        <w:rPr>
          <w:rFonts w:ascii="Lato" w:hAnsi="Lato" w:cs="Arial"/>
          <w:b/>
          <w:bCs/>
          <w:i/>
          <w:iCs/>
          <w:sz w:val="20"/>
          <w:szCs w:val="20"/>
        </w:rPr>
      </w:pPr>
      <w:r w:rsidRPr="00112BC6">
        <w:rPr>
          <w:rFonts w:ascii="Lato" w:hAnsi="Lato" w:cs="Arial"/>
          <w:b/>
          <w:bCs/>
          <w:i/>
          <w:iCs/>
          <w:sz w:val="20"/>
          <w:szCs w:val="20"/>
        </w:rPr>
        <w:t>PASIVOS</w:t>
      </w:r>
    </w:p>
    <w:p w14:paraId="4B79D01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fideicomiso no aplica las cuentas de pasivos.</w:t>
      </w:r>
    </w:p>
    <w:p w14:paraId="1B31A395"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1.-Cuentas y documentos por pagar</w:t>
      </w:r>
    </w:p>
    <w:p w14:paraId="5A5D43B3"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Cs/>
          <w:sz w:val="20"/>
          <w:szCs w:val="20"/>
        </w:rPr>
        <w:t>Este mes no aplica para el fideicomiso.</w:t>
      </w:r>
    </w:p>
    <w:p w14:paraId="46FB0930"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2.-Fondos y Bienes de terceros en Garantía y/o Administración</w:t>
      </w:r>
    </w:p>
    <w:p w14:paraId="279C4424"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Cs/>
          <w:sz w:val="20"/>
          <w:szCs w:val="20"/>
        </w:rPr>
        <w:t>Este mes no aplica para el fideicomiso.</w:t>
      </w:r>
    </w:p>
    <w:p w14:paraId="30EEDA6B"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3.-Pasivos diferidos</w:t>
      </w:r>
    </w:p>
    <w:p w14:paraId="563DFD55"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Cs/>
          <w:sz w:val="20"/>
          <w:szCs w:val="20"/>
        </w:rPr>
        <w:t>Este mes no aplica para el fideicomiso.</w:t>
      </w:r>
    </w:p>
    <w:p w14:paraId="232C8424"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4.-Provisiones</w:t>
      </w:r>
    </w:p>
    <w:p w14:paraId="7DD61FE2"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Cs/>
          <w:sz w:val="20"/>
          <w:szCs w:val="20"/>
        </w:rPr>
        <w:t>Este mes no aplica para el fideicomiso.</w:t>
      </w:r>
    </w:p>
    <w:p w14:paraId="1A9213E5"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5.-Otros Pasivos</w:t>
      </w:r>
    </w:p>
    <w:p w14:paraId="7111F62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mes no aplica para el fideicomiso.</w:t>
      </w:r>
    </w:p>
    <w:p w14:paraId="591D3EB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51FABDF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
          <w:bCs/>
          <w:sz w:val="20"/>
          <w:szCs w:val="20"/>
        </w:rPr>
        <w:t>III) NOTAS AL ESTADO DE VARIACIONES EN LA HACIENDA PÚBLICA.</w:t>
      </w:r>
      <w:bookmarkStart w:id="5" w:name="m11"/>
      <w:bookmarkEnd w:id="5"/>
    </w:p>
    <w:p w14:paraId="1B570A1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En la cuenta de patrimonio generado se acumula el resultado del ejercicio anterior y se integran de la siguiente forma:</w:t>
      </w:r>
    </w:p>
    <w:p w14:paraId="752A1DB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7"/>
        <w:gridCol w:w="2034"/>
      </w:tblGrid>
      <w:tr w:rsidR="00112BC6" w:rsidRPr="00112BC6" w14:paraId="1BFE859E" w14:textId="77777777" w:rsidTr="00003CF2">
        <w:trPr>
          <w:trHeight w:val="268"/>
          <w:jc w:val="center"/>
        </w:trPr>
        <w:tc>
          <w:tcPr>
            <w:tcW w:w="7637" w:type="dxa"/>
            <w:shd w:val="clear" w:color="auto" w:fill="D9D9D9" w:themeFill="background1" w:themeFillShade="D9"/>
            <w:noWrap/>
            <w:hideMark/>
          </w:tcPr>
          <w:p w14:paraId="6BC3ED9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567FC04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CONCEPTO</w:t>
            </w:r>
          </w:p>
          <w:p w14:paraId="7E015E8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c>
          <w:tcPr>
            <w:tcW w:w="2034" w:type="dxa"/>
            <w:shd w:val="clear" w:color="auto" w:fill="D9D9D9" w:themeFill="background1" w:themeFillShade="D9"/>
            <w:noWrap/>
            <w:vAlign w:val="center"/>
            <w:hideMark/>
          </w:tcPr>
          <w:p w14:paraId="15954ED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IMPORTE ACUMULADO DE EJERCIOS ANTERIORES </w:t>
            </w:r>
          </w:p>
        </w:tc>
      </w:tr>
      <w:tr w:rsidR="00112BC6" w:rsidRPr="00112BC6" w14:paraId="41DC639F" w14:textId="77777777" w:rsidTr="00003CF2">
        <w:trPr>
          <w:trHeight w:val="268"/>
          <w:jc w:val="center"/>
        </w:trPr>
        <w:tc>
          <w:tcPr>
            <w:tcW w:w="7637" w:type="dxa"/>
            <w:shd w:val="clear" w:color="auto" w:fill="auto"/>
            <w:noWrap/>
            <w:hideMark/>
          </w:tcPr>
          <w:p w14:paraId="0E58CD60"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HACIENDA PUBLICA /PATRIMONIO GENERADO</w:t>
            </w:r>
          </w:p>
        </w:tc>
        <w:tc>
          <w:tcPr>
            <w:tcW w:w="2034" w:type="dxa"/>
            <w:shd w:val="clear" w:color="auto" w:fill="auto"/>
            <w:noWrap/>
            <w:hideMark/>
          </w:tcPr>
          <w:p w14:paraId="7FCBA09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r>
      <w:tr w:rsidR="00112BC6" w:rsidRPr="00112BC6" w14:paraId="58F30C0B" w14:textId="77777777" w:rsidTr="00003CF2">
        <w:trPr>
          <w:trHeight w:val="268"/>
          <w:jc w:val="center"/>
        </w:trPr>
        <w:tc>
          <w:tcPr>
            <w:tcW w:w="7637" w:type="dxa"/>
            <w:shd w:val="clear" w:color="auto" w:fill="auto"/>
            <w:noWrap/>
            <w:hideMark/>
          </w:tcPr>
          <w:p w14:paraId="3EE6AF6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RESULTADOS DE EJERCICIOS ANTERIORES</w:t>
            </w:r>
          </w:p>
        </w:tc>
        <w:tc>
          <w:tcPr>
            <w:tcW w:w="2034" w:type="dxa"/>
            <w:shd w:val="clear" w:color="auto" w:fill="auto"/>
            <w:noWrap/>
          </w:tcPr>
          <w:p w14:paraId="32E366FF"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4,701.58</w:t>
            </w:r>
          </w:p>
        </w:tc>
      </w:tr>
      <w:tr w:rsidR="00112BC6" w:rsidRPr="00112BC6" w14:paraId="2DF5122E" w14:textId="77777777" w:rsidTr="00003CF2">
        <w:trPr>
          <w:trHeight w:val="268"/>
          <w:jc w:val="center"/>
        </w:trPr>
        <w:tc>
          <w:tcPr>
            <w:tcW w:w="7637" w:type="dxa"/>
            <w:shd w:val="clear" w:color="auto" w:fill="auto"/>
            <w:noWrap/>
          </w:tcPr>
          <w:p w14:paraId="7F21DFCE"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tc>
        <w:tc>
          <w:tcPr>
            <w:tcW w:w="2034" w:type="dxa"/>
            <w:shd w:val="clear" w:color="auto" w:fill="auto"/>
            <w:noWrap/>
          </w:tcPr>
          <w:p w14:paraId="5193CB8F"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tc>
      </w:tr>
      <w:tr w:rsidR="00112BC6" w:rsidRPr="00112BC6" w14:paraId="2F11CC5E" w14:textId="77777777" w:rsidTr="00003CF2">
        <w:trPr>
          <w:trHeight w:val="268"/>
          <w:jc w:val="center"/>
        </w:trPr>
        <w:tc>
          <w:tcPr>
            <w:tcW w:w="7637" w:type="dxa"/>
            <w:shd w:val="clear" w:color="auto" w:fill="auto"/>
            <w:noWrap/>
          </w:tcPr>
          <w:p w14:paraId="2DC73166"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tc>
        <w:tc>
          <w:tcPr>
            <w:tcW w:w="2034" w:type="dxa"/>
            <w:shd w:val="clear" w:color="auto" w:fill="auto"/>
            <w:noWrap/>
          </w:tcPr>
          <w:p w14:paraId="4DBEE2D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r>
    </w:tbl>
    <w:p w14:paraId="58D9FFB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importe es el resultado de aportaciones realizadas por el Gobierno del Estado.</w:t>
      </w:r>
    </w:p>
    <w:p w14:paraId="3E334FC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En este año se informa que no hubo variaciones en el patrimonio.</w:t>
      </w:r>
    </w:p>
    <w:p w14:paraId="5188E97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0C70BE4B"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IV) NOTAS AL ESTADO DE FLUJO DE EFECTIVO:</w:t>
      </w:r>
    </w:p>
    <w:p w14:paraId="5C40EABB"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p w14:paraId="4179FD9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
          <w:bCs/>
          <w:sz w:val="20"/>
          <w:szCs w:val="20"/>
        </w:rPr>
        <w:t>EFECTIVO Y EQUIVALENTES</w:t>
      </w:r>
    </w:p>
    <w:p w14:paraId="0001AAA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1.-Se presenta el análisis de las cifras del periodo actual 2026 y periodos anteriores del Efectivo que figuran en la última parte del estado de flujo de efectivo en la cuenta de efectivo y equivalentes es como sigue:</w:t>
      </w:r>
    </w:p>
    <w:p w14:paraId="5AFB74C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6"/>
        <w:gridCol w:w="2197"/>
        <w:gridCol w:w="2777"/>
      </w:tblGrid>
      <w:tr w:rsidR="00112BC6" w:rsidRPr="00112BC6" w14:paraId="3C00D387" w14:textId="77777777" w:rsidTr="00003CF2">
        <w:trPr>
          <w:jc w:val="center"/>
        </w:trPr>
        <w:tc>
          <w:tcPr>
            <w:tcW w:w="0" w:type="auto"/>
            <w:shd w:val="clear" w:color="auto" w:fill="D9D9D9" w:themeFill="background1" w:themeFillShade="D9"/>
          </w:tcPr>
          <w:p w14:paraId="7BBB8FB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CONCEPTO</w:t>
            </w:r>
          </w:p>
        </w:tc>
        <w:tc>
          <w:tcPr>
            <w:tcW w:w="0" w:type="auto"/>
            <w:shd w:val="clear" w:color="auto" w:fill="D9D9D9" w:themeFill="background1" w:themeFillShade="D9"/>
          </w:tcPr>
          <w:p w14:paraId="6584771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EJERCICIOS ANTERIORES</w:t>
            </w:r>
          </w:p>
        </w:tc>
        <w:tc>
          <w:tcPr>
            <w:tcW w:w="0" w:type="auto"/>
            <w:shd w:val="clear" w:color="auto" w:fill="D9D9D9" w:themeFill="background1" w:themeFillShade="D9"/>
          </w:tcPr>
          <w:p w14:paraId="25DA1FC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SALDOS AL 31 DE MARZO  2026</w:t>
            </w:r>
          </w:p>
        </w:tc>
      </w:tr>
      <w:tr w:rsidR="00112BC6" w:rsidRPr="00112BC6" w14:paraId="0A4EF3D0" w14:textId="77777777" w:rsidTr="00003CF2">
        <w:trPr>
          <w:jc w:val="center"/>
        </w:trPr>
        <w:tc>
          <w:tcPr>
            <w:tcW w:w="0" w:type="auto"/>
            <w:shd w:val="clear" w:color="auto" w:fill="auto"/>
          </w:tcPr>
          <w:p w14:paraId="06BFC68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EFECTIVO</w:t>
            </w:r>
          </w:p>
        </w:tc>
        <w:tc>
          <w:tcPr>
            <w:tcW w:w="0" w:type="auto"/>
            <w:shd w:val="clear" w:color="auto" w:fill="auto"/>
          </w:tcPr>
          <w:p w14:paraId="062FCC6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c>
          <w:tcPr>
            <w:tcW w:w="0" w:type="auto"/>
            <w:shd w:val="clear" w:color="auto" w:fill="auto"/>
          </w:tcPr>
          <w:p w14:paraId="72C1A7C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5EEFE06E" w14:textId="77777777" w:rsidTr="00003CF2">
        <w:trPr>
          <w:trHeight w:val="468"/>
          <w:jc w:val="center"/>
        </w:trPr>
        <w:tc>
          <w:tcPr>
            <w:tcW w:w="0" w:type="auto"/>
            <w:shd w:val="clear" w:color="auto" w:fill="auto"/>
          </w:tcPr>
          <w:p w14:paraId="11EC16C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BANCOS / TESORERIA</w:t>
            </w:r>
          </w:p>
        </w:tc>
        <w:tc>
          <w:tcPr>
            <w:tcW w:w="0" w:type="auto"/>
            <w:shd w:val="clear" w:color="auto" w:fill="auto"/>
          </w:tcPr>
          <w:p w14:paraId="2931B9B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4701.58</w:t>
            </w:r>
          </w:p>
        </w:tc>
        <w:tc>
          <w:tcPr>
            <w:tcW w:w="0" w:type="auto"/>
            <w:shd w:val="clear" w:color="auto" w:fill="auto"/>
          </w:tcPr>
          <w:p w14:paraId="73AD6B0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4,774.32</w:t>
            </w:r>
          </w:p>
        </w:tc>
      </w:tr>
      <w:tr w:rsidR="00112BC6" w:rsidRPr="00112BC6" w14:paraId="008E95EB" w14:textId="77777777" w:rsidTr="00003CF2">
        <w:trPr>
          <w:jc w:val="center"/>
        </w:trPr>
        <w:tc>
          <w:tcPr>
            <w:tcW w:w="0" w:type="auto"/>
            <w:shd w:val="clear" w:color="auto" w:fill="auto"/>
          </w:tcPr>
          <w:p w14:paraId="3381C39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BANCOS / DEPENDENCIASY OTROS</w:t>
            </w:r>
          </w:p>
        </w:tc>
        <w:tc>
          <w:tcPr>
            <w:tcW w:w="0" w:type="auto"/>
            <w:shd w:val="clear" w:color="auto" w:fill="auto"/>
          </w:tcPr>
          <w:p w14:paraId="1439335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c>
          <w:tcPr>
            <w:tcW w:w="0" w:type="auto"/>
            <w:shd w:val="clear" w:color="auto" w:fill="auto"/>
          </w:tcPr>
          <w:p w14:paraId="7173BFB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4B2D503B" w14:textId="77777777" w:rsidTr="00003CF2">
        <w:trPr>
          <w:jc w:val="center"/>
        </w:trPr>
        <w:tc>
          <w:tcPr>
            <w:tcW w:w="0" w:type="auto"/>
            <w:shd w:val="clear" w:color="auto" w:fill="auto"/>
          </w:tcPr>
          <w:p w14:paraId="791A01F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INVERSIONES TEMPORALES (HASTA 3 MESES)</w:t>
            </w:r>
          </w:p>
        </w:tc>
        <w:tc>
          <w:tcPr>
            <w:tcW w:w="0" w:type="auto"/>
            <w:shd w:val="clear" w:color="auto" w:fill="auto"/>
          </w:tcPr>
          <w:p w14:paraId="75C9E69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c>
          <w:tcPr>
            <w:tcW w:w="0" w:type="auto"/>
            <w:shd w:val="clear" w:color="auto" w:fill="auto"/>
          </w:tcPr>
          <w:p w14:paraId="5D9F813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604B0A51" w14:textId="77777777" w:rsidTr="00003CF2">
        <w:trPr>
          <w:jc w:val="center"/>
        </w:trPr>
        <w:tc>
          <w:tcPr>
            <w:tcW w:w="0" w:type="auto"/>
            <w:shd w:val="clear" w:color="auto" w:fill="auto"/>
          </w:tcPr>
          <w:p w14:paraId="246BD02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FONDOS CON AFECTACION ESPECIFICA</w:t>
            </w:r>
          </w:p>
        </w:tc>
        <w:tc>
          <w:tcPr>
            <w:tcW w:w="0" w:type="auto"/>
            <w:shd w:val="clear" w:color="auto" w:fill="auto"/>
          </w:tcPr>
          <w:p w14:paraId="571E725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c>
          <w:tcPr>
            <w:tcW w:w="0" w:type="auto"/>
            <w:shd w:val="clear" w:color="auto" w:fill="auto"/>
          </w:tcPr>
          <w:p w14:paraId="46164B1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499B0DD8" w14:textId="77777777" w:rsidTr="00003CF2">
        <w:trPr>
          <w:jc w:val="center"/>
        </w:trPr>
        <w:tc>
          <w:tcPr>
            <w:tcW w:w="0" w:type="auto"/>
            <w:shd w:val="clear" w:color="auto" w:fill="auto"/>
          </w:tcPr>
          <w:p w14:paraId="39D7AD4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DEPOSITOS DE FONDOS DE TERCEROS EN GARANTIA Y/O ADMINISTRACION</w:t>
            </w:r>
          </w:p>
        </w:tc>
        <w:tc>
          <w:tcPr>
            <w:tcW w:w="0" w:type="auto"/>
            <w:shd w:val="clear" w:color="auto" w:fill="auto"/>
          </w:tcPr>
          <w:p w14:paraId="221F4D3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c>
          <w:tcPr>
            <w:tcW w:w="0" w:type="auto"/>
            <w:shd w:val="clear" w:color="auto" w:fill="auto"/>
          </w:tcPr>
          <w:p w14:paraId="25E126D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7D398A9A" w14:textId="77777777" w:rsidTr="00003CF2">
        <w:trPr>
          <w:jc w:val="center"/>
        </w:trPr>
        <w:tc>
          <w:tcPr>
            <w:tcW w:w="0" w:type="auto"/>
            <w:shd w:val="clear" w:color="auto" w:fill="auto"/>
          </w:tcPr>
          <w:p w14:paraId="5C6F033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OTROS EFECTIVOS Y EQUIVALENTES</w:t>
            </w:r>
          </w:p>
        </w:tc>
        <w:tc>
          <w:tcPr>
            <w:tcW w:w="0" w:type="auto"/>
            <w:shd w:val="clear" w:color="auto" w:fill="auto"/>
          </w:tcPr>
          <w:p w14:paraId="29DB367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c>
          <w:tcPr>
            <w:tcW w:w="0" w:type="auto"/>
            <w:shd w:val="clear" w:color="auto" w:fill="auto"/>
          </w:tcPr>
          <w:p w14:paraId="59C532C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6A309E49" w14:textId="77777777" w:rsidTr="00003CF2">
        <w:trPr>
          <w:jc w:val="center"/>
        </w:trPr>
        <w:tc>
          <w:tcPr>
            <w:tcW w:w="0" w:type="auto"/>
            <w:shd w:val="clear" w:color="auto" w:fill="auto"/>
          </w:tcPr>
          <w:p w14:paraId="23872A63"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TOTAL DEL EFECTIVO Y EQUIVALENTES</w:t>
            </w:r>
          </w:p>
        </w:tc>
        <w:tc>
          <w:tcPr>
            <w:tcW w:w="0" w:type="auto"/>
            <w:shd w:val="clear" w:color="auto" w:fill="auto"/>
          </w:tcPr>
          <w:p w14:paraId="1371D5EF"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4,701.58</w:t>
            </w:r>
          </w:p>
        </w:tc>
        <w:tc>
          <w:tcPr>
            <w:tcW w:w="0" w:type="auto"/>
            <w:shd w:val="clear" w:color="auto" w:fill="auto"/>
          </w:tcPr>
          <w:p w14:paraId="1128ED9F"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   4,774.32</w:t>
            </w:r>
          </w:p>
        </w:tc>
      </w:tr>
    </w:tbl>
    <w:p w14:paraId="6635593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27ABA49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2.-Detallar las adquisiciones de las Actividades de inversión efectivamente </w:t>
      </w:r>
      <w:proofErr w:type="gramStart"/>
      <w:r w:rsidRPr="00112BC6">
        <w:rPr>
          <w:rFonts w:ascii="Lato" w:hAnsi="Lato" w:cs="Arial"/>
          <w:bCs/>
          <w:sz w:val="20"/>
          <w:szCs w:val="20"/>
        </w:rPr>
        <w:t>pagadas ,</w:t>
      </w:r>
      <w:proofErr w:type="gramEnd"/>
      <w:r w:rsidRPr="00112BC6">
        <w:rPr>
          <w:rFonts w:ascii="Lato" w:hAnsi="Lato" w:cs="Arial"/>
          <w:bCs/>
          <w:sz w:val="20"/>
          <w:szCs w:val="20"/>
        </w:rPr>
        <w:t xml:space="preserve"> respecto del apartado de aplicación, No aplica para este fideicomiso.</w:t>
      </w:r>
    </w:p>
    <w:p w14:paraId="7ED6DF8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bl>
      <w:tblPr>
        <w:tblW w:w="8160" w:type="dxa"/>
        <w:tblCellMar>
          <w:left w:w="70" w:type="dxa"/>
          <w:right w:w="70" w:type="dxa"/>
        </w:tblCellMar>
        <w:tblLook w:val="04A0" w:firstRow="1" w:lastRow="0" w:firstColumn="1" w:lastColumn="0" w:noHBand="0" w:noVBand="1"/>
      </w:tblPr>
      <w:tblGrid>
        <w:gridCol w:w="6461"/>
        <w:gridCol w:w="1149"/>
        <w:gridCol w:w="550"/>
      </w:tblGrid>
      <w:tr w:rsidR="00112BC6" w:rsidRPr="00112BC6" w14:paraId="6E204DFB" w14:textId="77777777" w:rsidTr="00003CF2">
        <w:trPr>
          <w:trHeight w:val="300"/>
        </w:trPr>
        <w:tc>
          <w:tcPr>
            <w:tcW w:w="816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449CBE8"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Adquisiciones de Actividades de Inversión Efectivamente Pagadas</w:t>
            </w:r>
          </w:p>
        </w:tc>
      </w:tr>
      <w:tr w:rsidR="00112BC6" w:rsidRPr="00112BC6" w14:paraId="6EADDD77" w14:textId="77777777" w:rsidTr="00003CF2">
        <w:trPr>
          <w:trHeight w:val="300"/>
        </w:trPr>
        <w:tc>
          <w:tcPr>
            <w:tcW w:w="6461" w:type="dxa"/>
            <w:tcBorders>
              <w:top w:val="nil"/>
              <w:left w:val="single" w:sz="4" w:space="0" w:color="auto"/>
              <w:bottom w:val="single" w:sz="4" w:space="0" w:color="auto"/>
              <w:right w:val="single" w:sz="4" w:space="0" w:color="auto"/>
            </w:tcBorders>
            <w:shd w:val="clear" w:color="000000" w:fill="D9D9D9"/>
            <w:noWrap/>
            <w:vAlign w:val="bottom"/>
            <w:hideMark/>
          </w:tcPr>
          <w:p w14:paraId="685C9A0E"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Concepto</w:t>
            </w:r>
          </w:p>
        </w:tc>
        <w:tc>
          <w:tcPr>
            <w:tcW w:w="1149" w:type="dxa"/>
            <w:tcBorders>
              <w:top w:val="nil"/>
              <w:left w:val="nil"/>
              <w:bottom w:val="single" w:sz="4" w:space="0" w:color="auto"/>
              <w:right w:val="single" w:sz="4" w:space="0" w:color="auto"/>
            </w:tcBorders>
            <w:shd w:val="clear" w:color="000000" w:fill="D9D9D9"/>
            <w:noWrap/>
            <w:vAlign w:val="bottom"/>
            <w:hideMark/>
          </w:tcPr>
          <w:p w14:paraId="438EFF4D"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Anteriores</w:t>
            </w:r>
          </w:p>
        </w:tc>
        <w:tc>
          <w:tcPr>
            <w:tcW w:w="550" w:type="dxa"/>
            <w:tcBorders>
              <w:top w:val="nil"/>
              <w:left w:val="nil"/>
              <w:bottom w:val="single" w:sz="4" w:space="0" w:color="auto"/>
              <w:right w:val="single" w:sz="4" w:space="0" w:color="auto"/>
            </w:tcBorders>
            <w:shd w:val="clear" w:color="000000" w:fill="D9D9D9"/>
            <w:noWrap/>
            <w:vAlign w:val="bottom"/>
            <w:hideMark/>
          </w:tcPr>
          <w:p w14:paraId="5FE4FC3F"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2026</w:t>
            </w:r>
          </w:p>
        </w:tc>
      </w:tr>
      <w:tr w:rsidR="00112BC6" w:rsidRPr="00112BC6" w14:paraId="667129C2"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1F16239B"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Bienes Muebles, Infraestructura y Construcciones en proceso</w:t>
            </w:r>
          </w:p>
        </w:tc>
        <w:tc>
          <w:tcPr>
            <w:tcW w:w="1149" w:type="dxa"/>
            <w:tcBorders>
              <w:top w:val="nil"/>
              <w:left w:val="nil"/>
              <w:bottom w:val="single" w:sz="4" w:space="0" w:color="auto"/>
              <w:right w:val="single" w:sz="4" w:space="0" w:color="auto"/>
            </w:tcBorders>
            <w:shd w:val="clear" w:color="auto" w:fill="auto"/>
            <w:noWrap/>
            <w:vAlign w:val="bottom"/>
            <w:hideMark/>
          </w:tcPr>
          <w:p w14:paraId="2F60B11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2B75EF7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73DE8934"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1E5BDCC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Terrenos</w:t>
            </w:r>
          </w:p>
        </w:tc>
        <w:tc>
          <w:tcPr>
            <w:tcW w:w="1149" w:type="dxa"/>
            <w:tcBorders>
              <w:top w:val="nil"/>
              <w:left w:val="nil"/>
              <w:bottom w:val="single" w:sz="4" w:space="0" w:color="auto"/>
              <w:right w:val="single" w:sz="4" w:space="0" w:color="auto"/>
            </w:tcBorders>
            <w:shd w:val="clear" w:color="auto" w:fill="auto"/>
            <w:noWrap/>
            <w:vAlign w:val="bottom"/>
            <w:hideMark/>
          </w:tcPr>
          <w:p w14:paraId="4531AE5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1DF8FBB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2AEEB14A"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3B42804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Viviendas </w:t>
            </w:r>
          </w:p>
        </w:tc>
        <w:tc>
          <w:tcPr>
            <w:tcW w:w="1149" w:type="dxa"/>
            <w:tcBorders>
              <w:top w:val="nil"/>
              <w:left w:val="nil"/>
              <w:bottom w:val="single" w:sz="4" w:space="0" w:color="auto"/>
              <w:right w:val="single" w:sz="4" w:space="0" w:color="auto"/>
            </w:tcBorders>
            <w:shd w:val="clear" w:color="auto" w:fill="auto"/>
            <w:noWrap/>
            <w:vAlign w:val="bottom"/>
            <w:hideMark/>
          </w:tcPr>
          <w:p w14:paraId="014035A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175820C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0133F7C4"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221422F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Edificios no habitacionales</w:t>
            </w:r>
          </w:p>
        </w:tc>
        <w:tc>
          <w:tcPr>
            <w:tcW w:w="1149" w:type="dxa"/>
            <w:tcBorders>
              <w:top w:val="nil"/>
              <w:left w:val="nil"/>
              <w:bottom w:val="single" w:sz="4" w:space="0" w:color="auto"/>
              <w:right w:val="single" w:sz="4" w:space="0" w:color="auto"/>
            </w:tcBorders>
            <w:shd w:val="clear" w:color="auto" w:fill="auto"/>
            <w:noWrap/>
            <w:vAlign w:val="bottom"/>
            <w:hideMark/>
          </w:tcPr>
          <w:p w14:paraId="798D121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33FCB83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54C99078"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41B4CF4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Infraestructura</w:t>
            </w:r>
          </w:p>
        </w:tc>
        <w:tc>
          <w:tcPr>
            <w:tcW w:w="1149" w:type="dxa"/>
            <w:tcBorders>
              <w:top w:val="nil"/>
              <w:left w:val="nil"/>
              <w:bottom w:val="single" w:sz="4" w:space="0" w:color="auto"/>
              <w:right w:val="single" w:sz="4" w:space="0" w:color="auto"/>
            </w:tcBorders>
            <w:shd w:val="clear" w:color="auto" w:fill="auto"/>
            <w:noWrap/>
            <w:vAlign w:val="bottom"/>
            <w:hideMark/>
          </w:tcPr>
          <w:p w14:paraId="507FBB2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4F3C3BA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2BA4EAC0"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53B82FC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Construcciones en Proceso en Bienes en Dominio Público</w:t>
            </w:r>
          </w:p>
        </w:tc>
        <w:tc>
          <w:tcPr>
            <w:tcW w:w="1149" w:type="dxa"/>
            <w:tcBorders>
              <w:top w:val="nil"/>
              <w:left w:val="nil"/>
              <w:bottom w:val="single" w:sz="4" w:space="0" w:color="auto"/>
              <w:right w:val="single" w:sz="4" w:space="0" w:color="auto"/>
            </w:tcBorders>
            <w:shd w:val="clear" w:color="auto" w:fill="auto"/>
            <w:noWrap/>
            <w:vAlign w:val="bottom"/>
            <w:hideMark/>
          </w:tcPr>
          <w:p w14:paraId="5C0D932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0FD2F8F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008BB7E7"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70CEA03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Construcciones en Proceso en Bienes Propios</w:t>
            </w:r>
          </w:p>
        </w:tc>
        <w:tc>
          <w:tcPr>
            <w:tcW w:w="1149" w:type="dxa"/>
            <w:tcBorders>
              <w:top w:val="nil"/>
              <w:left w:val="nil"/>
              <w:bottom w:val="single" w:sz="4" w:space="0" w:color="auto"/>
              <w:right w:val="single" w:sz="4" w:space="0" w:color="auto"/>
            </w:tcBorders>
            <w:shd w:val="clear" w:color="auto" w:fill="auto"/>
            <w:noWrap/>
            <w:vAlign w:val="bottom"/>
            <w:hideMark/>
          </w:tcPr>
          <w:p w14:paraId="41E631D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3713756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13E01B54"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0B1AD75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Otros Bienes Muebles</w:t>
            </w:r>
          </w:p>
        </w:tc>
        <w:tc>
          <w:tcPr>
            <w:tcW w:w="1149" w:type="dxa"/>
            <w:tcBorders>
              <w:top w:val="nil"/>
              <w:left w:val="nil"/>
              <w:bottom w:val="single" w:sz="4" w:space="0" w:color="auto"/>
              <w:right w:val="single" w:sz="4" w:space="0" w:color="auto"/>
            </w:tcBorders>
            <w:shd w:val="clear" w:color="auto" w:fill="auto"/>
            <w:noWrap/>
            <w:vAlign w:val="bottom"/>
            <w:hideMark/>
          </w:tcPr>
          <w:p w14:paraId="1FC3BD7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334908B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1FF7D9A4"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1785223F"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Bienes Muebles </w:t>
            </w:r>
          </w:p>
        </w:tc>
        <w:tc>
          <w:tcPr>
            <w:tcW w:w="1149" w:type="dxa"/>
            <w:tcBorders>
              <w:top w:val="nil"/>
              <w:left w:val="nil"/>
              <w:bottom w:val="single" w:sz="4" w:space="0" w:color="auto"/>
              <w:right w:val="single" w:sz="4" w:space="0" w:color="auto"/>
            </w:tcBorders>
            <w:shd w:val="clear" w:color="auto" w:fill="auto"/>
            <w:noWrap/>
            <w:vAlign w:val="bottom"/>
            <w:hideMark/>
          </w:tcPr>
          <w:p w14:paraId="697F99F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5F42C7C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00F20AEE"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02653E1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Mobiliario y Equipo en Administración</w:t>
            </w:r>
          </w:p>
        </w:tc>
        <w:tc>
          <w:tcPr>
            <w:tcW w:w="1149" w:type="dxa"/>
            <w:tcBorders>
              <w:top w:val="nil"/>
              <w:left w:val="nil"/>
              <w:bottom w:val="single" w:sz="4" w:space="0" w:color="auto"/>
              <w:right w:val="single" w:sz="4" w:space="0" w:color="auto"/>
            </w:tcBorders>
            <w:shd w:val="clear" w:color="auto" w:fill="auto"/>
            <w:noWrap/>
            <w:vAlign w:val="bottom"/>
            <w:hideMark/>
          </w:tcPr>
          <w:p w14:paraId="010B1C0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223FB43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74018672"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609A087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Mobiliaria y Equipo Educacional y Recreativo</w:t>
            </w:r>
          </w:p>
        </w:tc>
        <w:tc>
          <w:tcPr>
            <w:tcW w:w="1149" w:type="dxa"/>
            <w:tcBorders>
              <w:top w:val="nil"/>
              <w:left w:val="nil"/>
              <w:bottom w:val="single" w:sz="4" w:space="0" w:color="auto"/>
              <w:right w:val="single" w:sz="4" w:space="0" w:color="auto"/>
            </w:tcBorders>
            <w:shd w:val="clear" w:color="auto" w:fill="auto"/>
            <w:noWrap/>
            <w:vAlign w:val="bottom"/>
            <w:hideMark/>
          </w:tcPr>
          <w:p w14:paraId="1042AD2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68FAAE6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01E138A9"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798FCC3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Equipo Instrumental Médico y de Laboratorio</w:t>
            </w:r>
          </w:p>
        </w:tc>
        <w:tc>
          <w:tcPr>
            <w:tcW w:w="1149" w:type="dxa"/>
            <w:tcBorders>
              <w:top w:val="nil"/>
              <w:left w:val="nil"/>
              <w:bottom w:val="single" w:sz="4" w:space="0" w:color="auto"/>
              <w:right w:val="single" w:sz="4" w:space="0" w:color="auto"/>
            </w:tcBorders>
            <w:shd w:val="clear" w:color="auto" w:fill="auto"/>
            <w:noWrap/>
            <w:vAlign w:val="bottom"/>
            <w:hideMark/>
          </w:tcPr>
          <w:p w14:paraId="1C9AE75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7DAA1B2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4DBE8571"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38475E9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Vehículos y Equipo de Transporte</w:t>
            </w:r>
          </w:p>
        </w:tc>
        <w:tc>
          <w:tcPr>
            <w:tcW w:w="1149" w:type="dxa"/>
            <w:tcBorders>
              <w:top w:val="nil"/>
              <w:left w:val="nil"/>
              <w:bottom w:val="single" w:sz="4" w:space="0" w:color="auto"/>
              <w:right w:val="single" w:sz="4" w:space="0" w:color="auto"/>
            </w:tcBorders>
            <w:shd w:val="clear" w:color="auto" w:fill="auto"/>
            <w:noWrap/>
            <w:vAlign w:val="bottom"/>
            <w:hideMark/>
          </w:tcPr>
          <w:p w14:paraId="2503E33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21301C6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4AF54F49"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21121AB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Equipo de Defensa y seguridad</w:t>
            </w:r>
          </w:p>
        </w:tc>
        <w:tc>
          <w:tcPr>
            <w:tcW w:w="1149" w:type="dxa"/>
            <w:tcBorders>
              <w:top w:val="nil"/>
              <w:left w:val="nil"/>
              <w:bottom w:val="single" w:sz="4" w:space="0" w:color="auto"/>
              <w:right w:val="single" w:sz="4" w:space="0" w:color="auto"/>
            </w:tcBorders>
            <w:shd w:val="clear" w:color="auto" w:fill="auto"/>
            <w:noWrap/>
            <w:vAlign w:val="bottom"/>
            <w:hideMark/>
          </w:tcPr>
          <w:p w14:paraId="4E97B01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2C4AC1B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56161743"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3FEF6EE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Maquinaria, Otros Equipos y Herramientas</w:t>
            </w:r>
          </w:p>
        </w:tc>
        <w:tc>
          <w:tcPr>
            <w:tcW w:w="1149" w:type="dxa"/>
            <w:tcBorders>
              <w:top w:val="nil"/>
              <w:left w:val="nil"/>
              <w:bottom w:val="single" w:sz="4" w:space="0" w:color="auto"/>
              <w:right w:val="single" w:sz="4" w:space="0" w:color="auto"/>
            </w:tcBorders>
            <w:shd w:val="clear" w:color="auto" w:fill="auto"/>
            <w:noWrap/>
            <w:vAlign w:val="bottom"/>
            <w:hideMark/>
          </w:tcPr>
          <w:p w14:paraId="5F7E3D0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08F9113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53737BCB"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28874C9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Colecciones, Obras de Arte y Objetos Valiosos</w:t>
            </w:r>
          </w:p>
        </w:tc>
        <w:tc>
          <w:tcPr>
            <w:tcW w:w="1149" w:type="dxa"/>
            <w:tcBorders>
              <w:top w:val="nil"/>
              <w:left w:val="nil"/>
              <w:bottom w:val="single" w:sz="4" w:space="0" w:color="auto"/>
              <w:right w:val="single" w:sz="4" w:space="0" w:color="auto"/>
            </w:tcBorders>
            <w:shd w:val="clear" w:color="auto" w:fill="auto"/>
            <w:noWrap/>
            <w:vAlign w:val="bottom"/>
            <w:hideMark/>
          </w:tcPr>
          <w:p w14:paraId="6992223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2638286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5A7D776A"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1060FC4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Activos Biológicos</w:t>
            </w:r>
          </w:p>
        </w:tc>
        <w:tc>
          <w:tcPr>
            <w:tcW w:w="1149" w:type="dxa"/>
            <w:tcBorders>
              <w:top w:val="nil"/>
              <w:left w:val="nil"/>
              <w:bottom w:val="single" w:sz="4" w:space="0" w:color="auto"/>
              <w:right w:val="single" w:sz="4" w:space="0" w:color="auto"/>
            </w:tcBorders>
            <w:shd w:val="clear" w:color="auto" w:fill="auto"/>
            <w:noWrap/>
            <w:vAlign w:val="bottom"/>
            <w:hideMark/>
          </w:tcPr>
          <w:p w14:paraId="73BC02D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0EC5EF6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21AD1ACB" w14:textId="77777777" w:rsidTr="00003CF2">
        <w:trPr>
          <w:trHeight w:val="300"/>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1A5AFE2B"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Otras Inversiones </w:t>
            </w:r>
          </w:p>
        </w:tc>
        <w:tc>
          <w:tcPr>
            <w:tcW w:w="1149" w:type="dxa"/>
            <w:tcBorders>
              <w:top w:val="nil"/>
              <w:left w:val="nil"/>
              <w:bottom w:val="single" w:sz="4" w:space="0" w:color="auto"/>
              <w:right w:val="single" w:sz="4" w:space="0" w:color="auto"/>
            </w:tcBorders>
            <w:shd w:val="clear" w:color="auto" w:fill="auto"/>
            <w:noWrap/>
            <w:vAlign w:val="bottom"/>
            <w:hideMark/>
          </w:tcPr>
          <w:p w14:paraId="2FD5773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auto" w:fill="auto"/>
            <w:noWrap/>
            <w:vAlign w:val="bottom"/>
            <w:hideMark/>
          </w:tcPr>
          <w:p w14:paraId="2B4C1AC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r w:rsidR="00112BC6" w:rsidRPr="00112BC6" w14:paraId="31CD66B6" w14:textId="77777777" w:rsidTr="00003CF2">
        <w:trPr>
          <w:trHeight w:val="300"/>
        </w:trPr>
        <w:tc>
          <w:tcPr>
            <w:tcW w:w="6461" w:type="dxa"/>
            <w:tcBorders>
              <w:top w:val="nil"/>
              <w:left w:val="single" w:sz="4" w:space="0" w:color="auto"/>
              <w:bottom w:val="single" w:sz="4" w:space="0" w:color="auto"/>
              <w:right w:val="single" w:sz="4" w:space="0" w:color="auto"/>
            </w:tcBorders>
            <w:shd w:val="clear" w:color="000000" w:fill="D9D9D9"/>
            <w:noWrap/>
            <w:vAlign w:val="bottom"/>
            <w:hideMark/>
          </w:tcPr>
          <w:p w14:paraId="08E99BF1"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Total</w:t>
            </w:r>
          </w:p>
        </w:tc>
        <w:tc>
          <w:tcPr>
            <w:tcW w:w="1149" w:type="dxa"/>
            <w:tcBorders>
              <w:top w:val="nil"/>
              <w:left w:val="nil"/>
              <w:bottom w:val="single" w:sz="4" w:space="0" w:color="auto"/>
              <w:right w:val="single" w:sz="4" w:space="0" w:color="auto"/>
            </w:tcBorders>
            <w:shd w:val="clear" w:color="000000" w:fill="D9D9D9"/>
            <w:noWrap/>
            <w:vAlign w:val="bottom"/>
            <w:hideMark/>
          </w:tcPr>
          <w:p w14:paraId="051016E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c>
          <w:tcPr>
            <w:tcW w:w="550" w:type="dxa"/>
            <w:tcBorders>
              <w:top w:val="nil"/>
              <w:left w:val="nil"/>
              <w:bottom w:val="single" w:sz="4" w:space="0" w:color="auto"/>
              <w:right w:val="single" w:sz="4" w:space="0" w:color="auto"/>
            </w:tcBorders>
            <w:shd w:val="clear" w:color="000000" w:fill="D9D9D9"/>
            <w:noWrap/>
            <w:vAlign w:val="bottom"/>
            <w:hideMark/>
          </w:tcPr>
          <w:p w14:paraId="554ACDF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w:t>
            </w:r>
          </w:p>
        </w:tc>
      </w:tr>
    </w:tbl>
    <w:p w14:paraId="2FEA1B0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431AA26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6FD4DCE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3.- Presentar la Conciliación de los Flujos de Efectivo Netos de las Actividades de Operación y los saldos de Resultados del Ejercicio (Ahorro / Desahorro), utilizando el siguiente recuadro:</w:t>
      </w:r>
    </w:p>
    <w:p w14:paraId="542B461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1B2C8E7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4"/>
        <w:gridCol w:w="2197"/>
        <w:gridCol w:w="2732"/>
      </w:tblGrid>
      <w:tr w:rsidR="00112BC6" w:rsidRPr="00112BC6" w14:paraId="3F172006" w14:textId="77777777" w:rsidTr="00003CF2">
        <w:trPr>
          <w:jc w:val="center"/>
        </w:trPr>
        <w:tc>
          <w:tcPr>
            <w:tcW w:w="0" w:type="auto"/>
            <w:shd w:val="clear" w:color="auto" w:fill="D9D9D9" w:themeFill="background1" w:themeFillShade="D9"/>
          </w:tcPr>
          <w:p w14:paraId="17612D5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CONCEPTO</w:t>
            </w:r>
          </w:p>
        </w:tc>
        <w:tc>
          <w:tcPr>
            <w:tcW w:w="0" w:type="auto"/>
            <w:shd w:val="clear" w:color="auto" w:fill="D9D9D9" w:themeFill="background1" w:themeFillShade="D9"/>
          </w:tcPr>
          <w:p w14:paraId="061617F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EJERCICIOS ANTERIORES</w:t>
            </w:r>
          </w:p>
        </w:tc>
        <w:tc>
          <w:tcPr>
            <w:tcW w:w="0" w:type="auto"/>
            <w:shd w:val="clear" w:color="auto" w:fill="D9D9D9" w:themeFill="background1" w:themeFillShade="D9"/>
          </w:tcPr>
          <w:p w14:paraId="18A2F82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SALDOS AL 31 DE MARZO 2026</w:t>
            </w:r>
          </w:p>
        </w:tc>
      </w:tr>
      <w:tr w:rsidR="00112BC6" w:rsidRPr="00112BC6" w14:paraId="77BEB3E1" w14:textId="77777777" w:rsidTr="00003CF2">
        <w:trPr>
          <w:jc w:val="center"/>
        </w:trPr>
        <w:tc>
          <w:tcPr>
            <w:tcW w:w="0" w:type="auto"/>
            <w:shd w:val="clear" w:color="auto" w:fill="auto"/>
          </w:tcPr>
          <w:p w14:paraId="75346BEE"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Cs/>
                <w:sz w:val="20"/>
                <w:szCs w:val="20"/>
              </w:rPr>
              <w:t>RESULTADOS DEL EJERCICIO AHORRO/ DESAHORRO</w:t>
            </w:r>
          </w:p>
        </w:tc>
        <w:tc>
          <w:tcPr>
            <w:tcW w:w="0" w:type="auto"/>
            <w:shd w:val="clear" w:color="auto" w:fill="auto"/>
          </w:tcPr>
          <w:p w14:paraId="771D7CEC"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4701.58</w:t>
            </w:r>
          </w:p>
        </w:tc>
        <w:tc>
          <w:tcPr>
            <w:tcW w:w="0" w:type="auto"/>
            <w:shd w:val="clear" w:color="auto" w:fill="auto"/>
          </w:tcPr>
          <w:p w14:paraId="414E667D"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25.21</w:t>
            </w:r>
          </w:p>
        </w:tc>
      </w:tr>
      <w:tr w:rsidR="00112BC6" w:rsidRPr="00112BC6" w14:paraId="5E2119DD" w14:textId="77777777" w:rsidTr="00003CF2">
        <w:trPr>
          <w:jc w:val="center"/>
        </w:trPr>
        <w:tc>
          <w:tcPr>
            <w:tcW w:w="0" w:type="auto"/>
            <w:shd w:val="clear" w:color="auto" w:fill="auto"/>
          </w:tcPr>
          <w:p w14:paraId="6A07C33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MOVIMIENTO DE PARTIDAS (O RUBROS) QUE NO AFECTEN AL EFECTIVO</w:t>
            </w:r>
          </w:p>
        </w:tc>
        <w:tc>
          <w:tcPr>
            <w:tcW w:w="0" w:type="auto"/>
            <w:shd w:val="clear" w:color="auto" w:fill="auto"/>
          </w:tcPr>
          <w:p w14:paraId="46D8CDD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c>
          <w:tcPr>
            <w:tcW w:w="0" w:type="auto"/>
            <w:shd w:val="clear" w:color="auto" w:fill="auto"/>
          </w:tcPr>
          <w:p w14:paraId="065DF8D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387CB6CB" w14:textId="77777777" w:rsidTr="00003CF2">
        <w:trPr>
          <w:jc w:val="center"/>
        </w:trPr>
        <w:tc>
          <w:tcPr>
            <w:tcW w:w="0" w:type="auto"/>
            <w:shd w:val="clear" w:color="auto" w:fill="auto"/>
          </w:tcPr>
          <w:p w14:paraId="36EA1C7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DEPRECIACION</w:t>
            </w:r>
          </w:p>
        </w:tc>
        <w:tc>
          <w:tcPr>
            <w:tcW w:w="0" w:type="auto"/>
            <w:shd w:val="clear" w:color="auto" w:fill="auto"/>
          </w:tcPr>
          <w:p w14:paraId="4E539BC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c>
          <w:tcPr>
            <w:tcW w:w="0" w:type="auto"/>
            <w:shd w:val="clear" w:color="auto" w:fill="auto"/>
          </w:tcPr>
          <w:p w14:paraId="788C469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6409EA78" w14:textId="77777777" w:rsidTr="00003CF2">
        <w:trPr>
          <w:jc w:val="center"/>
        </w:trPr>
        <w:tc>
          <w:tcPr>
            <w:tcW w:w="0" w:type="auto"/>
            <w:shd w:val="clear" w:color="auto" w:fill="auto"/>
          </w:tcPr>
          <w:p w14:paraId="237D5C8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AMORTIZACION</w:t>
            </w:r>
          </w:p>
        </w:tc>
        <w:tc>
          <w:tcPr>
            <w:tcW w:w="0" w:type="auto"/>
            <w:shd w:val="clear" w:color="auto" w:fill="auto"/>
          </w:tcPr>
          <w:p w14:paraId="1B540F5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c>
          <w:tcPr>
            <w:tcW w:w="0" w:type="auto"/>
            <w:shd w:val="clear" w:color="auto" w:fill="auto"/>
          </w:tcPr>
          <w:p w14:paraId="02DC99E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74A70051" w14:textId="77777777" w:rsidTr="00003CF2">
        <w:trPr>
          <w:jc w:val="center"/>
        </w:trPr>
        <w:tc>
          <w:tcPr>
            <w:tcW w:w="0" w:type="auto"/>
            <w:shd w:val="clear" w:color="auto" w:fill="auto"/>
          </w:tcPr>
          <w:p w14:paraId="6B74E17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INCREMENTO EN LAS PROVISIONES</w:t>
            </w:r>
          </w:p>
        </w:tc>
        <w:tc>
          <w:tcPr>
            <w:tcW w:w="0" w:type="auto"/>
            <w:shd w:val="clear" w:color="auto" w:fill="auto"/>
          </w:tcPr>
          <w:p w14:paraId="7DFAD4A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c>
          <w:tcPr>
            <w:tcW w:w="0" w:type="auto"/>
            <w:shd w:val="clear" w:color="auto" w:fill="auto"/>
          </w:tcPr>
          <w:p w14:paraId="1ABD8BC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472BFBAF" w14:textId="77777777" w:rsidTr="00003CF2">
        <w:trPr>
          <w:jc w:val="center"/>
        </w:trPr>
        <w:tc>
          <w:tcPr>
            <w:tcW w:w="0" w:type="auto"/>
            <w:shd w:val="clear" w:color="auto" w:fill="auto"/>
          </w:tcPr>
          <w:p w14:paraId="45C40CC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INCREMENTO EN LAS INVERSIONES PRODUCIDO POR LA REVALUACION</w:t>
            </w:r>
          </w:p>
        </w:tc>
        <w:tc>
          <w:tcPr>
            <w:tcW w:w="0" w:type="auto"/>
            <w:shd w:val="clear" w:color="auto" w:fill="auto"/>
          </w:tcPr>
          <w:p w14:paraId="0D2AF0C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c>
          <w:tcPr>
            <w:tcW w:w="0" w:type="auto"/>
            <w:shd w:val="clear" w:color="auto" w:fill="auto"/>
          </w:tcPr>
          <w:p w14:paraId="4362FA6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3C05233F" w14:textId="77777777" w:rsidTr="00003CF2">
        <w:trPr>
          <w:jc w:val="center"/>
        </w:trPr>
        <w:tc>
          <w:tcPr>
            <w:tcW w:w="0" w:type="auto"/>
            <w:shd w:val="clear" w:color="auto" w:fill="auto"/>
          </w:tcPr>
          <w:p w14:paraId="7D6334F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GANANCIA/PERDIDA EN VENTA DE BIENES MUEBLES , INMUEBLES E INTANGIBLES</w:t>
            </w:r>
          </w:p>
        </w:tc>
        <w:tc>
          <w:tcPr>
            <w:tcW w:w="0" w:type="auto"/>
            <w:shd w:val="clear" w:color="auto" w:fill="auto"/>
          </w:tcPr>
          <w:p w14:paraId="61F5255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c>
          <w:tcPr>
            <w:tcW w:w="0" w:type="auto"/>
            <w:shd w:val="clear" w:color="auto" w:fill="auto"/>
          </w:tcPr>
          <w:p w14:paraId="14A5E9C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4003AFC6" w14:textId="77777777" w:rsidTr="00003CF2">
        <w:trPr>
          <w:jc w:val="center"/>
        </w:trPr>
        <w:tc>
          <w:tcPr>
            <w:tcW w:w="0" w:type="auto"/>
            <w:shd w:val="clear" w:color="auto" w:fill="auto"/>
          </w:tcPr>
          <w:p w14:paraId="2C26001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INCREMENTO EN CUENTA POR COBRAR</w:t>
            </w:r>
          </w:p>
        </w:tc>
        <w:tc>
          <w:tcPr>
            <w:tcW w:w="0" w:type="auto"/>
            <w:shd w:val="clear" w:color="auto" w:fill="auto"/>
          </w:tcPr>
          <w:p w14:paraId="48DDD11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c>
          <w:tcPr>
            <w:tcW w:w="0" w:type="auto"/>
            <w:shd w:val="clear" w:color="auto" w:fill="auto"/>
          </w:tcPr>
          <w:p w14:paraId="00AB205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4F5324A0" w14:textId="77777777" w:rsidTr="00003CF2">
        <w:trPr>
          <w:trHeight w:val="452"/>
          <w:jc w:val="center"/>
        </w:trPr>
        <w:tc>
          <w:tcPr>
            <w:tcW w:w="0" w:type="auto"/>
            <w:shd w:val="clear" w:color="auto" w:fill="auto"/>
          </w:tcPr>
          <w:p w14:paraId="687B0B6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
                <w:bCs/>
                <w:sz w:val="20"/>
                <w:szCs w:val="20"/>
              </w:rPr>
              <w:t>FLUJOS DE EFECTIVO NETO DE LAS ACTIVIDADES DE OPERACION</w:t>
            </w:r>
          </w:p>
        </w:tc>
        <w:tc>
          <w:tcPr>
            <w:tcW w:w="0" w:type="auto"/>
            <w:shd w:val="clear" w:color="auto" w:fill="auto"/>
          </w:tcPr>
          <w:p w14:paraId="537271B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4,701.58</w:t>
            </w:r>
          </w:p>
        </w:tc>
        <w:tc>
          <w:tcPr>
            <w:tcW w:w="0" w:type="auto"/>
            <w:shd w:val="clear" w:color="auto" w:fill="auto"/>
          </w:tcPr>
          <w:p w14:paraId="68819C39"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                      25.21</w:t>
            </w:r>
          </w:p>
        </w:tc>
      </w:tr>
    </w:tbl>
    <w:p w14:paraId="43B0F9D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776EC17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3.-Detallar las adquisiciones de bienes muebles e inmuebles con su monto global y, en su caso, el porcentaje de estas adquisiciones que fueron realizadas mediante subsidios de capital del sector central, </w:t>
      </w:r>
      <w:r w:rsidRPr="00112BC6">
        <w:rPr>
          <w:rFonts w:ascii="Lato" w:hAnsi="Lato" w:cs="Arial"/>
          <w:b/>
          <w:bCs/>
          <w:i/>
          <w:iCs/>
          <w:sz w:val="20"/>
          <w:szCs w:val="20"/>
        </w:rPr>
        <w:t>NO APLICA</w:t>
      </w:r>
      <w:r w:rsidRPr="00112BC6">
        <w:rPr>
          <w:rFonts w:ascii="Lato" w:hAnsi="Lato" w:cs="Arial"/>
          <w:bCs/>
          <w:sz w:val="20"/>
          <w:szCs w:val="20"/>
        </w:rPr>
        <w:t xml:space="preserve"> para este fideicomiso.</w:t>
      </w:r>
    </w:p>
    <w:p w14:paraId="6F01E4A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4.- Conciliación de los Flujos de Efectivo Neto de las Actividades de Operación y la cuenta de Ahorro/ Desahorro antes de Rubros Extraordinarios, </w:t>
      </w:r>
      <w:r w:rsidRPr="00112BC6">
        <w:rPr>
          <w:rFonts w:ascii="Lato" w:hAnsi="Lato" w:cs="Arial"/>
          <w:b/>
          <w:bCs/>
          <w:i/>
          <w:iCs/>
          <w:sz w:val="20"/>
          <w:szCs w:val="20"/>
        </w:rPr>
        <w:t>NO APLICA</w:t>
      </w:r>
      <w:r w:rsidRPr="00112BC6">
        <w:rPr>
          <w:rFonts w:ascii="Lato" w:hAnsi="Lato" w:cs="Arial"/>
          <w:bCs/>
          <w:sz w:val="20"/>
          <w:szCs w:val="20"/>
        </w:rPr>
        <w:t xml:space="preserve"> para este fideicomiso</w:t>
      </w:r>
      <w:bookmarkStart w:id="6" w:name="m13"/>
      <w:bookmarkEnd w:id="6"/>
    </w:p>
    <w:p w14:paraId="36AE9BE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639F219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6AD96F2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
          <w:bCs/>
          <w:sz w:val="20"/>
          <w:szCs w:val="20"/>
        </w:rPr>
        <w:t>V) CONCILIACIÓN ENTRE LOS INGRESOS PRESUPUESTARIOS Y CONTABLES, ASI COMO ENTRE LOS EGRESOS PRESUPUESTARIOS Y GASTOS CONTABLES.</w:t>
      </w:r>
    </w:p>
    <w:p w14:paraId="328B2E2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A. Conciliación de ingresos presupuestarios y contables al 31 marzo de 2026 (acumulado):</w:t>
      </w:r>
    </w:p>
    <w:p w14:paraId="20772E92"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p w14:paraId="17424FB0"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tbl>
      <w:tblPr>
        <w:tblW w:w="9538" w:type="dxa"/>
        <w:tblCellMar>
          <w:left w:w="70" w:type="dxa"/>
          <w:right w:w="70" w:type="dxa"/>
        </w:tblCellMar>
        <w:tblLook w:val="04A0" w:firstRow="1" w:lastRow="0" w:firstColumn="1" w:lastColumn="0" w:noHBand="0" w:noVBand="1"/>
      </w:tblPr>
      <w:tblGrid>
        <w:gridCol w:w="6514"/>
        <w:gridCol w:w="3024"/>
      </w:tblGrid>
      <w:tr w:rsidR="00112BC6" w:rsidRPr="00112BC6" w14:paraId="6F5B0CF8" w14:textId="77777777" w:rsidTr="00003CF2">
        <w:trPr>
          <w:trHeight w:val="1432"/>
        </w:trPr>
        <w:tc>
          <w:tcPr>
            <w:tcW w:w="9538"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65F7D2B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Gobierno del Estado de Yucatán. Fideicomiso "Fondo de Becas Francisco </w:t>
            </w:r>
            <w:proofErr w:type="spellStart"/>
            <w:r w:rsidRPr="00112BC6">
              <w:rPr>
                <w:rFonts w:ascii="Lato" w:hAnsi="Lato" w:cs="Arial"/>
                <w:bCs/>
                <w:sz w:val="20"/>
                <w:szCs w:val="20"/>
              </w:rPr>
              <w:t>Repetto</w:t>
            </w:r>
            <w:proofErr w:type="spellEnd"/>
            <w:r w:rsidRPr="00112BC6">
              <w:rPr>
                <w:rFonts w:ascii="Lato" w:hAnsi="Lato" w:cs="Arial"/>
                <w:bCs/>
                <w:sz w:val="20"/>
                <w:szCs w:val="20"/>
              </w:rPr>
              <w:t xml:space="preserve"> Milán"</w:t>
            </w:r>
            <w:r w:rsidRPr="00112BC6">
              <w:rPr>
                <w:rFonts w:ascii="Lato" w:hAnsi="Lato" w:cs="Arial"/>
                <w:bCs/>
                <w:sz w:val="20"/>
                <w:szCs w:val="20"/>
              </w:rPr>
              <w:br/>
              <w:t>Conciliación entre los Ingresos Presupuestarios y Contables                                                                                                    Correspondiente al 31 marzo 2026</w:t>
            </w:r>
            <w:r w:rsidRPr="00112BC6">
              <w:rPr>
                <w:rFonts w:ascii="Lato" w:hAnsi="Lato" w:cs="Arial"/>
                <w:bCs/>
                <w:sz w:val="20"/>
                <w:szCs w:val="20"/>
              </w:rPr>
              <w:br/>
              <w:t>(Cifras en pesos)</w:t>
            </w:r>
          </w:p>
        </w:tc>
      </w:tr>
      <w:tr w:rsidR="00112BC6" w:rsidRPr="00112BC6" w14:paraId="41BEC9A0" w14:textId="77777777" w:rsidTr="00003CF2">
        <w:trPr>
          <w:trHeight w:val="240"/>
        </w:trPr>
        <w:tc>
          <w:tcPr>
            <w:tcW w:w="6514"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130D6E2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1. Total de Ingresos Presupuestarios</w:t>
            </w:r>
          </w:p>
        </w:tc>
        <w:tc>
          <w:tcPr>
            <w:tcW w:w="3024" w:type="dxa"/>
            <w:tcBorders>
              <w:top w:val="nil"/>
              <w:left w:val="nil"/>
              <w:bottom w:val="single" w:sz="4" w:space="0" w:color="000000"/>
              <w:right w:val="single" w:sz="4" w:space="0" w:color="auto"/>
            </w:tcBorders>
            <w:shd w:val="clear" w:color="000000" w:fill="BFBFBF"/>
            <w:hideMark/>
          </w:tcPr>
          <w:p w14:paraId="05484D0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$25.21</w:t>
            </w:r>
          </w:p>
        </w:tc>
      </w:tr>
      <w:tr w:rsidR="00112BC6" w:rsidRPr="00112BC6" w14:paraId="7929C8DB" w14:textId="77777777" w:rsidTr="00003CF2">
        <w:trPr>
          <w:trHeight w:val="240"/>
        </w:trPr>
        <w:tc>
          <w:tcPr>
            <w:tcW w:w="6514" w:type="dxa"/>
            <w:tcBorders>
              <w:top w:val="nil"/>
              <w:left w:val="single" w:sz="4" w:space="0" w:color="000000"/>
              <w:bottom w:val="single" w:sz="4" w:space="0" w:color="000000"/>
              <w:right w:val="nil"/>
            </w:tcBorders>
            <w:shd w:val="clear" w:color="auto" w:fill="auto"/>
            <w:hideMark/>
          </w:tcPr>
          <w:p w14:paraId="4F49C3AF"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w:t>
            </w:r>
          </w:p>
        </w:tc>
        <w:tc>
          <w:tcPr>
            <w:tcW w:w="3024" w:type="dxa"/>
            <w:tcBorders>
              <w:top w:val="nil"/>
              <w:left w:val="nil"/>
              <w:bottom w:val="single" w:sz="4" w:space="0" w:color="000000"/>
              <w:right w:val="single" w:sz="4" w:space="0" w:color="auto"/>
            </w:tcBorders>
            <w:shd w:val="clear" w:color="auto" w:fill="auto"/>
            <w:hideMark/>
          </w:tcPr>
          <w:p w14:paraId="5BE4F221"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w:t>
            </w:r>
          </w:p>
        </w:tc>
      </w:tr>
      <w:tr w:rsidR="00112BC6" w:rsidRPr="00112BC6" w14:paraId="5D7EFC3E" w14:textId="77777777" w:rsidTr="00003CF2">
        <w:trPr>
          <w:trHeight w:val="240"/>
        </w:trPr>
        <w:tc>
          <w:tcPr>
            <w:tcW w:w="6514" w:type="dxa"/>
            <w:tcBorders>
              <w:top w:val="nil"/>
              <w:left w:val="single" w:sz="4" w:space="0" w:color="000000"/>
              <w:bottom w:val="single" w:sz="4" w:space="0" w:color="000000"/>
              <w:right w:val="single" w:sz="4" w:space="0" w:color="000000"/>
            </w:tcBorders>
            <w:shd w:val="clear" w:color="auto" w:fill="auto"/>
            <w:hideMark/>
          </w:tcPr>
          <w:p w14:paraId="530B76D6"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2. Más Ingresos Contables No Presupuestarios</w:t>
            </w:r>
          </w:p>
        </w:tc>
        <w:tc>
          <w:tcPr>
            <w:tcW w:w="3024" w:type="dxa"/>
            <w:tcBorders>
              <w:top w:val="nil"/>
              <w:left w:val="nil"/>
              <w:bottom w:val="single" w:sz="4" w:space="0" w:color="000000"/>
              <w:right w:val="single" w:sz="4" w:space="0" w:color="auto"/>
            </w:tcBorders>
            <w:shd w:val="clear" w:color="auto" w:fill="auto"/>
            <w:hideMark/>
          </w:tcPr>
          <w:p w14:paraId="79DAE48D"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 $                                                         </w:t>
            </w:r>
          </w:p>
        </w:tc>
      </w:tr>
      <w:tr w:rsidR="00112BC6" w:rsidRPr="00112BC6" w14:paraId="46E9851D" w14:textId="77777777" w:rsidTr="00003CF2">
        <w:trPr>
          <w:trHeight w:val="394"/>
        </w:trPr>
        <w:tc>
          <w:tcPr>
            <w:tcW w:w="6514" w:type="dxa"/>
            <w:tcBorders>
              <w:top w:val="nil"/>
              <w:left w:val="single" w:sz="4" w:space="0" w:color="000000"/>
              <w:bottom w:val="single" w:sz="4" w:space="0" w:color="000000"/>
              <w:right w:val="single" w:sz="4" w:space="0" w:color="000000"/>
            </w:tcBorders>
            <w:shd w:val="clear" w:color="auto" w:fill="auto"/>
            <w:hideMark/>
          </w:tcPr>
          <w:p w14:paraId="6B9FBCA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2.1     Ingresos Financieros</w:t>
            </w:r>
          </w:p>
        </w:tc>
        <w:tc>
          <w:tcPr>
            <w:tcW w:w="3024" w:type="dxa"/>
            <w:tcBorders>
              <w:top w:val="nil"/>
              <w:left w:val="nil"/>
              <w:bottom w:val="single" w:sz="4" w:space="0" w:color="000000"/>
              <w:right w:val="single" w:sz="4" w:space="0" w:color="auto"/>
            </w:tcBorders>
            <w:shd w:val="clear" w:color="auto" w:fill="auto"/>
            <w:hideMark/>
          </w:tcPr>
          <w:p w14:paraId="6A151C3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w:t>
            </w:r>
          </w:p>
        </w:tc>
      </w:tr>
      <w:tr w:rsidR="00112BC6" w:rsidRPr="00112BC6" w14:paraId="2A08042A" w14:textId="77777777" w:rsidTr="00003CF2">
        <w:trPr>
          <w:trHeight w:val="523"/>
        </w:trPr>
        <w:tc>
          <w:tcPr>
            <w:tcW w:w="6514" w:type="dxa"/>
            <w:tcBorders>
              <w:top w:val="nil"/>
              <w:left w:val="single" w:sz="4" w:space="0" w:color="000000"/>
              <w:bottom w:val="single" w:sz="4" w:space="0" w:color="000000"/>
              <w:right w:val="single" w:sz="4" w:space="0" w:color="000000"/>
            </w:tcBorders>
            <w:shd w:val="clear" w:color="auto" w:fill="auto"/>
            <w:hideMark/>
          </w:tcPr>
          <w:p w14:paraId="07A4766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2.2     Incremento por Variación de Inventarios</w:t>
            </w:r>
          </w:p>
        </w:tc>
        <w:tc>
          <w:tcPr>
            <w:tcW w:w="3024" w:type="dxa"/>
            <w:tcBorders>
              <w:top w:val="nil"/>
              <w:left w:val="nil"/>
              <w:bottom w:val="single" w:sz="4" w:space="0" w:color="000000"/>
              <w:right w:val="single" w:sz="4" w:space="0" w:color="auto"/>
            </w:tcBorders>
            <w:shd w:val="clear" w:color="auto" w:fill="auto"/>
            <w:hideMark/>
          </w:tcPr>
          <w:p w14:paraId="4B5F81E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w:t>
            </w:r>
          </w:p>
        </w:tc>
      </w:tr>
      <w:tr w:rsidR="00112BC6" w:rsidRPr="00112BC6" w14:paraId="7F48DE10" w14:textId="77777777" w:rsidTr="00003CF2">
        <w:trPr>
          <w:trHeight w:val="453"/>
        </w:trPr>
        <w:tc>
          <w:tcPr>
            <w:tcW w:w="6514" w:type="dxa"/>
            <w:tcBorders>
              <w:top w:val="nil"/>
              <w:left w:val="single" w:sz="4" w:space="0" w:color="000000"/>
              <w:bottom w:val="single" w:sz="4" w:space="0" w:color="000000"/>
              <w:right w:val="single" w:sz="4" w:space="0" w:color="000000"/>
            </w:tcBorders>
            <w:shd w:val="clear" w:color="auto" w:fill="auto"/>
            <w:hideMark/>
          </w:tcPr>
          <w:p w14:paraId="1094996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2.3     Disminución   del   Exceso   de   Estimaciones   por   Pérdida   o   Deterioro   u Obsolescencia</w:t>
            </w:r>
          </w:p>
        </w:tc>
        <w:tc>
          <w:tcPr>
            <w:tcW w:w="3024" w:type="dxa"/>
            <w:tcBorders>
              <w:top w:val="nil"/>
              <w:left w:val="nil"/>
              <w:bottom w:val="single" w:sz="4" w:space="0" w:color="000000"/>
              <w:right w:val="single" w:sz="4" w:space="0" w:color="auto"/>
            </w:tcBorders>
            <w:shd w:val="clear" w:color="auto" w:fill="auto"/>
            <w:hideMark/>
          </w:tcPr>
          <w:p w14:paraId="2FCDA53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w:t>
            </w:r>
          </w:p>
        </w:tc>
      </w:tr>
      <w:tr w:rsidR="00112BC6" w:rsidRPr="00112BC6" w14:paraId="60F318C6" w14:textId="77777777" w:rsidTr="00003CF2">
        <w:trPr>
          <w:trHeight w:val="601"/>
        </w:trPr>
        <w:tc>
          <w:tcPr>
            <w:tcW w:w="6514" w:type="dxa"/>
            <w:tcBorders>
              <w:top w:val="nil"/>
              <w:left w:val="single" w:sz="4" w:space="0" w:color="000000"/>
              <w:bottom w:val="single" w:sz="4" w:space="0" w:color="000000"/>
              <w:right w:val="single" w:sz="4" w:space="0" w:color="000000"/>
            </w:tcBorders>
            <w:shd w:val="clear" w:color="auto" w:fill="auto"/>
            <w:hideMark/>
          </w:tcPr>
          <w:p w14:paraId="297C01E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2.4     Disminución del Exceso de Provisiones</w:t>
            </w:r>
          </w:p>
        </w:tc>
        <w:tc>
          <w:tcPr>
            <w:tcW w:w="3024" w:type="dxa"/>
            <w:tcBorders>
              <w:top w:val="nil"/>
              <w:left w:val="nil"/>
              <w:bottom w:val="single" w:sz="4" w:space="0" w:color="000000"/>
              <w:right w:val="single" w:sz="4" w:space="0" w:color="auto"/>
            </w:tcBorders>
            <w:shd w:val="clear" w:color="auto" w:fill="auto"/>
            <w:hideMark/>
          </w:tcPr>
          <w:p w14:paraId="1561B89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w:t>
            </w:r>
          </w:p>
        </w:tc>
      </w:tr>
      <w:tr w:rsidR="00112BC6" w:rsidRPr="00112BC6" w14:paraId="5ED0BC56" w14:textId="77777777" w:rsidTr="00003CF2">
        <w:trPr>
          <w:trHeight w:val="495"/>
        </w:trPr>
        <w:tc>
          <w:tcPr>
            <w:tcW w:w="6514" w:type="dxa"/>
            <w:tcBorders>
              <w:top w:val="nil"/>
              <w:left w:val="single" w:sz="4" w:space="0" w:color="000000"/>
              <w:bottom w:val="single" w:sz="4" w:space="0" w:color="000000"/>
              <w:right w:val="single" w:sz="4" w:space="0" w:color="000000"/>
            </w:tcBorders>
            <w:shd w:val="clear" w:color="auto" w:fill="auto"/>
            <w:hideMark/>
          </w:tcPr>
          <w:p w14:paraId="690A4C4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2.5     Otros Ingresos y Beneficios Varios</w:t>
            </w:r>
          </w:p>
        </w:tc>
        <w:tc>
          <w:tcPr>
            <w:tcW w:w="3024" w:type="dxa"/>
            <w:tcBorders>
              <w:top w:val="nil"/>
              <w:left w:val="nil"/>
              <w:bottom w:val="single" w:sz="4" w:space="0" w:color="000000"/>
              <w:right w:val="single" w:sz="4" w:space="0" w:color="auto"/>
            </w:tcBorders>
            <w:shd w:val="clear" w:color="auto" w:fill="auto"/>
            <w:hideMark/>
          </w:tcPr>
          <w:p w14:paraId="4B1E272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w:t>
            </w:r>
          </w:p>
        </w:tc>
      </w:tr>
      <w:tr w:rsidR="00112BC6" w:rsidRPr="00112BC6" w14:paraId="7F98843B" w14:textId="77777777" w:rsidTr="00003CF2">
        <w:trPr>
          <w:trHeight w:val="394"/>
        </w:trPr>
        <w:tc>
          <w:tcPr>
            <w:tcW w:w="6514" w:type="dxa"/>
            <w:tcBorders>
              <w:top w:val="nil"/>
              <w:left w:val="single" w:sz="4" w:space="0" w:color="000000"/>
              <w:bottom w:val="single" w:sz="4" w:space="0" w:color="000000"/>
              <w:right w:val="single" w:sz="4" w:space="0" w:color="000000"/>
            </w:tcBorders>
            <w:shd w:val="clear" w:color="auto" w:fill="auto"/>
            <w:hideMark/>
          </w:tcPr>
          <w:p w14:paraId="08D61FC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2.6     Otros Ingresos Contables No Presupuestarios</w:t>
            </w:r>
          </w:p>
        </w:tc>
        <w:tc>
          <w:tcPr>
            <w:tcW w:w="3024" w:type="dxa"/>
            <w:tcBorders>
              <w:top w:val="nil"/>
              <w:left w:val="nil"/>
              <w:bottom w:val="single" w:sz="4" w:space="0" w:color="000000"/>
              <w:right w:val="single" w:sz="4" w:space="0" w:color="auto"/>
            </w:tcBorders>
            <w:shd w:val="clear" w:color="auto" w:fill="auto"/>
            <w:hideMark/>
          </w:tcPr>
          <w:p w14:paraId="198E351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w:t>
            </w:r>
          </w:p>
        </w:tc>
      </w:tr>
      <w:tr w:rsidR="00112BC6" w:rsidRPr="00112BC6" w14:paraId="6C7FD9F7" w14:textId="77777777" w:rsidTr="00003CF2">
        <w:trPr>
          <w:trHeight w:val="394"/>
        </w:trPr>
        <w:tc>
          <w:tcPr>
            <w:tcW w:w="6514" w:type="dxa"/>
            <w:tcBorders>
              <w:top w:val="nil"/>
              <w:left w:val="nil"/>
              <w:bottom w:val="nil"/>
              <w:right w:val="nil"/>
            </w:tcBorders>
            <w:shd w:val="clear" w:color="auto" w:fill="auto"/>
            <w:hideMark/>
          </w:tcPr>
          <w:p w14:paraId="1915BE7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c>
          <w:tcPr>
            <w:tcW w:w="3024" w:type="dxa"/>
            <w:tcBorders>
              <w:top w:val="nil"/>
              <w:left w:val="nil"/>
              <w:bottom w:val="nil"/>
              <w:right w:val="nil"/>
            </w:tcBorders>
            <w:shd w:val="clear" w:color="auto" w:fill="auto"/>
            <w:hideMark/>
          </w:tcPr>
          <w:p w14:paraId="723814B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r>
      <w:tr w:rsidR="00112BC6" w:rsidRPr="00112BC6" w14:paraId="00C1BA79" w14:textId="77777777" w:rsidTr="00003CF2">
        <w:trPr>
          <w:trHeight w:val="394"/>
        </w:trPr>
        <w:tc>
          <w:tcPr>
            <w:tcW w:w="6514" w:type="dxa"/>
            <w:tcBorders>
              <w:top w:val="single" w:sz="4" w:space="0" w:color="000000"/>
              <w:left w:val="single" w:sz="4" w:space="0" w:color="000000"/>
              <w:bottom w:val="single" w:sz="4" w:space="0" w:color="000000"/>
              <w:right w:val="single" w:sz="4" w:space="0" w:color="000000"/>
            </w:tcBorders>
            <w:shd w:val="clear" w:color="auto" w:fill="auto"/>
            <w:hideMark/>
          </w:tcPr>
          <w:p w14:paraId="7FD9D422"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3. Menos Ingresos Presupuestarios No Contables</w:t>
            </w:r>
          </w:p>
        </w:tc>
        <w:tc>
          <w:tcPr>
            <w:tcW w:w="3024" w:type="dxa"/>
            <w:tcBorders>
              <w:top w:val="single" w:sz="4" w:space="0" w:color="000000"/>
              <w:left w:val="nil"/>
              <w:bottom w:val="single" w:sz="4" w:space="0" w:color="000000"/>
              <w:right w:val="single" w:sz="4" w:space="0" w:color="000000"/>
            </w:tcBorders>
            <w:shd w:val="clear" w:color="auto" w:fill="auto"/>
            <w:hideMark/>
          </w:tcPr>
          <w:p w14:paraId="62AC22D9"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 $                                                            </w:t>
            </w:r>
          </w:p>
        </w:tc>
      </w:tr>
      <w:tr w:rsidR="00112BC6" w:rsidRPr="00112BC6" w14:paraId="4727C754" w14:textId="77777777" w:rsidTr="00003CF2">
        <w:trPr>
          <w:trHeight w:val="394"/>
        </w:trPr>
        <w:tc>
          <w:tcPr>
            <w:tcW w:w="6514" w:type="dxa"/>
            <w:tcBorders>
              <w:top w:val="nil"/>
              <w:left w:val="single" w:sz="4" w:space="0" w:color="000000"/>
              <w:bottom w:val="single" w:sz="4" w:space="0" w:color="000000"/>
              <w:right w:val="single" w:sz="4" w:space="0" w:color="000000"/>
            </w:tcBorders>
            <w:shd w:val="clear" w:color="auto" w:fill="auto"/>
            <w:hideMark/>
          </w:tcPr>
          <w:p w14:paraId="231B6D0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3.1     Aprovechamientos Patrimoniales</w:t>
            </w:r>
          </w:p>
        </w:tc>
        <w:tc>
          <w:tcPr>
            <w:tcW w:w="3024" w:type="dxa"/>
            <w:tcBorders>
              <w:top w:val="nil"/>
              <w:left w:val="nil"/>
              <w:bottom w:val="single" w:sz="4" w:space="0" w:color="000000"/>
              <w:right w:val="single" w:sz="4" w:space="0" w:color="000000"/>
            </w:tcBorders>
            <w:shd w:val="clear" w:color="auto" w:fill="auto"/>
            <w:hideMark/>
          </w:tcPr>
          <w:p w14:paraId="6E33754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w:t>
            </w:r>
          </w:p>
        </w:tc>
      </w:tr>
      <w:tr w:rsidR="00112BC6" w:rsidRPr="00112BC6" w14:paraId="217D20D2" w14:textId="77777777" w:rsidTr="00003CF2">
        <w:trPr>
          <w:trHeight w:val="394"/>
        </w:trPr>
        <w:tc>
          <w:tcPr>
            <w:tcW w:w="6514" w:type="dxa"/>
            <w:tcBorders>
              <w:top w:val="nil"/>
              <w:left w:val="single" w:sz="4" w:space="0" w:color="000000"/>
              <w:bottom w:val="single" w:sz="4" w:space="0" w:color="000000"/>
              <w:right w:val="single" w:sz="4" w:space="0" w:color="000000"/>
            </w:tcBorders>
            <w:shd w:val="clear" w:color="auto" w:fill="auto"/>
            <w:hideMark/>
          </w:tcPr>
          <w:p w14:paraId="5C16B42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3.2     Ingresos derivados de financiamientos</w:t>
            </w:r>
          </w:p>
        </w:tc>
        <w:tc>
          <w:tcPr>
            <w:tcW w:w="3024" w:type="dxa"/>
            <w:tcBorders>
              <w:top w:val="nil"/>
              <w:left w:val="nil"/>
              <w:bottom w:val="single" w:sz="4" w:space="0" w:color="000000"/>
              <w:right w:val="single" w:sz="4" w:space="0" w:color="000000"/>
            </w:tcBorders>
            <w:shd w:val="clear" w:color="auto" w:fill="auto"/>
            <w:hideMark/>
          </w:tcPr>
          <w:p w14:paraId="6E0A702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w:t>
            </w:r>
          </w:p>
        </w:tc>
      </w:tr>
      <w:tr w:rsidR="00112BC6" w:rsidRPr="00112BC6" w14:paraId="0AC58F20" w14:textId="77777777" w:rsidTr="00003CF2">
        <w:trPr>
          <w:trHeight w:val="394"/>
        </w:trPr>
        <w:tc>
          <w:tcPr>
            <w:tcW w:w="6514" w:type="dxa"/>
            <w:tcBorders>
              <w:top w:val="nil"/>
              <w:left w:val="single" w:sz="4" w:space="0" w:color="000000"/>
              <w:bottom w:val="single" w:sz="4" w:space="0" w:color="000000"/>
              <w:right w:val="single" w:sz="4" w:space="0" w:color="000000"/>
            </w:tcBorders>
            <w:shd w:val="clear" w:color="auto" w:fill="auto"/>
            <w:hideMark/>
          </w:tcPr>
          <w:p w14:paraId="5860E8F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3.3     Otros ingresos Presupuestarios No Contables</w:t>
            </w:r>
          </w:p>
        </w:tc>
        <w:tc>
          <w:tcPr>
            <w:tcW w:w="3024" w:type="dxa"/>
            <w:tcBorders>
              <w:top w:val="nil"/>
              <w:left w:val="nil"/>
              <w:bottom w:val="single" w:sz="4" w:space="0" w:color="000000"/>
              <w:right w:val="single" w:sz="4" w:space="0" w:color="000000"/>
            </w:tcBorders>
            <w:shd w:val="clear" w:color="auto" w:fill="auto"/>
            <w:hideMark/>
          </w:tcPr>
          <w:p w14:paraId="18D6FD7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w:t>
            </w:r>
          </w:p>
        </w:tc>
      </w:tr>
      <w:tr w:rsidR="00112BC6" w:rsidRPr="00112BC6" w14:paraId="539E76F8" w14:textId="77777777" w:rsidTr="00003CF2">
        <w:trPr>
          <w:trHeight w:val="394"/>
        </w:trPr>
        <w:tc>
          <w:tcPr>
            <w:tcW w:w="6514" w:type="dxa"/>
            <w:tcBorders>
              <w:top w:val="nil"/>
              <w:left w:val="nil"/>
              <w:bottom w:val="nil"/>
              <w:right w:val="nil"/>
            </w:tcBorders>
            <w:shd w:val="clear" w:color="auto" w:fill="auto"/>
            <w:noWrap/>
            <w:hideMark/>
          </w:tcPr>
          <w:p w14:paraId="5810858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c>
          <w:tcPr>
            <w:tcW w:w="3024" w:type="dxa"/>
            <w:tcBorders>
              <w:top w:val="nil"/>
              <w:left w:val="nil"/>
              <w:bottom w:val="nil"/>
              <w:right w:val="nil"/>
            </w:tcBorders>
            <w:shd w:val="clear" w:color="auto" w:fill="auto"/>
            <w:noWrap/>
            <w:hideMark/>
          </w:tcPr>
          <w:p w14:paraId="0CDE9FA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r>
      <w:tr w:rsidR="00112BC6" w:rsidRPr="00112BC6" w14:paraId="27A3C04B" w14:textId="77777777" w:rsidTr="00003CF2">
        <w:trPr>
          <w:trHeight w:val="240"/>
        </w:trPr>
        <w:tc>
          <w:tcPr>
            <w:tcW w:w="6514" w:type="dxa"/>
            <w:tcBorders>
              <w:top w:val="single" w:sz="4" w:space="0" w:color="auto"/>
              <w:left w:val="single" w:sz="4" w:space="0" w:color="auto"/>
              <w:bottom w:val="single" w:sz="4" w:space="0" w:color="auto"/>
              <w:right w:val="single" w:sz="4" w:space="0" w:color="auto"/>
            </w:tcBorders>
            <w:shd w:val="clear" w:color="000000" w:fill="C0C0C0"/>
            <w:hideMark/>
          </w:tcPr>
          <w:p w14:paraId="0146EAA1"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4. Total de Ingresos Contables</w:t>
            </w:r>
          </w:p>
        </w:tc>
        <w:tc>
          <w:tcPr>
            <w:tcW w:w="3024" w:type="dxa"/>
            <w:tcBorders>
              <w:top w:val="single" w:sz="4" w:space="0" w:color="auto"/>
              <w:left w:val="nil"/>
              <w:bottom w:val="single" w:sz="4" w:space="0" w:color="auto"/>
              <w:right w:val="single" w:sz="4" w:space="0" w:color="auto"/>
            </w:tcBorders>
            <w:shd w:val="clear" w:color="000000" w:fill="BFBFBF"/>
            <w:hideMark/>
          </w:tcPr>
          <w:p w14:paraId="18A3D07F"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                            $ 25.21</w:t>
            </w:r>
          </w:p>
          <w:p w14:paraId="5F825FD8"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tc>
      </w:tr>
    </w:tbl>
    <w:p w14:paraId="5014BEB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w:t>
      </w:r>
    </w:p>
    <w:p w14:paraId="46E602B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01023CB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4DDECD2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777056B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2BBC573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736BC38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083A1D3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387F9FE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1326EB8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5725E51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63D1AD4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B.-Conciliación de Egresos presupuestarios y gastos contable al 31 de marzo de 2026 (acumulado):</w:t>
      </w:r>
    </w:p>
    <w:p w14:paraId="7DF0FFB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bl>
      <w:tblPr>
        <w:tblW w:w="10768" w:type="dxa"/>
        <w:jc w:val="center"/>
        <w:tblCellMar>
          <w:left w:w="70" w:type="dxa"/>
          <w:right w:w="70" w:type="dxa"/>
        </w:tblCellMar>
        <w:tblLook w:val="04A0" w:firstRow="1" w:lastRow="0" w:firstColumn="1" w:lastColumn="0" w:noHBand="0" w:noVBand="1"/>
      </w:tblPr>
      <w:tblGrid>
        <w:gridCol w:w="7160"/>
        <w:gridCol w:w="3608"/>
      </w:tblGrid>
      <w:tr w:rsidR="00112BC6" w:rsidRPr="00112BC6" w14:paraId="03155B0E" w14:textId="77777777" w:rsidTr="00003CF2">
        <w:trPr>
          <w:trHeight w:val="1420"/>
          <w:jc w:val="center"/>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8EEC8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Gobierno del Estado de Yucatán. Fideicomiso "Fondo de Becas Francisco </w:t>
            </w:r>
            <w:proofErr w:type="spellStart"/>
            <w:r w:rsidRPr="00112BC6">
              <w:rPr>
                <w:rFonts w:ascii="Lato" w:hAnsi="Lato" w:cs="Arial"/>
                <w:bCs/>
                <w:sz w:val="20"/>
                <w:szCs w:val="20"/>
              </w:rPr>
              <w:t>Repetto</w:t>
            </w:r>
            <w:proofErr w:type="spellEnd"/>
            <w:r w:rsidRPr="00112BC6">
              <w:rPr>
                <w:rFonts w:ascii="Lato" w:hAnsi="Lato" w:cs="Arial"/>
                <w:bCs/>
                <w:sz w:val="20"/>
                <w:szCs w:val="20"/>
              </w:rPr>
              <w:t xml:space="preserve"> Milán"</w:t>
            </w:r>
            <w:r w:rsidRPr="00112BC6">
              <w:rPr>
                <w:rFonts w:ascii="Lato" w:hAnsi="Lato" w:cs="Arial"/>
                <w:bCs/>
                <w:sz w:val="20"/>
                <w:szCs w:val="20"/>
              </w:rPr>
              <w:br/>
              <w:t>Conciliación entre los Egresos Presupuestarios y los Gastos Contables                                                            Correspondiente al 31 marzo 2026</w:t>
            </w:r>
            <w:r w:rsidRPr="00112BC6">
              <w:rPr>
                <w:rFonts w:ascii="Lato" w:hAnsi="Lato" w:cs="Arial"/>
                <w:bCs/>
                <w:sz w:val="20"/>
                <w:szCs w:val="20"/>
              </w:rPr>
              <w:br/>
              <w:t>(Cifras en pesos)</w:t>
            </w:r>
          </w:p>
        </w:tc>
      </w:tr>
      <w:tr w:rsidR="00112BC6" w:rsidRPr="00112BC6" w14:paraId="2CBDACEC" w14:textId="77777777" w:rsidTr="00003CF2">
        <w:trPr>
          <w:trHeight w:val="255"/>
          <w:jc w:val="center"/>
        </w:trPr>
        <w:tc>
          <w:tcPr>
            <w:tcW w:w="7160" w:type="dxa"/>
            <w:tcBorders>
              <w:top w:val="nil"/>
              <w:left w:val="single" w:sz="4" w:space="0" w:color="auto"/>
              <w:bottom w:val="single" w:sz="4" w:space="0" w:color="auto"/>
              <w:right w:val="single" w:sz="4" w:space="0" w:color="auto"/>
            </w:tcBorders>
            <w:shd w:val="clear" w:color="000000" w:fill="C0C0C0"/>
            <w:hideMark/>
          </w:tcPr>
          <w:p w14:paraId="6552D14B"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1. Total de Egresos Presupuestarios</w:t>
            </w:r>
          </w:p>
        </w:tc>
        <w:tc>
          <w:tcPr>
            <w:tcW w:w="3608" w:type="dxa"/>
            <w:tcBorders>
              <w:top w:val="nil"/>
              <w:left w:val="nil"/>
              <w:bottom w:val="single" w:sz="4" w:space="0" w:color="000000"/>
              <w:right w:val="single" w:sz="4" w:space="0" w:color="000000"/>
            </w:tcBorders>
            <w:shd w:val="clear" w:color="auto" w:fill="D9D9D9" w:themeFill="background1" w:themeFillShade="D9"/>
            <w:hideMark/>
          </w:tcPr>
          <w:p w14:paraId="353426B5"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                            $00.00</w:t>
            </w:r>
          </w:p>
        </w:tc>
      </w:tr>
      <w:tr w:rsidR="00112BC6" w:rsidRPr="00112BC6" w14:paraId="05F95963" w14:textId="77777777" w:rsidTr="00003CF2">
        <w:trPr>
          <w:trHeight w:val="255"/>
          <w:jc w:val="center"/>
        </w:trPr>
        <w:tc>
          <w:tcPr>
            <w:tcW w:w="7160" w:type="dxa"/>
            <w:tcBorders>
              <w:top w:val="nil"/>
              <w:left w:val="nil"/>
              <w:bottom w:val="nil"/>
              <w:right w:val="nil"/>
            </w:tcBorders>
            <w:shd w:val="clear" w:color="auto" w:fill="auto"/>
            <w:hideMark/>
          </w:tcPr>
          <w:p w14:paraId="039F91EF"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tc>
        <w:tc>
          <w:tcPr>
            <w:tcW w:w="3608" w:type="dxa"/>
            <w:tcBorders>
              <w:top w:val="nil"/>
              <w:left w:val="nil"/>
              <w:bottom w:val="nil"/>
              <w:right w:val="nil"/>
            </w:tcBorders>
            <w:shd w:val="clear" w:color="auto" w:fill="auto"/>
            <w:hideMark/>
          </w:tcPr>
          <w:p w14:paraId="1BAE3A2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r>
      <w:tr w:rsidR="00112BC6" w:rsidRPr="00112BC6" w14:paraId="65A3CF1A" w14:textId="77777777" w:rsidTr="00003CF2">
        <w:trPr>
          <w:trHeight w:val="417"/>
          <w:jc w:val="center"/>
        </w:trPr>
        <w:tc>
          <w:tcPr>
            <w:tcW w:w="7160" w:type="dxa"/>
            <w:tcBorders>
              <w:top w:val="single" w:sz="4" w:space="0" w:color="000000"/>
              <w:left w:val="single" w:sz="4" w:space="0" w:color="000000"/>
              <w:bottom w:val="single" w:sz="4" w:space="0" w:color="000000"/>
              <w:right w:val="single" w:sz="4" w:space="0" w:color="000000"/>
            </w:tcBorders>
            <w:shd w:val="clear" w:color="auto" w:fill="auto"/>
            <w:hideMark/>
          </w:tcPr>
          <w:p w14:paraId="49E6EA6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
                <w:bCs/>
                <w:sz w:val="20"/>
                <w:szCs w:val="20"/>
              </w:rPr>
              <w:t>2. Menos Egresos Presupuestarios No Contables</w:t>
            </w:r>
          </w:p>
        </w:tc>
        <w:tc>
          <w:tcPr>
            <w:tcW w:w="3608" w:type="dxa"/>
            <w:tcBorders>
              <w:top w:val="single" w:sz="4" w:space="0" w:color="000000"/>
              <w:left w:val="nil"/>
              <w:bottom w:val="single" w:sz="4" w:space="0" w:color="000000"/>
              <w:right w:val="single" w:sz="4" w:space="0" w:color="000000"/>
            </w:tcBorders>
            <w:shd w:val="clear" w:color="auto" w:fill="auto"/>
            <w:hideMark/>
          </w:tcPr>
          <w:p w14:paraId="3ABC5208"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 $                                                         -   </w:t>
            </w:r>
          </w:p>
        </w:tc>
      </w:tr>
      <w:tr w:rsidR="00112BC6" w:rsidRPr="00112BC6" w14:paraId="752AB0A5" w14:textId="77777777" w:rsidTr="00003CF2">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584CFC4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2.1    Materias Primas y Materiales de Producción y Comercialización</w:t>
            </w:r>
          </w:p>
        </w:tc>
        <w:tc>
          <w:tcPr>
            <w:tcW w:w="3608" w:type="dxa"/>
            <w:tcBorders>
              <w:top w:val="nil"/>
              <w:left w:val="nil"/>
              <w:bottom w:val="single" w:sz="4" w:space="0" w:color="000000"/>
              <w:right w:val="single" w:sz="4" w:space="0" w:color="000000"/>
            </w:tcBorders>
            <w:shd w:val="clear" w:color="auto" w:fill="auto"/>
            <w:hideMark/>
          </w:tcPr>
          <w:p w14:paraId="1C75FAF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72478103" w14:textId="77777777" w:rsidTr="00003CF2">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01C7A9F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2.2    Materiales y Suministros</w:t>
            </w:r>
          </w:p>
        </w:tc>
        <w:tc>
          <w:tcPr>
            <w:tcW w:w="3608" w:type="dxa"/>
            <w:tcBorders>
              <w:top w:val="nil"/>
              <w:left w:val="nil"/>
              <w:bottom w:val="single" w:sz="4" w:space="0" w:color="000000"/>
              <w:right w:val="single" w:sz="4" w:space="0" w:color="000000"/>
            </w:tcBorders>
            <w:shd w:val="clear" w:color="auto" w:fill="auto"/>
            <w:hideMark/>
          </w:tcPr>
          <w:p w14:paraId="63D15F7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6298B2FD" w14:textId="77777777" w:rsidTr="00003CF2">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3C2D56D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2.3    Mobiliario y Equipo de Administración</w:t>
            </w:r>
          </w:p>
        </w:tc>
        <w:tc>
          <w:tcPr>
            <w:tcW w:w="3608" w:type="dxa"/>
            <w:tcBorders>
              <w:top w:val="nil"/>
              <w:left w:val="nil"/>
              <w:bottom w:val="single" w:sz="4" w:space="0" w:color="000000"/>
              <w:right w:val="single" w:sz="4" w:space="0" w:color="000000"/>
            </w:tcBorders>
            <w:shd w:val="clear" w:color="auto" w:fill="auto"/>
            <w:hideMark/>
          </w:tcPr>
          <w:p w14:paraId="326833D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2042CA0A" w14:textId="77777777" w:rsidTr="00003CF2">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17177A7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2.4    Mobiliario y Equipo Educacional y Recreativo</w:t>
            </w:r>
          </w:p>
        </w:tc>
        <w:tc>
          <w:tcPr>
            <w:tcW w:w="3608" w:type="dxa"/>
            <w:tcBorders>
              <w:top w:val="nil"/>
              <w:left w:val="nil"/>
              <w:bottom w:val="single" w:sz="4" w:space="0" w:color="000000"/>
              <w:right w:val="single" w:sz="4" w:space="0" w:color="000000"/>
            </w:tcBorders>
            <w:shd w:val="clear" w:color="auto" w:fill="auto"/>
            <w:hideMark/>
          </w:tcPr>
          <w:p w14:paraId="7AC2DA6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4D5467BD" w14:textId="77777777" w:rsidTr="00003CF2">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3D4DA2E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2.5    Equipo e Instrumental Médico y de Laboratorio</w:t>
            </w:r>
          </w:p>
        </w:tc>
        <w:tc>
          <w:tcPr>
            <w:tcW w:w="3608" w:type="dxa"/>
            <w:tcBorders>
              <w:top w:val="nil"/>
              <w:left w:val="nil"/>
              <w:bottom w:val="single" w:sz="4" w:space="0" w:color="000000"/>
              <w:right w:val="single" w:sz="4" w:space="0" w:color="000000"/>
            </w:tcBorders>
            <w:shd w:val="clear" w:color="auto" w:fill="auto"/>
            <w:hideMark/>
          </w:tcPr>
          <w:p w14:paraId="666F0D0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1637A6B7" w14:textId="77777777" w:rsidTr="00003CF2">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3A1CAA7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2.6    Vehículos y Equipo de Transporte</w:t>
            </w:r>
          </w:p>
        </w:tc>
        <w:tc>
          <w:tcPr>
            <w:tcW w:w="3608" w:type="dxa"/>
            <w:tcBorders>
              <w:top w:val="nil"/>
              <w:left w:val="nil"/>
              <w:bottom w:val="single" w:sz="4" w:space="0" w:color="000000"/>
              <w:right w:val="single" w:sz="4" w:space="0" w:color="000000"/>
            </w:tcBorders>
            <w:shd w:val="clear" w:color="auto" w:fill="auto"/>
            <w:hideMark/>
          </w:tcPr>
          <w:p w14:paraId="78C41A7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0BB329C5" w14:textId="77777777" w:rsidTr="00003CF2">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7003748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2.7    Equipo de Defensa y Seguridad</w:t>
            </w:r>
          </w:p>
        </w:tc>
        <w:tc>
          <w:tcPr>
            <w:tcW w:w="3608" w:type="dxa"/>
            <w:tcBorders>
              <w:top w:val="nil"/>
              <w:left w:val="nil"/>
              <w:bottom w:val="single" w:sz="4" w:space="0" w:color="000000"/>
              <w:right w:val="single" w:sz="4" w:space="0" w:color="000000"/>
            </w:tcBorders>
            <w:shd w:val="clear" w:color="auto" w:fill="auto"/>
            <w:hideMark/>
          </w:tcPr>
          <w:p w14:paraId="4F9B164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708E4D11" w14:textId="77777777" w:rsidTr="00003CF2">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73561AF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2.8    Maquinaria, Otros Equipos y Herramientas</w:t>
            </w:r>
          </w:p>
        </w:tc>
        <w:tc>
          <w:tcPr>
            <w:tcW w:w="3608" w:type="dxa"/>
            <w:tcBorders>
              <w:top w:val="nil"/>
              <w:left w:val="nil"/>
              <w:bottom w:val="single" w:sz="4" w:space="0" w:color="000000"/>
              <w:right w:val="single" w:sz="4" w:space="0" w:color="000000"/>
            </w:tcBorders>
            <w:shd w:val="clear" w:color="auto" w:fill="auto"/>
            <w:hideMark/>
          </w:tcPr>
          <w:p w14:paraId="495582F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038B723B" w14:textId="77777777" w:rsidTr="00003CF2">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1E2F716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2.9    Activos Biológicos</w:t>
            </w:r>
          </w:p>
        </w:tc>
        <w:tc>
          <w:tcPr>
            <w:tcW w:w="3608" w:type="dxa"/>
            <w:tcBorders>
              <w:top w:val="nil"/>
              <w:left w:val="nil"/>
              <w:bottom w:val="single" w:sz="4" w:space="0" w:color="000000"/>
              <w:right w:val="single" w:sz="4" w:space="0" w:color="000000"/>
            </w:tcBorders>
            <w:shd w:val="clear" w:color="auto" w:fill="auto"/>
            <w:hideMark/>
          </w:tcPr>
          <w:p w14:paraId="1D1D2E7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7B93E3C8" w14:textId="77777777" w:rsidTr="00003CF2">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17A9F85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2.10  Bienes Inmuebles</w:t>
            </w:r>
          </w:p>
        </w:tc>
        <w:tc>
          <w:tcPr>
            <w:tcW w:w="3608" w:type="dxa"/>
            <w:tcBorders>
              <w:top w:val="nil"/>
              <w:left w:val="nil"/>
              <w:bottom w:val="single" w:sz="4" w:space="0" w:color="000000"/>
              <w:right w:val="single" w:sz="4" w:space="0" w:color="000000"/>
            </w:tcBorders>
            <w:shd w:val="clear" w:color="auto" w:fill="auto"/>
            <w:hideMark/>
          </w:tcPr>
          <w:p w14:paraId="6EA99A5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25961C3F" w14:textId="77777777" w:rsidTr="00003CF2">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7396758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2.11  Activos Intangibles</w:t>
            </w:r>
          </w:p>
        </w:tc>
        <w:tc>
          <w:tcPr>
            <w:tcW w:w="3608" w:type="dxa"/>
            <w:tcBorders>
              <w:top w:val="nil"/>
              <w:left w:val="nil"/>
              <w:bottom w:val="single" w:sz="4" w:space="0" w:color="000000"/>
              <w:right w:val="single" w:sz="4" w:space="0" w:color="000000"/>
            </w:tcBorders>
            <w:shd w:val="clear" w:color="auto" w:fill="auto"/>
            <w:hideMark/>
          </w:tcPr>
          <w:p w14:paraId="6E2892D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33DE8208" w14:textId="77777777" w:rsidTr="00003CF2">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0AC6642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2.12  Obra Pública en Bienes de Dominio Público</w:t>
            </w:r>
          </w:p>
        </w:tc>
        <w:tc>
          <w:tcPr>
            <w:tcW w:w="3608" w:type="dxa"/>
            <w:tcBorders>
              <w:top w:val="nil"/>
              <w:left w:val="nil"/>
              <w:bottom w:val="single" w:sz="4" w:space="0" w:color="000000"/>
              <w:right w:val="single" w:sz="4" w:space="0" w:color="000000"/>
            </w:tcBorders>
            <w:shd w:val="clear" w:color="auto" w:fill="auto"/>
            <w:hideMark/>
          </w:tcPr>
          <w:p w14:paraId="77FCAF5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4DEA104B" w14:textId="77777777" w:rsidTr="00003CF2">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7A2F2B0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2.13  Obra Pública en Bienes Propios</w:t>
            </w:r>
          </w:p>
        </w:tc>
        <w:tc>
          <w:tcPr>
            <w:tcW w:w="3608" w:type="dxa"/>
            <w:tcBorders>
              <w:top w:val="nil"/>
              <w:left w:val="nil"/>
              <w:bottom w:val="single" w:sz="4" w:space="0" w:color="000000"/>
              <w:right w:val="single" w:sz="4" w:space="0" w:color="000000"/>
            </w:tcBorders>
            <w:shd w:val="clear" w:color="auto" w:fill="auto"/>
            <w:hideMark/>
          </w:tcPr>
          <w:p w14:paraId="7E924EE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12606E57" w14:textId="77777777" w:rsidTr="00003CF2">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277FEA6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2.14  Acciones y Participaciones de Capital</w:t>
            </w:r>
          </w:p>
        </w:tc>
        <w:tc>
          <w:tcPr>
            <w:tcW w:w="3608" w:type="dxa"/>
            <w:tcBorders>
              <w:top w:val="nil"/>
              <w:left w:val="nil"/>
              <w:bottom w:val="single" w:sz="4" w:space="0" w:color="000000"/>
              <w:right w:val="single" w:sz="4" w:space="0" w:color="000000"/>
            </w:tcBorders>
            <w:shd w:val="clear" w:color="auto" w:fill="auto"/>
            <w:hideMark/>
          </w:tcPr>
          <w:p w14:paraId="714F82F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6346F625" w14:textId="77777777" w:rsidTr="00003CF2">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1875B80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2.15  Compra de Títulos y Valores</w:t>
            </w:r>
          </w:p>
        </w:tc>
        <w:tc>
          <w:tcPr>
            <w:tcW w:w="3608" w:type="dxa"/>
            <w:tcBorders>
              <w:top w:val="nil"/>
              <w:left w:val="nil"/>
              <w:bottom w:val="single" w:sz="4" w:space="0" w:color="000000"/>
              <w:right w:val="single" w:sz="4" w:space="0" w:color="000000"/>
            </w:tcBorders>
            <w:shd w:val="clear" w:color="auto" w:fill="auto"/>
            <w:hideMark/>
          </w:tcPr>
          <w:p w14:paraId="7721B5C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17BFD52A" w14:textId="77777777" w:rsidTr="00003CF2">
        <w:trPr>
          <w:trHeight w:val="525"/>
          <w:jc w:val="center"/>
        </w:trPr>
        <w:tc>
          <w:tcPr>
            <w:tcW w:w="7160" w:type="dxa"/>
            <w:tcBorders>
              <w:top w:val="nil"/>
              <w:left w:val="single" w:sz="4" w:space="0" w:color="000000"/>
              <w:bottom w:val="single" w:sz="4" w:space="0" w:color="auto"/>
              <w:right w:val="single" w:sz="4" w:space="0" w:color="000000"/>
            </w:tcBorders>
            <w:shd w:val="clear" w:color="auto" w:fill="auto"/>
            <w:hideMark/>
          </w:tcPr>
          <w:p w14:paraId="345DD07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2.16  Concesión de Préstamos</w:t>
            </w:r>
          </w:p>
        </w:tc>
        <w:tc>
          <w:tcPr>
            <w:tcW w:w="3608" w:type="dxa"/>
            <w:tcBorders>
              <w:top w:val="nil"/>
              <w:left w:val="nil"/>
              <w:bottom w:val="single" w:sz="4" w:space="0" w:color="auto"/>
              <w:right w:val="single" w:sz="4" w:space="0" w:color="000000"/>
            </w:tcBorders>
            <w:shd w:val="clear" w:color="auto" w:fill="auto"/>
            <w:hideMark/>
          </w:tcPr>
          <w:p w14:paraId="0E135C1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7CD09E31" w14:textId="77777777" w:rsidTr="00003CF2">
        <w:trPr>
          <w:trHeight w:val="417"/>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35616FB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2.17  Inversiones en Fideicomisos, Mandatos y Otros Análogos</w:t>
            </w:r>
          </w:p>
        </w:tc>
        <w:tc>
          <w:tcPr>
            <w:tcW w:w="3608" w:type="dxa"/>
            <w:tcBorders>
              <w:top w:val="single" w:sz="4" w:space="0" w:color="auto"/>
              <w:left w:val="single" w:sz="4" w:space="0" w:color="auto"/>
              <w:bottom w:val="single" w:sz="4" w:space="0" w:color="auto"/>
              <w:right w:val="single" w:sz="4" w:space="0" w:color="000000"/>
            </w:tcBorders>
            <w:shd w:val="clear" w:color="auto" w:fill="auto"/>
            <w:hideMark/>
          </w:tcPr>
          <w:p w14:paraId="7606C56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323D04C7" w14:textId="77777777" w:rsidTr="00003CF2">
        <w:trPr>
          <w:trHeight w:val="52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6A51B59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2.18  Provisiones para Contingencias y Otras Erogaciones Especiales</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14:paraId="5BB10C9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122329C8" w14:textId="77777777" w:rsidTr="00003CF2">
        <w:trPr>
          <w:trHeight w:val="417"/>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69ED0CC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2.19  Amortización de la Deuda Pública</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14:paraId="4610EB6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13883E9F" w14:textId="77777777" w:rsidTr="00003CF2">
        <w:trPr>
          <w:trHeight w:val="52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6A0697F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2.20  Adeudos de Ejercicios Fiscales Anteriores (ADEFAS)</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14:paraId="1A002B4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5B7B121E" w14:textId="77777777" w:rsidTr="00003CF2">
        <w:trPr>
          <w:trHeight w:val="40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6CD723B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2.21  Otros Egresos Presupuestarios No Contables</w:t>
            </w:r>
          </w:p>
        </w:tc>
        <w:tc>
          <w:tcPr>
            <w:tcW w:w="3608" w:type="dxa"/>
            <w:tcBorders>
              <w:top w:val="single" w:sz="4" w:space="0" w:color="auto"/>
              <w:left w:val="nil"/>
              <w:bottom w:val="single" w:sz="4" w:space="0" w:color="auto"/>
              <w:right w:val="single" w:sz="4" w:space="0" w:color="auto"/>
            </w:tcBorders>
            <w:shd w:val="clear" w:color="auto" w:fill="auto"/>
            <w:hideMark/>
          </w:tcPr>
          <w:p w14:paraId="1482080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69110AD0" w14:textId="77777777" w:rsidTr="00003CF2">
        <w:trPr>
          <w:trHeight w:val="300"/>
          <w:jc w:val="center"/>
        </w:trPr>
        <w:tc>
          <w:tcPr>
            <w:tcW w:w="7160" w:type="dxa"/>
            <w:tcBorders>
              <w:top w:val="single" w:sz="4" w:space="0" w:color="auto"/>
              <w:left w:val="nil"/>
              <w:bottom w:val="nil"/>
              <w:right w:val="nil"/>
            </w:tcBorders>
            <w:shd w:val="clear" w:color="auto" w:fill="auto"/>
            <w:hideMark/>
          </w:tcPr>
          <w:p w14:paraId="1B72E25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c>
          <w:tcPr>
            <w:tcW w:w="3608" w:type="dxa"/>
            <w:tcBorders>
              <w:top w:val="single" w:sz="4" w:space="0" w:color="auto"/>
              <w:left w:val="nil"/>
              <w:bottom w:val="nil"/>
              <w:right w:val="nil"/>
            </w:tcBorders>
            <w:shd w:val="clear" w:color="auto" w:fill="auto"/>
            <w:hideMark/>
          </w:tcPr>
          <w:p w14:paraId="2162DEF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r>
      <w:tr w:rsidR="00112BC6" w:rsidRPr="00112BC6" w14:paraId="54B15B72" w14:textId="77777777" w:rsidTr="00003CF2">
        <w:trPr>
          <w:trHeight w:val="25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4DD8C047"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3. Más Gastos Contables No Presupuestarios</w:t>
            </w:r>
          </w:p>
        </w:tc>
        <w:tc>
          <w:tcPr>
            <w:tcW w:w="3608" w:type="dxa"/>
            <w:tcBorders>
              <w:top w:val="single" w:sz="4" w:space="0" w:color="auto"/>
              <w:left w:val="nil"/>
              <w:bottom w:val="single" w:sz="4" w:space="0" w:color="auto"/>
              <w:right w:val="single" w:sz="4" w:space="0" w:color="auto"/>
            </w:tcBorders>
            <w:shd w:val="clear" w:color="auto" w:fill="auto"/>
            <w:hideMark/>
          </w:tcPr>
          <w:p w14:paraId="0F554128"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 $                                                         -   </w:t>
            </w:r>
          </w:p>
        </w:tc>
      </w:tr>
      <w:tr w:rsidR="00112BC6" w:rsidRPr="00112BC6" w14:paraId="5D7F584C" w14:textId="77777777" w:rsidTr="00003CF2">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330DFBE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3.1  Estimaciones, Depreciaciones, Deterioros, Obsolescencia y Amortizaciones</w:t>
            </w:r>
          </w:p>
        </w:tc>
        <w:tc>
          <w:tcPr>
            <w:tcW w:w="3608" w:type="dxa"/>
            <w:tcBorders>
              <w:top w:val="nil"/>
              <w:left w:val="nil"/>
              <w:bottom w:val="single" w:sz="4" w:space="0" w:color="000000"/>
              <w:right w:val="single" w:sz="4" w:space="0" w:color="000000"/>
            </w:tcBorders>
            <w:shd w:val="clear" w:color="auto" w:fill="auto"/>
            <w:hideMark/>
          </w:tcPr>
          <w:p w14:paraId="3A86B94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74D3F914" w14:textId="77777777" w:rsidTr="00003CF2">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796B449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3.2 Provisiones </w:t>
            </w:r>
          </w:p>
        </w:tc>
        <w:tc>
          <w:tcPr>
            <w:tcW w:w="3608" w:type="dxa"/>
            <w:tcBorders>
              <w:top w:val="nil"/>
              <w:left w:val="nil"/>
              <w:bottom w:val="single" w:sz="4" w:space="0" w:color="000000"/>
              <w:right w:val="single" w:sz="4" w:space="0" w:color="000000"/>
            </w:tcBorders>
            <w:shd w:val="clear" w:color="auto" w:fill="auto"/>
            <w:hideMark/>
          </w:tcPr>
          <w:p w14:paraId="2332F45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28BD6F51" w14:textId="77777777" w:rsidTr="00003CF2">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030767C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3.3    Disminución de Inventarios</w:t>
            </w:r>
          </w:p>
        </w:tc>
        <w:tc>
          <w:tcPr>
            <w:tcW w:w="3608" w:type="dxa"/>
            <w:tcBorders>
              <w:top w:val="nil"/>
              <w:left w:val="nil"/>
              <w:bottom w:val="single" w:sz="4" w:space="0" w:color="000000"/>
              <w:right w:val="single" w:sz="4" w:space="0" w:color="000000"/>
            </w:tcBorders>
            <w:shd w:val="clear" w:color="auto" w:fill="auto"/>
            <w:hideMark/>
          </w:tcPr>
          <w:p w14:paraId="4E26274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468B6815" w14:textId="77777777" w:rsidTr="00003CF2">
        <w:trPr>
          <w:trHeight w:val="480"/>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06643A7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3.4    Aumento   por    Insuficiencia   de   Estimaciones   por   Pérdida   o   Deterioro   u Obsolescencia</w:t>
            </w:r>
          </w:p>
        </w:tc>
        <w:tc>
          <w:tcPr>
            <w:tcW w:w="3608" w:type="dxa"/>
            <w:tcBorders>
              <w:top w:val="nil"/>
              <w:left w:val="nil"/>
              <w:bottom w:val="single" w:sz="4" w:space="0" w:color="000000"/>
              <w:right w:val="single" w:sz="4" w:space="0" w:color="000000"/>
            </w:tcBorders>
            <w:shd w:val="clear" w:color="auto" w:fill="auto"/>
            <w:hideMark/>
          </w:tcPr>
          <w:p w14:paraId="4E23980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7926262E" w14:textId="77777777" w:rsidTr="00003CF2">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6D24C1E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3.5    Aumento por Insuficiencia de Provisiones</w:t>
            </w:r>
          </w:p>
        </w:tc>
        <w:tc>
          <w:tcPr>
            <w:tcW w:w="3608" w:type="dxa"/>
            <w:tcBorders>
              <w:top w:val="nil"/>
              <w:left w:val="nil"/>
              <w:bottom w:val="single" w:sz="4" w:space="0" w:color="000000"/>
              <w:right w:val="single" w:sz="4" w:space="0" w:color="000000"/>
            </w:tcBorders>
            <w:shd w:val="clear" w:color="auto" w:fill="auto"/>
            <w:hideMark/>
          </w:tcPr>
          <w:p w14:paraId="363061D6"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08EB27C4" w14:textId="77777777" w:rsidTr="00003CF2">
        <w:trPr>
          <w:trHeight w:val="417"/>
          <w:jc w:val="center"/>
        </w:trPr>
        <w:tc>
          <w:tcPr>
            <w:tcW w:w="7160" w:type="dxa"/>
            <w:tcBorders>
              <w:top w:val="nil"/>
              <w:left w:val="single" w:sz="4" w:space="0" w:color="000000"/>
              <w:bottom w:val="nil"/>
              <w:right w:val="single" w:sz="4" w:space="0" w:color="000000"/>
            </w:tcBorders>
            <w:shd w:val="clear" w:color="auto" w:fill="auto"/>
            <w:hideMark/>
          </w:tcPr>
          <w:p w14:paraId="4793B1F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3.6    Otros Gastos</w:t>
            </w:r>
          </w:p>
        </w:tc>
        <w:tc>
          <w:tcPr>
            <w:tcW w:w="3608" w:type="dxa"/>
            <w:tcBorders>
              <w:top w:val="nil"/>
              <w:left w:val="nil"/>
              <w:bottom w:val="nil"/>
              <w:right w:val="single" w:sz="4" w:space="0" w:color="000000"/>
            </w:tcBorders>
            <w:shd w:val="clear" w:color="auto" w:fill="auto"/>
            <w:hideMark/>
          </w:tcPr>
          <w:p w14:paraId="081E2E8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7D98B897" w14:textId="77777777" w:rsidTr="00003CF2">
        <w:trPr>
          <w:trHeight w:val="52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40614B5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3.7    Otros Gastos Contables No Presupuestarios</w:t>
            </w:r>
          </w:p>
        </w:tc>
        <w:tc>
          <w:tcPr>
            <w:tcW w:w="3608" w:type="dxa"/>
            <w:tcBorders>
              <w:top w:val="single" w:sz="4" w:space="0" w:color="auto"/>
              <w:left w:val="nil"/>
              <w:bottom w:val="single" w:sz="4" w:space="0" w:color="auto"/>
              <w:right w:val="single" w:sz="4" w:space="0" w:color="auto"/>
            </w:tcBorders>
            <w:shd w:val="clear" w:color="auto" w:fill="auto"/>
            <w:hideMark/>
          </w:tcPr>
          <w:p w14:paraId="6F93365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xml:space="preserve"> $                                                         -   </w:t>
            </w:r>
          </w:p>
        </w:tc>
      </w:tr>
      <w:tr w:rsidR="00112BC6" w:rsidRPr="00112BC6" w14:paraId="61EEB1D3" w14:textId="77777777" w:rsidTr="00003CF2">
        <w:trPr>
          <w:trHeight w:val="620"/>
          <w:jc w:val="center"/>
        </w:trPr>
        <w:tc>
          <w:tcPr>
            <w:tcW w:w="7160" w:type="dxa"/>
            <w:tcBorders>
              <w:top w:val="nil"/>
              <w:left w:val="nil"/>
              <w:bottom w:val="nil"/>
              <w:right w:val="nil"/>
            </w:tcBorders>
            <w:shd w:val="clear" w:color="auto" w:fill="auto"/>
            <w:hideMark/>
          </w:tcPr>
          <w:p w14:paraId="66EE64F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c>
          <w:tcPr>
            <w:tcW w:w="3608" w:type="dxa"/>
            <w:tcBorders>
              <w:top w:val="nil"/>
              <w:left w:val="nil"/>
              <w:bottom w:val="nil"/>
              <w:right w:val="nil"/>
            </w:tcBorders>
            <w:shd w:val="clear" w:color="auto" w:fill="auto"/>
            <w:hideMark/>
          </w:tcPr>
          <w:p w14:paraId="62A4A8D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c>
      </w:tr>
      <w:tr w:rsidR="00112BC6" w:rsidRPr="00112BC6" w14:paraId="1BCDD856" w14:textId="77777777" w:rsidTr="00003CF2">
        <w:trPr>
          <w:trHeight w:val="255"/>
          <w:jc w:val="center"/>
        </w:trPr>
        <w:tc>
          <w:tcPr>
            <w:tcW w:w="7160" w:type="dxa"/>
            <w:tcBorders>
              <w:top w:val="single" w:sz="4" w:space="0" w:color="auto"/>
              <w:left w:val="single" w:sz="4" w:space="0" w:color="auto"/>
              <w:bottom w:val="single" w:sz="4" w:space="0" w:color="auto"/>
              <w:right w:val="single" w:sz="4" w:space="0" w:color="auto"/>
            </w:tcBorders>
            <w:shd w:val="clear" w:color="000000" w:fill="C0C0C0"/>
            <w:hideMark/>
          </w:tcPr>
          <w:p w14:paraId="1D28C472"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4. Total de Gastos Contables</w:t>
            </w:r>
          </w:p>
        </w:tc>
        <w:tc>
          <w:tcPr>
            <w:tcW w:w="3608" w:type="dxa"/>
            <w:tcBorders>
              <w:top w:val="single" w:sz="4" w:space="0" w:color="auto"/>
              <w:left w:val="nil"/>
              <w:bottom w:val="single" w:sz="4" w:space="0" w:color="auto"/>
              <w:right w:val="single" w:sz="4" w:space="0" w:color="auto"/>
            </w:tcBorders>
            <w:shd w:val="clear" w:color="000000" w:fill="BFBFBF"/>
            <w:hideMark/>
          </w:tcPr>
          <w:p w14:paraId="40050642"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                                $ 00.00</w:t>
            </w:r>
          </w:p>
        </w:tc>
      </w:tr>
    </w:tbl>
    <w:p w14:paraId="42F1243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bookmarkStart w:id="7" w:name="m25"/>
      <w:bookmarkEnd w:id="7"/>
    </w:p>
    <w:p w14:paraId="38077566"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p w14:paraId="112FA9F7"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p w14:paraId="6C982F6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255ECDD2"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c) NOTAS DE MEMORIA (cuentas de orden)</w:t>
      </w:r>
    </w:p>
    <w:p w14:paraId="410AB7A6"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p>
    <w:p w14:paraId="5334244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fideicomiso no utiliza cuentas de orden contables y cuentas de orden presupuestales, ya que no cotiza en la bolsa mexicana de valores.</w:t>
      </w:r>
    </w:p>
    <w:p w14:paraId="1260DB3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
          <w:bCs/>
          <w:sz w:val="20"/>
          <w:szCs w:val="20"/>
        </w:rPr>
        <w:t>Cuentas contables de orden y presupuestarias</w:t>
      </w:r>
      <w:r w:rsidRPr="00112BC6">
        <w:rPr>
          <w:rFonts w:ascii="Lato" w:hAnsi="Lato" w:cs="Arial"/>
          <w:bCs/>
          <w:sz w:val="20"/>
          <w:szCs w:val="20"/>
        </w:rPr>
        <w:t>:</w:t>
      </w:r>
    </w:p>
    <w:p w14:paraId="28C6868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Contables:</w:t>
      </w:r>
    </w:p>
    <w:p w14:paraId="6323AFB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-Cuentas de valores: Este mes no aplica para el fideicomiso.</w:t>
      </w:r>
    </w:p>
    <w:p w14:paraId="6B184AE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-Emisión de obligaciones: Este mes no aplica para el fideicomiso.</w:t>
      </w:r>
    </w:p>
    <w:p w14:paraId="1DFD865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-Avales y garantía: Este mes no aplica para el fideicomiso.</w:t>
      </w:r>
    </w:p>
    <w:p w14:paraId="2216662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-Juicios: Este mes no aplica para el fideicomiso.</w:t>
      </w:r>
    </w:p>
    <w:p w14:paraId="505AD89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-Contratos para la inversión Mediante Proyectos para Prestación de Servicios (PPS) y Similares: Este mes no aplica para el fideicomiso.</w:t>
      </w:r>
    </w:p>
    <w:p w14:paraId="4834DA1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-Bienes concesionados o en comodato: No aplica para este fideicomiso</w:t>
      </w:r>
    </w:p>
    <w:p w14:paraId="2E9ED8F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1EF6D30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
          <w:bCs/>
          <w:sz w:val="20"/>
          <w:szCs w:val="20"/>
        </w:rPr>
        <w:t>Cuentas contables presupuestarias</w:t>
      </w:r>
      <w:r w:rsidRPr="00112BC6">
        <w:rPr>
          <w:rFonts w:ascii="Lato" w:hAnsi="Lato" w:cs="Arial"/>
          <w:bCs/>
          <w:sz w:val="20"/>
          <w:szCs w:val="20"/>
        </w:rPr>
        <w:t>:</w:t>
      </w:r>
      <w:bookmarkStart w:id="8" w:name="m16"/>
      <w:bookmarkStart w:id="9" w:name="m15"/>
      <w:bookmarkEnd w:id="8"/>
      <w:bookmarkEnd w:id="9"/>
      <w:r w:rsidRPr="00112BC6">
        <w:rPr>
          <w:rFonts w:ascii="Lato" w:hAnsi="Lato" w:cs="Arial"/>
          <w:bCs/>
          <w:sz w:val="20"/>
          <w:szCs w:val="20"/>
        </w:rPr>
        <w:t xml:space="preserve"> </w:t>
      </w:r>
    </w:p>
    <w:p w14:paraId="7E097B3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Este fideicomiso se basa en la Ley de Ingresos y Presupuesto de Egresos, utiliza las cuentas de orden presupuestarias en los estados financieros: Ampliación/Reducción, Modificado, Devengado, Pagado. (acumulado)</w:t>
      </w:r>
    </w:p>
    <w:p w14:paraId="4CC8F37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54316AF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Al mes de marzo 2026 los importes del analítico de ingresos fueron los siguientes:</w:t>
      </w:r>
    </w:p>
    <w:p w14:paraId="06E11877"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bl>
      <w:tblPr>
        <w:tblStyle w:val="Tablaconcuadrcula"/>
        <w:tblW w:w="0" w:type="auto"/>
        <w:tblLook w:val="04A0" w:firstRow="1" w:lastRow="0" w:firstColumn="1" w:lastColumn="0" w:noHBand="0" w:noVBand="1"/>
      </w:tblPr>
      <w:tblGrid>
        <w:gridCol w:w="4905"/>
        <w:gridCol w:w="1455"/>
      </w:tblGrid>
      <w:tr w:rsidR="00112BC6" w:rsidRPr="00112BC6" w14:paraId="7D3ED644" w14:textId="77777777" w:rsidTr="00003CF2">
        <w:trPr>
          <w:trHeight w:val="315"/>
        </w:trPr>
        <w:tc>
          <w:tcPr>
            <w:tcW w:w="6360" w:type="dxa"/>
            <w:gridSpan w:val="2"/>
            <w:shd w:val="clear" w:color="auto" w:fill="A6A6A6" w:themeFill="background1" w:themeFillShade="A6"/>
            <w:noWrap/>
            <w:hideMark/>
          </w:tcPr>
          <w:p w14:paraId="04745072"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Cuentas de Orden Presupuestarias de Ingresos 2025</w:t>
            </w:r>
          </w:p>
        </w:tc>
      </w:tr>
      <w:tr w:rsidR="00112BC6" w:rsidRPr="00112BC6" w14:paraId="625980E6" w14:textId="77777777" w:rsidTr="00003CF2">
        <w:trPr>
          <w:trHeight w:val="315"/>
        </w:trPr>
        <w:tc>
          <w:tcPr>
            <w:tcW w:w="4905" w:type="dxa"/>
            <w:shd w:val="clear" w:color="auto" w:fill="D9D9D9" w:themeFill="background1" w:themeFillShade="D9"/>
            <w:noWrap/>
            <w:hideMark/>
          </w:tcPr>
          <w:p w14:paraId="6EAED906"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Concepto</w:t>
            </w:r>
          </w:p>
        </w:tc>
        <w:tc>
          <w:tcPr>
            <w:tcW w:w="1455" w:type="dxa"/>
            <w:shd w:val="clear" w:color="auto" w:fill="D9D9D9" w:themeFill="background1" w:themeFillShade="D9"/>
            <w:noWrap/>
            <w:hideMark/>
          </w:tcPr>
          <w:p w14:paraId="44C8B1CB"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diciembre</w:t>
            </w:r>
          </w:p>
        </w:tc>
      </w:tr>
      <w:tr w:rsidR="00112BC6" w:rsidRPr="00112BC6" w14:paraId="0BBA58AE" w14:textId="77777777" w:rsidTr="00003CF2">
        <w:trPr>
          <w:trHeight w:val="300"/>
        </w:trPr>
        <w:tc>
          <w:tcPr>
            <w:tcW w:w="4905" w:type="dxa"/>
            <w:noWrap/>
            <w:hideMark/>
          </w:tcPr>
          <w:p w14:paraId="1EB2F4B0"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Presupuestos de ingreso estimado</w:t>
            </w:r>
          </w:p>
        </w:tc>
        <w:tc>
          <w:tcPr>
            <w:tcW w:w="1455" w:type="dxa"/>
            <w:noWrap/>
            <w:hideMark/>
          </w:tcPr>
          <w:p w14:paraId="5261C47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 00.00</w:t>
            </w:r>
          </w:p>
        </w:tc>
      </w:tr>
      <w:tr w:rsidR="00112BC6" w:rsidRPr="00112BC6" w14:paraId="46791471" w14:textId="77777777" w:rsidTr="00003CF2">
        <w:trPr>
          <w:trHeight w:val="300"/>
        </w:trPr>
        <w:tc>
          <w:tcPr>
            <w:tcW w:w="4905" w:type="dxa"/>
            <w:noWrap/>
            <w:hideMark/>
          </w:tcPr>
          <w:p w14:paraId="06E8CA1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Presupuestos de ingreso ejecutado</w:t>
            </w:r>
          </w:p>
        </w:tc>
        <w:tc>
          <w:tcPr>
            <w:tcW w:w="1455" w:type="dxa"/>
            <w:noWrap/>
            <w:hideMark/>
          </w:tcPr>
          <w:p w14:paraId="2B9D23F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25.21</w:t>
            </w:r>
          </w:p>
        </w:tc>
      </w:tr>
      <w:tr w:rsidR="00112BC6" w:rsidRPr="00112BC6" w14:paraId="773577B8" w14:textId="77777777" w:rsidTr="00003CF2">
        <w:trPr>
          <w:trHeight w:val="300"/>
        </w:trPr>
        <w:tc>
          <w:tcPr>
            <w:tcW w:w="4905" w:type="dxa"/>
            <w:noWrap/>
            <w:hideMark/>
          </w:tcPr>
          <w:p w14:paraId="2E1213D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Presupuestos de ingreso devengado</w:t>
            </w:r>
          </w:p>
        </w:tc>
        <w:tc>
          <w:tcPr>
            <w:tcW w:w="1455" w:type="dxa"/>
            <w:noWrap/>
            <w:hideMark/>
          </w:tcPr>
          <w:p w14:paraId="0690AC7A"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25.21</w:t>
            </w:r>
          </w:p>
        </w:tc>
      </w:tr>
      <w:tr w:rsidR="00112BC6" w:rsidRPr="00112BC6" w14:paraId="39AA8241" w14:textId="77777777" w:rsidTr="00003CF2">
        <w:trPr>
          <w:trHeight w:val="300"/>
        </w:trPr>
        <w:tc>
          <w:tcPr>
            <w:tcW w:w="4905" w:type="dxa"/>
            <w:noWrap/>
            <w:hideMark/>
          </w:tcPr>
          <w:p w14:paraId="593EBEE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Presupuestos de ingreso recaudado</w:t>
            </w:r>
          </w:p>
        </w:tc>
        <w:tc>
          <w:tcPr>
            <w:tcW w:w="1455" w:type="dxa"/>
            <w:noWrap/>
            <w:hideMark/>
          </w:tcPr>
          <w:p w14:paraId="572ECE3B"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25.21</w:t>
            </w:r>
          </w:p>
        </w:tc>
      </w:tr>
    </w:tbl>
    <w:p w14:paraId="5D53C2C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p w14:paraId="7163BA2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Y en el analítico del ejercicio del presupuesto de egresos al mes de diciembre del 2023 los importes fueron los siguientes:</w:t>
      </w:r>
    </w:p>
    <w:p w14:paraId="19E9926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p>
    <w:tbl>
      <w:tblPr>
        <w:tblW w:w="6360" w:type="dxa"/>
        <w:tblCellMar>
          <w:left w:w="70" w:type="dxa"/>
          <w:right w:w="70" w:type="dxa"/>
        </w:tblCellMar>
        <w:tblLook w:val="04A0" w:firstRow="1" w:lastRow="0" w:firstColumn="1" w:lastColumn="0" w:noHBand="0" w:noVBand="1"/>
      </w:tblPr>
      <w:tblGrid>
        <w:gridCol w:w="4998"/>
        <w:gridCol w:w="1362"/>
      </w:tblGrid>
      <w:tr w:rsidR="00112BC6" w:rsidRPr="00112BC6" w14:paraId="4065F5F3" w14:textId="77777777" w:rsidTr="00003CF2">
        <w:trPr>
          <w:trHeight w:val="315"/>
        </w:trPr>
        <w:tc>
          <w:tcPr>
            <w:tcW w:w="6360"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30A18B33"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Cuentas de Orden Presupuestarias de Egresos 2023</w:t>
            </w:r>
          </w:p>
        </w:tc>
      </w:tr>
      <w:tr w:rsidR="00112BC6" w:rsidRPr="00112BC6" w14:paraId="3C139A5D" w14:textId="77777777" w:rsidTr="00003CF2">
        <w:trPr>
          <w:trHeight w:val="315"/>
        </w:trPr>
        <w:tc>
          <w:tcPr>
            <w:tcW w:w="4998" w:type="dxa"/>
            <w:tcBorders>
              <w:top w:val="nil"/>
              <w:left w:val="single" w:sz="8" w:space="0" w:color="auto"/>
              <w:bottom w:val="nil"/>
              <w:right w:val="single" w:sz="8" w:space="0" w:color="auto"/>
            </w:tcBorders>
            <w:shd w:val="clear" w:color="auto" w:fill="D9D9D9" w:themeFill="background1" w:themeFillShade="D9"/>
            <w:noWrap/>
            <w:vAlign w:val="bottom"/>
            <w:hideMark/>
          </w:tcPr>
          <w:p w14:paraId="22993DA0"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Concepto</w:t>
            </w:r>
          </w:p>
        </w:tc>
        <w:tc>
          <w:tcPr>
            <w:tcW w:w="1362" w:type="dxa"/>
            <w:tcBorders>
              <w:top w:val="nil"/>
              <w:left w:val="nil"/>
              <w:bottom w:val="nil"/>
              <w:right w:val="single" w:sz="8" w:space="0" w:color="auto"/>
            </w:tcBorders>
            <w:shd w:val="clear" w:color="auto" w:fill="D9D9D9" w:themeFill="background1" w:themeFillShade="D9"/>
            <w:noWrap/>
            <w:vAlign w:val="bottom"/>
            <w:hideMark/>
          </w:tcPr>
          <w:p w14:paraId="6BDDEE80" w14:textId="77777777" w:rsidR="00112BC6" w:rsidRPr="00112BC6" w:rsidRDefault="00112BC6" w:rsidP="00112BC6">
            <w:pPr>
              <w:autoSpaceDE w:val="0"/>
              <w:autoSpaceDN w:val="0"/>
              <w:adjustRightInd w:val="0"/>
              <w:spacing w:line="360" w:lineRule="auto"/>
              <w:jc w:val="both"/>
              <w:rPr>
                <w:rFonts w:ascii="Lato" w:hAnsi="Lato" w:cs="Arial"/>
                <w:b/>
                <w:bCs/>
                <w:sz w:val="20"/>
                <w:szCs w:val="20"/>
              </w:rPr>
            </w:pPr>
            <w:r w:rsidRPr="00112BC6">
              <w:rPr>
                <w:rFonts w:ascii="Lato" w:hAnsi="Lato" w:cs="Arial"/>
                <w:b/>
                <w:bCs/>
                <w:sz w:val="20"/>
                <w:szCs w:val="20"/>
              </w:rPr>
              <w:t xml:space="preserve">Diciembre </w:t>
            </w:r>
          </w:p>
        </w:tc>
      </w:tr>
      <w:tr w:rsidR="00112BC6" w:rsidRPr="00112BC6" w14:paraId="32BB4107" w14:textId="77777777" w:rsidTr="00003CF2">
        <w:trPr>
          <w:trHeight w:val="300"/>
        </w:trPr>
        <w:tc>
          <w:tcPr>
            <w:tcW w:w="499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715B0FC"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Presupuestos de egreso aprobado</w:t>
            </w:r>
          </w:p>
        </w:tc>
        <w:tc>
          <w:tcPr>
            <w:tcW w:w="1362" w:type="dxa"/>
            <w:tcBorders>
              <w:top w:val="single" w:sz="8" w:space="0" w:color="auto"/>
              <w:left w:val="nil"/>
              <w:bottom w:val="single" w:sz="4" w:space="0" w:color="auto"/>
              <w:right w:val="single" w:sz="8" w:space="0" w:color="auto"/>
            </w:tcBorders>
            <w:shd w:val="clear" w:color="auto" w:fill="auto"/>
            <w:noWrap/>
            <w:vAlign w:val="bottom"/>
            <w:hideMark/>
          </w:tcPr>
          <w:p w14:paraId="76338D28"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5E91754E" w14:textId="77777777" w:rsidTr="00003CF2">
        <w:trPr>
          <w:trHeight w:val="300"/>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54BA6902"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Presupuestos de egreso por ejercer</w:t>
            </w:r>
          </w:p>
        </w:tc>
        <w:tc>
          <w:tcPr>
            <w:tcW w:w="1362" w:type="dxa"/>
            <w:tcBorders>
              <w:top w:val="nil"/>
              <w:left w:val="nil"/>
              <w:bottom w:val="single" w:sz="4" w:space="0" w:color="auto"/>
              <w:right w:val="single" w:sz="8" w:space="0" w:color="auto"/>
            </w:tcBorders>
            <w:shd w:val="clear" w:color="auto" w:fill="auto"/>
            <w:noWrap/>
            <w:vAlign w:val="bottom"/>
            <w:hideMark/>
          </w:tcPr>
          <w:p w14:paraId="0E5B45CD"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68838FA9" w14:textId="77777777" w:rsidTr="00003CF2">
        <w:trPr>
          <w:trHeight w:val="300"/>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0D4E1525"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Presupuestos de egreso aprobado</w:t>
            </w:r>
          </w:p>
        </w:tc>
        <w:tc>
          <w:tcPr>
            <w:tcW w:w="1362" w:type="dxa"/>
            <w:tcBorders>
              <w:top w:val="nil"/>
              <w:left w:val="nil"/>
              <w:bottom w:val="single" w:sz="4" w:space="0" w:color="auto"/>
              <w:right w:val="single" w:sz="8" w:space="0" w:color="auto"/>
            </w:tcBorders>
            <w:shd w:val="clear" w:color="auto" w:fill="auto"/>
            <w:noWrap/>
            <w:hideMark/>
          </w:tcPr>
          <w:p w14:paraId="078DDDD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21881C39" w14:textId="77777777" w:rsidTr="00003CF2">
        <w:trPr>
          <w:trHeight w:val="300"/>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1A2B467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Presupuestos de egreso comprometido</w:t>
            </w:r>
          </w:p>
        </w:tc>
        <w:tc>
          <w:tcPr>
            <w:tcW w:w="1362" w:type="dxa"/>
            <w:tcBorders>
              <w:top w:val="nil"/>
              <w:left w:val="nil"/>
              <w:bottom w:val="single" w:sz="4" w:space="0" w:color="auto"/>
              <w:right w:val="single" w:sz="8" w:space="0" w:color="auto"/>
            </w:tcBorders>
            <w:shd w:val="clear" w:color="auto" w:fill="auto"/>
            <w:noWrap/>
            <w:hideMark/>
          </w:tcPr>
          <w:p w14:paraId="093A6D84"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237626EA" w14:textId="77777777" w:rsidTr="00003CF2">
        <w:trPr>
          <w:trHeight w:val="300"/>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7DAF842E"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Presupuestos de egreso devengado</w:t>
            </w:r>
          </w:p>
        </w:tc>
        <w:tc>
          <w:tcPr>
            <w:tcW w:w="1362" w:type="dxa"/>
            <w:tcBorders>
              <w:top w:val="nil"/>
              <w:left w:val="nil"/>
              <w:bottom w:val="nil"/>
              <w:right w:val="single" w:sz="8" w:space="0" w:color="auto"/>
            </w:tcBorders>
            <w:shd w:val="clear" w:color="auto" w:fill="auto"/>
            <w:noWrap/>
            <w:vAlign w:val="bottom"/>
            <w:hideMark/>
          </w:tcPr>
          <w:p w14:paraId="516ED1D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4B96C741" w14:textId="77777777" w:rsidTr="00003CF2">
        <w:trPr>
          <w:trHeight w:val="300"/>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06BF9CC1"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Presupuestos de egreso ejercido</w:t>
            </w:r>
          </w:p>
        </w:tc>
        <w:tc>
          <w:tcPr>
            <w:tcW w:w="1362" w:type="dxa"/>
            <w:tcBorders>
              <w:top w:val="single" w:sz="4" w:space="0" w:color="auto"/>
              <w:left w:val="nil"/>
              <w:bottom w:val="nil"/>
              <w:right w:val="single" w:sz="8" w:space="0" w:color="auto"/>
            </w:tcBorders>
            <w:shd w:val="clear" w:color="auto" w:fill="auto"/>
            <w:noWrap/>
            <w:vAlign w:val="bottom"/>
            <w:hideMark/>
          </w:tcPr>
          <w:p w14:paraId="7FED3EFF"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r w:rsidR="00112BC6" w:rsidRPr="00112BC6" w14:paraId="73D843EA" w14:textId="77777777" w:rsidTr="00003CF2">
        <w:trPr>
          <w:trHeight w:val="315"/>
        </w:trPr>
        <w:tc>
          <w:tcPr>
            <w:tcW w:w="4998" w:type="dxa"/>
            <w:tcBorders>
              <w:top w:val="nil"/>
              <w:left w:val="single" w:sz="8" w:space="0" w:color="auto"/>
              <w:bottom w:val="single" w:sz="8" w:space="0" w:color="auto"/>
              <w:right w:val="single" w:sz="8" w:space="0" w:color="auto"/>
            </w:tcBorders>
            <w:shd w:val="clear" w:color="auto" w:fill="auto"/>
            <w:noWrap/>
            <w:vAlign w:val="bottom"/>
            <w:hideMark/>
          </w:tcPr>
          <w:p w14:paraId="7266E3F3"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Presupuestos de ingreso pagado</w:t>
            </w:r>
          </w:p>
        </w:tc>
        <w:tc>
          <w:tcPr>
            <w:tcW w:w="1362" w:type="dxa"/>
            <w:tcBorders>
              <w:top w:val="single" w:sz="4" w:space="0" w:color="auto"/>
              <w:left w:val="nil"/>
              <w:bottom w:val="single" w:sz="8" w:space="0" w:color="auto"/>
              <w:right w:val="single" w:sz="8" w:space="0" w:color="auto"/>
            </w:tcBorders>
            <w:shd w:val="clear" w:color="auto" w:fill="auto"/>
            <w:noWrap/>
            <w:vAlign w:val="bottom"/>
            <w:hideMark/>
          </w:tcPr>
          <w:p w14:paraId="7043CB39" w14:textId="77777777" w:rsidR="00112BC6" w:rsidRPr="00112BC6" w:rsidRDefault="00112BC6" w:rsidP="00112BC6">
            <w:pPr>
              <w:autoSpaceDE w:val="0"/>
              <w:autoSpaceDN w:val="0"/>
              <w:adjustRightInd w:val="0"/>
              <w:spacing w:line="360" w:lineRule="auto"/>
              <w:jc w:val="both"/>
              <w:rPr>
                <w:rFonts w:ascii="Lato" w:hAnsi="Lato" w:cs="Arial"/>
                <w:bCs/>
                <w:sz w:val="20"/>
                <w:szCs w:val="20"/>
              </w:rPr>
            </w:pPr>
            <w:r w:rsidRPr="00112BC6">
              <w:rPr>
                <w:rFonts w:ascii="Lato" w:hAnsi="Lato" w:cs="Arial"/>
                <w:bCs/>
                <w:sz w:val="20"/>
                <w:szCs w:val="20"/>
              </w:rPr>
              <w:t>00.00</w:t>
            </w:r>
          </w:p>
        </w:tc>
      </w:tr>
    </w:tbl>
    <w:p w14:paraId="41A7230A" w14:textId="77777777" w:rsidR="00607D2C" w:rsidRPr="00082D18" w:rsidRDefault="00607D2C" w:rsidP="00393B0A">
      <w:pPr>
        <w:autoSpaceDE w:val="0"/>
        <w:autoSpaceDN w:val="0"/>
        <w:adjustRightInd w:val="0"/>
        <w:spacing w:line="360" w:lineRule="auto"/>
        <w:jc w:val="both"/>
        <w:rPr>
          <w:rFonts w:ascii="Lato" w:hAnsi="Lato" w:cs="Arial"/>
          <w:bCs/>
          <w:sz w:val="20"/>
          <w:szCs w:val="20"/>
        </w:rPr>
      </w:pPr>
    </w:p>
    <w:p w14:paraId="7E6289D9" w14:textId="66080EBC" w:rsidR="00607D2C" w:rsidRPr="00082D18" w:rsidRDefault="00D76208" w:rsidP="00D76208">
      <w:pPr>
        <w:jc w:val="both"/>
        <w:rPr>
          <w:rFonts w:ascii="Lato" w:hAnsi="Lato" w:cs="Arial"/>
          <w:b/>
          <w:sz w:val="20"/>
          <w:szCs w:val="20"/>
        </w:rPr>
      </w:pPr>
      <w:r w:rsidRPr="00082D18">
        <w:rPr>
          <w:rFonts w:ascii="Lato" w:hAnsi="Lato" w:cs="Arial"/>
          <w:color w:val="000000"/>
          <w:sz w:val="20"/>
          <w:szCs w:val="20"/>
          <w:lang w:eastAsia="es-MX"/>
        </w:rPr>
        <w:t>Bajo protesta de decir verdad declaramos que los Estados Financieros y sus Notas</w:t>
      </w:r>
      <w:r w:rsidR="00BB15FF">
        <w:rPr>
          <w:rFonts w:ascii="Lato" w:hAnsi="Lato" w:cs="Arial"/>
          <w:color w:val="000000"/>
          <w:sz w:val="20"/>
          <w:szCs w:val="20"/>
          <w:lang w:eastAsia="es-MX"/>
        </w:rPr>
        <w:t>,</w:t>
      </w:r>
      <w:r w:rsidRPr="00082D18">
        <w:rPr>
          <w:rFonts w:ascii="Lato" w:hAnsi="Lato" w:cs="Arial"/>
          <w:color w:val="000000"/>
          <w:sz w:val="20"/>
          <w:szCs w:val="20"/>
          <w:lang w:eastAsia="es-MX"/>
        </w:rPr>
        <w:t xml:space="preserve"> son razonablemente correctos y son responsabilidad del emisor.</w:t>
      </w:r>
    </w:p>
    <w:p w14:paraId="700E5376" w14:textId="77777777" w:rsidR="00607D2C" w:rsidRPr="00082D18" w:rsidRDefault="00607D2C" w:rsidP="00393B0A">
      <w:pPr>
        <w:autoSpaceDE w:val="0"/>
        <w:autoSpaceDN w:val="0"/>
        <w:adjustRightInd w:val="0"/>
        <w:spacing w:line="360" w:lineRule="auto"/>
        <w:jc w:val="both"/>
        <w:rPr>
          <w:rFonts w:ascii="Lato" w:hAnsi="Lato" w:cs="Arial"/>
          <w:bCs/>
          <w:sz w:val="20"/>
          <w:szCs w:val="20"/>
        </w:rPr>
      </w:pPr>
    </w:p>
    <w:p w14:paraId="7DB56DDE" w14:textId="77777777" w:rsidR="00607D2C" w:rsidRPr="00082D18" w:rsidRDefault="00607D2C" w:rsidP="00393B0A">
      <w:pPr>
        <w:autoSpaceDE w:val="0"/>
        <w:autoSpaceDN w:val="0"/>
        <w:adjustRightInd w:val="0"/>
        <w:spacing w:line="360" w:lineRule="auto"/>
        <w:jc w:val="both"/>
        <w:rPr>
          <w:rFonts w:ascii="Lato" w:hAnsi="Lato" w:cs="Arial"/>
          <w:bCs/>
          <w:sz w:val="20"/>
          <w:szCs w:val="20"/>
        </w:rPr>
      </w:pPr>
    </w:p>
    <w:p w14:paraId="4476C8D8" w14:textId="77777777" w:rsidR="00393B0A" w:rsidRPr="00082D18" w:rsidRDefault="00393B0A" w:rsidP="00393B0A">
      <w:pPr>
        <w:autoSpaceDE w:val="0"/>
        <w:autoSpaceDN w:val="0"/>
        <w:adjustRightInd w:val="0"/>
        <w:spacing w:line="360" w:lineRule="auto"/>
        <w:jc w:val="both"/>
        <w:rPr>
          <w:rFonts w:ascii="Lato" w:hAnsi="Lato" w:cs="Arial"/>
          <w:b/>
          <w:sz w:val="20"/>
          <w:szCs w:val="20"/>
        </w:rPr>
      </w:pPr>
    </w:p>
    <w:p w14:paraId="4441DE7F" w14:textId="77777777" w:rsidR="00D46EAA" w:rsidRPr="00082D18" w:rsidRDefault="00D46EAA" w:rsidP="00D46EAA">
      <w:pPr>
        <w:autoSpaceDE w:val="0"/>
        <w:autoSpaceDN w:val="0"/>
        <w:adjustRightInd w:val="0"/>
        <w:spacing w:line="360" w:lineRule="auto"/>
        <w:jc w:val="both"/>
        <w:rPr>
          <w:rFonts w:ascii="Lato" w:hAnsi="Lato" w:cs="Arial"/>
          <w:b/>
          <w:sz w:val="20"/>
          <w:szCs w:val="20"/>
        </w:rPr>
      </w:pPr>
    </w:p>
    <w:sectPr w:rsidR="00D46EAA" w:rsidRPr="00082D18" w:rsidSect="00082D18">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45BD"/>
    <w:multiLevelType w:val="hybridMultilevel"/>
    <w:tmpl w:val="32D8DB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B6255F"/>
    <w:multiLevelType w:val="hybridMultilevel"/>
    <w:tmpl w:val="AB0091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16CB3"/>
    <w:multiLevelType w:val="hybridMultilevel"/>
    <w:tmpl w:val="92401F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C96167A"/>
    <w:multiLevelType w:val="hybridMultilevel"/>
    <w:tmpl w:val="319A6B16"/>
    <w:lvl w:ilvl="0" w:tplc="5BCADB72">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9607CDA"/>
    <w:multiLevelType w:val="hybridMultilevel"/>
    <w:tmpl w:val="81F03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12"/>
    <w:rsid w:val="00004F99"/>
    <w:rsid w:val="000072A1"/>
    <w:rsid w:val="00027393"/>
    <w:rsid w:val="000579DE"/>
    <w:rsid w:val="00060F59"/>
    <w:rsid w:val="00070A0C"/>
    <w:rsid w:val="0007514F"/>
    <w:rsid w:val="000824C9"/>
    <w:rsid w:val="00082D18"/>
    <w:rsid w:val="00096059"/>
    <w:rsid w:val="000B6A05"/>
    <w:rsid w:val="000C2FFD"/>
    <w:rsid w:val="000C6B97"/>
    <w:rsid w:val="000D1413"/>
    <w:rsid w:val="000E2FAC"/>
    <w:rsid w:val="000E5EA0"/>
    <w:rsid w:val="00112BC6"/>
    <w:rsid w:val="0015448F"/>
    <w:rsid w:val="00167E7F"/>
    <w:rsid w:val="001729B1"/>
    <w:rsid w:val="001A7ED9"/>
    <w:rsid w:val="001B2F70"/>
    <w:rsid w:val="001C4257"/>
    <w:rsid w:val="001C71F4"/>
    <w:rsid w:val="001D0195"/>
    <w:rsid w:val="001D02B9"/>
    <w:rsid w:val="001D22CE"/>
    <w:rsid w:val="001D38A4"/>
    <w:rsid w:val="001E502F"/>
    <w:rsid w:val="001E71BB"/>
    <w:rsid w:val="002139BF"/>
    <w:rsid w:val="00232556"/>
    <w:rsid w:val="00251AD1"/>
    <w:rsid w:val="0025760B"/>
    <w:rsid w:val="0027272D"/>
    <w:rsid w:val="00277C17"/>
    <w:rsid w:val="002A2B1A"/>
    <w:rsid w:val="002B167A"/>
    <w:rsid w:val="002C4E69"/>
    <w:rsid w:val="002E04A9"/>
    <w:rsid w:val="00326C48"/>
    <w:rsid w:val="003273AF"/>
    <w:rsid w:val="003311AA"/>
    <w:rsid w:val="003312E5"/>
    <w:rsid w:val="00344EF3"/>
    <w:rsid w:val="003901E2"/>
    <w:rsid w:val="00393B0A"/>
    <w:rsid w:val="003B662C"/>
    <w:rsid w:val="003D2F19"/>
    <w:rsid w:val="003E1070"/>
    <w:rsid w:val="003E6622"/>
    <w:rsid w:val="003F475A"/>
    <w:rsid w:val="00400C8A"/>
    <w:rsid w:val="004056A6"/>
    <w:rsid w:val="0041393D"/>
    <w:rsid w:val="004336FC"/>
    <w:rsid w:val="0045214A"/>
    <w:rsid w:val="00455D47"/>
    <w:rsid w:val="00463E78"/>
    <w:rsid w:val="00474234"/>
    <w:rsid w:val="004A2422"/>
    <w:rsid w:val="004F1DF0"/>
    <w:rsid w:val="00507850"/>
    <w:rsid w:val="00507C75"/>
    <w:rsid w:val="005109E3"/>
    <w:rsid w:val="005234A0"/>
    <w:rsid w:val="005256C8"/>
    <w:rsid w:val="00534656"/>
    <w:rsid w:val="00566DDE"/>
    <w:rsid w:val="00567B16"/>
    <w:rsid w:val="005B0724"/>
    <w:rsid w:val="005B645C"/>
    <w:rsid w:val="005C3455"/>
    <w:rsid w:val="005F3811"/>
    <w:rsid w:val="00607D2C"/>
    <w:rsid w:val="00612A0E"/>
    <w:rsid w:val="00616F01"/>
    <w:rsid w:val="00645272"/>
    <w:rsid w:val="00670AE3"/>
    <w:rsid w:val="006B5EBF"/>
    <w:rsid w:val="006D5FD6"/>
    <w:rsid w:val="007016E2"/>
    <w:rsid w:val="007200AA"/>
    <w:rsid w:val="00760702"/>
    <w:rsid w:val="00791F41"/>
    <w:rsid w:val="00795427"/>
    <w:rsid w:val="007B00CA"/>
    <w:rsid w:val="007C3472"/>
    <w:rsid w:val="007C5536"/>
    <w:rsid w:val="007D1B73"/>
    <w:rsid w:val="007F6091"/>
    <w:rsid w:val="00803107"/>
    <w:rsid w:val="008173E9"/>
    <w:rsid w:val="00825FB0"/>
    <w:rsid w:val="008340C9"/>
    <w:rsid w:val="0084359E"/>
    <w:rsid w:val="0085696A"/>
    <w:rsid w:val="008A235F"/>
    <w:rsid w:val="008A6D40"/>
    <w:rsid w:val="008C6D71"/>
    <w:rsid w:val="008D48AA"/>
    <w:rsid w:val="008F01B9"/>
    <w:rsid w:val="00900BEA"/>
    <w:rsid w:val="0090168C"/>
    <w:rsid w:val="009266DE"/>
    <w:rsid w:val="00927A31"/>
    <w:rsid w:val="0093500B"/>
    <w:rsid w:val="009702CA"/>
    <w:rsid w:val="00974297"/>
    <w:rsid w:val="0097444E"/>
    <w:rsid w:val="00981D6E"/>
    <w:rsid w:val="009931D3"/>
    <w:rsid w:val="009B5CBB"/>
    <w:rsid w:val="009D22C7"/>
    <w:rsid w:val="009D4173"/>
    <w:rsid w:val="009F1CFF"/>
    <w:rsid w:val="009F4D77"/>
    <w:rsid w:val="00A0008E"/>
    <w:rsid w:val="00A00210"/>
    <w:rsid w:val="00A02599"/>
    <w:rsid w:val="00A04F13"/>
    <w:rsid w:val="00A40C77"/>
    <w:rsid w:val="00A44FAD"/>
    <w:rsid w:val="00A50EDD"/>
    <w:rsid w:val="00A50FEB"/>
    <w:rsid w:val="00A61569"/>
    <w:rsid w:val="00A6472C"/>
    <w:rsid w:val="00A65A09"/>
    <w:rsid w:val="00A7261E"/>
    <w:rsid w:val="00A9580F"/>
    <w:rsid w:val="00AA6246"/>
    <w:rsid w:val="00AD436C"/>
    <w:rsid w:val="00AD7CFD"/>
    <w:rsid w:val="00B05F9E"/>
    <w:rsid w:val="00B10FA8"/>
    <w:rsid w:val="00B1796F"/>
    <w:rsid w:val="00B30537"/>
    <w:rsid w:val="00B3216C"/>
    <w:rsid w:val="00B7145C"/>
    <w:rsid w:val="00B77BAB"/>
    <w:rsid w:val="00B822B0"/>
    <w:rsid w:val="00B92528"/>
    <w:rsid w:val="00B92E12"/>
    <w:rsid w:val="00BB15FF"/>
    <w:rsid w:val="00BE0443"/>
    <w:rsid w:val="00BF2453"/>
    <w:rsid w:val="00C03E17"/>
    <w:rsid w:val="00C1274C"/>
    <w:rsid w:val="00C17412"/>
    <w:rsid w:val="00C2455B"/>
    <w:rsid w:val="00C27C68"/>
    <w:rsid w:val="00C32E51"/>
    <w:rsid w:val="00C63609"/>
    <w:rsid w:val="00C9147D"/>
    <w:rsid w:val="00C9587B"/>
    <w:rsid w:val="00CA4B05"/>
    <w:rsid w:val="00CA56C1"/>
    <w:rsid w:val="00CB6969"/>
    <w:rsid w:val="00CC34B7"/>
    <w:rsid w:val="00CE51E0"/>
    <w:rsid w:val="00CF51DE"/>
    <w:rsid w:val="00D0238C"/>
    <w:rsid w:val="00D04E3C"/>
    <w:rsid w:val="00D2515A"/>
    <w:rsid w:val="00D46EAA"/>
    <w:rsid w:val="00D56DFE"/>
    <w:rsid w:val="00D76208"/>
    <w:rsid w:val="00D82D2E"/>
    <w:rsid w:val="00D861DA"/>
    <w:rsid w:val="00D93B08"/>
    <w:rsid w:val="00DA1412"/>
    <w:rsid w:val="00DA6E50"/>
    <w:rsid w:val="00E109EC"/>
    <w:rsid w:val="00E155E3"/>
    <w:rsid w:val="00E35060"/>
    <w:rsid w:val="00E748A3"/>
    <w:rsid w:val="00E8493E"/>
    <w:rsid w:val="00E97C01"/>
    <w:rsid w:val="00EC7E4B"/>
    <w:rsid w:val="00EF1BF6"/>
    <w:rsid w:val="00F02040"/>
    <w:rsid w:val="00F06CE7"/>
    <w:rsid w:val="00F22117"/>
    <w:rsid w:val="00F278BF"/>
    <w:rsid w:val="00F27B08"/>
    <w:rsid w:val="00F3346E"/>
    <w:rsid w:val="00F4039C"/>
    <w:rsid w:val="00F41979"/>
    <w:rsid w:val="00F43E83"/>
    <w:rsid w:val="00F54547"/>
    <w:rsid w:val="00F72F10"/>
    <w:rsid w:val="00FC2DFC"/>
    <w:rsid w:val="00FD40C0"/>
    <w:rsid w:val="00FE03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4EA7"/>
  <w15:chartTrackingRefBased/>
  <w15:docId w15:val="{8EB30895-D738-4709-AA4C-C871E302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1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7412"/>
    <w:pPr>
      <w:ind w:left="720"/>
      <w:contextualSpacing/>
    </w:pPr>
  </w:style>
  <w:style w:type="character" w:customStyle="1" w:styleId="TextoCar">
    <w:name w:val="Texto Car"/>
    <w:basedOn w:val="Fuentedeprrafopredeter"/>
    <w:link w:val="Texto"/>
    <w:locked/>
    <w:rsid w:val="007B00CA"/>
    <w:rPr>
      <w:rFonts w:ascii="Arial" w:hAnsi="Arial" w:cs="Arial"/>
    </w:rPr>
  </w:style>
  <w:style w:type="paragraph" w:customStyle="1" w:styleId="Texto">
    <w:name w:val="Texto"/>
    <w:basedOn w:val="Normal"/>
    <w:link w:val="TextoCar"/>
    <w:qFormat/>
    <w:rsid w:val="007B00CA"/>
    <w:pPr>
      <w:spacing w:after="101" w:line="216" w:lineRule="exact"/>
      <w:ind w:firstLine="288"/>
      <w:jc w:val="both"/>
    </w:pPr>
    <w:rPr>
      <w:rFonts w:ascii="Arial" w:eastAsiaTheme="minorHAnsi" w:hAnsi="Arial" w:cs="Arial"/>
      <w:sz w:val="22"/>
      <w:szCs w:val="22"/>
      <w:lang w:eastAsia="en-US"/>
    </w:rPr>
  </w:style>
  <w:style w:type="table" w:styleId="Tablaconcuadrcula">
    <w:name w:val="Table Grid"/>
    <w:basedOn w:val="Tablanormal"/>
    <w:uiPriority w:val="39"/>
    <w:rsid w:val="001D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7475">
      <w:bodyDiv w:val="1"/>
      <w:marLeft w:val="0"/>
      <w:marRight w:val="0"/>
      <w:marTop w:val="0"/>
      <w:marBottom w:val="0"/>
      <w:divBdr>
        <w:top w:val="none" w:sz="0" w:space="0" w:color="auto"/>
        <w:left w:val="none" w:sz="0" w:space="0" w:color="auto"/>
        <w:bottom w:val="none" w:sz="0" w:space="0" w:color="auto"/>
        <w:right w:val="none" w:sz="0" w:space="0" w:color="auto"/>
      </w:divBdr>
    </w:div>
    <w:div w:id="1236236301">
      <w:bodyDiv w:val="1"/>
      <w:marLeft w:val="0"/>
      <w:marRight w:val="0"/>
      <w:marTop w:val="0"/>
      <w:marBottom w:val="0"/>
      <w:divBdr>
        <w:top w:val="none" w:sz="0" w:space="0" w:color="auto"/>
        <w:left w:val="none" w:sz="0" w:space="0" w:color="auto"/>
        <w:bottom w:val="none" w:sz="0" w:space="0" w:color="auto"/>
        <w:right w:val="none" w:sz="0" w:space="0" w:color="auto"/>
      </w:divBdr>
    </w:div>
    <w:div w:id="173743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CFF21-8117-4998-BDDA-92A08BB1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3840</Words>
  <Characters>21126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María José Hernández Arroyo</dc:creator>
  <cp:keywords/>
  <dc:description/>
  <cp:lastModifiedBy>Alvar Ricardo Cachón Diaz</cp:lastModifiedBy>
  <cp:revision>2</cp:revision>
  <cp:lastPrinted>2025-07-11T19:16:00Z</cp:lastPrinted>
  <dcterms:created xsi:type="dcterms:W3CDTF">2026-04-27T21:50:00Z</dcterms:created>
  <dcterms:modified xsi:type="dcterms:W3CDTF">2026-04-27T21:50:00Z</dcterms:modified>
</cp:coreProperties>
</file>