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4EEC7" w14:textId="77777777" w:rsidR="00864208" w:rsidRPr="0032699E" w:rsidRDefault="00864208" w:rsidP="00864208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  <w:r w:rsidRPr="0032699E">
        <w:rPr>
          <w:rFonts w:ascii="Lato" w:eastAsia="Calibri" w:hAnsi="Lato" w:cs="Arial"/>
          <w:b/>
          <w:sz w:val="20"/>
          <w:szCs w:val="20"/>
          <w:lang w:val="es-MX" w:eastAsia="en-US"/>
        </w:rPr>
        <w:t>Indicadores de Resultados</w:t>
      </w:r>
      <w:bookmarkStart w:id="0" w:name="_GoBack"/>
      <w:bookmarkEnd w:id="0"/>
    </w:p>
    <w:p w14:paraId="70B8FBFE" w14:textId="69DEB77C" w:rsidR="00864208" w:rsidRPr="0032699E" w:rsidRDefault="00864208" w:rsidP="00864208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  <w:r w:rsidRPr="0032699E">
        <w:rPr>
          <w:rFonts w:ascii="Lato" w:eastAsia="Calibri" w:hAnsi="Lato" w:cs="Arial"/>
          <w:b/>
          <w:sz w:val="20"/>
          <w:szCs w:val="20"/>
          <w:lang w:val="es-MX" w:eastAsia="en-US"/>
        </w:rPr>
        <w:t>Al 3</w:t>
      </w:r>
      <w:r w:rsidR="00FF72D6">
        <w:rPr>
          <w:rFonts w:ascii="Lato" w:eastAsia="Calibri" w:hAnsi="Lato" w:cs="Arial"/>
          <w:b/>
          <w:sz w:val="20"/>
          <w:szCs w:val="20"/>
          <w:lang w:val="es-MX" w:eastAsia="en-US"/>
        </w:rPr>
        <w:t>1</w:t>
      </w:r>
      <w:r w:rsidR="00136149">
        <w:rPr>
          <w:rFonts w:ascii="Lato" w:eastAsia="Calibri" w:hAnsi="Lato" w:cs="Arial"/>
          <w:b/>
          <w:sz w:val="20"/>
          <w:szCs w:val="20"/>
          <w:lang w:val="es-MX" w:eastAsia="en-US"/>
        </w:rPr>
        <w:t xml:space="preserve"> </w:t>
      </w:r>
      <w:r w:rsidR="000F5F1C">
        <w:rPr>
          <w:rFonts w:ascii="Lato" w:eastAsia="Calibri" w:hAnsi="Lato" w:cs="Arial"/>
          <w:b/>
          <w:sz w:val="20"/>
          <w:szCs w:val="20"/>
          <w:lang w:val="es-MX" w:eastAsia="en-US"/>
        </w:rPr>
        <w:t xml:space="preserve">de </w:t>
      </w:r>
      <w:r w:rsidR="00953094">
        <w:rPr>
          <w:rFonts w:ascii="Lato" w:eastAsia="Calibri" w:hAnsi="Lato" w:cs="Arial"/>
          <w:b/>
          <w:sz w:val="20"/>
          <w:szCs w:val="20"/>
          <w:lang w:val="es-MX" w:eastAsia="en-US"/>
        </w:rPr>
        <w:t>marzo</w:t>
      </w:r>
      <w:r w:rsidR="00AE7ADE" w:rsidRPr="0032699E">
        <w:rPr>
          <w:rFonts w:ascii="Lato" w:eastAsia="Calibri" w:hAnsi="Lato" w:cs="Arial"/>
          <w:b/>
          <w:sz w:val="20"/>
          <w:szCs w:val="20"/>
          <w:lang w:val="es-MX" w:eastAsia="en-US"/>
        </w:rPr>
        <w:t xml:space="preserve"> </w:t>
      </w:r>
      <w:r w:rsidR="00953094">
        <w:rPr>
          <w:rFonts w:ascii="Lato" w:eastAsia="Calibri" w:hAnsi="Lato" w:cs="Arial"/>
          <w:b/>
          <w:sz w:val="20"/>
          <w:szCs w:val="20"/>
          <w:lang w:val="es-MX" w:eastAsia="en-US"/>
        </w:rPr>
        <w:t>2026</w:t>
      </w:r>
    </w:p>
    <w:p w14:paraId="03A825DB" w14:textId="227C08C1" w:rsidR="00864208" w:rsidRPr="0032699E" w:rsidRDefault="00633868" w:rsidP="00864208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  <w:r w:rsidRPr="0032699E">
        <w:rPr>
          <w:rFonts w:ascii="Lato" w:eastAsia="Calibri" w:hAnsi="Lato" w:cs="Arial"/>
          <w:b/>
          <w:sz w:val="20"/>
          <w:szCs w:val="20"/>
          <w:lang w:val="es-MX" w:eastAsia="en-US"/>
        </w:rPr>
        <w:t>(Cifra</w:t>
      </w:r>
      <w:r w:rsidR="001965D5" w:rsidRPr="0032699E">
        <w:rPr>
          <w:rFonts w:ascii="Lato" w:eastAsia="Calibri" w:hAnsi="Lato" w:cs="Arial"/>
          <w:b/>
          <w:sz w:val="20"/>
          <w:szCs w:val="20"/>
          <w:lang w:val="es-MX" w:eastAsia="en-US"/>
        </w:rPr>
        <w:t>s</w:t>
      </w:r>
      <w:r w:rsidRPr="0032699E">
        <w:rPr>
          <w:rFonts w:ascii="Lato" w:eastAsia="Calibri" w:hAnsi="Lato" w:cs="Arial"/>
          <w:b/>
          <w:sz w:val="20"/>
          <w:szCs w:val="20"/>
          <w:lang w:val="es-MX" w:eastAsia="en-US"/>
        </w:rPr>
        <w:t xml:space="preserve"> en Pesos)</w:t>
      </w:r>
    </w:p>
    <w:p w14:paraId="169FFF9C" w14:textId="77777777" w:rsidR="000F5F1C" w:rsidRPr="0032699E" w:rsidRDefault="000F5F1C" w:rsidP="000F5F1C">
      <w:pPr>
        <w:tabs>
          <w:tab w:val="left" w:pos="7470"/>
        </w:tabs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  <w:r w:rsidRPr="0032699E">
        <w:rPr>
          <w:rFonts w:ascii="Lato" w:eastAsia="Calibri" w:hAnsi="Lato" w:cs="Arial"/>
          <w:b/>
          <w:sz w:val="20"/>
          <w:szCs w:val="20"/>
          <w:lang w:val="es-MX" w:eastAsia="en-US"/>
        </w:rPr>
        <w:t>Ente Público:  AUDITORÍA SUPERIOR DEL ESTADO DE YUCATÁN</w:t>
      </w:r>
    </w:p>
    <w:p w14:paraId="64C0E94B" w14:textId="77777777" w:rsidR="00864208" w:rsidRPr="0032699E" w:rsidRDefault="00864208" w:rsidP="00864208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tbl>
      <w:tblPr>
        <w:tblW w:w="17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1134"/>
        <w:gridCol w:w="1285"/>
        <w:gridCol w:w="1461"/>
        <w:gridCol w:w="1903"/>
        <w:gridCol w:w="1304"/>
        <w:gridCol w:w="993"/>
        <w:gridCol w:w="708"/>
        <w:gridCol w:w="1418"/>
        <w:gridCol w:w="871"/>
        <w:gridCol w:w="1255"/>
        <w:gridCol w:w="1286"/>
        <w:gridCol w:w="1499"/>
        <w:gridCol w:w="901"/>
      </w:tblGrid>
      <w:tr w:rsidR="00953094" w:rsidRPr="00953094" w14:paraId="112C7BB2" w14:textId="77777777" w:rsidTr="00953094">
        <w:trPr>
          <w:trHeight w:val="75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3F46449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CLAVE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C14047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NUMERO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CB8FD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NIVEL DE OBJETIVO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595A708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OBJETIVO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7D9C4FDF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NOMBRE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70B113DF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FÓRMULA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4544793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FRECUENCIA DE MEDICIÓN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04AAC18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 xml:space="preserve">UNIDAD DE MEDIDA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BB8D875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META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54BBC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MEDIOS DE VERIFICACIÓN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46B46868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 xml:space="preserve">TIPO 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2163095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 xml:space="preserve">DIMENSIÓN 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78526C9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DEFINICION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0D1CB9FF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SUPUESTOS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221816B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FACTOR</w:t>
            </w:r>
          </w:p>
        </w:tc>
      </w:tr>
      <w:tr w:rsidR="00953094" w:rsidRPr="00953094" w14:paraId="7719E3DB" w14:textId="77777777" w:rsidTr="00953094">
        <w:trPr>
          <w:trHeight w:val="558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72920FE3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786874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26584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4C270B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Fin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Contribuir a promover mecanismos de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mejora para la estrategia anticorrupción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en el estado mediante la fiscalización de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los recursos públicos para prevenir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prácticas irregulares.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7A82C954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Contribuir a promover mecanismos de mejora para la estrategia anticorrupción en el estado mediante la fiscalización de los recursos públicos para prevenir prácticas irregulares.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067290EF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Tasa de incidencia de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corrupción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742EC63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(Totalidad de incidencia anual /por cada 100,000 habitantes) * 100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4176F7F5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Anual.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C13530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 xml:space="preserve"> Incidentes por cada 100 mil habitantes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C6562B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16.18%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8946F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Encuesta Nacional de Calidad e Impacto Gubernamental 2026, INEGI.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05748A4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Estratégico.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2E9E577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Eficacia.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4214E2F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Mide la proporción de trámites gubernamentales que implican contacto con algún servidor público en los que las personas</w:t>
            </w: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br/>
              <w:t>experimentaron algún tipo de acto de corrupción.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3654FF2B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Las entidades fiscalizadas mantienen la sostenibilidad de las finanzas mediante el cumplimiento de los lineamientos para la adecuada aplicación de los recursos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75CDE6BD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  <w:t>0.00%</w:t>
            </w:r>
          </w:p>
        </w:tc>
      </w:tr>
      <w:tr w:rsidR="00953094" w:rsidRPr="00953094" w14:paraId="226F8148" w14:textId="77777777" w:rsidTr="00953094">
        <w:trPr>
          <w:trHeight w:val="574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37474ADC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0FAEF7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26585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B819CB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Propósito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Los Ayuntamientos Municipales,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Dependencias, Entidades, Poderes y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Órganos Autónomos tienen una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adecuada administración de los recursos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públicos mediante la gestión de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auditorías de calidad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02C22EFB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Eficiente administración pública para la adecuada administración de recursos a los Ayuntamientos Municipales, Dependencias, Entidades, Poderes y Órganos Autónomos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6E91096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 Porcentaje de atención y cumplimiento a las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Observaciones y Recomendaciones 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de las auditorías de la cuenta publica anual  2024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4D23AE48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(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Totalidad de informes de observaciones y recomendaciones atendidas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/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Totalidad de informes de observaciones y recomendaciones de los informes individuales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) * 100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CE1F185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Anual.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FB74B4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Porcentaje.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3B8DAC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100%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AD154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Informe sobre la situación que guardan las Observaciones, Recomendaciones y Acciones promovidas de la Cuenta Pública 2024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2C150AE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Estratégico.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E4FDA7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Eficacia.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187C066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Mide la proporción de atención y cumplimiento a los informes de observaciones y recomendaciones de las auditorias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690F7A95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Los entes y municipio cumplen con los lineamientos para la adecuada aplicación de los recursos.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11DE910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  <w:t>0.00%</w:t>
            </w:r>
          </w:p>
        </w:tc>
      </w:tr>
      <w:tr w:rsidR="00953094" w:rsidRPr="00953094" w14:paraId="2C38D3D7" w14:textId="77777777" w:rsidTr="00953094">
        <w:trPr>
          <w:trHeight w:val="416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2ABF6DA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lastRenderedPageBreak/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DEE9A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26587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B7604C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Componente 1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Resultados de la Revisión de la Cuenta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Pública informados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BF62444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Resultado de la Revisión de la Cuenta Pública informados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6CDA2AA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 Porcentaje de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auditorias realizadas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 de la cuenta publica anual  2024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08A4373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(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Proporción de avance de los informes elaborados de acuerdo a las auditorias realizadas en el trimestre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/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Total de informes programados de acuerdo al plan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) * 100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1EE7294D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Anual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5282D2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Porcentaje.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15974F5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100%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E8A688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Entrega de  informes individuales de las entidades fiscalizadas de la cuenta pública 2024 en tiempo y forma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0B498CD8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Estratégico.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FAD015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Eficacia.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4B19AD17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Mide la proporción de avance de los informes elaborados de acuerdo a las auditorías realizadas en el trimestre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33122B9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El gobierno del estado hace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entrega de la cuenta pública en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tiempo y forma.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5B1E15D8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  <w:t>100.00%</w:t>
            </w:r>
          </w:p>
        </w:tc>
      </w:tr>
      <w:tr w:rsidR="00953094" w:rsidRPr="00953094" w14:paraId="5F992D40" w14:textId="77777777" w:rsidTr="00953094">
        <w:trPr>
          <w:trHeight w:val="403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1B23A6D0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lastRenderedPageBreak/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C34CE2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26589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69535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Actividad 1.1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 xml:space="preserve">        Elaboración de informe de resultados de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la fiscalización de los Municipios,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Dependencias, Entidades, Poderes y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Órganos Autónomos.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6FAF174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Elaboración de informe de resultados de la fiscalización de los Municipios, Dependencias, Entidades, Poderes y Órganos Autónomos.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2B1C131F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Indicador de Porcentaje de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informes entregados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  de la cuenta pública anual 2024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6F166580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(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Total de informes entregados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/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Total de informes de acuerdo al programa de auditorías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) * 100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4940C627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Anual.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FE9A50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Porcentaje.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672C83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100%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7838C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Entrega de  informes individuales de las entidades fiscalizadas de la cuenta pública 2024 en tiempo y forma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6B261C3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Estratégico.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015CE4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Eficacia.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4F97B20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Mide la proporción de informes entregados de acuerdo al plan anual de auditorías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09961C94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Los entes auditados envían a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tiempo la documentación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requerida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5ED2FF4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  <w:t>100.00%</w:t>
            </w:r>
          </w:p>
        </w:tc>
      </w:tr>
      <w:tr w:rsidR="00953094" w:rsidRPr="00953094" w14:paraId="6837CA9D" w14:textId="77777777" w:rsidTr="00953094">
        <w:trPr>
          <w:trHeight w:val="406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1269C8E5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lastRenderedPageBreak/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4CA818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26590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D995AF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 xml:space="preserve">Actividad 1.2   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 xml:space="preserve">                     Elaboración de Informe sobre la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Situación que Guardan las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Observaciones, Recomendaciones y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Acciones Promovidas.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485022E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Elaboración de Informe sobre la Situación que Guardan las Observaciones, Recomendaciones y Acciones Promovidas.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4556F67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 Porcentaje de informes elaborados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de observaciones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  de la cuenta pública anual 2024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34392BB0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(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Total de informes de observaciones elaborados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/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Total de informes de auditorías realizadas a la cuenta pública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) * 100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104DC23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Anual.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20E2E5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Porcentaje.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2AD2B0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100%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58A275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 xml:space="preserve">Informe sobre la situación que guardan las Observaciones, Recomendaciones y Acciones promovidas de la Cuenta Pública  2024 y Plan Anual de Auditorías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1B5D201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Estratégico.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EA51E65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Eficacia.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7F8BF52F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Mide la proporción de observaciones generadas durante las acciones de fiscalización de la cuenta pública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374A0CE0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Los entes auditados envían a tiempo la documentación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requerida.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2EDCD082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  <w:t>92.24%</w:t>
            </w:r>
          </w:p>
        </w:tc>
      </w:tr>
      <w:tr w:rsidR="00953094" w:rsidRPr="00953094" w14:paraId="3AEADC54" w14:textId="77777777" w:rsidTr="00953094">
        <w:trPr>
          <w:trHeight w:val="3336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3F64DC80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6BF0D2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26588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02655C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 xml:space="preserve">Componente 2  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 xml:space="preserve">               Auditorías a Municipios, Dependencias,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Entidades, Poderes y Órganos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Autónomos realizada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51F72F52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Auditorías a Municipios, Dependencias, Entidades, Poderes y Órganos Autónomos realizadas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12DF3FC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 Porcentaje de auditorías a Municipios, Dependencias, Entidades, Poderes y Órganos Autónomos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realizadas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   de la cuenta pública anual 2024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199E4063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(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Total de auditorías efectuadas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/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Total de auditorías programadas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) * 100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718C4F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Semestral.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484D7C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Porcentaje.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CD15228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100%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49A6A4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Informe de resultados anual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358AC0D0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Estratégico.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713C03C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Eficacia.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3BC27B04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Mide la proporción de auditorías efectuadas en el semestre de acuerdo al programa anual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2EF60B4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Los entes auditados envían a tiempo la documentación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requerida.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301BF09F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  <w:t>100.00%</w:t>
            </w:r>
          </w:p>
        </w:tc>
      </w:tr>
      <w:tr w:rsidR="00953094" w:rsidRPr="00953094" w14:paraId="1B41AD2F" w14:textId="77777777" w:rsidTr="00953094">
        <w:trPr>
          <w:trHeight w:val="434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5F1350D0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lastRenderedPageBreak/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1034A7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26591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C08C2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 xml:space="preserve">Actividad 2.1 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 xml:space="preserve">           Realización de auditorías de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cumplimiento financiero.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8CDE228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Realización de auditorías de cumplimiento financiero.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4D69DA2B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Porcentaje de auditorías de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cumplimiento financiero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 realizadas de la cuenta pública anual 2024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70E381F4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(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Total de auditorías de cumplimiento financiero realizadas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/ 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Total de auditorías de cumplimiento financiero programadas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)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* 100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2FD61C7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Semestral.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D9CFE1D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Porcentaje.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ACD6ACF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100%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8783F5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 xml:space="preserve">Programa Anual de Auditorías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2ADE121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Estratégico.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469C0A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Eficacia.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0810592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Mide la proporción de auditorías de cumplimiento financiero efectuadas en semestre de acuerdo a las programadas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7639E803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Los entes y municipios dan la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información necesaria sobre el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cumplimiento financiero.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2686C50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  <w:t>100.00%</w:t>
            </w:r>
          </w:p>
        </w:tc>
      </w:tr>
      <w:tr w:rsidR="00953094" w:rsidRPr="00953094" w14:paraId="0056D77A" w14:textId="77777777" w:rsidTr="00953094">
        <w:trPr>
          <w:trHeight w:val="39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419D9F6B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lastRenderedPageBreak/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F9A050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26592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88121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 xml:space="preserve">Actividad 2.2   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 xml:space="preserve">              Realización de auditorías de desempeño.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1C2B3EA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Realización de auditorías de desempeño.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420F198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Porcentaje de auditorías de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desempeño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 realizadas en la cuenta pública anual 2024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58543FB7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(Total de auditorías de desempeño financiero realizadas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/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Total de auditorías de desempeño financiero programadas en el semestre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)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* 100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331D353C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Semestral.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2900BE7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Porcentaje.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B254CDF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100%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02EA72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 xml:space="preserve">Programa Anual de Auditorías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37E8E35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Estratégico.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C65745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Eficacia.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5B2D063F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Mide la proporción de auditorías de desempeño financiero efectuadas en el semestre de acuerdo al programa anual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6955743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Los entes y municipios cumplen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en tiempo y forma con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proporcionar la información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necesaria para realizar las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auditorías de desempeño.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0E58D10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  <w:t>100.00%</w:t>
            </w:r>
          </w:p>
        </w:tc>
      </w:tr>
      <w:tr w:rsidR="00953094" w:rsidRPr="00953094" w14:paraId="14881E88" w14:textId="77777777" w:rsidTr="00953094">
        <w:trPr>
          <w:trHeight w:val="3399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1E951B12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3C3A6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26593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99B132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 xml:space="preserve">Actividad 2.3  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 xml:space="preserve">                 Elaboración de Cédulas de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observaciones de auditorías.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012FD05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Elaboración de Cédulas de observaciones de auditorías.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22575E5D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 Porcentaje de auditorías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con 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observaciones realizadas  de la cuenta pública anual 2024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0CCBCC5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(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Total de auditorías con observaciones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/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Total de auditorías realizadas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)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* 100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16AC737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Semestral.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693B24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Porcentaje.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80ED870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100%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92342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Informes Individuales correspondientes a las entidades fiscalizadas de la cuenta pública 2024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3FE79290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Estratégico.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1EE626C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Eficacia.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2142A75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Mide la proporción de auditorías con observaciones en semestre de acuerdo al programa anual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151ABA35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Los entes y municipios cumplen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con la normativa establecida para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dar acceso a las auditorías.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3D66318F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  <w:t>92.24%</w:t>
            </w:r>
          </w:p>
        </w:tc>
      </w:tr>
      <w:tr w:rsidR="00953094" w:rsidRPr="00953094" w14:paraId="3211FA88" w14:textId="77777777" w:rsidTr="00953094">
        <w:trPr>
          <w:trHeight w:val="638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45080A3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7DC743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26594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522DE7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Fin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Se contribuye a promover mecanismos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de mejora para la estrategia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anticorrupción en el Estado mediante la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verificación del cumplimiento de los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objetivos para la adecuada aplicación de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los recursos dentro de la Auditoria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Superior del Estado.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6FB7EB94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Se contribuye a promover mecanismos de mejora para la estrategia anticorrupción en el Estado mediante la verificación del cumplimiento de los objetivos para la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adecuada aplicación de los recursos dentro de la Auditoria Superior del Estado.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7DD585D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Tasa de incidencia de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corrupción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037CC40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(Totalidad de incidencia anual /por cada 100,000 habitantes) * 100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47A080D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Anual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893D90D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tasa</w:t>
            </w: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br/>
              <w:t>Incidentes por cada</w:t>
            </w: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br/>
              <w:t>100 mil habitante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AFAAB0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16.18%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7F12B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Encuesta Nacional de Calidad e Impacto</w:t>
            </w: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br/>
              <w:t>Gubernamental 2026, INEGI.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2EFCD52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Estratégico.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48A5CF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Eficacia.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3B1D25C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Mide la proporción de trámites gubernamentales que implican contacto con algún servidor público en los que las personas experimentaron algún tipo de acto de</w:t>
            </w: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br/>
              <w:t>corrupción.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683E3587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Las entidades y municipios del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Estado Cumplan con la correcta y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adecuada administración de sus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recursos.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359862C5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  <w:t>0.00%</w:t>
            </w:r>
          </w:p>
        </w:tc>
      </w:tr>
      <w:tr w:rsidR="00953094" w:rsidRPr="00953094" w14:paraId="2BD206DF" w14:textId="77777777" w:rsidTr="00953094">
        <w:trPr>
          <w:trHeight w:val="470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76C4FA83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lastRenderedPageBreak/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CB5BE3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26595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910DAB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Propósito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Los trabajadores de la auditoria Superior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del Estado de Yucatán tienen un alto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nivel de eficiencia en la administración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de los recursos humanos y materiales.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40C66337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Los trabajadores de la auditoria Superior del Estado de Yucatán tienen un alto nivel de eficiencia en la administración de los recursos humanos y materiales.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15D905D5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Porcentaje del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presupuesto ejercido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41C16F7B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(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Total del presupuesto ejercido 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/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Total de presupuesto autorizado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) * 100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34DE96E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Trimestral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A4EFD5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Porcentaje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35AF1D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100%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FD88A5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Informe de la Cuenta Pública en la página de la</w:t>
            </w: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br/>
              <w:t>Auditoría Superior del Estado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0370083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Estratégico.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BF823E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Economía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79876E9F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Mide la proporción de los recursos ejercidos en virtud del presupuesto autorizado a la Auditoría Superior del Estado de Yucatán.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5BABD20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El gobierno del Estado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proporciona recursos a la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Auditoria Superior del Estado de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Yucatán.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69A64C82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  <w:t>20.80%</w:t>
            </w:r>
          </w:p>
        </w:tc>
      </w:tr>
      <w:tr w:rsidR="00953094" w:rsidRPr="00953094" w14:paraId="704F99DA" w14:textId="77777777" w:rsidTr="00953094">
        <w:trPr>
          <w:trHeight w:val="606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335E6537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5DBE68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26596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5E63EF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  <w:t>Componente: 1</w:t>
            </w: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br/>
              <w:t>Gasto de recursos humanos, materiales,</w:t>
            </w: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br/>
              <w:t>servicios y bienes muebles ejercido.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A2CC4F5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Gastos de recursos humanos, materiales, servicios y bienes muebles ejercido.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128CABAC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Porcentaje del presupuesto ejercido destinado al gasto de Recursos humanos, materiales, servicios y bienes muebles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39A28F98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(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Total del presupuesto ejercido para el gasto de recursos humanos, materiales y suministros, servicios y bienes muebles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/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Total de presupuesto autorizado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) * 100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C6B9735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Trimestral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6948FB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Porcentaje.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C593F0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100.00%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D5006A" w14:textId="35C2128A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 xml:space="preserve">Informe de la Cuenta Pública en la página de la Auditoría superior del estado.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347D8D98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Estratégico.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FADC4B4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Economía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586007F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Mide la proporción del presupuesto que se destina para el gasto de recursos humanos, adquisición de materiales y suministros, contratación de servicios y</w:t>
            </w: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br/>
              <w:t>adquisición de bienes muebles.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771EF2CF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El gobierno del Estado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proporciona recursos a la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Auditoria Superior del Estado de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Yucatán.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7955EC1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  <w:t>20.80%</w:t>
            </w:r>
          </w:p>
        </w:tc>
      </w:tr>
      <w:tr w:rsidR="00953094" w:rsidRPr="00953094" w14:paraId="2FFA1F92" w14:textId="77777777" w:rsidTr="00953094">
        <w:trPr>
          <w:trHeight w:val="369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38CE3C8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lastRenderedPageBreak/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F3E18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26602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1FC884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 xml:space="preserve">Actividad 1.1   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 xml:space="preserve">              Administración de los recursos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humanos.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35C4CF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Administración de recursos humanos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77007CFC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Porcentaje del presupuesto ejercido del gasto corriente destinado a la contratación de servicios personales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68C7BBAB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(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Total de presupuesto para gasto corriente destinado a la contratación de servicios personales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/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Total de presupuesto para gasto corriente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) * 100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1776D28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Trimestral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DA36FCB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Porcentaje.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204BDE7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74.70%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F603D5" w14:textId="598D60B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 xml:space="preserve">Informe de la Cuenta Pública en la página de la Auditoría superior del estado.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4AFDF61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Estratégico.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BD5D567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Economía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25688120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Mide la proporción del gasto corriente que se ejerce para contratación de servicios personales.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352E5EA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Los habitantes del Estado de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Yucatán están interesados en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trabajar en la Auditoria Superior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del Estado de Yucatán.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4EF1DEB8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  <w:t>16.82%</w:t>
            </w:r>
          </w:p>
        </w:tc>
      </w:tr>
      <w:tr w:rsidR="00953094" w:rsidRPr="00953094" w14:paraId="03E80032" w14:textId="77777777" w:rsidTr="00953094">
        <w:trPr>
          <w:trHeight w:val="50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2999FF0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lastRenderedPageBreak/>
              <w:t>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D8907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26603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2B33E4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 xml:space="preserve">Actividad 1.2 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 xml:space="preserve">   Adquisición de materiales y suministros.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7272AC0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Adquisición de materiales y suministros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343EB900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Porcentaje del presupuesto ejercido del gasto corriente destinado a la adquisición de materiales y suministros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654C05D8" w14:textId="185889A8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(Total de del presupuesto ejercido al capítulo de adquisición de materiales y suministros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/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Total del presupuesto autorizado al capítulo de adquisición de materiales y suministros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) * 100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30892F4C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Trimestral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9E84BC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Porcentaje.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FB0E577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100%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5FF8F2" w14:textId="4ADC261A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 xml:space="preserve">Informe de la Cuenta Pública en la página de la Auditoría superior del estado.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3CDE395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Estratégico.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44AF894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Economía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3B2F192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Mide la proporción del gasto corriente que se ejerce para la adquisición de materiales y suministros respecto del total autorizado para este rubro.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18E51A1B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El gobierno del Estado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proporciona recursos a la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Auditoria Superior del Estado de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Yucatán.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282739F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  <w:t>14.00%</w:t>
            </w:r>
          </w:p>
        </w:tc>
      </w:tr>
      <w:tr w:rsidR="00953094" w:rsidRPr="00953094" w14:paraId="3DF63AAA" w14:textId="77777777" w:rsidTr="00953094">
        <w:trPr>
          <w:trHeight w:val="3099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765C1F8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lastRenderedPageBreak/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31918C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26604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A9811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 xml:space="preserve">Actividad 1.3  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 xml:space="preserve"> Contratación de servicios generales.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8CA82BC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Contratación de servicios generales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7C063A4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 Porcentaje del presupuesto ejercido destinado a la contratación de servicios generales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15F71A7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(Total del presupuesto ejercido al capitulo de contratación de servicios generales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/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Total de presupuesto autorizado al capitulo de contratación de servicios generales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) * 100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43BF7BE2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Trimestral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4006478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Porcentaje.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E1B217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100%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E0A6B5" w14:textId="16B6AC73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 xml:space="preserve">Informe de la Cuenta Pública en la página de la Auditoría superior del estado.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12682F9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Estratégico.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1F78D4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Economía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50F39E34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Mide la proporción del presupuesto que se ejerce para la contratación de servicios generales.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2D0920AF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Los proveedores de los servicios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contratados cumplen en tiempo y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forma.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5237B3B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  <w:t>18.43%</w:t>
            </w:r>
          </w:p>
        </w:tc>
      </w:tr>
      <w:tr w:rsidR="00953094" w:rsidRPr="00953094" w14:paraId="4B28389F" w14:textId="77777777" w:rsidTr="00953094">
        <w:trPr>
          <w:trHeight w:val="323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2A3554A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FDCD7B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26605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C0CBB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 xml:space="preserve">Actividad 1.4 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 xml:space="preserve"> Adquisición de bienes muebles.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6053F1C3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Adquisición de bienes muebles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0F6EAE38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 Porcentaje del presupuesto ejercido destinado a la adquisición de bienes muebles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241E4ECC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(Total del presupuesto ejercido para adquisición de bienes muebles e inmuebles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/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Total de presupuesto autorizado)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* 100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39C1A148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Trimestral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55115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Porcentaje.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E86E35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1.11%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CC44F0" w14:textId="711DBD23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 xml:space="preserve">Informe de la Cuenta Pública en la página de la Auditoría superior del estado.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727D9E33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Estratégico.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82B03D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Economía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053F0595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Mide la proporción del presupuesto ejercido destinado a la adquisición de bienes muebles.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5DC5DAA0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El gobierno del estado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proporciona el presupuesto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necesario para la adquisición de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bienes muebles.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0A61207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  <w:t>1.20%</w:t>
            </w:r>
          </w:p>
        </w:tc>
      </w:tr>
      <w:tr w:rsidR="00953094" w:rsidRPr="00953094" w14:paraId="59A5CE87" w14:textId="77777777" w:rsidTr="00953094">
        <w:trPr>
          <w:trHeight w:val="4989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6111041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lastRenderedPageBreak/>
              <w:t>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D73934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26598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BA5EF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Componente: 2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Personal de la Auditoria Superior del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br/>
              <w:t>Estado capacitado.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1BDA638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Personal de la Auditoria Superior del Estado capacitado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242A040C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 Porcentaje de personal que participa en capacitaciones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7AEA027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(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Total de personas que participaron en la capacitación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/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Total de personal de la Auditoría Superior del Estado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) * 100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7E6CB13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Semestral.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AD6A6A7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Porcentaje.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7C42645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100%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FCD12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Reporte del registro de asistencia de personal de la Auditoría que asiste a los cursos de capacitación.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1FEF8AF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Estratégico.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3B33DD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Eficacia.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4E580A3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Mide la proporción de personas que participaron en las capacitaciones en relación al personal de la Auditoria Superior del Estado de Yucatán.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228DBBA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El personal participa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positivamente en las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capacitaciones y acreditan los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cursos impartidos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3264A1F4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  <w:t>0.00%</w:t>
            </w:r>
          </w:p>
        </w:tc>
      </w:tr>
      <w:tr w:rsidR="00953094" w:rsidRPr="00953094" w14:paraId="0E01ABE1" w14:textId="77777777" w:rsidTr="00953094">
        <w:trPr>
          <w:trHeight w:val="479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48F0F66C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lastRenderedPageBreak/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2A5DDB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26606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5F857A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Actividad 2.1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 xml:space="preserve"> Elaboración de capacitaciones.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690A13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Elaboración de capacitaciones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15868E2F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 Porcentaje de capacitaciones realizadas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66095F90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(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Total de capacitaciones realizadas 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/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Total de capacitaciones según el plan anual de capacitación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) * 100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10A403E3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Semestral.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F35D68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Porcentaje.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F73182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100%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72BC22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Reporte del plan anual de capacitación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05A812A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Estratégico.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BE09A9D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Eficacia.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12983BE0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Mide la proporción de las capacitaciones realizadas respecto del total de capacitaciones que se contemplan en el Plan Anual de Capacitación.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753DB4BF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Todos los considerados para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capacitación ya cumplen con las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competencias necesarias.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5B4C0250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  <w:t>0.00%</w:t>
            </w:r>
          </w:p>
        </w:tc>
      </w:tr>
      <w:tr w:rsidR="00953094" w:rsidRPr="00953094" w14:paraId="5077CE52" w14:textId="77777777" w:rsidTr="00953094">
        <w:trPr>
          <w:trHeight w:val="614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712B9108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lastRenderedPageBreak/>
              <w:t>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67C5E3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26607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1F512F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sz w:val="18"/>
                <w:szCs w:val="18"/>
                <w:lang w:val="es-MX" w:eastAsia="es-MX"/>
              </w:rPr>
              <w:t>Actividad 2.2</w:t>
            </w: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. Acreditación del personal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B7A48FF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sz w:val="18"/>
                <w:szCs w:val="18"/>
                <w:lang w:val="es-MX" w:eastAsia="es-MX"/>
              </w:rPr>
              <w:t>Acreditación del personal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5D4F3F1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 xml:space="preserve"> Porcentaje de personal que acredito satisfactoriamente la capacitación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14:paraId="4433669D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(Total de personal que acredito la capacitación satisfactoriamente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/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Total de personal que participo</w:t>
            </w:r>
            <w:r w:rsidRPr="00953094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) * 100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2F45D0C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Semestral.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A237D3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Porcentaje.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14488C6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100%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3FECB9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Reporte del Listado del personal que aprobó la</w:t>
            </w: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br/>
              <w:t xml:space="preserve">capacitación. 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0869320D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Estratégico.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6B1E315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Eficacia.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3161659C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t>Mide la proporción del personal de la Auditoría Superior del Estado de Yucatán que acredita la capacitación satisfactoriamente respecto de todo el personal que</w:t>
            </w:r>
            <w:r w:rsidRPr="00953094">
              <w:rPr>
                <w:rFonts w:ascii="Lato" w:hAnsi="Lato" w:cs="Calibri"/>
                <w:color w:val="2F2F2F"/>
                <w:sz w:val="18"/>
                <w:szCs w:val="18"/>
                <w:lang w:val="es-MX" w:eastAsia="es-MX"/>
              </w:rPr>
              <w:br/>
              <w:t>participó.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0083E85E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t>El personal tiene interés en la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capacitación y en acreditarla</w:t>
            </w:r>
            <w:r w:rsidRPr="00953094"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  <w:br/>
              <w:t>satisfactoriamente.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5F7617B1" w14:textId="77777777" w:rsidR="00953094" w:rsidRPr="00953094" w:rsidRDefault="00953094" w:rsidP="00953094">
            <w:pPr>
              <w:jc w:val="center"/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</w:pPr>
            <w:r w:rsidRPr="00953094">
              <w:rPr>
                <w:rFonts w:ascii="Lato" w:hAnsi="Lato" w:cs="Calibri"/>
                <w:b/>
                <w:bCs/>
                <w:color w:val="2F2F2F"/>
                <w:sz w:val="18"/>
                <w:szCs w:val="18"/>
                <w:lang w:val="es-MX" w:eastAsia="es-MX"/>
              </w:rPr>
              <w:t>0.00%</w:t>
            </w:r>
          </w:p>
        </w:tc>
      </w:tr>
    </w:tbl>
    <w:p w14:paraId="161D9040" w14:textId="72BD07D6" w:rsidR="0032699E" w:rsidRPr="0032699E" w:rsidRDefault="0032699E" w:rsidP="003E34D3">
      <w:pPr>
        <w:tabs>
          <w:tab w:val="left" w:pos="7470"/>
        </w:tabs>
        <w:spacing w:after="200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  <w:r w:rsidRPr="0032699E">
        <w:rPr>
          <w:rFonts w:ascii="Lato" w:eastAsia="Calibri" w:hAnsi="Lato" w:cs="Arial"/>
          <w:b/>
          <w:sz w:val="20"/>
          <w:szCs w:val="20"/>
          <w:lang w:val="es-MX" w:eastAsia="en-US"/>
        </w:rPr>
        <w:fldChar w:fldCharType="begin"/>
      </w:r>
      <w:r w:rsidRPr="0032699E">
        <w:rPr>
          <w:rFonts w:ascii="Lato" w:eastAsia="Calibri" w:hAnsi="Lato" w:cs="Arial"/>
          <w:b/>
          <w:sz w:val="20"/>
          <w:szCs w:val="20"/>
          <w:lang w:val="es-MX" w:eastAsia="en-US"/>
        </w:rPr>
        <w:instrText xml:space="preserve"> LINK Excel.Sheet.12 "C:\\Users\\sharon.lara\\Documents\\2025\\SEGUNDO TRIMESTRE\\TIII\\02 ASEY\\MIR2dotrim25.xlsx" "MIR ASEY2025!F13C2:F61C19" \a \f 5 \h  \* MERGEFORMAT </w:instrText>
      </w:r>
      <w:r w:rsidRPr="0032699E">
        <w:rPr>
          <w:rFonts w:ascii="Lato" w:eastAsia="Calibri" w:hAnsi="Lato" w:cs="Arial"/>
          <w:b/>
          <w:sz w:val="20"/>
          <w:szCs w:val="20"/>
          <w:lang w:val="es-MX" w:eastAsia="en-US"/>
        </w:rPr>
        <w:fldChar w:fldCharType="separate"/>
      </w:r>
    </w:p>
    <w:p w14:paraId="1F350845" w14:textId="6EE3E8BC" w:rsidR="00B458BD" w:rsidRPr="00953094" w:rsidRDefault="0032699E" w:rsidP="003E34D3">
      <w:pPr>
        <w:tabs>
          <w:tab w:val="left" w:pos="7470"/>
        </w:tabs>
        <w:spacing w:after="200"/>
        <w:rPr>
          <w:rFonts w:ascii="Lato" w:eastAsia="Calibri" w:hAnsi="Lato" w:cs="Arial"/>
          <w:sz w:val="20"/>
          <w:szCs w:val="20"/>
          <w:lang w:val="es-MX" w:eastAsia="en-US"/>
        </w:rPr>
      </w:pPr>
      <w:r w:rsidRPr="0032699E">
        <w:rPr>
          <w:rFonts w:ascii="Lato" w:eastAsia="Calibri" w:hAnsi="Lato" w:cs="Arial"/>
          <w:b/>
          <w:sz w:val="20"/>
          <w:szCs w:val="20"/>
          <w:lang w:val="es-MX" w:eastAsia="en-US"/>
        </w:rPr>
        <w:fldChar w:fldCharType="end"/>
      </w:r>
      <w:r w:rsidR="00953094" w:rsidRPr="00953094">
        <w:rPr>
          <w:rFonts w:ascii="Lato" w:eastAsia="Calibri" w:hAnsi="Lato" w:cs="Arial"/>
          <w:sz w:val="20"/>
          <w:szCs w:val="20"/>
          <w:lang w:val="es-MX" w:eastAsia="en-US"/>
        </w:rPr>
        <w:t>Nota. La información relativa al proceso de fiscalización en curso en este trimestre del 2026, corresponde a la Cuenta Pública 2024.</w:t>
      </w:r>
    </w:p>
    <w:p w14:paraId="69EF0D86" w14:textId="46615635" w:rsidR="00864208" w:rsidRDefault="00864208" w:rsidP="003E34D3">
      <w:pPr>
        <w:tabs>
          <w:tab w:val="left" w:pos="7470"/>
        </w:tabs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sectPr w:rsidR="00864208" w:rsidSect="00C77204">
      <w:type w:val="continuous"/>
      <w:pgSz w:w="20163" w:h="12242" w:orient="landscape" w:code="5"/>
      <w:pgMar w:top="2835" w:right="1134" w:bottom="1701" w:left="1134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90180" w14:textId="77777777" w:rsidR="00A44414" w:rsidRDefault="00A44414" w:rsidP="00B129BC">
      <w:r>
        <w:separator/>
      </w:r>
    </w:p>
  </w:endnote>
  <w:endnote w:type="continuationSeparator" w:id="0">
    <w:p w14:paraId="22F40AEF" w14:textId="77777777" w:rsidR="00A44414" w:rsidRDefault="00A44414" w:rsidP="00B1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 Lt">
    <w:altName w:val="Times New Roman"/>
    <w:panose1 w:val="00000000000000000000"/>
    <w:charset w:val="00"/>
    <w:family w:val="roman"/>
    <w:notTrueType/>
    <w:pitch w:val="default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0F6A5" w14:textId="77777777" w:rsidR="00A44414" w:rsidRDefault="00A44414" w:rsidP="00B129BC">
      <w:r>
        <w:separator/>
      </w:r>
    </w:p>
  </w:footnote>
  <w:footnote w:type="continuationSeparator" w:id="0">
    <w:p w14:paraId="43DD64D6" w14:textId="77777777" w:rsidR="00A44414" w:rsidRDefault="00A44414" w:rsidP="00B1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7A28"/>
    <w:multiLevelType w:val="hybridMultilevel"/>
    <w:tmpl w:val="741E1F26"/>
    <w:lvl w:ilvl="0" w:tplc="1674D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2711A"/>
    <w:multiLevelType w:val="hybridMultilevel"/>
    <w:tmpl w:val="96666968"/>
    <w:lvl w:ilvl="0" w:tplc="0C0A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2" w15:restartNumberingAfterBreak="0">
    <w:nsid w:val="287541D1"/>
    <w:multiLevelType w:val="hybridMultilevel"/>
    <w:tmpl w:val="251037AC"/>
    <w:lvl w:ilvl="0" w:tplc="1674D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4C23E7"/>
    <w:multiLevelType w:val="hybridMultilevel"/>
    <w:tmpl w:val="08ECA2C0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D1125E5"/>
    <w:multiLevelType w:val="hybridMultilevel"/>
    <w:tmpl w:val="D18C96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D1D62"/>
    <w:multiLevelType w:val="hybridMultilevel"/>
    <w:tmpl w:val="E618D9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2406B"/>
    <w:multiLevelType w:val="hybridMultilevel"/>
    <w:tmpl w:val="68F052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A7B6A"/>
    <w:multiLevelType w:val="hybridMultilevel"/>
    <w:tmpl w:val="E9D6564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129CF"/>
    <w:multiLevelType w:val="hybridMultilevel"/>
    <w:tmpl w:val="F5404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902A0"/>
    <w:multiLevelType w:val="hybridMultilevel"/>
    <w:tmpl w:val="D4485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34E13"/>
    <w:multiLevelType w:val="hybridMultilevel"/>
    <w:tmpl w:val="E3DAD44E"/>
    <w:lvl w:ilvl="0" w:tplc="080A000F">
      <w:start w:val="1"/>
      <w:numFmt w:val="decimal"/>
      <w:lvlText w:val="%1."/>
      <w:lvlJc w:val="left"/>
      <w:pPr>
        <w:ind w:left="1513" w:hanging="360"/>
      </w:pPr>
    </w:lvl>
    <w:lvl w:ilvl="1" w:tplc="080A0019" w:tentative="1">
      <w:start w:val="1"/>
      <w:numFmt w:val="lowerLetter"/>
      <w:lvlText w:val="%2."/>
      <w:lvlJc w:val="left"/>
      <w:pPr>
        <w:ind w:left="2233" w:hanging="360"/>
      </w:pPr>
    </w:lvl>
    <w:lvl w:ilvl="2" w:tplc="080A001B" w:tentative="1">
      <w:start w:val="1"/>
      <w:numFmt w:val="lowerRoman"/>
      <w:lvlText w:val="%3."/>
      <w:lvlJc w:val="right"/>
      <w:pPr>
        <w:ind w:left="2953" w:hanging="180"/>
      </w:pPr>
    </w:lvl>
    <w:lvl w:ilvl="3" w:tplc="080A000F" w:tentative="1">
      <w:start w:val="1"/>
      <w:numFmt w:val="decimal"/>
      <w:lvlText w:val="%4."/>
      <w:lvlJc w:val="left"/>
      <w:pPr>
        <w:ind w:left="3673" w:hanging="360"/>
      </w:pPr>
    </w:lvl>
    <w:lvl w:ilvl="4" w:tplc="080A0019" w:tentative="1">
      <w:start w:val="1"/>
      <w:numFmt w:val="lowerLetter"/>
      <w:lvlText w:val="%5."/>
      <w:lvlJc w:val="left"/>
      <w:pPr>
        <w:ind w:left="4393" w:hanging="360"/>
      </w:pPr>
    </w:lvl>
    <w:lvl w:ilvl="5" w:tplc="080A001B" w:tentative="1">
      <w:start w:val="1"/>
      <w:numFmt w:val="lowerRoman"/>
      <w:lvlText w:val="%6."/>
      <w:lvlJc w:val="right"/>
      <w:pPr>
        <w:ind w:left="5113" w:hanging="180"/>
      </w:pPr>
    </w:lvl>
    <w:lvl w:ilvl="6" w:tplc="080A000F" w:tentative="1">
      <w:start w:val="1"/>
      <w:numFmt w:val="decimal"/>
      <w:lvlText w:val="%7."/>
      <w:lvlJc w:val="left"/>
      <w:pPr>
        <w:ind w:left="5833" w:hanging="360"/>
      </w:pPr>
    </w:lvl>
    <w:lvl w:ilvl="7" w:tplc="080A0019" w:tentative="1">
      <w:start w:val="1"/>
      <w:numFmt w:val="lowerLetter"/>
      <w:lvlText w:val="%8."/>
      <w:lvlJc w:val="left"/>
      <w:pPr>
        <w:ind w:left="6553" w:hanging="360"/>
      </w:pPr>
    </w:lvl>
    <w:lvl w:ilvl="8" w:tplc="080A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11" w15:restartNumberingAfterBreak="0">
    <w:nsid w:val="618327C0"/>
    <w:multiLevelType w:val="hybridMultilevel"/>
    <w:tmpl w:val="68F052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E1715"/>
    <w:multiLevelType w:val="hybridMultilevel"/>
    <w:tmpl w:val="9198E330"/>
    <w:lvl w:ilvl="0" w:tplc="0C0A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3" w15:restartNumberingAfterBreak="0">
    <w:nsid w:val="6E0868AB"/>
    <w:multiLevelType w:val="hybridMultilevel"/>
    <w:tmpl w:val="7EEC9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906EC"/>
    <w:multiLevelType w:val="hybridMultilevel"/>
    <w:tmpl w:val="68F052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03699"/>
    <w:multiLevelType w:val="hybridMultilevel"/>
    <w:tmpl w:val="81AE5A90"/>
    <w:lvl w:ilvl="0" w:tplc="0C0A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3"/>
  </w:num>
  <w:num w:numId="5">
    <w:abstractNumId w:val="15"/>
  </w:num>
  <w:num w:numId="6">
    <w:abstractNumId w:val="1"/>
  </w:num>
  <w:num w:numId="7">
    <w:abstractNumId w:val="12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  <w:num w:numId="12">
    <w:abstractNumId w:val="14"/>
  </w:num>
  <w:num w:numId="13">
    <w:abstractNumId w:val="6"/>
  </w:num>
  <w:num w:numId="14">
    <w:abstractNumId w:val="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BC"/>
    <w:rsid w:val="000004B5"/>
    <w:rsid w:val="00002D5B"/>
    <w:rsid w:val="00004ECA"/>
    <w:rsid w:val="00010D6B"/>
    <w:rsid w:val="00015175"/>
    <w:rsid w:val="000155A7"/>
    <w:rsid w:val="000256D0"/>
    <w:rsid w:val="000314DA"/>
    <w:rsid w:val="00033250"/>
    <w:rsid w:val="00033893"/>
    <w:rsid w:val="00040329"/>
    <w:rsid w:val="00047455"/>
    <w:rsid w:val="00062085"/>
    <w:rsid w:val="00065B49"/>
    <w:rsid w:val="00076D15"/>
    <w:rsid w:val="00083B2B"/>
    <w:rsid w:val="00087878"/>
    <w:rsid w:val="000933EE"/>
    <w:rsid w:val="000A173A"/>
    <w:rsid w:val="000A208D"/>
    <w:rsid w:val="000A24E9"/>
    <w:rsid w:val="000A3B8E"/>
    <w:rsid w:val="000A5722"/>
    <w:rsid w:val="000B2B57"/>
    <w:rsid w:val="000B467A"/>
    <w:rsid w:val="000B46E4"/>
    <w:rsid w:val="000B691A"/>
    <w:rsid w:val="000C5964"/>
    <w:rsid w:val="000D3AE5"/>
    <w:rsid w:val="000D3C88"/>
    <w:rsid w:val="000D73C9"/>
    <w:rsid w:val="000E4C71"/>
    <w:rsid w:val="000F5F1C"/>
    <w:rsid w:val="000F6A63"/>
    <w:rsid w:val="001032D2"/>
    <w:rsid w:val="00106E92"/>
    <w:rsid w:val="001079D6"/>
    <w:rsid w:val="00115132"/>
    <w:rsid w:val="00117090"/>
    <w:rsid w:val="00117AE4"/>
    <w:rsid w:val="00120E37"/>
    <w:rsid w:val="00125A46"/>
    <w:rsid w:val="0012665D"/>
    <w:rsid w:val="00132FC7"/>
    <w:rsid w:val="00136149"/>
    <w:rsid w:val="00156AAC"/>
    <w:rsid w:val="001575B1"/>
    <w:rsid w:val="00170F9D"/>
    <w:rsid w:val="00176379"/>
    <w:rsid w:val="00177958"/>
    <w:rsid w:val="00190A13"/>
    <w:rsid w:val="001965D5"/>
    <w:rsid w:val="001A41DE"/>
    <w:rsid w:val="001B7B96"/>
    <w:rsid w:val="001C4660"/>
    <w:rsid w:val="001D6040"/>
    <w:rsid w:val="001E0310"/>
    <w:rsid w:val="001E74C3"/>
    <w:rsid w:val="00201ED8"/>
    <w:rsid w:val="002049B1"/>
    <w:rsid w:val="002136A5"/>
    <w:rsid w:val="00216C94"/>
    <w:rsid w:val="002179E8"/>
    <w:rsid w:val="00217A18"/>
    <w:rsid w:val="00225B2B"/>
    <w:rsid w:val="00225B58"/>
    <w:rsid w:val="00226C9B"/>
    <w:rsid w:val="002323E9"/>
    <w:rsid w:val="002367C8"/>
    <w:rsid w:val="00236BDF"/>
    <w:rsid w:val="0024041B"/>
    <w:rsid w:val="00257EA0"/>
    <w:rsid w:val="00266431"/>
    <w:rsid w:val="00267CDC"/>
    <w:rsid w:val="002813A6"/>
    <w:rsid w:val="00282732"/>
    <w:rsid w:val="002832D8"/>
    <w:rsid w:val="002911EE"/>
    <w:rsid w:val="00293C89"/>
    <w:rsid w:val="002A12A5"/>
    <w:rsid w:val="002A67EE"/>
    <w:rsid w:val="002B4ABD"/>
    <w:rsid w:val="002C30D7"/>
    <w:rsid w:val="002D5CBB"/>
    <w:rsid w:val="002F1F3E"/>
    <w:rsid w:val="002F5F22"/>
    <w:rsid w:val="002F774C"/>
    <w:rsid w:val="002F7A99"/>
    <w:rsid w:val="00313D7B"/>
    <w:rsid w:val="003167B6"/>
    <w:rsid w:val="00322997"/>
    <w:rsid w:val="00322EF8"/>
    <w:rsid w:val="0032699E"/>
    <w:rsid w:val="003274A0"/>
    <w:rsid w:val="00335F60"/>
    <w:rsid w:val="0034059A"/>
    <w:rsid w:val="00340738"/>
    <w:rsid w:val="00340D95"/>
    <w:rsid w:val="0036331A"/>
    <w:rsid w:val="00377E75"/>
    <w:rsid w:val="00387AB8"/>
    <w:rsid w:val="00393391"/>
    <w:rsid w:val="003A0507"/>
    <w:rsid w:val="003A2B60"/>
    <w:rsid w:val="003B14E2"/>
    <w:rsid w:val="003B22BF"/>
    <w:rsid w:val="003B3C10"/>
    <w:rsid w:val="003B7D2E"/>
    <w:rsid w:val="003C0FC3"/>
    <w:rsid w:val="003C371E"/>
    <w:rsid w:val="003C3D98"/>
    <w:rsid w:val="003C40E6"/>
    <w:rsid w:val="003D30AB"/>
    <w:rsid w:val="003E34D3"/>
    <w:rsid w:val="003F0C6F"/>
    <w:rsid w:val="003F53C3"/>
    <w:rsid w:val="003F5F7E"/>
    <w:rsid w:val="003F6F6C"/>
    <w:rsid w:val="00402E80"/>
    <w:rsid w:val="0041223C"/>
    <w:rsid w:val="00414E60"/>
    <w:rsid w:val="00415FDD"/>
    <w:rsid w:val="004171AC"/>
    <w:rsid w:val="00424BAB"/>
    <w:rsid w:val="00430151"/>
    <w:rsid w:val="00442F4A"/>
    <w:rsid w:val="00445DA5"/>
    <w:rsid w:val="00452A1A"/>
    <w:rsid w:val="00463883"/>
    <w:rsid w:val="0046500A"/>
    <w:rsid w:val="00467AB6"/>
    <w:rsid w:val="004715AC"/>
    <w:rsid w:val="004724F1"/>
    <w:rsid w:val="00472927"/>
    <w:rsid w:val="00487BC9"/>
    <w:rsid w:val="004960C1"/>
    <w:rsid w:val="00497AA1"/>
    <w:rsid w:val="004A30EC"/>
    <w:rsid w:val="004A41CD"/>
    <w:rsid w:val="004D258D"/>
    <w:rsid w:val="004D408C"/>
    <w:rsid w:val="004E4ED8"/>
    <w:rsid w:val="004E5E85"/>
    <w:rsid w:val="004E661C"/>
    <w:rsid w:val="004F27FC"/>
    <w:rsid w:val="004F30CE"/>
    <w:rsid w:val="004F5DA7"/>
    <w:rsid w:val="005047EB"/>
    <w:rsid w:val="005071D0"/>
    <w:rsid w:val="00522621"/>
    <w:rsid w:val="005257EC"/>
    <w:rsid w:val="00526164"/>
    <w:rsid w:val="00531E09"/>
    <w:rsid w:val="00534BA0"/>
    <w:rsid w:val="00541000"/>
    <w:rsid w:val="0054377A"/>
    <w:rsid w:val="00544ADE"/>
    <w:rsid w:val="00544FFE"/>
    <w:rsid w:val="00546E06"/>
    <w:rsid w:val="005600DD"/>
    <w:rsid w:val="0056501B"/>
    <w:rsid w:val="00570DF0"/>
    <w:rsid w:val="00573CFC"/>
    <w:rsid w:val="00575A39"/>
    <w:rsid w:val="00576E8F"/>
    <w:rsid w:val="00593B29"/>
    <w:rsid w:val="00596B1A"/>
    <w:rsid w:val="005A0173"/>
    <w:rsid w:val="005A49D2"/>
    <w:rsid w:val="005A52FF"/>
    <w:rsid w:val="005C266C"/>
    <w:rsid w:val="005C4079"/>
    <w:rsid w:val="005D08F5"/>
    <w:rsid w:val="005D6982"/>
    <w:rsid w:val="005F243A"/>
    <w:rsid w:val="006235F7"/>
    <w:rsid w:val="00633868"/>
    <w:rsid w:val="0063590F"/>
    <w:rsid w:val="006366AD"/>
    <w:rsid w:val="006433B1"/>
    <w:rsid w:val="00646185"/>
    <w:rsid w:val="00646CBB"/>
    <w:rsid w:val="00653B0B"/>
    <w:rsid w:val="00656D84"/>
    <w:rsid w:val="00660734"/>
    <w:rsid w:val="00666E18"/>
    <w:rsid w:val="00667A3E"/>
    <w:rsid w:val="0067354D"/>
    <w:rsid w:val="00681090"/>
    <w:rsid w:val="00692D1F"/>
    <w:rsid w:val="0069427E"/>
    <w:rsid w:val="00694BD6"/>
    <w:rsid w:val="00697AD7"/>
    <w:rsid w:val="006A4AEB"/>
    <w:rsid w:val="006B5F5C"/>
    <w:rsid w:val="006C0BD3"/>
    <w:rsid w:val="006C3B93"/>
    <w:rsid w:val="006C5EEF"/>
    <w:rsid w:val="006C76F5"/>
    <w:rsid w:val="006E0D39"/>
    <w:rsid w:val="006E2F01"/>
    <w:rsid w:val="006E67AF"/>
    <w:rsid w:val="006E6E1E"/>
    <w:rsid w:val="006F3E46"/>
    <w:rsid w:val="006F4AF8"/>
    <w:rsid w:val="006F6525"/>
    <w:rsid w:val="007023A4"/>
    <w:rsid w:val="00703803"/>
    <w:rsid w:val="00712A62"/>
    <w:rsid w:val="007131F2"/>
    <w:rsid w:val="00725E93"/>
    <w:rsid w:val="00730263"/>
    <w:rsid w:val="007370CC"/>
    <w:rsid w:val="0074189F"/>
    <w:rsid w:val="007456B5"/>
    <w:rsid w:val="00751AD1"/>
    <w:rsid w:val="0075460F"/>
    <w:rsid w:val="00754B31"/>
    <w:rsid w:val="007571F9"/>
    <w:rsid w:val="007718FB"/>
    <w:rsid w:val="00771D1E"/>
    <w:rsid w:val="00774E31"/>
    <w:rsid w:val="00781727"/>
    <w:rsid w:val="00782666"/>
    <w:rsid w:val="00791B36"/>
    <w:rsid w:val="00797EF7"/>
    <w:rsid w:val="007A020C"/>
    <w:rsid w:val="007A2BC6"/>
    <w:rsid w:val="007B065D"/>
    <w:rsid w:val="007B1447"/>
    <w:rsid w:val="007B3E18"/>
    <w:rsid w:val="007B72ED"/>
    <w:rsid w:val="007B779E"/>
    <w:rsid w:val="007C68A4"/>
    <w:rsid w:val="007E0D39"/>
    <w:rsid w:val="007F28BD"/>
    <w:rsid w:val="007F40B5"/>
    <w:rsid w:val="007F590B"/>
    <w:rsid w:val="007F6FDD"/>
    <w:rsid w:val="00804D04"/>
    <w:rsid w:val="00806A54"/>
    <w:rsid w:val="00814F3D"/>
    <w:rsid w:val="00817A88"/>
    <w:rsid w:val="008246D7"/>
    <w:rsid w:val="008265A9"/>
    <w:rsid w:val="00835F1A"/>
    <w:rsid w:val="008420D3"/>
    <w:rsid w:val="008552D1"/>
    <w:rsid w:val="00855FFF"/>
    <w:rsid w:val="00856636"/>
    <w:rsid w:val="00860E4D"/>
    <w:rsid w:val="00861554"/>
    <w:rsid w:val="00864208"/>
    <w:rsid w:val="00864632"/>
    <w:rsid w:val="008702A9"/>
    <w:rsid w:val="00873955"/>
    <w:rsid w:val="0087412A"/>
    <w:rsid w:val="00876B2C"/>
    <w:rsid w:val="008811B4"/>
    <w:rsid w:val="008834CB"/>
    <w:rsid w:val="00885033"/>
    <w:rsid w:val="008913C9"/>
    <w:rsid w:val="00897C37"/>
    <w:rsid w:val="008A490E"/>
    <w:rsid w:val="008A6831"/>
    <w:rsid w:val="008B7BA5"/>
    <w:rsid w:val="008C2956"/>
    <w:rsid w:val="008D27EA"/>
    <w:rsid w:val="008D4DBF"/>
    <w:rsid w:val="008D4F5A"/>
    <w:rsid w:val="008E6D40"/>
    <w:rsid w:val="008F02BD"/>
    <w:rsid w:val="008F2CE1"/>
    <w:rsid w:val="008F3804"/>
    <w:rsid w:val="008F7118"/>
    <w:rsid w:val="009053B9"/>
    <w:rsid w:val="00905BCD"/>
    <w:rsid w:val="00915987"/>
    <w:rsid w:val="00916ED4"/>
    <w:rsid w:val="0092138D"/>
    <w:rsid w:val="00922CDF"/>
    <w:rsid w:val="00926323"/>
    <w:rsid w:val="00932EAA"/>
    <w:rsid w:val="00941793"/>
    <w:rsid w:val="00945AD1"/>
    <w:rsid w:val="00953094"/>
    <w:rsid w:val="00955DA2"/>
    <w:rsid w:val="00957D79"/>
    <w:rsid w:val="00965044"/>
    <w:rsid w:val="009723A6"/>
    <w:rsid w:val="00976069"/>
    <w:rsid w:val="0098118E"/>
    <w:rsid w:val="009823AE"/>
    <w:rsid w:val="00991338"/>
    <w:rsid w:val="009A19FB"/>
    <w:rsid w:val="009B1CD7"/>
    <w:rsid w:val="009C3C41"/>
    <w:rsid w:val="009C6DE5"/>
    <w:rsid w:val="009C7F49"/>
    <w:rsid w:val="009D3284"/>
    <w:rsid w:val="009D631E"/>
    <w:rsid w:val="009E2E42"/>
    <w:rsid w:val="009E4806"/>
    <w:rsid w:val="009F0DF2"/>
    <w:rsid w:val="009F0ECA"/>
    <w:rsid w:val="009F42BE"/>
    <w:rsid w:val="00A07E7F"/>
    <w:rsid w:val="00A11CED"/>
    <w:rsid w:val="00A20549"/>
    <w:rsid w:val="00A2055E"/>
    <w:rsid w:val="00A20985"/>
    <w:rsid w:val="00A23130"/>
    <w:rsid w:val="00A334E4"/>
    <w:rsid w:val="00A34B22"/>
    <w:rsid w:val="00A3641E"/>
    <w:rsid w:val="00A43927"/>
    <w:rsid w:val="00A44414"/>
    <w:rsid w:val="00A44CC3"/>
    <w:rsid w:val="00A57043"/>
    <w:rsid w:val="00A6547D"/>
    <w:rsid w:val="00A66063"/>
    <w:rsid w:val="00A664FF"/>
    <w:rsid w:val="00A6793A"/>
    <w:rsid w:val="00A71441"/>
    <w:rsid w:val="00A71EF3"/>
    <w:rsid w:val="00A73132"/>
    <w:rsid w:val="00A73C72"/>
    <w:rsid w:val="00A8193F"/>
    <w:rsid w:val="00A828C8"/>
    <w:rsid w:val="00A90A34"/>
    <w:rsid w:val="00A91340"/>
    <w:rsid w:val="00A92954"/>
    <w:rsid w:val="00A95B5E"/>
    <w:rsid w:val="00A95F9F"/>
    <w:rsid w:val="00AA1639"/>
    <w:rsid w:val="00AB2976"/>
    <w:rsid w:val="00AB6607"/>
    <w:rsid w:val="00AB6C06"/>
    <w:rsid w:val="00AC26F9"/>
    <w:rsid w:val="00AC3B2A"/>
    <w:rsid w:val="00AC4EF0"/>
    <w:rsid w:val="00AD3E9F"/>
    <w:rsid w:val="00AD7D58"/>
    <w:rsid w:val="00AE4B89"/>
    <w:rsid w:val="00AE5DA6"/>
    <w:rsid w:val="00AE7ADE"/>
    <w:rsid w:val="00AF4AD1"/>
    <w:rsid w:val="00AF5ABB"/>
    <w:rsid w:val="00AF731D"/>
    <w:rsid w:val="00B00292"/>
    <w:rsid w:val="00B00608"/>
    <w:rsid w:val="00B11043"/>
    <w:rsid w:val="00B129BC"/>
    <w:rsid w:val="00B154CB"/>
    <w:rsid w:val="00B166A1"/>
    <w:rsid w:val="00B16A57"/>
    <w:rsid w:val="00B20CC2"/>
    <w:rsid w:val="00B276ED"/>
    <w:rsid w:val="00B366EB"/>
    <w:rsid w:val="00B36F22"/>
    <w:rsid w:val="00B4040F"/>
    <w:rsid w:val="00B437AA"/>
    <w:rsid w:val="00B458BD"/>
    <w:rsid w:val="00B65E73"/>
    <w:rsid w:val="00B72A06"/>
    <w:rsid w:val="00B73A96"/>
    <w:rsid w:val="00B77058"/>
    <w:rsid w:val="00B81C37"/>
    <w:rsid w:val="00B91D82"/>
    <w:rsid w:val="00B94033"/>
    <w:rsid w:val="00B94F9B"/>
    <w:rsid w:val="00B96BD7"/>
    <w:rsid w:val="00BA25D6"/>
    <w:rsid w:val="00BB28C4"/>
    <w:rsid w:val="00BB2C09"/>
    <w:rsid w:val="00BC2BC0"/>
    <w:rsid w:val="00BD3BF0"/>
    <w:rsid w:val="00BD655D"/>
    <w:rsid w:val="00BE3865"/>
    <w:rsid w:val="00BE46B6"/>
    <w:rsid w:val="00BF2CE4"/>
    <w:rsid w:val="00BF353D"/>
    <w:rsid w:val="00BF7D0A"/>
    <w:rsid w:val="00C03AED"/>
    <w:rsid w:val="00C03F03"/>
    <w:rsid w:val="00C12A14"/>
    <w:rsid w:val="00C140E1"/>
    <w:rsid w:val="00C21EDF"/>
    <w:rsid w:val="00C22016"/>
    <w:rsid w:val="00C363B4"/>
    <w:rsid w:val="00C4443D"/>
    <w:rsid w:val="00C450FE"/>
    <w:rsid w:val="00C554DD"/>
    <w:rsid w:val="00C7330A"/>
    <w:rsid w:val="00C77204"/>
    <w:rsid w:val="00C77799"/>
    <w:rsid w:val="00C831C3"/>
    <w:rsid w:val="00C866E3"/>
    <w:rsid w:val="00C90591"/>
    <w:rsid w:val="00C91977"/>
    <w:rsid w:val="00C920B9"/>
    <w:rsid w:val="00C93174"/>
    <w:rsid w:val="00C93AD8"/>
    <w:rsid w:val="00CA6410"/>
    <w:rsid w:val="00CA6689"/>
    <w:rsid w:val="00CA6783"/>
    <w:rsid w:val="00CB189C"/>
    <w:rsid w:val="00CB29E9"/>
    <w:rsid w:val="00CB64CA"/>
    <w:rsid w:val="00CC1DAA"/>
    <w:rsid w:val="00CC47A7"/>
    <w:rsid w:val="00CC5B1E"/>
    <w:rsid w:val="00CE0A83"/>
    <w:rsid w:val="00CE2EFE"/>
    <w:rsid w:val="00CE3CC1"/>
    <w:rsid w:val="00CF34D5"/>
    <w:rsid w:val="00CF3AD0"/>
    <w:rsid w:val="00CF74A0"/>
    <w:rsid w:val="00D04B0D"/>
    <w:rsid w:val="00D15DC1"/>
    <w:rsid w:val="00D16C23"/>
    <w:rsid w:val="00D21A4E"/>
    <w:rsid w:val="00D21E8E"/>
    <w:rsid w:val="00D27AFE"/>
    <w:rsid w:val="00D30A53"/>
    <w:rsid w:val="00D30F0F"/>
    <w:rsid w:val="00D535A0"/>
    <w:rsid w:val="00D535FB"/>
    <w:rsid w:val="00D60072"/>
    <w:rsid w:val="00D60FA3"/>
    <w:rsid w:val="00D6169B"/>
    <w:rsid w:val="00D668AA"/>
    <w:rsid w:val="00D67673"/>
    <w:rsid w:val="00D83442"/>
    <w:rsid w:val="00D911A9"/>
    <w:rsid w:val="00DA3E5E"/>
    <w:rsid w:val="00DA7632"/>
    <w:rsid w:val="00DB6C1D"/>
    <w:rsid w:val="00DC091A"/>
    <w:rsid w:val="00DD1CEA"/>
    <w:rsid w:val="00DD4A51"/>
    <w:rsid w:val="00DD68D8"/>
    <w:rsid w:val="00DE273A"/>
    <w:rsid w:val="00DE3FD4"/>
    <w:rsid w:val="00DE6FD9"/>
    <w:rsid w:val="00DF1CD1"/>
    <w:rsid w:val="00DF3442"/>
    <w:rsid w:val="00E00262"/>
    <w:rsid w:val="00E00409"/>
    <w:rsid w:val="00E04F5E"/>
    <w:rsid w:val="00E101C0"/>
    <w:rsid w:val="00E22108"/>
    <w:rsid w:val="00E24514"/>
    <w:rsid w:val="00E24EB2"/>
    <w:rsid w:val="00E272D3"/>
    <w:rsid w:val="00E40BB3"/>
    <w:rsid w:val="00E4304B"/>
    <w:rsid w:val="00E450A0"/>
    <w:rsid w:val="00E45F89"/>
    <w:rsid w:val="00E574E2"/>
    <w:rsid w:val="00E75082"/>
    <w:rsid w:val="00E83A0C"/>
    <w:rsid w:val="00E90EE7"/>
    <w:rsid w:val="00E9563E"/>
    <w:rsid w:val="00EB202C"/>
    <w:rsid w:val="00EB7152"/>
    <w:rsid w:val="00EC1914"/>
    <w:rsid w:val="00EC397D"/>
    <w:rsid w:val="00EC6C48"/>
    <w:rsid w:val="00EC7601"/>
    <w:rsid w:val="00ED5364"/>
    <w:rsid w:val="00ED5B21"/>
    <w:rsid w:val="00EE2029"/>
    <w:rsid w:val="00EE61AE"/>
    <w:rsid w:val="00F03BD6"/>
    <w:rsid w:val="00F043E4"/>
    <w:rsid w:val="00F07308"/>
    <w:rsid w:val="00F1058B"/>
    <w:rsid w:val="00F14CC1"/>
    <w:rsid w:val="00F310A5"/>
    <w:rsid w:val="00F326E2"/>
    <w:rsid w:val="00F337F8"/>
    <w:rsid w:val="00F4472D"/>
    <w:rsid w:val="00F46434"/>
    <w:rsid w:val="00F5266E"/>
    <w:rsid w:val="00F5441C"/>
    <w:rsid w:val="00F54E04"/>
    <w:rsid w:val="00F57162"/>
    <w:rsid w:val="00F5749B"/>
    <w:rsid w:val="00F84354"/>
    <w:rsid w:val="00F85472"/>
    <w:rsid w:val="00F91E27"/>
    <w:rsid w:val="00F95B78"/>
    <w:rsid w:val="00FB0DDD"/>
    <w:rsid w:val="00FB15CC"/>
    <w:rsid w:val="00FC0ED7"/>
    <w:rsid w:val="00FC3C02"/>
    <w:rsid w:val="00FC4123"/>
    <w:rsid w:val="00FC5EAC"/>
    <w:rsid w:val="00FC6870"/>
    <w:rsid w:val="00FD7110"/>
    <w:rsid w:val="00FE380B"/>
    <w:rsid w:val="00FF1E65"/>
    <w:rsid w:val="00FF2A8A"/>
    <w:rsid w:val="00FF2C70"/>
    <w:rsid w:val="00FF2E51"/>
    <w:rsid w:val="00FF64FA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A2839"/>
  <w15:docId w15:val="{CEA8FD42-9F48-4EF4-A215-1D76B3DD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9B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129BC"/>
  </w:style>
  <w:style w:type="paragraph" w:styleId="Piedepgina">
    <w:name w:val="footer"/>
    <w:basedOn w:val="Normal"/>
    <w:link w:val="PiedepginaCar"/>
    <w:uiPriority w:val="99"/>
    <w:unhideWhenUsed/>
    <w:rsid w:val="00B129B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29BC"/>
  </w:style>
  <w:style w:type="paragraph" w:styleId="Textodeglobo">
    <w:name w:val="Balloon Text"/>
    <w:basedOn w:val="Normal"/>
    <w:link w:val="TextodegloboCar"/>
    <w:uiPriority w:val="99"/>
    <w:semiHidden/>
    <w:unhideWhenUsed/>
    <w:rsid w:val="00B129BC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9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1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1E8E"/>
    <w:pPr>
      <w:ind w:left="720"/>
      <w:contextualSpacing/>
    </w:pPr>
  </w:style>
  <w:style w:type="paragraph" w:styleId="Sinespaciado">
    <w:name w:val="No Spacing"/>
    <w:uiPriority w:val="1"/>
    <w:qFormat/>
    <w:rsid w:val="00D21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002D5B"/>
    <w:rPr>
      <w:color w:val="0000FF" w:themeColor="hyperlink"/>
      <w:u w:val="single"/>
    </w:rPr>
  </w:style>
  <w:style w:type="paragraph" w:customStyle="1" w:styleId="Default">
    <w:name w:val="Default"/>
    <w:rsid w:val="00002D5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002D5B"/>
    <w:rPr>
      <w:i/>
      <w:iCs/>
    </w:rPr>
  </w:style>
  <w:style w:type="paragraph" w:styleId="HTMLconformatoprevio">
    <w:name w:val="HTML Preformatted"/>
    <w:basedOn w:val="Normal"/>
    <w:link w:val="HTMLconformatoprevioCar"/>
    <w:unhideWhenUsed/>
    <w:rsid w:val="0067354D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67354D"/>
    <w:rPr>
      <w:rFonts w:ascii="Consolas" w:eastAsia="Times New Roman" w:hAnsi="Consolas" w:cs="Consolas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E3F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3F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3FD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3F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3FD4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Cuadrculadetablaclara">
    <w:name w:val="Grid Table Light"/>
    <w:basedOn w:val="Tablanormal"/>
    <w:uiPriority w:val="40"/>
    <w:rsid w:val="003F5F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E90EE7"/>
    <w:rPr>
      <w:color w:val="954F72"/>
      <w:u w:val="single"/>
    </w:rPr>
  </w:style>
  <w:style w:type="paragraph" w:customStyle="1" w:styleId="msonormal0">
    <w:name w:val="msonormal"/>
    <w:basedOn w:val="Normal"/>
    <w:rsid w:val="00E90EE7"/>
    <w:pPr>
      <w:spacing w:before="100" w:beforeAutospacing="1" w:after="100" w:afterAutospacing="1"/>
    </w:pPr>
    <w:rPr>
      <w:lang w:val="es-MX" w:eastAsia="es-MX"/>
    </w:rPr>
  </w:style>
  <w:style w:type="paragraph" w:customStyle="1" w:styleId="font5">
    <w:name w:val="font5"/>
    <w:basedOn w:val="Normal"/>
    <w:rsid w:val="00E90EE7"/>
    <w:pPr>
      <w:spacing w:before="100" w:beforeAutospacing="1" w:after="100" w:afterAutospacing="1"/>
    </w:pPr>
    <w:rPr>
      <w:rFonts w:ascii="Roboto Lt" w:hAnsi="Roboto Lt"/>
      <w:color w:val="000000"/>
      <w:sz w:val="32"/>
      <w:szCs w:val="32"/>
      <w:lang w:val="es-MX" w:eastAsia="es-MX"/>
    </w:rPr>
  </w:style>
  <w:style w:type="paragraph" w:customStyle="1" w:styleId="font6">
    <w:name w:val="font6"/>
    <w:basedOn w:val="Normal"/>
    <w:rsid w:val="00E90EE7"/>
    <w:pPr>
      <w:spacing w:before="100" w:beforeAutospacing="1" w:after="100" w:afterAutospacing="1"/>
    </w:pPr>
    <w:rPr>
      <w:rFonts w:ascii="Roboto Lt" w:hAnsi="Roboto Lt"/>
      <w:b/>
      <w:bCs/>
      <w:color w:val="000000"/>
      <w:sz w:val="32"/>
      <w:szCs w:val="32"/>
      <w:lang w:val="es-MX" w:eastAsia="es-MX"/>
    </w:rPr>
  </w:style>
  <w:style w:type="paragraph" w:customStyle="1" w:styleId="font7">
    <w:name w:val="font7"/>
    <w:basedOn w:val="Normal"/>
    <w:rsid w:val="00E90EE7"/>
    <w:pPr>
      <w:spacing w:before="100" w:beforeAutospacing="1" w:after="100" w:afterAutospacing="1"/>
    </w:pPr>
    <w:rPr>
      <w:rFonts w:ascii="Roboto Lt" w:hAnsi="Roboto Lt"/>
      <w:color w:val="000000"/>
      <w:sz w:val="32"/>
      <w:szCs w:val="32"/>
      <w:lang w:val="es-MX" w:eastAsia="es-MX"/>
    </w:rPr>
  </w:style>
  <w:style w:type="paragraph" w:customStyle="1" w:styleId="font8">
    <w:name w:val="font8"/>
    <w:basedOn w:val="Normal"/>
    <w:rsid w:val="00E90EE7"/>
    <w:pPr>
      <w:spacing w:before="100" w:beforeAutospacing="1" w:after="100" w:afterAutospacing="1"/>
    </w:pPr>
    <w:rPr>
      <w:rFonts w:ascii="Roboto Lt" w:hAnsi="Roboto Lt"/>
      <w:b/>
      <w:bCs/>
      <w:color w:val="000000"/>
      <w:sz w:val="32"/>
      <w:szCs w:val="32"/>
      <w:lang w:val="es-MX" w:eastAsia="es-MX"/>
    </w:rPr>
  </w:style>
  <w:style w:type="paragraph" w:customStyle="1" w:styleId="xl64">
    <w:name w:val="xl64"/>
    <w:basedOn w:val="Normal"/>
    <w:rsid w:val="00E90EE7"/>
    <w:pPr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paragraph" w:customStyle="1" w:styleId="xl65">
    <w:name w:val="xl65"/>
    <w:basedOn w:val="Normal"/>
    <w:rsid w:val="00E90EE7"/>
    <w:pPr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paragraph" w:customStyle="1" w:styleId="xl66">
    <w:name w:val="xl66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paragraph" w:customStyle="1" w:styleId="xl67">
    <w:name w:val="xl67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 Lt" w:hAnsi="Roboto Lt"/>
      <w:color w:val="000000"/>
      <w:sz w:val="32"/>
      <w:szCs w:val="32"/>
      <w:lang w:val="es-MX" w:eastAsia="es-MX"/>
    </w:rPr>
  </w:style>
  <w:style w:type="paragraph" w:customStyle="1" w:styleId="xl68">
    <w:name w:val="xl68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69">
    <w:name w:val="xl69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70">
    <w:name w:val="xl70"/>
    <w:basedOn w:val="Normal"/>
    <w:rsid w:val="00E90EE7"/>
    <w:pPr>
      <w:spacing w:before="100" w:beforeAutospacing="1" w:after="100" w:afterAutospacing="1"/>
      <w:jc w:val="center"/>
      <w:textAlignment w:val="center"/>
    </w:pPr>
    <w:rPr>
      <w:rFonts w:ascii="Roboto Lt" w:hAnsi="Roboto Lt"/>
      <w:lang w:val="es-MX" w:eastAsia="es-MX"/>
    </w:rPr>
  </w:style>
  <w:style w:type="paragraph" w:customStyle="1" w:styleId="xl71">
    <w:name w:val="xl71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paragraph" w:customStyle="1" w:styleId="xl72">
    <w:name w:val="xl72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color w:val="000000"/>
      <w:sz w:val="32"/>
      <w:szCs w:val="32"/>
      <w:lang w:val="es-MX" w:eastAsia="es-MX"/>
    </w:rPr>
  </w:style>
  <w:style w:type="paragraph" w:customStyle="1" w:styleId="xl73">
    <w:name w:val="xl73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74">
    <w:name w:val="xl74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75">
    <w:name w:val="xl75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2061C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color w:val="FFFFFF"/>
      <w:lang w:val="es-MX" w:eastAsia="es-MX"/>
    </w:rPr>
  </w:style>
  <w:style w:type="paragraph" w:customStyle="1" w:styleId="xl76">
    <w:name w:val="xl76"/>
    <w:basedOn w:val="Normal"/>
    <w:rsid w:val="00E90E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2061C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color w:val="FFFFFF"/>
      <w:lang w:val="es-MX" w:eastAsia="es-MX"/>
    </w:rPr>
  </w:style>
  <w:style w:type="paragraph" w:customStyle="1" w:styleId="xl77">
    <w:name w:val="xl77"/>
    <w:basedOn w:val="Normal"/>
    <w:rsid w:val="00E90E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2061C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color w:val="FFFFFF"/>
      <w:lang w:val="es-MX" w:eastAsia="es-MX"/>
    </w:rPr>
  </w:style>
  <w:style w:type="paragraph" w:customStyle="1" w:styleId="xl78">
    <w:name w:val="xl78"/>
    <w:basedOn w:val="Normal"/>
    <w:rsid w:val="00E90EE7"/>
    <w:pPr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lang w:val="es-MX" w:eastAsia="es-MX"/>
    </w:rPr>
  </w:style>
  <w:style w:type="paragraph" w:customStyle="1" w:styleId="xl79">
    <w:name w:val="xl79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color w:val="FFFFFF"/>
      <w:sz w:val="44"/>
      <w:szCs w:val="44"/>
      <w:lang w:val="es-MX" w:eastAsia="es-MX"/>
    </w:rPr>
  </w:style>
  <w:style w:type="paragraph" w:customStyle="1" w:styleId="xl80">
    <w:name w:val="xl80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63">
    <w:name w:val="xl63"/>
    <w:basedOn w:val="Normal"/>
    <w:rsid w:val="00782666"/>
    <w:pPr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table" w:styleId="Tabladecuadrcula1clara">
    <w:name w:val="Grid Table 1 Light"/>
    <w:basedOn w:val="Tablanormal"/>
    <w:uiPriority w:val="46"/>
    <w:rsid w:val="003A2B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BAABCAB-7706-4799-8B1A-D2C7FAA4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2294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Paola Arroyo Camarena</dc:creator>
  <cp:lastModifiedBy>Sharon Yanelli Lara Medrano</cp:lastModifiedBy>
  <cp:revision>3</cp:revision>
  <cp:lastPrinted>2024-07-11T18:11:00Z</cp:lastPrinted>
  <dcterms:created xsi:type="dcterms:W3CDTF">2026-01-23T21:13:00Z</dcterms:created>
  <dcterms:modified xsi:type="dcterms:W3CDTF">2026-04-21T18:13:00Z</dcterms:modified>
</cp:coreProperties>
</file>