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037" w:rsidRDefault="00C96037">
      <w:pPr>
        <w:rPr>
          <w:rFonts w:ascii="Barlow" w:hAnsi="Barlow"/>
          <w:sz w:val="20"/>
          <w:szCs w:val="20"/>
        </w:rPr>
      </w:pPr>
    </w:p>
    <w:p w:rsidR="00C96037" w:rsidRPr="00762E6E" w:rsidRDefault="00C96037" w:rsidP="00CD527E">
      <w:pPr>
        <w:spacing w:line="360" w:lineRule="auto"/>
        <w:jc w:val="center"/>
        <w:rPr>
          <w:rFonts w:ascii="Lato" w:eastAsiaTheme="minorHAnsi" w:hAnsi="Lato" w:cs="Arial"/>
          <w:b/>
          <w:sz w:val="20"/>
          <w:szCs w:val="20"/>
          <w:lang w:val="es-MX"/>
        </w:rPr>
      </w:pPr>
      <w:r w:rsidRPr="00762E6E">
        <w:rPr>
          <w:rFonts w:ascii="Lato" w:hAnsi="Lato" w:cs="Arial"/>
          <w:b/>
          <w:sz w:val="20"/>
          <w:szCs w:val="20"/>
        </w:rPr>
        <w:t>Indicadores de Resultados</w:t>
      </w:r>
    </w:p>
    <w:p w:rsidR="00C96037" w:rsidRPr="00762E6E" w:rsidRDefault="00234184" w:rsidP="00CD527E">
      <w:pPr>
        <w:spacing w:line="36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Al 31 de marzo de 2025</w:t>
      </w:r>
      <w:bookmarkStart w:id="0" w:name="_GoBack"/>
      <w:bookmarkEnd w:id="0"/>
    </w:p>
    <w:p w:rsidR="00C96037" w:rsidRPr="00762E6E" w:rsidRDefault="00C96037" w:rsidP="00CD527E">
      <w:pPr>
        <w:spacing w:line="360" w:lineRule="auto"/>
        <w:jc w:val="center"/>
        <w:rPr>
          <w:rFonts w:ascii="Lato" w:hAnsi="Lato" w:cs="Arial"/>
          <w:b/>
          <w:sz w:val="20"/>
          <w:szCs w:val="20"/>
        </w:rPr>
      </w:pPr>
      <w:r w:rsidRPr="00762E6E">
        <w:rPr>
          <w:rFonts w:ascii="Lato" w:hAnsi="Lato" w:cs="Arial"/>
          <w:b/>
          <w:sz w:val="20"/>
          <w:szCs w:val="20"/>
        </w:rPr>
        <w:t>(Cifras en Pesos)</w:t>
      </w:r>
    </w:p>
    <w:p w:rsidR="00C96037" w:rsidRPr="00762E6E" w:rsidRDefault="00C96037" w:rsidP="00C96037">
      <w:pPr>
        <w:jc w:val="center"/>
        <w:rPr>
          <w:rFonts w:ascii="Lato" w:hAnsi="Lato" w:cs="Arial"/>
          <w:b/>
          <w:sz w:val="20"/>
          <w:szCs w:val="20"/>
        </w:rPr>
      </w:pPr>
    </w:p>
    <w:p w:rsidR="00C96037" w:rsidRPr="00762E6E" w:rsidRDefault="00C96037" w:rsidP="00C96037">
      <w:pPr>
        <w:rPr>
          <w:rFonts w:ascii="Lato" w:hAnsi="Lato" w:cs="Arial"/>
          <w:b/>
          <w:sz w:val="20"/>
          <w:szCs w:val="20"/>
        </w:rPr>
      </w:pPr>
      <w:r w:rsidRPr="00762E6E">
        <w:rPr>
          <w:rFonts w:ascii="Lato" w:hAnsi="Lato" w:cs="Arial"/>
          <w:b/>
          <w:sz w:val="20"/>
          <w:szCs w:val="20"/>
        </w:rPr>
        <w:t>Ente Público:   INSTITUTO DE MOVILIDAD Y DESARROLLO URBANO TERRITORIAL</w:t>
      </w:r>
    </w:p>
    <w:p w:rsidR="00CD527E" w:rsidRPr="00762E6E" w:rsidRDefault="00CD527E" w:rsidP="00C96037">
      <w:pPr>
        <w:rPr>
          <w:rFonts w:ascii="Lato" w:hAnsi="Lato" w:cs="Arial"/>
          <w:b/>
          <w:sz w:val="20"/>
          <w:szCs w:val="20"/>
        </w:rPr>
      </w:pPr>
    </w:p>
    <w:tbl>
      <w:tblPr>
        <w:tblW w:w="11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4"/>
        <w:gridCol w:w="1424"/>
        <w:gridCol w:w="1057"/>
        <w:gridCol w:w="1201"/>
        <w:gridCol w:w="1385"/>
        <w:gridCol w:w="1204"/>
        <w:gridCol w:w="1221"/>
        <w:gridCol w:w="1431"/>
        <w:gridCol w:w="1591"/>
        <w:gridCol w:w="40"/>
      </w:tblGrid>
      <w:tr w:rsidR="00234184" w:rsidTr="00234184">
        <w:trPr>
          <w:trHeight w:val="720"/>
          <w:jc w:val="center"/>
        </w:trPr>
        <w:tc>
          <w:tcPr>
            <w:tcW w:w="1280" w:type="dxa"/>
            <w:shd w:val="clear" w:color="auto" w:fill="969696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NOMBRE DEL PP</w:t>
            </w:r>
          </w:p>
        </w:tc>
        <w:tc>
          <w:tcPr>
            <w:tcW w:w="1451" w:type="dxa"/>
            <w:shd w:val="clear" w:color="auto" w:fill="969696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NIVEL DEL INDICADOR</w:t>
            </w:r>
          </w:p>
        </w:tc>
        <w:tc>
          <w:tcPr>
            <w:tcW w:w="1021" w:type="dxa"/>
            <w:shd w:val="clear" w:color="auto" w:fill="969696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SE REPORTA CADA:</w:t>
            </w:r>
          </w:p>
        </w:tc>
        <w:tc>
          <w:tcPr>
            <w:tcW w:w="1201" w:type="dxa"/>
            <w:shd w:val="clear" w:color="auto" w:fill="969696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# INDICADOR</w:t>
            </w:r>
          </w:p>
        </w:tc>
        <w:tc>
          <w:tcPr>
            <w:tcW w:w="1421" w:type="dxa"/>
            <w:shd w:val="clear" w:color="auto" w:fill="969696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INDICADORES</w:t>
            </w:r>
          </w:p>
        </w:tc>
        <w:tc>
          <w:tcPr>
            <w:tcW w:w="1120" w:type="dxa"/>
            <w:shd w:val="clear" w:color="auto" w:fill="969696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LINEA BASE 2024</w:t>
            </w:r>
          </w:p>
        </w:tc>
        <w:tc>
          <w:tcPr>
            <w:tcW w:w="1221" w:type="dxa"/>
            <w:shd w:val="clear" w:color="auto" w:fill="969696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TRIMESTRE I</w:t>
            </w:r>
          </w:p>
        </w:tc>
        <w:tc>
          <w:tcPr>
            <w:tcW w:w="1431" w:type="dxa"/>
            <w:shd w:val="clear" w:color="auto" w:fill="969696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META ESTABLECIDA PARA 2025</w:t>
            </w:r>
          </w:p>
        </w:tc>
        <w:tc>
          <w:tcPr>
            <w:tcW w:w="1473" w:type="dxa"/>
            <w:gridSpan w:val="2"/>
            <w:shd w:val="clear" w:color="auto" w:fill="969696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OBSERVACIONES </w:t>
            </w:r>
          </w:p>
        </w:tc>
      </w:tr>
      <w:tr w:rsidR="00234184" w:rsidTr="00234184">
        <w:trPr>
          <w:trHeight w:val="630"/>
          <w:jc w:val="center"/>
        </w:trPr>
        <w:tc>
          <w:tcPr>
            <w:tcW w:w="1280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PP 427 -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Desarrollo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Urbano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y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Ordenamiento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Territorial </w:t>
            </w:r>
          </w:p>
        </w:tc>
        <w:tc>
          <w:tcPr>
            <w:tcW w:w="145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FIN</w:t>
            </w:r>
          </w:p>
        </w:tc>
        <w:tc>
          <w:tcPr>
            <w:tcW w:w="10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Bienal</w:t>
            </w:r>
            <w:proofErr w:type="spellEnd"/>
          </w:p>
        </w:tc>
        <w:tc>
          <w:tcPr>
            <w:tcW w:w="120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20096</w:t>
            </w: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Porcentaje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municipios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con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actividades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planeación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urbana</w:t>
            </w:r>
            <w:proofErr w:type="spellEnd"/>
          </w:p>
        </w:tc>
        <w:tc>
          <w:tcPr>
            <w:tcW w:w="1120" w:type="dxa"/>
            <w:noWrap/>
            <w:vAlign w:val="bottom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39.62</w:t>
            </w:r>
          </w:p>
        </w:tc>
        <w:tc>
          <w:tcPr>
            <w:tcW w:w="1221" w:type="dxa"/>
            <w:vAlign w:val="bottom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0</w:t>
            </w:r>
          </w:p>
        </w:tc>
        <w:tc>
          <w:tcPr>
            <w:tcW w:w="1431" w:type="dxa"/>
            <w:noWrap/>
            <w:vAlign w:val="bottom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46.23</w:t>
            </w:r>
          </w:p>
        </w:tc>
        <w:tc>
          <w:tcPr>
            <w:tcW w:w="1473" w:type="dxa"/>
            <w:gridSpan w:val="2"/>
            <w:vAlign w:val="bottom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</w:tr>
      <w:tr w:rsidR="00234184" w:rsidTr="00234184">
        <w:trPr>
          <w:gridAfter w:val="1"/>
          <w:wAfter w:w="65" w:type="dxa"/>
          <w:trHeight w:val="96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5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PROPÓSITO DE PROGRAMA</w:t>
            </w:r>
          </w:p>
        </w:tc>
        <w:tc>
          <w:tcPr>
            <w:tcW w:w="10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Año</w:t>
            </w:r>
            <w:proofErr w:type="spellEnd"/>
          </w:p>
        </w:tc>
        <w:tc>
          <w:tcPr>
            <w:tcW w:w="120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20097</w:t>
            </w: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Índice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desarrollo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urbano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próspero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0.00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0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69.00</w:t>
            </w:r>
          </w:p>
        </w:tc>
        <w:tc>
          <w:tcPr>
            <w:tcW w:w="1408" w:type="dxa"/>
            <w:vAlign w:val="bottom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</w:tr>
      <w:tr w:rsidR="00234184" w:rsidTr="00234184">
        <w:trPr>
          <w:gridAfter w:val="1"/>
          <w:wAfter w:w="65" w:type="dxa"/>
          <w:trHeight w:val="189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5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COMPONENTE 1</w:t>
            </w:r>
          </w:p>
        </w:tc>
        <w:tc>
          <w:tcPr>
            <w:tcW w:w="102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Anual</w:t>
            </w:r>
            <w:proofErr w:type="spellEnd"/>
          </w:p>
        </w:tc>
        <w:tc>
          <w:tcPr>
            <w:tcW w:w="120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20098</w:t>
            </w: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Porcentaje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nuevos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o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actualizados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instrumentos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br/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normativos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para el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ordenamiento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territorial y</w:t>
            </w: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br/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planeación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urbana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con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participación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ciudadana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0.00%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0.00%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100.00%</w:t>
            </w:r>
          </w:p>
        </w:tc>
        <w:tc>
          <w:tcPr>
            <w:tcW w:w="1408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</w:tr>
      <w:tr w:rsidR="00234184" w:rsidTr="00234184">
        <w:trPr>
          <w:gridAfter w:val="1"/>
          <w:wAfter w:w="65" w:type="dxa"/>
          <w:trHeight w:val="1815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Total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instrumentos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normativos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nuevos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o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actualizados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en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materia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urbanística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vigentes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que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incluyeron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mecanismos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participación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ciudadana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en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su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elaboración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y/o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consulta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0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945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Total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instrumentos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normativos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nuevos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o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actualizados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en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materia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urbanística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que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entraron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en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vigor (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vigentes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)</w:t>
            </w:r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1575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021" w:type="dxa"/>
            <w:vMerge w:val="restart"/>
            <w:noWrap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Anual</w:t>
            </w:r>
            <w:proofErr w:type="spellEnd"/>
          </w:p>
        </w:tc>
        <w:tc>
          <w:tcPr>
            <w:tcW w:w="1201" w:type="dxa"/>
            <w:vMerge w:val="restart"/>
            <w:noWrap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20099</w:t>
            </w: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Porcentaje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municipios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con planes o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programas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de</w:t>
            </w: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br/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ordenamiento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territorial y/o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desarrollo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urbano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br/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actualizados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0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0.00%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16.98</w:t>
            </w:r>
          </w:p>
        </w:tc>
        <w:tc>
          <w:tcPr>
            <w:tcW w:w="1408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</w:tr>
      <w:tr w:rsidR="00234184" w:rsidTr="00234184">
        <w:trPr>
          <w:gridAfter w:val="1"/>
          <w:wAfter w:w="65" w:type="dxa"/>
          <w:trHeight w:val="1575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Total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municipios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con planes o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programas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de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br/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ordenamiento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territorial y/o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desarrollo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urbano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vigentes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a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nivel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regional,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metropolitano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o municipal. </w:t>
            </w:r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0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18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1005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Total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municipios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en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el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estado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de Yucatán</w:t>
            </w:r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106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106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945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5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ACTIVIDAD C1A1</w:t>
            </w:r>
          </w:p>
        </w:tc>
        <w:tc>
          <w:tcPr>
            <w:tcW w:w="102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Trimestre</w:t>
            </w:r>
            <w:proofErr w:type="spellEnd"/>
          </w:p>
        </w:tc>
        <w:tc>
          <w:tcPr>
            <w:tcW w:w="120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20100</w:t>
            </w: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Porcentaje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anteproyectos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leyes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o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reglamentos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en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materia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urbanística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elaborados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100.00%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0.00%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0.00%</w:t>
            </w:r>
          </w:p>
        </w:tc>
        <w:tc>
          <w:tcPr>
            <w:tcW w:w="1408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</w:tr>
      <w:tr w:rsidR="00234184" w:rsidTr="00234184">
        <w:trPr>
          <w:gridAfter w:val="1"/>
          <w:wAfter w:w="65" w:type="dxa"/>
          <w:trHeight w:val="63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Total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anteproyectos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leyes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o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reglamentos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elaborados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0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63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Total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anteproyectos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leyes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o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reglamentos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programados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126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5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ACTIVIDAD C1A2</w:t>
            </w:r>
          </w:p>
        </w:tc>
        <w:tc>
          <w:tcPr>
            <w:tcW w:w="102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Trimestre</w:t>
            </w:r>
            <w:proofErr w:type="spellEnd"/>
          </w:p>
        </w:tc>
        <w:tc>
          <w:tcPr>
            <w:tcW w:w="120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20101</w:t>
            </w: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Porcentaje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anteproyectos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instrumentos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ordenamiento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territorial o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planeación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urbana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br/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elaborados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100.00%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0.00%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100.00%</w:t>
            </w:r>
          </w:p>
        </w:tc>
        <w:tc>
          <w:tcPr>
            <w:tcW w:w="1408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Durante el primer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trimestre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del 2025 se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realizaon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avances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en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la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integración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del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anteproyecto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del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Programa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Ordenamiento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Territorial de la Zona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Metropolitana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de Mérida,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pero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su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cumplimiento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se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reportará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en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los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trimestre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subsecuentes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cuando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se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haya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concluido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y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entregado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el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documento</w:t>
            </w:r>
            <w:proofErr w:type="spellEnd"/>
          </w:p>
        </w:tc>
      </w:tr>
      <w:tr w:rsidR="00234184" w:rsidTr="00234184">
        <w:trPr>
          <w:gridAfter w:val="1"/>
          <w:wAfter w:w="65" w:type="dxa"/>
          <w:trHeight w:val="63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Total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anteproyectos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de planes o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programas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elaborados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0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63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Total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anteproyectos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de planes o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programas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programados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126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5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ACTIVIDAD C1A3</w:t>
            </w:r>
          </w:p>
        </w:tc>
        <w:tc>
          <w:tcPr>
            <w:tcW w:w="102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Semestre</w:t>
            </w:r>
            <w:proofErr w:type="spellEnd"/>
          </w:p>
        </w:tc>
        <w:tc>
          <w:tcPr>
            <w:tcW w:w="1201" w:type="dxa"/>
            <w:vMerge w:val="restart"/>
            <w:noWrap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20103</w:t>
            </w: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Porcentaje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instrumentos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normativos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para el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ordenamiento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territorial y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planeación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urbana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br/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vigentes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100%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N/A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100</w:t>
            </w:r>
          </w:p>
        </w:tc>
        <w:tc>
          <w:tcPr>
            <w:tcW w:w="1408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</w:tr>
      <w:tr w:rsidR="00234184" w:rsidTr="00234184">
        <w:trPr>
          <w:gridAfter w:val="1"/>
          <w:wAfter w:w="65" w:type="dxa"/>
          <w:trHeight w:val="315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Total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iniciativas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que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entraron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en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vigor </w:t>
            </w:r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0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315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Total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iniciativas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lastRenderedPageBreak/>
              <w:t>gestionadas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lastRenderedPageBreak/>
              <w:t>1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63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5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COMPONENTE 2</w:t>
            </w:r>
          </w:p>
        </w:tc>
        <w:tc>
          <w:tcPr>
            <w:tcW w:w="102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Semestre</w:t>
            </w:r>
            <w:proofErr w:type="spellEnd"/>
          </w:p>
        </w:tc>
        <w:tc>
          <w:tcPr>
            <w:tcW w:w="120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20104</w:t>
            </w: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Porcentaje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municipios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con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actividades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promoción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urbana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10.38%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N/A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5.66%</w:t>
            </w:r>
          </w:p>
        </w:tc>
        <w:tc>
          <w:tcPr>
            <w:tcW w:w="1408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</w:tr>
      <w:tr w:rsidR="00234184" w:rsidTr="00234184">
        <w:trPr>
          <w:gridAfter w:val="1"/>
          <w:wAfter w:w="65" w:type="dxa"/>
          <w:trHeight w:val="63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Total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municipios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beneficiarios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actividades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promoción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urbana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11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0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12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315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Total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municipios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en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el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estado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de Yucatán</w:t>
            </w:r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106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106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106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63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5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ACTIVIDAD C2A1</w:t>
            </w:r>
          </w:p>
        </w:tc>
        <w:tc>
          <w:tcPr>
            <w:tcW w:w="102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Trimestre</w:t>
            </w:r>
            <w:proofErr w:type="spellEnd"/>
          </w:p>
        </w:tc>
        <w:tc>
          <w:tcPr>
            <w:tcW w:w="120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20105</w:t>
            </w: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Porcentaje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municipios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con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funcionarios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públicos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capacitados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9.43%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0.94%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10.38%</w:t>
            </w:r>
          </w:p>
        </w:tc>
        <w:tc>
          <w:tcPr>
            <w:tcW w:w="1408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Corresponde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al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Municipio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Umán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que ha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sido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beneficiario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por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la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participación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del IMDUT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en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la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sesión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asistencia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técnica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otorgada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en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el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mes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febrero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del 2025</w:t>
            </w:r>
          </w:p>
        </w:tc>
      </w:tr>
      <w:tr w:rsidR="00234184" w:rsidTr="00234184">
        <w:trPr>
          <w:gridAfter w:val="1"/>
          <w:wAfter w:w="65" w:type="dxa"/>
          <w:trHeight w:val="63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Total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municipios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con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funcionarios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públicos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capacitados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10.00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11.00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315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Total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municipios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en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el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estado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de Yucatán</w:t>
            </w:r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106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106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106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63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5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ACTIVIDAD C2A2</w:t>
            </w:r>
          </w:p>
        </w:tc>
        <w:tc>
          <w:tcPr>
            <w:tcW w:w="102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Trimestre</w:t>
            </w:r>
            <w:proofErr w:type="spellEnd"/>
          </w:p>
        </w:tc>
        <w:tc>
          <w:tcPr>
            <w:tcW w:w="120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20106</w:t>
            </w: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Porcentaje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sesiones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en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consejos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realizadas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14.15%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0.94%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50.67%</w:t>
            </w:r>
          </w:p>
        </w:tc>
        <w:tc>
          <w:tcPr>
            <w:tcW w:w="1408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Corresponden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al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Municipio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de Mérida  que ha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sido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beneficiario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lastRenderedPageBreak/>
              <w:t>por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la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participación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del IMDUT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en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el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Comité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Técnico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Infraestructura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Verde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durante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el primer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trimestre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del 2025</w:t>
            </w:r>
          </w:p>
        </w:tc>
      </w:tr>
      <w:tr w:rsidR="00234184" w:rsidTr="00234184">
        <w:trPr>
          <w:gridAfter w:val="1"/>
          <w:wAfter w:w="65" w:type="dxa"/>
          <w:trHeight w:val="315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Total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municipios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con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sesiones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realizadas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15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315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Total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municipios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en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el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estado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de Yucatán</w:t>
            </w:r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106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106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106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72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5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ACTIVIDAD C2A3</w:t>
            </w:r>
          </w:p>
        </w:tc>
        <w:tc>
          <w:tcPr>
            <w:tcW w:w="102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Trimestre</w:t>
            </w:r>
            <w:proofErr w:type="spellEnd"/>
          </w:p>
        </w:tc>
        <w:tc>
          <w:tcPr>
            <w:tcW w:w="1201" w:type="dxa"/>
            <w:vMerge w:val="restart"/>
            <w:noWrap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20107</w:t>
            </w: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Porcentaje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usuarios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satisfechos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con los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espacios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infraestructura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social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administrados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40.94%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8.39%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50.67%</w:t>
            </w:r>
          </w:p>
        </w:tc>
        <w:tc>
          <w:tcPr>
            <w:tcW w:w="1408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</w:tr>
      <w:tr w:rsidR="00234184" w:rsidTr="00234184">
        <w:trPr>
          <w:gridAfter w:val="1"/>
          <w:wAfter w:w="65" w:type="dxa"/>
          <w:trHeight w:val="48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Total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usuarios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solicitantes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satisfechos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122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25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151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24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Total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usuarios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solicitantes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298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298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298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96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5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COMPONENTE 3</w:t>
            </w:r>
          </w:p>
        </w:tc>
        <w:tc>
          <w:tcPr>
            <w:tcW w:w="102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Anual</w:t>
            </w:r>
            <w:proofErr w:type="spellEnd"/>
          </w:p>
        </w:tc>
        <w:tc>
          <w:tcPr>
            <w:tcW w:w="120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20108</w:t>
            </w: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Porcentaje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población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beneficiaria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por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planes o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proyectos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estratégicos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desarrollo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urbano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br/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implementados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o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construidos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100.00%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0.00%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100.00%</w:t>
            </w:r>
          </w:p>
        </w:tc>
        <w:tc>
          <w:tcPr>
            <w:tcW w:w="1408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</w:tr>
      <w:tr w:rsidR="00234184" w:rsidTr="00234184">
        <w:trPr>
          <w:gridAfter w:val="1"/>
          <w:wAfter w:w="65" w:type="dxa"/>
          <w:trHeight w:val="96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Total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habitantes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de Yucatán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benefiarios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de planes o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proyectos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estratégicos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desarrollo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urbano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br/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implementados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o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construidos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2,304,498.00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0.00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2,304,498.00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48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Total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habitantes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en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el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estado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de Yucatán </w:t>
            </w:r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2,304,498.00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#########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2,304,498.00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48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5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ACTIVIDAD C3A1</w:t>
            </w:r>
          </w:p>
        </w:tc>
        <w:tc>
          <w:tcPr>
            <w:tcW w:w="102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Semestre</w:t>
            </w:r>
            <w:proofErr w:type="spellEnd"/>
          </w:p>
        </w:tc>
        <w:tc>
          <w:tcPr>
            <w:tcW w:w="120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20109</w:t>
            </w: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Porcentaje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estudios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técnicos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elaborados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100.00%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N/A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100.00%</w:t>
            </w:r>
          </w:p>
        </w:tc>
        <w:tc>
          <w:tcPr>
            <w:tcW w:w="1408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</w:tr>
      <w:tr w:rsidR="00234184" w:rsidTr="00234184">
        <w:trPr>
          <w:gridAfter w:val="1"/>
          <w:wAfter w:w="65" w:type="dxa"/>
          <w:trHeight w:val="48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Total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estudios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técnicos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elaborados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3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0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315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Total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estudios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técnicos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programados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3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3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48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5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ACTIVIDAD C3A2</w:t>
            </w:r>
          </w:p>
        </w:tc>
        <w:tc>
          <w:tcPr>
            <w:tcW w:w="102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Semestre</w:t>
            </w:r>
            <w:proofErr w:type="spellEnd"/>
          </w:p>
        </w:tc>
        <w:tc>
          <w:tcPr>
            <w:tcW w:w="120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20110</w:t>
            </w: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Porcentaje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planes y/o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proyectos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estratégicos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elaborados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100.00%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N/A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100.00%</w:t>
            </w:r>
          </w:p>
        </w:tc>
        <w:tc>
          <w:tcPr>
            <w:tcW w:w="1408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</w:tr>
      <w:tr w:rsidR="00234184" w:rsidTr="00234184">
        <w:trPr>
          <w:gridAfter w:val="1"/>
          <w:wAfter w:w="65" w:type="dxa"/>
          <w:trHeight w:val="48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Total de planes y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proyectos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estratégicos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lastRenderedPageBreak/>
              <w:t>elaborados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lastRenderedPageBreak/>
              <w:t>3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0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48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Total de planes y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proyectos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estratégicos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programados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3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3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72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5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ACTIVIDAD C3A3</w:t>
            </w:r>
          </w:p>
        </w:tc>
        <w:tc>
          <w:tcPr>
            <w:tcW w:w="102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Semestre</w:t>
            </w:r>
            <w:proofErr w:type="spellEnd"/>
          </w:p>
        </w:tc>
        <w:tc>
          <w:tcPr>
            <w:tcW w:w="120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20111</w:t>
            </w: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Porcentaje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acciones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desarrollo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urbano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con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gestión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fondos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para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su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financiamiento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100%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N/A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100</w:t>
            </w:r>
          </w:p>
        </w:tc>
        <w:tc>
          <w:tcPr>
            <w:tcW w:w="1408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</w:tr>
      <w:tr w:rsidR="00234184" w:rsidTr="00234184">
        <w:trPr>
          <w:gridAfter w:val="1"/>
          <w:wAfter w:w="65" w:type="dxa"/>
          <w:trHeight w:val="48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Total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acciones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gestionadas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con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asignación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recursos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económicos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4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0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48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Total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acciones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con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gestión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fondos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4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4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48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5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ACTIVIDAD C3A4</w:t>
            </w:r>
          </w:p>
        </w:tc>
        <w:tc>
          <w:tcPr>
            <w:tcW w:w="102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Trimestre</w:t>
            </w:r>
            <w:proofErr w:type="spellEnd"/>
          </w:p>
        </w:tc>
        <w:tc>
          <w:tcPr>
            <w:tcW w:w="120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23183</w:t>
            </w: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Porcentaje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obras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infraestructura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realizada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100%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0.00%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100%</w:t>
            </w:r>
          </w:p>
        </w:tc>
        <w:tc>
          <w:tcPr>
            <w:tcW w:w="1408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</w:tr>
      <w:tr w:rsidR="00234184" w:rsidTr="00234184">
        <w:trPr>
          <w:gridAfter w:val="1"/>
          <w:wAfter w:w="65" w:type="dxa"/>
          <w:trHeight w:val="48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Total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acciones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infraestructura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entregadas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28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0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15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48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Total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acciones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infraestructura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gestionadas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28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15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15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945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5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COMPONENTE 4</w:t>
            </w:r>
          </w:p>
        </w:tc>
        <w:tc>
          <w:tcPr>
            <w:tcW w:w="102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Anual</w:t>
            </w:r>
            <w:proofErr w:type="spellEnd"/>
          </w:p>
        </w:tc>
        <w:tc>
          <w:tcPr>
            <w:tcW w:w="120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23185</w:t>
            </w: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Porcentaje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municipios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con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información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urbana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y</w:t>
            </w: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br/>
              <w:t xml:space="preserve">territorial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actualizada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100.00%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0.00%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18.87%</w:t>
            </w:r>
          </w:p>
        </w:tc>
        <w:tc>
          <w:tcPr>
            <w:tcW w:w="1408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</w:tr>
      <w:tr w:rsidR="00234184" w:rsidTr="00234184">
        <w:trPr>
          <w:gridAfter w:val="1"/>
          <w:wAfter w:w="65" w:type="dxa"/>
          <w:trHeight w:val="945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Total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municipios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con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información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urbana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y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br/>
              <w:t xml:space="preserve">territorial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actualizada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106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0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315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Total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municipios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en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el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estado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de Yucatán</w:t>
            </w:r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106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106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106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315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5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ACTIVIDAD C4A1</w:t>
            </w:r>
          </w:p>
        </w:tc>
        <w:tc>
          <w:tcPr>
            <w:tcW w:w="102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Trimestre</w:t>
            </w:r>
            <w:proofErr w:type="spellEnd"/>
          </w:p>
        </w:tc>
        <w:tc>
          <w:tcPr>
            <w:tcW w:w="120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val="en-US" w:eastAsia="es-MX"/>
              </w:rPr>
              <w:t>20114</w:t>
            </w: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Porcentaje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documentos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elaborados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100.00%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0.00%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100.00%</w:t>
            </w:r>
          </w:p>
        </w:tc>
        <w:tc>
          <w:tcPr>
            <w:tcW w:w="1408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No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existieron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avances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del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entregable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que se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reporta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en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el primer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trimestre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de 2025,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ya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que,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su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desarrollo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está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programado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para los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trimestres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subsecuentes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. </w:t>
            </w:r>
          </w:p>
        </w:tc>
      </w:tr>
      <w:tr w:rsidR="00234184" w:rsidTr="00234184">
        <w:trPr>
          <w:gridAfter w:val="1"/>
          <w:wAfter w:w="65" w:type="dxa"/>
          <w:trHeight w:val="315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Total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documentos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elaborados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0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315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Total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documentos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programados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63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5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ACTIVIDAD C4A2</w:t>
            </w:r>
          </w:p>
        </w:tc>
        <w:tc>
          <w:tcPr>
            <w:tcW w:w="102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Trimestre</w:t>
            </w:r>
            <w:proofErr w:type="spellEnd"/>
          </w:p>
        </w:tc>
        <w:tc>
          <w:tcPr>
            <w:tcW w:w="120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23186</w:t>
            </w: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Porcentaje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de bases de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datos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integradas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o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actualizadas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100.00%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0.00%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100.00%</w:t>
            </w:r>
          </w:p>
        </w:tc>
        <w:tc>
          <w:tcPr>
            <w:tcW w:w="1408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No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existieron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avances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del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entregable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que se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reporta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en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el primer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trimestre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de 2025,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ya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que,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su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desarrollo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está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programado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para los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trimestres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lastRenderedPageBreak/>
              <w:t>subsecuentes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. </w:t>
            </w:r>
          </w:p>
        </w:tc>
      </w:tr>
      <w:tr w:rsidR="00234184" w:rsidTr="00234184">
        <w:trPr>
          <w:gridAfter w:val="1"/>
          <w:wAfter w:w="65" w:type="dxa"/>
          <w:trHeight w:val="315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Total de base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datos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integrados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0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315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Total de base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datos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lastRenderedPageBreak/>
              <w:t>programados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lastRenderedPageBreak/>
              <w:t>1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63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5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sz w:val="18"/>
                <w:szCs w:val="18"/>
                <w:lang w:val="en-US" w:eastAsia="es-MX"/>
              </w:rPr>
              <w:t>ACTIVIDAD C4A3</w:t>
            </w:r>
          </w:p>
        </w:tc>
        <w:tc>
          <w:tcPr>
            <w:tcW w:w="102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sz w:val="18"/>
                <w:szCs w:val="18"/>
                <w:lang w:val="en-US" w:eastAsia="es-MX"/>
              </w:rPr>
              <w:t>Trimestre</w:t>
            </w:r>
            <w:proofErr w:type="spellEnd"/>
          </w:p>
        </w:tc>
        <w:tc>
          <w:tcPr>
            <w:tcW w:w="120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sz w:val="18"/>
                <w:szCs w:val="18"/>
                <w:lang w:val="en-US" w:eastAsia="es-MX"/>
              </w:rPr>
              <w:t>20116</w:t>
            </w: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b/>
                <w:bCs/>
                <w:sz w:val="18"/>
                <w:szCs w:val="18"/>
                <w:lang w:val="en-US" w:eastAsia="es-MX"/>
              </w:rPr>
              <w:t>Porcentaje</w:t>
            </w:r>
            <w:proofErr w:type="spellEnd"/>
            <w:r>
              <w:rPr>
                <w:rFonts w:ascii="Lato" w:eastAsia="Times New Roman" w:hAnsi="Lato" w:cs="Calibri"/>
                <w:b/>
                <w:bCs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sz w:val="18"/>
                <w:szCs w:val="18"/>
                <w:lang w:val="en-US" w:eastAsia="es-MX"/>
              </w:rPr>
              <w:t>acciones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sz w:val="18"/>
                <w:szCs w:val="18"/>
                <w:lang w:val="en-US" w:eastAsia="es-MX"/>
              </w:rPr>
              <w:t>difusión</w:t>
            </w:r>
            <w:proofErr w:type="spellEnd"/>
            <w:r>
              <w:rPr>
                <w:rFonts w:ascii="Lato" w:eastAsia="Times New Roman" w:hAnsi="Lato" w:cs="Calibri"/>
                <w:b/>
                <w:bCs/>
                <w:sz w:val="18"/>
                <w:szCs w:val="18"/>
                <w:lang w:val="en-US" w:eastAsia="es-MX"/>
              </w:rPr>
              <w:t xml:space="preserve"> y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sz w:val="18"/>
                <w:szCs w:val="18"/>
                <w:lang w:val="en-US" w:eastAsia="es-MX"/>
              </w:rPr>
              <w:t>capacitación</w:t>
            </w:r>
            <w:proofErr w:type="spellEnd"/>
            <w:r>
              <w:rPr>
                <w:rFonts w:ascii="Lato" w:eastAsia="Times New Roman" w:hAnsi="Lato" w:cs="Calibri"/>
                <w:b/>
                <w:bCs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sz w:val="18"/>
                <w:szCs w:val="18"/>
                <w:lang w:val="en-US" w:eastAsia="es-MX"/>
              </w:rPr>
              <w:t>realizadas</w:t>
            </w:r>
            <w:proofErr w:type="spellEnd"/>
          </w:p>
        </w:tc>
        <w:tc>
          <w:tcPr>
            <w:tcW w:w="1120" w:type="dxa"/>
            <w:noWrap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sz w:val="18"/>
                <w:szCs w:val="18"/>
                <w:lang w:val="en-US" w:eastAsia="es-MX"/>
              </w:rPr>
              <w:t>100%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sz w:val="18"/>
                <w:szCs w:val="18"/>
                <w:lang w:val="en-US" w:eastAsia="es-MX"/>
              </w:rPr>
              <w:t>0.00%</w:t>
            </w:r>
          </w:p>
        </w:tc>
        <w:tc>
          <w:tcPr>
            <w:tcW w:w="1431" w:type="dxa"/>
            <w:noWrap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sz w:val="18"/>
                <w:szCs w:val="18"/>
                <w:lang w:val="en-US" w:eastAsia="es-MX"/>
              </w:rPr>
              <w:t>100%</w:t>
            </w:r>
          </w:p>
        </w:tc>
        <w:tc>
          <w:tcPr>
            <w:tcW w:w="1408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No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existieron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avances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del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entregable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que se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reporta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en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el primer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trimestre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de 2025,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ya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que,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su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desarrollo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está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programado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para los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trimestres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subsecuentes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. </w:t>
            </w:r>
          </w:p>
        </w:tc>
      </w:tr>
      <w:tr w:rsidR="00234184" w:rsidTr="00234184">
        <w:trPr>
          <w:gridAfter w:val="1"/>
          <w:wAfter w:w="65" w:type="dxa"/>
          <w:trHeight w:val="63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sz w:val="18"/>
                <w:szCs w:val="18"/>
                <w:lang w:val="en-US" w:eastAsia="es-MX"/>
              </w:rPr>
              <w:t xml:space="preserve">Total de </w:t>
            </w:r>
            <w:proofErr w:type="spellStart"/>
            <w:r>
              <w:rPr>
                <w:rFonts w:ascii="Lato" w:eastAsia="Times New Roman" w:hAnsi="Lato" w:cs="Calibri"/>
                <w:sz w:val="18"/>
                <w:szCs w:val="18"/>
                <w:lang w:val="en-US" w:eastAsia="es-MX"/>
              </w:rPr>
              <w:t>acciones</w:t>
            </w:r>
            <w:proofErr w:type="spellEnd"/>
            <w:r>
              <w:rPr>
                <w:rFonts w:ascii="Lato" w:eastAsia="Times New Roman" w:hAnsi="Lato" w:cs="Calibri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sz w:val="18"/>
                <w:szCs w:val="18"/>
                <w:lang w:val="en-US" w:eastAsia="es-MX"/>
              </w:rPr>
              <w:t>difusión</w:t>
            </w:r>
            <w:proofErr w:type="spellEnd"/>
            <w:r>
              <w:rPr>
                <w:rFonts w:ascii="Lato" w:eastAsia="Times New Roman" w:hAnsi="Lato" w:cs="Calibri"/>
                <w:sz w:val="18"/>
                <w:szCs w:val="18"/>
                <w:lang w:val="en-US" w:eastAsia="es-MX"/>
              </w:rPr>
              <w:t xml:space="preserve"> y </w:t>
            </w:r>
            <w:proofErr w:type="spellStart"/>
            <w:r>
              <w:rPr>
                <w:rFonts w:ascii="Lato" w:eastAsia="Times New Roman" w:hAnsi="Lato" w:cs="Calibri"/>
                <w:sz w:val="18"/>
                <w:szCs w:val="18"/>
                <w:lang w:val="en-US" w:eastAsia="es-MX"/>
              </w:rPr>
              <w:t>capacitación</w:t>
            </w:r>
            <w:proofErr w:type="spellEnd"/>
            <w:r>
              <w:rPr>
                <w:rFonts w:ascii="Lato" w:eastAsia="Times New Roman" w:hAnsi="Lato" w:cs="Calibri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sz w:val="18"/>
                <w:szCs w:val="18"/>
                <w:lang w:val="en-US" w:eastAsia="es-MX"/>
              </w:rPr>
              <w:t>realizadas</w:t>
            </w:r>
            <w:proofErr w:type="spellEnd"/>
          </w:p>
        </w:tc>
        <w:tc>
          <w:tcPr>
            <w:tcW w:w="1120" w:type="dxa"/>
            <w:noWrap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sz w:val="18"/>
                <w:szCs w:val="18"/>
                <w:lang w:val="en-US" w:eastAsia="es-MX"/>
              </w:rPr>
              <w:t>1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0</w:t>
            </w:r>
          </w:p>
        </w:tc>
        <w:tc>
          <w:tcPr>
            <w:tcW w:w="1431" w:type="dxa"/>
            <w:noWrap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sz w:val="18"/>
                <w:szCs w:val="18"/>
                <w:lang w:val="en-US" w:eastAsia="es-MX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63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sz w:val="18"/>
                <w:szCs w:val="18"/>
                <w:lang w:val="en-US" w:eastAsia="es-MX"/>
              </w:rPr>
              <w:t xml:space="preserve">Total de </w:t>
            </w:r>
            <w:proofErr w:type="spellStart"/>
            <w:r>
              <w:rPr>
                <w:rFonts w:ascii="Lato" w:eastAsia="Times New Roman" w:hAnsi="Lato" w:cs="Calibri"/>
                <w:sz w:val="18"/>
                <w:szCs w:val="18"/>
                <w:lang w:val="en-US" w:eastAsia="es-MX"/>
              </w:rPr>
              <w:t>acciones</w:t>
            </w:r>
            <w:proofErr w:type="spellEnd"/>
            <w:r>
              <w:rPr>
                <w:rFonts w:ascii="Lato" w:eastAsia="Times New Roman" w:hAnsi="Lato" w:cs="Calibri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sz w:val="18"/>
                <w:szCs w:val="18"/>
                <w:lang w:val="en-US" w:eastAsia="es-MX"/>
              </w:rPr>
              <w:t>difusión</w:t>
            </w:r>
            <w:proofErr w:type="spellEnd"/>
            <w:r>
              <w:rPr>
                <w:rFonts w:ascii="Lato" w:eastAsia="Times New Roman" w:hAnsi="Lato" w:cs="Calibri"/>
                <w:sz w:val="18"/>
                <w:szCs w:val="18"/>
                <w:lang w:val="en-US" w:eastAsia="es-MX"/>
              </w:rPr>
              <w:t xml:space="preserve"> y </w:t>
            </w:r>
            <w:proofErr w:type="spellStart"/>
            <w:r>
              <w:rPr>
                <w:rFonts w:ascii="Lato" w:eastAsia="Times New Roman" w:hAnsi="Lato" w:cs="Calibri"/>
                <w:sz w:val="18"/>
                <w:szCs w:val="18"/>
                <w:lang w:val="en-US" w:eastAsia="es-MX"/>
              </w:rPr>
              <w:t>capacitación</w:t>
            </w:r>
            <w:proofErr w:type="spellEnd"/>
            <w:r>
              <w:rPr>
                <w:rFonts w:ascii="Lato" w:eastAsia="Times New Roman" w:hAnsi="Lato" w:cs="Calibri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sz w:val="18"/>
                <w:szCs w:val="18"/>
                <w:lang w:val="en-US" w:eastAsia="es-MX"/>
              </w:rPr>
              <w:t>programadas</w:t>
            </w:r>
            <w:proofErr w:type="spellEnd"/>
          </w:p>
        </w:tc>
        <w:tc>
          <w:tcPr>
            <w:tcW w:w="1120" w:type="dxa"/>
            <w:noWrap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sz w:val="18"/>
                <w:szCs w:val="18"/>
                <w:lang w:val="en-US" w:eastAsia="es-MX"/>
              </w:rPr>
              <w:t>1</w:t>
            </w:r>
          </w:p>
        </w:tc>
        <w:tc>
          <w:tcPr>
            <w:tcW w:w="1221" w:type="dxa"/>
            <w:noWrap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sz w:val="18"/>
                <w:szCs w:val="18"/>
                <w:lang w:val="en-US" w:eastAsia="es-MX"/>
              </w:rPr>
              <w:t>1</w:t>
            </w:r>
          </w:p>
        </w:tc>
        <w:tc>
          <w:tcPr>
            <w:tcW w:w="1431" w:type="dxa"/>
            <w:noWrap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sz w:val="18"/>
                <w:szCs w:val="18"/>
                <w:lang w:val="en-US" w:eastAsia="es-MX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315"/>
          <w:jc w:val="center"/>
        </w:trPr>
        <w:tc>
          <w:tcPr>
            <w:tcW w:w="1280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PP 516 -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Fortalecimiento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a la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Movilidad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Sustentable</w:t>
            </w:r>
            <w:proofErr w:type="spellEnd"/>
          </w:p>
        </w:tc>
        <w:tc>
          <w:tcPr>
            <w:tcW w:w="145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FIN</w:t>
            </w:r>
          </w:p>
        </w:tc>
        <w:tc>
          <w:tcPr>
            <w:tcW w:w="10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Año</w:t>
            </w:r>
            <w:proofErr w:type="spellEnd"/>
          </w:p>
        </w:tc>
        <w:tc>
          <w:tcPr>
            <w:tcW w:w="120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20080</w:t>
            </w: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Índice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Movilidad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Urbana</w:t>
            </w:r>
          </w:p>
        </w:tc>
        <w:tc>
          <w:tcPr>
            <w:tcW w:w="1120" w:type="dxa"/>
            <w:noWrap/>
            <w:vAlign w:val="bottom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48.84</w:t>
            </w:r>
          </w:p>
        </w:tc>
        <w:tc>
          <w:tcPr>
            <w:tcW w:w="1221" w:type="dxa"/>
            <w:noWrap/>
            <w:vAlign w:val="bottom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0</w:t>
            </w:r>
          </w:p>
        </w:tc>
        <w:tc>
          <w:tcPr>
            <w:tcW w:w="1431" w:type="dxa"/>
            <w:noWrap/>
            <w:vAlign w:val="bottom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55.1</w:t>
            </w:r>
          </w:p>
        </w:tc>
        <w:tc>
          <w:tcPr>
            <w:tcW w:w="1408" w:type="dxa"/>
            <w:noWrap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</w:tr>
      <w:tr w:rsidR="00234184" w:rsidTr="00234184">
        <w:trPr>
          <w:gridAfter w:val="1"/>
          <w:wAfter w:w="65" w:type="dxa"/>
          <w:trHeight w:val="63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0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Quinquenal</w:t>
            </w:r>
            <w:proofErr w:type="spellEnd"/>
          </w:p>
        </w:tc>
        <w:tc>
          <w:tcPr>
            <w:tcW w:w="120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23436</w:t>
            </w: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Porcentaje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viviendas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que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disponen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bicicleta</w:t>
            </w:r>
            <w:proofErr w:type="spellEnd"/>
          </w:p>
        </w:tc>
        <w:tc>
          <w:tcPr>
            <w:tcW w:w="1120" w:type="dxa"/>
            <w:noWrap/>
            <w:vAlign w:val="bottom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39.4</w:t>
            </w:r>
          </w:p>
        </w:tc>
        <w:tc>
          <w:tcPr>
            <w:tcW w:w="1221" w:type="dxa"/>
            <w:noWrap/>
            <w:vAlign w:val="bottom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0</w:t>
            </w:r>
          </w:p>
        </w:tc>
        <w:tc>
          <w:tcPr>
            <w:tcW w:w="1431" w:type="dxa"/>
            <w:noWrap/>
            <w:vAlign w:val="bottom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46.4</w:t>
            </w:r>
          </w:p>
        </w:tc>
        <w:tc>
          <w:tcPr>
            <w:tcW w:w="1408" w:type="dxa"/>
            <w:noWrap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</w:tr>
      <w:tr w:rsidR="00234184" w:rsidTr="00234184">
        <w:trPr>
          <w:gridAfter w:val="1"/>
          <w:wAfter w:w="65" w:type="dxa"/>
          <w:trHeight w:val="63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5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PROPÓSITO DE PROGRAMA</w:t>
            </w:r>
          </w:p>
        </w:tc>
        <w:tc>
          <w:tcPr>
            <w:tcW w:w="10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Año</w:t>
            </w:r>
            <w:proofErr w:type="spellEnd"/>
          </w:p>
        </w:tc>
        <w:tc>
          <w:tcPr>
            <w:tcW w:w="120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23111</w:t>
            </w: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Índice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alternativas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óptimas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movilidad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en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el Estado</w:t>
            </w:r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9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0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9</w:t>
            </w:r>
          </w:p>
        </w:tc>
        <w:tc>
          <w:tcPr>
            <w:tcW w:w="1408" w:type="dxa"/>
            <w:noWrap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</w:tr>
      <w:tr w:rsidR="00234184" w:rsidTr="00234184">
        <w:trPr>
          <w:gridAfter w:val="1"/>
          <w:wAfter w:w="65" w:type="dxa"/>
          <w:trHeight w:val="72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5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COMPONENTE 1</w:t>
            </w:r>
          </w:p>
        </w:tc>
        <w:tc>
          <w:tcPr>
            <w:tcW w:w="102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Semestre</w:t>
            </w:r>
            <w:proofErr w:type="spellEnd"/>
          </w:p>
        </w:tc>
        <w:tc>
          <w:tcPr>
            <w:tcW w:w="120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23114</w:t>
            </w: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Porcentaje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municipios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con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instrumentos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movilidad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sustentable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realizados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0.94%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N/A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1.89%</w:t>
            </w:r>
          </w:p>
        </w:tc>
        <w:tc>
          <w:tcPr>
            <w:tcW w:w="1408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</w:tr>
      <w:tr w:rsidR="00234184" w:rsidTr="00234184">
        <w:trPr>
          <w:gridAfter w:val="1"/>
          <w:wAfter w:w="65" w:type="dxa"/>
          <w:trHeight w:val="48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Total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municipios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con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instrumentos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movilidad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sustentable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realizados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0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24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Total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municipios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del Estado</w:t>
            </w:r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106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106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106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315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5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ACTIVIDAD A1C1</w:t>
            </w:r>
          </w:p>
        </w:tc>
        <w:tc>
          <w:tcPr>
            <w:tcW w:w="102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Trimestre</w:t>
            </w:r>
            <w:proofErr w:type="spellEnd"/>
          </w:p>
        </w:tc>
        <w:tc>
          <w:tcPr>
            <w:tcW w:w="120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23115</w:t>
            </w: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Porcentaje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estrategias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elaboradas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50.00%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0.00%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100.00%</w:t>
            </w:r>
          </w:p>
        </w:tc>
        <w:tc>
          <w:tcPr>
            <w:tcW w:w="1408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</w:tr>
      <w:tr w:rsidR="00234184" w:rsidTr="00234184">
        <w:trPr>
          <w:gridAfter w:val="1"/>
          <w:wAfter w:w="65" w:type="dxa"/>
          <w:trHeight w:val="24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Total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estrategias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elaborados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2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0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24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Total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estrategias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programados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4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4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315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5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ACTIVIDAD A2C1</w:t>
            </w:r>
          </w:p>
        </w:tc>
        <w:tc>
          <w:tcPr>
            <w:tcW w:w="102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Trimestre</w:t>
            </w:r>
            <w:proofErr w:type="spellEnd"/>
          </w:p>
        </w:tc>
        <w:tc>
          <w:tcPr>
            <w:tcW w:w="120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23117</w:t>
            </w: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Porcentaje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programas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elaborados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75.00%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0.00%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100.00%</w:t>
            </w:r>
          </w:p>
        </w:tc>
        <w:tc>
          <w:tcPr>
            <w:tcW w:w="1408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</w:tr>
      <w:tr w:rsidR="00234184" w:rsidTr="00234184">
        <w:trPr>
          <w:gridAfter w:val="1"/>
          <w:wAfter w:w="65" w:type="dxa"/>
          <w:trHeight w:val="24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Total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programas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elaborados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3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0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24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Total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programas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programados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4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48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5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COMPONENTE 2</w:t>
            </w:r>
          </w:p>
        </w:tc>
        <w:tc>
          <w:tcPr>
            <w:tcW w:w="102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Semestre</w:t>
            </w:r>
            <w:proofErr w:type="spellEnd"/>
          </w:p>
        </w:tc>
        <w:tc>
          <w:tcPr>
            <w:tcW w:w="120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20084</w:t>
            </w: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Porcentaje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municipios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con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estudios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técnicos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realizados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0.94%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N/A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2.83%</w:t>
            </w:r>
          </w:p>
        </w:tc>
        <w:tc>
          <w:tcPr>
            <w:tcW w:w="1408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</w:tr>
      <w:tr w:rsidR="00234184" w:rsidTr="00234184">
        <w:trPr>
          <w:gridAfter w:val="1"/>
          <w:wAfter w:w="65" w:type="dxa"/>
          <w:trHeight w:val="48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Total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municipios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con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estudios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lastRenderedPageBreak/>
              <w:t>técnicos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realizados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lastRenderedPageBreak/>
              <w:t>2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0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24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Total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municipios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del Estado</w:t>
            </w:r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106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106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106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63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5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ACTIVIDAD A1C2</w:t>
            </w:r>
          </w:p>
        </w:tc>
        <w:tc>
          <w:tcPr>
            <w:tcW w:w="102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Trimestre</w:t>
            </w:r>
            <w:proofErr w:type="spellEnd"/>
          </w:p>
        </w:tc>
        <w:tc>
          <w:tcPr>
            <w:tcW w:w="120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20089</w:t>
            </w: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Porcentaje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municipios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con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diagnósticos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realizados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2.83%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100.00%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4.72%</w:t>
            </w:r>
          </w:p>
        </w:tc>
        <w:tc>
          <w:tcPr>
            <w:tcW w:w="1408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Plan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Estatal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Desarrollo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Renacimiento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Maya 2024-2030</w:t>
            </w:r>
          </w:p>
        </w:tc>
      </w:tr>
      <w:tr w:rsidR="00234184" w:rsidTr="00234184">
        <w:trPr>
          <w:gridAfter w:val="1"/>
          <w:wAfter w:w="65" w:type="dxa"/>
          <w:trHeight w:val="48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Total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municipios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con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diagnósticos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realizados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3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106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24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Total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municipios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del Estado</w:t>
            </w:r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106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106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106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72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5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ACTIVIDAD A2C2</w:t>
            </w:r>
          </w:p>
        </w:tc>
        <w:tc>
          <w:tcPr>
            <w:tcW w:w="102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Trimestre</w:t>
            </w:r>
            <w:proofErr w:type="spellEnd"/>
          </w:p>
        </w:tc>
        <w:tc>
          <w:tcPr>
            <w:tcW w:w="120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20091</w:t>
            </w: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Porcentaje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municipios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con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digitalización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e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integración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de bases de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datos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1.89%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100.00%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100.00%</w:t>
            </w:r>
          </w:p>
        </w:tc>
        <w:tc>
          <w:tcPr>
            <w:tcW w:w="1408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Plan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Estatal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Desarrollo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Renacimiento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Maya 2024-2030</w:t>
            </w:r>
          </w:p>
        </w:tc>
      </w:tr>
      <w:tr w:rsidR="00234184" w:rsidTr="00234184">
        <w:trPr>
          <w:gridAfter w:val="1"/>
          <w:wAfter w:w="65" w:type="dxa"/>
          <w:trHeight w:val="48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Total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municipios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con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digitalización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integración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de bases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datos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2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106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106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24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Total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municipios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del Estado</w:t>
            </w:r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106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106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106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48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5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COMPONENTE 3</w:t>
            </w:r>
          </w:p>
        </w:tc>
        <w:tc>
          <w:tcPr>
            <w:tcW w:w="102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Semestre</w:t>
            </w:r>
            <w:proofErr w:type="spellEnd"/>
          </w:p>
        </w:tc>
        <w:tc>
          <w:tcPr>
            <w:tcW w:w="120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20085</w:t>
            </w: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Porcentaje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proyectos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infraestructura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realizados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33.33%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N/A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100.00%</w:t>
            </w:r>
          </w:p>
        </w:tc>
        <w:tc>
          <w:tcPr>
            <w:tcW w:w="1408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</w:tr>
      <w:tr w:rsidR="00234184" w:rsidTr="00234184">
        <w:trPr>
          <w:gridAfter w:val="1"/>
          <w:wAfter w:w="65" w:type="dxa"/>
          <w:trHeight w:val="48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Total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proyectos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infraestructura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realizados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2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0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48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Total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proyectos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infraestructura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programados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6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6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72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5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ACTIVIDAD A1C3</w:t>
            </w:r>
          </w:p>
        </w:tc>
        <w:tc>
          <w:tcPr>
            <w:tcW w:w="102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Semestre</w:t>
            </w:r>
            <w:proofErr w:type="spellEnd"/>
          </w:p>
        </w:tc>
        <w:tc>
          <w:tcPr>
            <w:tcW w:w="120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23118</w:t>
            </w: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Porcentaje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levantamientos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arquitectónicos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y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topográficos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realizados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100.00%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N/A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100.00%</w:t>
            </w:r>
          </w:p>
        </w:tc>
        <w:tc>
          <w:tcPr>
            <w:tcW w:w="1408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</w:tr>
      <w:tr w:rsidR="00234184" w:rsidTr="00234184">
        <w:trPr>
          <w:gridAfter w:val="1"/>
          <w:wAfter w:w="65" w:type="dxa"/>
          <w:trHeight w:val="72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Total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levantamientos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urbano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arquitectónicos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y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topográficos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realizados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5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0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72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Total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levantamientos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urbano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arquitectónicos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y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topográficos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programados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5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5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315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5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ACTIVIDAD A2C3</w:t>
            </w:r>
          </w:p>
        </w:tc>
        <w:tc>
          <w:tcPr>
            <w:tcW w:w="102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Trimestre</w:t>
            </w:r>
            <w:proofErr w:type="spellEnd"/>
          </w:p>
        </w:tc>
        <w:tc>
          <w:tcPr>
            <w:tcW w:w="120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20094</w:t>
            </w: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Porcentaje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anteproyectos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realizados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28.57%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0.00%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28.57%</w:t>
            </w:r>
          </w:p>
        </w:tc>
        <w:tc>
          <w:tcPr>
            <w:tcW w:w="1408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</w:tr>
      <w:tr w:rsidR="00234184" w:rsidTr="00234184">
        <w:trPr>
          <w:gridAfter w:val="1"/>
          <w:wAfter w:w="65" w:type="dxa"/>
          <w:trHeight w:val="48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Total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anteproyectos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infraestructura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realizados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2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0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48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Total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anteproyectos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lastRenderedPageBreak/>
              <w:t xml:space="preserve">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infraestructura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programados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lastRenderedPageBreak/>
              <w:t>7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7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7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96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5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COMPONENTE 4</w:t>
            </w:r>
          </w:p>
        </w:tc>
        <w:tc>
          <w:tcPr>
            <w:tcW w:w="102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Semestre</w:t>
            </w:r>
            <w:proofErr w:type="spellEnd"/>
          </w:p>
        </w:tc>
        <w:tc>
          <w:tcPr>
            <w:tcW w:w="120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20086</w:t>
            </w: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Porcentaje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municipios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con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actividades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promoción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de la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cultura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movilidad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sustentable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implementado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1.89%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N/A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60.00%</w:t>
            </w:r>
          </w:p>
        </w:tc>
        <w:tc>
          <w:tcPr>
            <w:tcW w:w="1408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</w:tr>
      <w:tr w:rsidR="00234184" w:rsidTr="00234184">
        <w:trPr>
          <w:gridAfter w:val="1"/>
          <w:wAfter w:w="65" w:type="dxa"/>
          <w:trHeight w:val="48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Total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municipios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con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actividades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promoción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realizadas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2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0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64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24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Total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municipios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del Estado</w:t>
            </w:r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106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106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106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48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5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ACTIVIDAD A1C4</w:t>
            </w:r>
          </w:p>
        </w:tc>
        <w:tc>
          <w:tcPr>
            <w:tcW w:w="102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Semestre</w:t>
            </w:r>
            <w:proofErr w:type="spellEnd"/>
          </w:p>
        </w:tc>
        <w:tc>
          <w:tcPr>
            <w:tcW w:w="120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23119</w:t>
            </w: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Porcentaje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campañas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y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difusión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implementados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100.00%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N/A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100.00%</w:t>
            </w:r>
          </w:p>
        </w:tc>
        <w:tc>
          <w:tcPr>
            <w:tcW w:w="1408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</w:tr>
      <w:tr w:rsidR="00234184" w:rsidTr="00234184">
        <w:trPr>
          <w:gridAfter w:val="1"/>
          <w:wAfter w:w="65" w:type="dxa"/>
          <w:trHeight w:val="48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Total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campañas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y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difusión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realizados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4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0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48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Total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campañas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y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difusión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programados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4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5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48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5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ACTIVIDAD A2C4</w:t>
            </w:r>
          </w:p>
        </w:tc>
        <w:tc>
          <w:tcPr>
            <w:tcW w:w="102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Semestre</w:t>
            </w:r>
            <w:proofErr w:type="spellEnd"/>
          </w:p>
        </w:tc>
        <w:tc>
          <w:tcPr>
            <w:tcW w:w="1201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23120</w:t>
            </w: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Porcentaje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de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difusión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en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plataformas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digitales</w:t>
            </w:r>
            <w:proofErr w:type="spellEnd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lastRenderedPageBreak/>
              <w:t>realizado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lastRenderedPageBreak/>
              <w:t>44.44%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N/A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100.00%</w:t>
            </w:r>
          </w:p>
        </w:tc>
        <w:tc>
          <w:tcPr>
            <w:tcW w:w="1408" w:type="dxa"/>
            <w:vMerge w:val="restart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</w:tr>
      <w:tr w:rsidR="00234184" w:rsidTr="00234184">
        <w:trPr>
          <w:gridAfter w:val="1"/>
          <w:wAfter w:w="65" w:type="dxa"/>
          <w:trHeight w:val="48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Total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difusión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en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plataformas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digitales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realizados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4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0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9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  <w:tr w:rsidR="00234184" w:rsidTr="00234184">
        <w:trPr>
          <w:gridAfter w:val="1"/>
          <w:wAfter w:w="65" w:type="dxa"/>
          <w:trHeight w:val="480"/>
          <w:jc w:val="center"/>
        </w:trPr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14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Total de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difusión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en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plataformas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digitales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programados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9</w:t>
            </w:r>
          </w:p>
        </w:tc>
        <w:tc>
          <w:tcPr>
            <w:tcW w:w="122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9</w:t>
            </w:r>
          </w:p>
        </w:tc>
        <w:tc>
          <w:tcPr>
            <w:tcW w:w="1431" w:type="dxa"/>
            <w:vAlign w:val="center"/>
            <w:hideMark/>
          </w:tcPr>
          <w:p w:rsidR="00234184" w:rsidRDefault="0023418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  <w:t>9</w:t>
            </w:r>
          </w:p>
        </w:tc>
        <w:tc>
          <w:tcPr>
            <w:tcW w:w="0" w:type="auto"/>
            <w:vMerge/>
            <w:vAlign w:val="center"/>
            <w:hideMark/>
          </w:tcPr>
          <w:p w:rsidR="00234184" w:rsidRDefault="0023418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es-MX"/>
              </w:rPr>
            </w:pPr>
          </w:p>
        </w:tc>
      </w:tr>
    </w:tbl>
    <w:p w:rsidR="00CD527E" w:rsidRPr="00762E6E" w:rsidRDefault="00CD527E" w:rsidP="00C96037">
      <w:pPr>
        <w:rPr>
          <w:rFonts w:ascii="Lato" w:hAnsi="Lato" w:cs="Arial"/>
          <w:b/>
          <w:sz w:val="20"/>
          <w:szCs w:val="20"/>
        </w:rPr>
      </w:pPr>
    </w:p>
    <w:p w:rsidR="00CD527E" w:rsidRPr="00762E6E" w:rsidRDefault="00CD527E" w:rsidP="00C96037">
      <w:pPr>
        <w:rPr>
          <w:rFonts w:ascii="Lato" w:hAnsi="Lato" w:cs="Arial"/>
          <w:b/>
          <w:sz w:val="20"/>
          <w:szCs w:val="20"/>
        </w:rPr>
      </w:pPr>
    </w:p>
    <w:sectPr w:rsidR="00CD527E" w:rsidRPr="00762E6E" w:rsidSect="008217DF">
      <w:headerReference w:type="default" r:id="rId6"/>
      <w:type w:val="continuous"/>
      <w:pgSz w:w="15842" w:h="12242" w:orient="landscape" w:code="1"/>
      <w:pgMar w:top="2835" w:right="1134" w:bottom="1701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325" w:rsidRDefault="00A80325" w:rsidP="008E2A9B">
      <w:r>
        <w:separator/>
      </w:r>
    </w:p>
  </w:endnote>
  <w:endnote w:type="continuationSeparator" w:id="0">
    <w:p w:rsidR="00A80325" w:rsidRDefault="00A80325" w:rsidP="008E2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325" w:rsidRDefault="00A80325" w:rsidP="008E2A9B">
      <w:r>
        <w:separator/>
      </w:r>
    </w:p>
  </w:footnote>
  <w:footnote w:type="continuationSeparator" w:id="0">
    <w:p w:rsidR="00A80325" w:rsidRDefault="00A80325" w:rsidP="008E2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27E" w:rsidRDefault="00CD527E">
    <w:pPr>
      <w:pStyle w:val="Encabezado"/>
    </w:pPr>
  </w:p>
  <w:p w:rsidR="00CD527E" w:rsidRDefault="00CD527E">
    <w:pPr>
      <w:pStyle w:val="Encabezado"/>
    </w:pPr>
  </w:p>
  <w:tbl>
    <w:tblPr>
      <w:tblpPr w:leftFromText="141" w:rightFromText="141" w:vertAnchor="text" w:horzAnchor="page" w:tblpXSpec="center" w:tblpY="-1700"/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6"/>
    </w:tblGrid>
    <w:tr w:rsidR="00CD527E" w:rsidRPr="00913D66" w:rsidTr="00C96037">
      <w:trPr>
        <w:trHeight w:val="300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CD527E" w:rsidRPr="00913D66" w:rsidRDefault="00CD527E" w:rsidP="008E2A9B">
          <w:pPr>
            <w:jc w:val="center"/>
            <w:rPr>
              <w:rFonts w:ascii="Barlow" w:eastAsia="Times New Roman" w:hAnsi="Barlow" w:cs="Calibri"/>
              <w:b/>
              <w:bCs/>
              <w:color w:val="000000"/>
              <w:sz w:val="20"/>
              <w:szCs w:val="20"/>
              <w:lang w:eastAsia="es-MX"/>
            </w:rPr>
          </w:pPr>
        </w:p>
      </w:tc>
    </w:tr>
    <w:tr w:rsidR="00CD527E" w:rsidRPr="00913D66" w:rsidTr="00C96037">
      <w:trPr>
        <w:trHeight w:val="300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CD527E" w:rsidRPr="00913D66" w:rsidRDefault="00CD527E" w:rsidP="008E2A9B">
          <w:pPr>
            <w:jc w:val="center"/>
            <w:rPr>
              <w:rFonts w:ascii="Barlow" w:eastAsia="Times New Roman" w:hAnsi="Barlow" w:cs="Calibri"/>
              <w:b/>
              <w:bCs/>
              <w:color w:val="000000"/>
              <w:sz w:val="20"/>
              <w:szCs w:val="20"/>
              <w:lang w:eastAsia="es-MX"/>
            </w:rPr>
          </w:pPr>
        </w:p>
      </w:tc>
    </w:tr>
    <w:tr w:rsidR="00CD527E" w:rsidRPr="00913D66" w:rsidTr="00C96037">
      <w:trPr>
        <w:trHeight w:val="300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CD527E" w:rsidRPr="00913D66" w:rsidRDefault="00CD527E" w:rsidP="008E2A9B">
          <w:pPr>
            <w:jc w:val="center"/>
            <w:rPr>
              <w:rFonts w:ascii="Barlow" w:eastAsia="Times New Roman" w:hAnsi="Barlow" w:cs="Calibri"/>
              <w:b/>
              <w:bCs/>
              <w:color w:val="000000"/>
              <w:sz w:val="20"/>
              <w:szCs w:val="20"/>
              <w:lang w:eastAsia="es-MX"/>
            </w:rPr>
          </w:pPr>
        </w:p>
      </w:tc>
    </w:tr>
    <w:tr w:rsidR="00CD527E" w:rsidRPr="00913D66" w:rsidTr="00C96037">
      <w:trPr>
        <w:trHeight w:val="300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CD527E" w:rsidRPr="00913D66" w:rsidRDefault="00CD527E" w:rsidP="008E2A9B">
          <w:pPr>
            <w:jc w:val="center"/>
            <w:rPr>
              <w:rFonts w:ascii="Barlow" w:eastAsia="Times New Roman" w:hAnsi="Barlow" w:cs="Calibri"/>
              <w:b/>
              <w:bCs/>
              <w:color w:val="000000"/>
              <w:sz w:val="20"/>
              <w:szCs w:val="20"/>
              <w:lang w:eastAsia="es-MX"/>
            </w:rPr>
          </w:pPr>
        </w:p>
      </w:tc>
    </w:tr>
    <w:tr w:rsidR="00CD527E" w:rsidRPr="00913D66" w:rsidTr="00C9603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CD527E" w:rsidRPr="00913D66" w:rsidRDefault="00CD527E" w:rsidP="008E2A9B">
          <w:pPr>
            <w:rPr>
              <w:rFonts w:ascii="Barlow" w:eastAsia="Times New Roman" w:hAnsi="Barlow" w:cs="Calibri"/>
              <w:b/>
              <w:bCs/>
              <w:color w:val="000000"/>
              <w:sz w:val="20"/>
              <w:szCs w:val="20"/>
              <w:lang w:eastAsia="es-MX"/>
            </w:rPr>
          </w:pPr>
        </w:p>
      </w:tc>
    </w:tr>
  </w:tbl>
  <w:p w:rsidR="00CD527E" w:rsidRDefault="00CD527E">
    <w:pPr>
      <w:pStyle w:val="Encabezado"/>
    </w:pPr>
  </w:p>
  <w:p w:rsidR="00CD527E" w:rsidRDefault="00CD527E">
    <w:pPr>
      <w:pStyle w:val="Encabezado"/>
    </w:pPr>
  </w:p>
  <w:p w:rsidR="00CD527E" w:rsidRDefault="00CD527E">
    <w:pPr>
      <w:pStyle w:val="Encabezado"/>
    </w:pPr>
  </w:p>
  <w:p w:rsidR="00CD527E" w:rsidRDefault="00CD527E">
    <w:pPr>
      <w:pStyle w:val="Encabezado"/>
    </w:pPr>
  </w:p>
  <w:p w:rsidR="00CD527E" w:rsidRDefault="00CD527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354"/>
    <w:rsid w:val="000736AB"/>
    <w:rsid w:val="00234184"/>
    <w:rsid w:val="002549A9"/>
    <w:rsid w:val="004002BB"/>
    <w:rsid w:val="004C7B60"/>
    <w:rsid w:val="00517A4A"/>
    <w:rsid w:val="00562931"/>
    <w:rsid w:val="00566969"/>
    <w:rsid w:val="0069197B"/>
    <w:rsid w:val="00762E6E"/>
    <w:rsid w:val="00786FB3"/>
    <w:rsid w:val="007C68EC"/>
    <w:rsid w:val="00817739"/>
    <w:rsid w:val="008217DF"/>
    <w:rsid w:val="008642EB"/>
    <w:rsid w:val="008E2A9B"/>
    <w:rsid w:val="008F17C5"/>
    <w:rsid w:val="009A4354"/>
    <w:rsid w:val="00A74F3D"/>
    <w:rsid w:val="00A80325"/>
    <w:rsid w:val="00B22F55"/>
    <w:rsid w:val="00B3080B"/>
    <w:rsid w:val="00C22E73"/>
    <w:rsid w:val="00C31FCA"/>
    <w:rsid w:val="00C466FE"/>
    <w:rsid w:val="00C96037"/>
    <w:rsid w:val="00CD527E"/>
    <w:rsid w:val="00D52193"/>
    <w:rsid w:val="00DD013D"/>
    <w:rsid w:val="00E47FE3"/>
    <w:rsid w:val="00F2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ABB933"/>
  <w15:docId w15:val="{5DF25B14-056F-4855-B2F1-7762049E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3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8E2A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2A9B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2A9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2A9B"/>
    <w:rPr>
      <w:rFonts w:ascii="Tahoma" w:eastAsia="Tahoma" w:hAnsi="Tahoma" w:cs="Tahoma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762E6E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62E6E"/>
    <w:rPr>
      <w:color w:val="954F72"/>
      <w:u w:val="single"/>
    </w:rPr>
  </w:style>
  <w:style w:type="paragraph" w:customStyle="1" w:styleId="msonormal0">
    <w:name w:val="msonormal"/>
    <w:basedOn w:val="Normal"/>
    <w:rsid w:val="00762E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font5">
    <w:name w:val="font5"/>
    <w:basedOn w:val="Normal"/>
    <w:rsid w:val="00762E6E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0"/>
      <w:szCs w:val="20"/>
      <w:lang w:val="es-MX" w:eastAsia="es-MX"/>
    </w:rPr>
  </w:style>
  <w:style w:type="paragraph" w:customStyle="1" w:styleId="font6">
    <w:name w:val="font6"/>
    <w:basedOn w:val="Normal"/>
    <w:rsid w:val="00762E6E"/>
    <w:pPr>
      <w:widowControl/>
      <w:autoSpaceDE/>
      <w:autoSpaceDN/>
      <w:spacing w:before="100" w:beforeAutospacing="1" w:after="100" w:afterAutospacing="1"/>
    </w:pPr>
    <w:rPr>
      <w:rFonts w:eastAsia="Times New Roman"/>
      <w:color w:val="000000"/>
      <w:sz w:val="18"/>
      <w:szCs w:val="18"/>
      <w:lang w:val="es-MX" w:eastAsia="es-MX"/>
    </w:rPr>
  </w:style>
  <w:style w:type="paragraph" w:customStyle="1" w:styleId="font7">
    <w:name w:val="font7"/>
    <w:basedOn w:val="Normal"/>
    <w:rsid w:val="00762E6E"/>
    <w:pPr>
      <w:widowControl/>
      <w:autoSpaceDE/>
      <w:autoSpaceDN/>
      <w:spacing w:before="100" w:beforeAutospacing="1" w:after="100" w:afterAutospacing="1"/>
    </w:pPr>
    <w:rPr>
      <w:rFonts w:eastAsia="Times New Roman"/>
      <w:b/>
      <w:bCs/>
      <w:color w:val="000000"/>
      <w:sz w:val="18"/>
      <w:szCs w:val="18"/>
      <w:lang w:val="es-MX" w:eastAsia="es-MX"/>
    </w:rPr>
  </w:style>
  <w:style w:type="paragraph" w:customStyle="1" w:styleId="font8">
    <w:name w:val="font8"/>
    <w:basedOn w:val="Normal"/>
    <w:rsid w:val="00762E6E"/>
    <w:pPr>
      <w:widowControl/>
      <w:autoSpaceDE/>
      <w:autoSpaceDN/>
      <w:spacing w:before="100" w:beforeAutospacing="1" w:after="100" w:afterAutospacing="1"/>
    </w:pPr>
    <w:rPr>
      <w:rFonts w:eastAsia="Times New Roman"/>
      <w:color w:val="000000"/>
      <w:sz w:val="18"/>
      <w:szCs w:val="18"/>
      <w:lang w:val="es-MX" w:eastAsia="es-MX"/>
    </w:rPr>
  </w:style>
  <w:style w:type="paragraph" w:customStyle="1" w:styleId="font9">
    <w:name w:val="font9"/>
    <w:basedOn w:val="Normal"/>
    <w:rsid w:val="00762E6E"/>
    <w:pPr>
      <w:widowControl/>
      <w:autoSpaceDE/>
      <w:autoSpaceDN/>
      <w:spacing w:before="100" w:beforeAutospacing="1" w:after="100" w:afterAutospacing="1"/>
    </w:pPr>
    <w:rPr>
      <w:rFonts w:eastAsia="Times New Roman"/>
      <w:b/>
      <w:bCs/>
      <w:color w:val="000000"/>
      <w:sz w:val="18"/>
      <w:szCs w:val="18"/>
      <w:lang w:val="es-MX" w:eastAsia="es-MX"/>
    </w:rPr>
  </w:style>
  <w:style w:type="paragraph" w:customStyle="1" w:styleId="xl68">
    <w:name w:val="xl68"/>
    <w:basedOn w:val="Normal"/>
    <w:rsid w:val="00762E6E"/>
    <w:pPr>
      <w:widowControl/>
      <w:pBdr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69">
    <w:name w:val="xl69"/>
    <w:basedOn w:val="Normal"/>
    <w:rsid w:val="00762E6E"/>
    <w:pPr>
      <w:widowControl/>
      <w:pBdr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70">
    <w:name w:val="xl70"/>
    <w:basedOn w:val="Normal"/>
    <w:rsid w:val="00762E6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71">
    <w:name w:val="xl71"/>
    <w:basedOn w:val="Normal"/>
    <w:rsid w:val="00762E6E"/>
    <w:pPr>
      <w:widowControl/>
      <w:pBdr>
        <w:bottom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72">
    <w:name w:val="xl72"/>
    <w:basedOn w:val="Normal"/>
    <w:rsid w:val="0076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73">
    <w:name w:val="xl73"/>
    <w:basedOn w:val="Normal"/>
    <w:rsid w:val="0076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74">
    <w:name w:val="xl74"/>
    <w:basedOn w:val="Normal"/>
    <w:rsid w:val="00762E6E"/>
    <w:pPr>
      <w:widowControl/>
      <w:pBdr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75">
    <w:name w:val="xl75"/>
    <w:basedOn w:val="Normal"/>
    <w:rsid w:val="0076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76">
    <w:name w:val="xl76"/>
    <w:basedOn w:val="Normal"/>
    <w:rsid w:val="00762E6E"/>
    <w:pPr>
      <w:widowControl/>
      <w:pBdr>
        <w:bottom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77">
    <w:name w:val="xl77"/>
    <w:basedOn w:val="Normal"/>
    <w:rsid w:val="00762E6E"/>
    <w:pPr>
      <w:widowControl/>
      <w:pBdr>
        <w:bottom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78">
    <w:name w:val="xl78"/>
    <w:basedOn w:val="Normal"/>
    <w:rsid w:val="0076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79">
    <w:name w:val="xl79"/>
    <w:basedOn w:val="Normal"/>
    <w:rsid w:val="0076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80">
    <w:name w:val="xl80"/>
    <w:basedOn w:val="Normal"/>
    <w:rsid w:val="00762E6E"/>
    <w:pPr>
      <w:widowControl/>
      <w:pBdr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81">
    <w:name w:val="xl81"/>
    <w:basedOn w:val="Normal"/>
    <w:rsid w:val="0076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82">
    <w:name w:val="xl82"/>
    <w:basedOn w:val="Normal"/>
    <w:rsid w:val="0076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83">
    <w:name w:val="xl83"/>
    <w:basedOn w:val="Normal"/>
    <w:rsid w:val="00762E6E"/>
    <w:pPr>
      <w:widowControl/>
      <w:pBdr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84">
    <w:name w:val="xl84"/>
    <w:basedOn w:val="Normal"/>
    <w:rsid w:val="00762E6E"/>
    <w:pPr>
      <w:widowControl/>
      <w:pBdr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85">
    <w:name w:val="xl85"/>
    <w:basedOn w:val="Normal"/>
    <w:rsid w:val="00762E6E"/>
    <w:pPr>
      <w:widowControl/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86">
    <w:name w:val="xl86"/>
    <w:basedOn w:val="Normal"/>
    <w:rsid w:val="00762E6E"/>
    <w:pPr>
      <w:widowControl/>
      <w:pBdr>
        <w:bottom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87">
    <w:name w:val="xl87"/>
    <w:basedOn w:val="Normal"/>
    <w:rsid w:val="00762E6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88">
    <w:name w:val="xl88"/>
    <w:basedOn w:val="Normal"/>
    <w:rsid w:val="00762E6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89">
    <w:name w:val="xl89"/>
    <w:basedOn w:val="Normal"/>
    <w:rsid w:val="00762E6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90">
    <w:name w:val="xl90"/>
    <w:basedOn w:val="Normal"/>
    <w:rsid w:val="0076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91">
    <w:name w:val="xl91"/>
    <w:basedOn w:val="Normal"/>
    <w:rsid w:val="00762E6E"/>
    <w:pPr>
      <w:widowControl/>
      <w:pBdr>
        <w:top w:val="single" w:sz="4" w:space="0" w:color="auto"/>
        <w:bottom w:val="single" w:sz="4" w:space="0" w:color="000000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92">
    <w:name w:val="xl92"/>
    <w:basedOn w:val="Normal"/>
    <w:rsid w:val="00762E6E"/>
    <w:pPr>
      <w:widowControl/>
      <w:pBdr>
        <w:bottom w:val="single" w:sz="4" w:space="0" w:color="000000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93">
    <w:name w:val="xl93"/>
    <w:basedOn w:val="Normal"/>
    <w:rsid w:val="00762E6E"/>
    <w:pPr>
      <w:widowControl/>
      <w:pBdr>
        <w:top w:val="single" w:sz="4" w:space="0" w:color="000000"/>
        <w:bottom w:val="single" w:sz="4" w:space="0" w:color="000000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94">
    <w:name w:val="xl94"/>
    <w:basedOn w:val="Normal"/>
    <w:rsid w:val="0076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95">
    <w:name w:val="xl95"/>
    <w:basedOn w:val="Normal"/>
    <w:rsid w:val="00762E6E"/>
    <w:pPr>
      <w:widowControl/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96">
    <w:name w:val="xl96"/>
    <w:basedOn w:val="Normal"/>
    <w:rsid w:val="00762E6E"/>
    <w:pPr>
      <w:widowControl/>
      <w:pBdr>
        <w:top w:val="single" w:sz="4" w:space="0" w:color="000000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97">
    <w:name w:val="xl97"/>
    <w:basedOn w:val="Normal"/>
    <w:rsid w:val="00762E6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98">
    <w:name w:val="xl98"/>
    <w:basedOn w:val="Normal"/>
    <w:rsid w:val="00762E6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99">
    <w:name w:val="xl99"/>
    <w:basedOn w:val="Normal"/>
    <w:rsid w:val="0076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100">
    <w:name w:val="xl100"/>
    <w:basedOn w:val="Normal"/>
    <w:rsid w:val="00762E6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101">
    <w:name w:val="xl101"/>
    <w:basedOn w:val="Normal"/>
    <w:rsid w:val="00762E6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02">
    <w:name w:val="xl102"/>
    <w:basedOn w:val="Normal"/>
    <w:rsid w:val="00762E6E"/>
    <w:pPr>
      <w:widowControl/>
      <w:pBdr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03">
    <w:name w:val="xl103"/>
    <w:basedOn w:val="Normal"/>
    <w:rsid w:val="00762E6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104">
    <w:name w:val="xl104"/>
    <w:basedOn w:val="Normal"/>
    <w:rsid w:val="00762E6E"/>
    <w:pPr>
      <w:widowControl/>
      <w:pBdr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105">
    <w:name w:val="xl105"/>
    <w:basedOn w:val="Normal"/>
    <w:rsid w:val="00762E6E"/>
    <w:pPr>
      <w:widowControl/>
      <w:pBdr>
        <w:bottom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106">
    <w:name w:val="xl106"/>
    <w:basedOn w:val="Normal"/>
    <w:rsid w:val="0076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107">
    <w:name w:val="xl107"/>
    <w:basedOn w:val="Normal"/>
    <w:rsid w:val="00762E6E"/>
    <w:pPr>
      <w:widowControl/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08">
    <w:name w:val="xl108"/>
    <w:basedOn w:val="Normal"/>
    <w:rsid w:val="00762E6E"/>
    <w:pPr>
      <w:widowControl/>
      <w:pBdr>
        <w:bottom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109">
    <w:name w:val="xl109"/>
    <w:basedOn w:val="Normal"/>
    <w:rsid w:val="00762E6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110">
    <w:name w:val="xl110"/>
    <w:basedOn w:val="Normal"/>
    <w:rsid w:val="00762E6E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11">
    <w:name w:val="xl111"/>
    <w:basedOn w:val="Normal"/>
    <w:rsid w:val="0076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12">
    <w:name w:val="xl112"/>
    <w:basedOn w:val="Normal"/>
    <w:rsid w:val="00762E6E"/>
    <w:pPr>
      <w:widowControl/>
      <w:pBdr>
        <w:top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113">
    <w:name w:val="xl113"/>
    <w:basedOn w:val="Normal"/>
    <w:rsid w:val="00762E6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14">
    <w:name w:val="xl114"/>
    <w:basedOn w:val="Normal"/>
    <w:rsid w:val="0076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15">
    <w:name w:val="xl115"/>
    <w:basedOn w:val="Normal"/>
    <w:rsid w:val="00762E6E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16">
    <w:name w:val="xl116"/>
    <w:basedOn w:val="Normal"/>
    <w:rsid w:val="00762E6E"/>
    <w:pPr>
      <w:widowControl/>
      <w:pBdr>
        <w:bottom w:val="single" w:sz="4" w:space="0" w:color="000000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17">
    <w:name w:val="xl117"/>
    <w:basedOn w:val="Normal"/>
    <w:rsid w:val="00762E6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969696"/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118">
    <w:name w:val="xl118"/>
    <w:basedOn w:val="Normal"/>
    <w:rsid w:val="00762E6E"/>
    <w:pPr>
      <w:widowControl/>
      <w:autoSpaceDE/>
      <w:autoSpaceDN/>
      <w:spacing w:before="100" w:beforeAutospacing="1" w:after="100" w:afterAutospacing="1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19">
    <w:name w:val="xl119"/>
    <w:basedOn w:val="Normal"/>
    <w:rsid w:val="00762E6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120">
    <w:name w:val="xl120"/>
    <w:basedOn w:val="Normal"/>
    <w:rsid w:val="00762E6E"/>
    <w:pPr>
      <w:widowControl/>
      <w:pBdr>
        <w:top w:val="single" w:sz="4" w:space="0" w:color="000000"/>
        <w:bottom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121">
    <w:name w:val="xl121"/>
    <w:basedOn w:val="Normal"/>
    <w:rsid w:val="0076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122">
    <w:name w:val="xl122"/>
    <w:basedOn w:val="Normal"/>
    <w:rsid w:val="0076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123">
    <w:name w:val="xl123"/>
    <w:basedOn w:val="Normal"/>
    <w:rsid w:val="0076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24">
    <w:name w:val="xl124"/>
    <w:basedOn w:val="Normal"/>
    <w:rsid w:val="0076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25">
    <w:name w:val="xl125"/>
    <w:basedOn w:val="Normal"/>
    <w:rsid w:val="0076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26">
    <w:name w:val="xl126"/>
    <w:basedOn w:val="Normal"/>
    <w:rsid w:val="00762E6E"/>
    <w:pPr>
      <w:widowControl/>
      <w:pBdr>
        <w:left w:val="single" w:sz="4" w:space="0" w:color="000000"/>
        <w:bottom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27">
    <w:name w:val="xl127"/>
    <w:basedOn w:val="Normal"/>
    <w:rsid w:val="00762E6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128">
    <w:name w:val="xl128"/>
    <w:basedOn w:val="Normal"/>
    <w:rsid w:val="00762E6E"/>
    <w:pPr>
      <w:widowControl/>
      <w:pBdr>
        <w:top w:val="single" w:sz="4" w:space="0" w:color="000000"/>
        <w:bottom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129">
    <w:name w:val="xl129"/>
    <w:basedOn w:val="Normal"/>
    <w:rsid w:val="00762E6E"/>
    <w:pPr>
      <w:widowControl/>
      <w:pBdr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130">
    <w:name w:val="xl130"/>
    <w:basedOn w:val="Normal"/>
    <w:rsid w:val="00762E6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131">
    <w:name w:val="xl131"/>
    <w:basedOn w:val="Normal"/>
    <w:rsid w:val="0076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32">
    <w:name w:val="xl132"/>
    <w:basedOn w:val="Normal"/>
    <w:rsid w:val="00762E6E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33">
    <w:name w:val="xl133"/>
    <w:basedOn w:val="Normal"/>
    <w:rsid w:val="00762E6E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34">
    <w:name w:val="xl134"/>
    <w:basedOn w:val="Normal"/>
    <w:rsid w:val="0076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35">
    <w:name w:val="xl135"/>
    <w:basedOn w:val="Normal"/>
    <w:rsid w:val="0076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36">
    <w:name w:val="xl136"/>
    <w:basedOn w:val="Normal"/>
    <w:rsid w:val="00762E6E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137">
    <w:name w:val="xl137"/>
    <w:basedOn w:val="Normal"/>
    <w:rsid w:val="00762E6E"/>
    <w:pPr>
      <w:widowControl/>
      <w:pBdr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38">
    <w:name w:val="xl138"/>
    <w:basedOn w:val="Normal"/>
    <w:rsid w:val="00762E6E"/>
    <w:pPr>
      <w:widowControl/>
      <w:pBdr>
        <w:right w:val="single" w:sz="4" w:space="0" w:color="000000"/>
      </w:pBdr>
      <w:autoSpaceDE/>
      <w:autoSpaceDN/>
      <w:spacing w:before="100" w:beforeAutospacing="1" w:after="100" w:afterAutospacing="1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39">
    <w:name w:val="xl139"/>
    <w:basedOn w:val="Normal"/>
    <w:rsid w:val="00762E6E"/>
    <w:pPr>
      <w:widowControl/>
      <w:pBdr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40">
    <w:name w:val="xl140"/>
    <w:basedOn w:val="Normal"/>
    <w:rsid w:val="00762E6E"/>
    <w:pPr>
      <w:widowControl/>
      <w:pBdr>
        <w:left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41">
    <w:name w:val="xl141"/>
    <w:basedOn w:val="Normal"/>
    <w:rsid w:val="00762E6E"/>
    <w:pPr>
      <w:widowControl/>
      <w:pBdr>
        <w:left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42">
    <w:name w:val="xl142"/>
    <w:basedOn w:val="Normal"/>
    <w:rsid w:val="00762E6E"/>
    <w:pPr>
      <w:widowControl/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43">
    <w:name w:val="xl143"/>
    <w:basedOn w:val="Normal"/>
    <w:rsid w:val="00762E6E"/>
    <w:pPr>
      <w:widowControl/>
      <w:autoSpaceDE/>
      <w:autoSpaceDN/>
      <w:spacing w:before="100" w:beforeAutospacing="1" w:after="100" w:afterAutospacing="1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44">
    <w:name w:val="xl144"/>
    <w:basedOn w:val="Normal"/>
    <w:rsid w:val="00762E6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45">
    <w:name w:val="xl145"/>
    <w:basedOn w:val="Normal"/>
    <w:rsid w:val="00762E6E"/>
    <w:pPr>
      <w:widowControl/>
      <w:pBdr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146">
    <w:name w:val="xl146"/>
    <w:basedOn w:val="Normal"/>
    <w:rsid w:val="00762E6E"/>
    <w:pPr>
      <w:widowControl/>
      <w:pBdr>
        <w:top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147">
    <w:name w:val="xl147"/>
    <w:basedOn w:val="Normal"/>
    <w:rsid w:val="00762E6E"/>
    <w:pPr>
      <w:widowControl/>
      <w:pBdr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148">
    <w:name w:val="xl148"/>
    <w:basedOn w:val="Normal"/>
    <w:rsid w:val="00762E6E"/>
    <w:pPr>
      <w:widowControl/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49">
    <w:name w:val="xl149"/>
    <w:basedOn w:val="Normal"/>
    <w:rsid w:val="00762E6E"/>
    <w:pPr>
      <w:widowControl/>
      <w:pBdr>
        <w:bottom w:val="single" w:sz="4" w:space="0" w:color="000000"/>
      </w:pBdr>
      <w:autoSpaceDE/>
      <w:autoSpaceDN/>
      <w:spacing w:before="100" w:beforeAutospacing="1" w:after="100" w:afterAutospacing="1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50">
    <w:name w:val="xl150"/>
    <w:basedOn w:val="Normal"/>
    <w:rsid w:val="00762E6E"/>
    <w:pPr>
      <w:widowControl/>
      <w:pBdr>
        <w:left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i/>
      <w:iCs/>
      <w:sz w:val="24"/>
      <w:szCs w:val="24"/>
      <w:lang w:val="es-MX" w:eastAsia="es-MX"/>
    </w:rPr>
  </w:style>
  <w:style w:type="paragraph" w:customStyle="1" w:styleId="xl151">
    <w:name w:val="xl151"/>
    <w:basedOn w:val="Normal"/>
    <w:rsid w:val="00762E6E"/>
    <w:pPr>
      <w:widowControl/>
      <w:pBdr>
        <w:left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</w:pPr>
    <w:rPr>
      <w:rFonts w:ascii="Barlow" w:eastAsia="Times New Roman" w:hAnsi="Barlow" w:cs="Times New Roman"/>
      <w:i/>
      <w:iCs/>
      <w:sz w:val="24"/>
      <w:szCs w:val="24"/>
      <w:lang w:val="es-MX" w:eastAsia="es-MX"/>
    </w:rPr>
  </w:style>
  <w:style w:type="paragraph" w:customStyle="1" w:styleId="xl152">
    <w:name w:val="xl152"/>
    <w:basedOn w:val="Normal"/>
    <w:rsid w:val="00762E6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</w:pPr>
    <w:rPr>
      <w:rFonts w:ascii="Barlow" w:eastAsia="Times New Roman" w:hAnsi="Barlow" w:cs="Times New Roman"/>
      <w:i/>
      <w:iCs/>
      <w:sz w:val="24"/>
      <w:szCs w:val="24"/>
      <w:lang w:val="es-MX" w:eastAsia="es-MX"/>
    </w:rPr>
  </w:style>
  <w:style w:type="paragraph" w:customStyle="1" w:styleId="xl153">
    <w:name w:val="xl153"/>
    <w:basedOn w:val="Normal"/>
    <w:rsid w:val="00762E6E"/>
    <w:pPr>
      <w:widowControl/>
      <w:pBdr>
        <w:left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54">
    <w:name w:val="xl154"/>
    <w:basedOn w:val="Normal"/>
    <w:rsid w:val="00762E6E"/>
    <w:pPr>
      <w:widowControl/>
      <w:pBdr>
        <w:left w:val="single" w:sz="4" w:space="0" w:color="000000"/>
      </w:pBdr>
      <w:autoSpaceDE/>
      <w:autoSpaceDN/>
      <w:spacing w:before="100" w:beforeAutospacing="1" w:after="100" w:afterAutospacing="1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55">
    <w:name w:val="xl155"/>
    <w:basedOn w:val="Normal"/>
    <w:rsid w:val="00762E6E"/>
    <w:pPr>
      <w:widowControl/>
      <w:pBdr>
        <w:left w:val="single" w:sz="4" w:space="0" w:color="000000"/>
        <w:bottom w:val="single" w:sz="4" w:space="0" w:color="000000"/>
      </w:pBdr>
      <w:autoSpaceDE/>
      <w:autoSpaceDN/>
      <w:spacing w:before="100" w:beforeAutospacing="1" w:after="100" w:afterAutospacing="1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56">
    <w:name w:val="xl156"/>
    <w:basedOn w:val="Normal"/>
    <w:rsid w:val="00762E6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color w:val="000000"/>
      <w:sz w:val="24"/>
      <w:szCs w:val="24"/>
      <w:lang w:val="es-MX" w:eastAsia="es-MX"/>
    </w:rPr>
  </w:style>
  <w:style w:type="paragraph" w:customStyle="1" w:styleId="xl157">
    <w:name w:val="xl157"/>
    <w:basedOn w:val="Normal"/>
    <w:rsid w:val="0076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58">
    <w:name w:val="xl158"/>
    <w:basedOn w:val="Normal"/>
    <w:rsid w:val="00762E6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59">
    <w:name w:val="xl159"/>
    <w:basedOn w:val="Normal"/>
    <w:rsid w:val="00762E6E"/>
    <w:pPr>
      <w:widowControl/>
      <w:pBdr>
        <w:top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color w:val="000000"/>
      <w:sz w:val="24"/>
      <w:szCs w:val="24"/>
      <w:lang w:val="es-MX" w:eastAsia="es-MX"/>
    </w:rPr>
  </w:style>
  <w:style w:type="paragraph" w:customStyle="1" w:styleId="xl66">
    <w:name w:val="xl66"/>
    <w:basedOn w:val="Normal"/>
    <w:rsid w:val="007C68EC"/>
    <w:pPr>
      <w:widowControl/>
      <w:autoSpaceDE/>
      <w:autoSpaceDN/>
      <w:spacing w:before="100" w:beforeAutospacing="1" w:after="100" w:afterAutospacing="1"/>
    </w:pPr>
    <w:rPr>
      <w:rFonts w:ascii="Lato" w:eastAsia="Times New Roman" w:hAnsi="Lato" w:cs="Times New Roman"/>
      <w:sz w:val="24"/>
      <w:szCs w:val="24"/>
      <w:lang w:val="es-MX" w:eastAsia="es-MX"/>
    </w:rPr>
  </w:style>
  <w:style w:type="paragraph" w:customStyle="1" w:styleId="xl67">
    <w:name w:val="xl67"/>
    <w:basedOn w:val="Normal"/>
    <w:rsid w:val="007C68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Lato" w:eastAsia="Times New Roman" w:hAnsi="Lato" w:cs="Times New Roman"/>
      <w:b/>
      <w:bCs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1498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4° Trimestre 2023 ENTREGA.xlsx</vt:lpstr>
    </vt:vector>
  </TitlesOfParts>
  <Company/>
  <LinksUpToDate>false</LinksUpToDate>
  <CharactersWithSpaces>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4° Trimestre 2023 ENTREGA.xlsx</dc:title>
  <dc:creator>Nelly Patricia Camacho Pinto</dc:creator>
  <cp:lastModifiedBy>Jennifer Estefany Millan Flores</cp:lastModifiedBy>
  <cp:revision>2</cp:revision>
  <cp:lastPrinted>2024-09-27T16:09:00Z</cp:lastPrinted>
  <dcterms:created xsi:type="dcterms:W3CDTF">2025-04-22T17:28:00Z</dcterms:created>
  <dcterms:modified xsi:type="dcterms:W3CDTF">2025-04-22T17:28:00Z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LastSaved">
    <vt:filetime>2024-02-02T00:00:00Z</vt:filetime>
  </property>
</Properties>
</file>