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265" w:rsidRDefault="00685265" w:rsidP="00685265">
      <w:pPr>
        <w:spacing w:line="360" w:lineRule="auto"/>
        <w:jc w:val="center"/>
        <w:rPr>
          <w:rFonts w:ascii="Lato" w:hAnsi="Lato" w:cs="Arial"/>
          <w:b/>
          <w:sz w:val="20"/>
          <w:szCs w:val="20"/>
          <w:lang w:val="es-MX" w:eastAsia="en-US" w:bidi="ar-SA"/>
        </w:rPr>
      </w:pPr>
      <w:r>
        <w:rPr>
          <w:rFonts w:ascii="Lato" w:hAnsi="Lato" w:cs="Arial"/>
          <w:b/>
          <w:sz w:val="20"/>
          <w:szCs w:val="20"/>
        </w:rPr>
        <w:t>Indicadores de Resultados</w:t>
      </w:r>
    </w:p>
    <w:p w:rsidR="00685265" w:rsidRDefault="00685265" w:rsidP="00685265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</w:t>
      </w:r>
      <w:bookmarkStart w:id="0" w:name="_GoBack"/>
      <w:bookmarkEnd w:id="0"/>
      <w:r>
        <w:rPr>
          <w:rFonts w:ascii="Lato" w:hAnsi="Lato" w:cs="Arial"/>
          <w:b/>
          <w:sz w:val="20"/>
          <w:szCs w:val="20"/>
        </w:rPr>
        <w:t xml:space="preserve"> de marzo de 2025</w:t>
      </w:r>
    </w:p>
    <w:p w:rsidR="00685265" w:rsidRDefault="00685265" w:rsidP="00685265">
      <w:pPr>
        <w:spacing w:line="36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(Cifras en Pesos)</w:t>
      </w:r>
    </w:p>
    <w:p w:rsidR="00685265" w:rsidRDefault="00685265" w:rsidP="00685265">
      <w:pPr>
        <w:spacing w:before="23" w:line="252" w:lineRule="auto"/>
        <w:ind w:left="6467" w:right="6469" w:firstLine="2"/>
        <w:jc w:val="center"/>
        <w:rPr>
          <w:rFonts w:ascii="Lato" w:hAnsi="Lato"/>
          <w:b/>
          <w:sz w:val="19"/>
        </w:rPr>
      </w:pPr>
    </w:p>
    <w:p w:rsidR="00685265" w:rsidRDefault="00685265" w:rsidP="00685265">
      <w:pPr>
        <w:pStyle w:val="Ttulo1"/>
        <w:ind w:left="0"/>
        <w:jc w:val="left"/>
        <w:rPr>
          <w:rFonts w:ascii="Lato" w:hAnsi="Lato"/>
        </w:rPr>
      </w:pPr>
      <w:r>
        <w:rPr>
          <w:rFonts w:ascii="Lato" w:hAnsi="Lato"/>
        </w:rPr>
        <w:t>Ente Público: HOSPITAL COMUNITARIO DE TICUL, YUCATAN</w:t>
      </w:r>
    </w:p>
    <w:p w:rsidR="00B72901" w:rsidRDefault="00B72901">
      <w:pPr>
        <w:pStyle w:val="Textoindependiente"/>
        <w:spacing w:before="4"/>
        <w:rPr>
          <w:b/>
          <w:sz w:val="8"/>
        </w:rPr>
      </w:pPr>
    </w:p>
    <w:tbl>
      <w:tblPr>
        <w:tblStyle w:val="TableNormal"/>
        <w:tblW w:w="14216" w:type="dxa"/>
        <w:jc w:val="center"/>
        <w:tblBorders>
          <w:top w:val="single" w:sz="4" w:space="0" w:color="0070BF"/>
          <w:left w:val="single" w:sz="4" w:space="0" w:color="0070BF"/>
          <w:bottom w:val="single" w:sz="4" w:space="0" w:color="0070BF"/>
          <w:right w:val="single" w:sz="4" w:space="0" w:color="0070BF"/>
          <w:insideH w:val="single" w:sz="4" w:space="0" w:color="0070BF"/>
          <w:insideV w:val="single" w:sz="4" w:space="0" w:color="0070BF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665"/>
        <w:gridCol w:w="665"/>
        <w:gridCol w:w="665"/>
        <w:gridCol w:w="665"/>
        <w:gridCol w:w="665"/>
        <w:gridCol w:w="665"/>
        <w:gridCol w:w="652"/>
        <w:gridCol w:w="652"/>
        <w:gridCol w:w="652"/>
        <w:gridCol w:w="652"/>
        <w:gridCol w:w="681"/>
        <w:gridCol w:w="665"/>
        <w:gridCol w:w="9"/>
        <w:gridCol w:w="1082"/>
        <w:gridCol w:w="1091"/>
        <w:gridCol w:w="9"/>
        <w:gridCol w:w="1082"/>
        <w:gridCol w:w="10"/>
      </w:tblGrid>
      <w:tr w:rsidR="00B72901" w:rsidTr="00685265">
        <w:trPr>
          <w:trHeight w:val="244"/>
          <w:jc w:val="center"/>
        </w:trPr>
        <w:tc>
          <w:tcPr>
            <w:tcW w:w="2989" w:type="dxa"/>
            <w:vMerge w:val="restart"/>
            <w:tcBorders>
              <w:top w:val="nil"/>
              <w:left w:val="nil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1227" w:type="dxa"/>
            <w:gridSpan w:val="18"/>
            <w:shd w:val="clear" w:color="auto" w:fill="808080"/>
          </w:tcPr>
          <w:p w:rsidR="00B72901" w:rsidRDefault="00DE1661" w:rsidP="00514B47">
            <w:pPr>
              <w:pStyle w:val="TableParagraph"/>
              <w:spacing w:before="1" w:line="163" w:lineRule="exact"/>
              <w:ind w:left="4938" w:right="4909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w w:val="105"/>
                <w:sz w:val="15"/>
              </w:rPr>
              <w:t>INFORME   DE   AVANCE  202</w:t>
            </w:r>
            <w:r w:rsidR="00514B47">
              <w:rPr>
                <w:b/>
                <w:color w:val="FFFFFF"/>
                <w:w w:val="105"/>
                <w:sz w:val="15"/>
              </w:rPr>
              <w:t>5</w:t>
            </w:r>
          </w:p>
        </w:tc>
      </w:tr>
      <w:tr w:rsidR="00B72901" w:rsidTr="00685265">
        <w:trPr>
          <w:trHeight w:val="273"/>
          <w:jc w:val="center"/>
        </w:trPr>
        <w:tc>
          <w:tcPr>
            <w:tcW w:w="2989" w:type="dxa"/>
            <w:vMerge/>
            <w:tcBorders>
              <w:top w:val="nil"/>
              <w:left w:val="nil"/>
            </w:tcBorders>
          </w:tcPr>
          <w:p w:rsidR="00B72901" w:rsidRDefault="00B72901">
            <w:pPr>
              <w:rPr>
                <w:sz w:val="2"/>
                <w:szCs w:val="2"/>
              </w:rPr>
            </w:pPr>
          </w:p>
        </w:tc>
        <w:tc>
          <w:tcPr>
            <w:tcW w:w="7953" w:type="dxa"/>
            <w:gridSpan w:val="13"/>
            <w:shd w:val="clear" w:color="auto" w:fill="808080"/>
          </w:tcPr>
          <w:p w:rsidR="00B72901" w:rsidRDefault="00DE1661">
            <w:pPr>
              <w:pStyle w:val="TableParagraph"/>
              <w:spacing w:before="15" w:line="240" w:lineRule="auto"/>
              <w:ind w:left="3547" w:right="3517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MENSUAL INDIVIDUAL</w:t>
            </w:r>
          </w:p>
        </w:tc>
        <w:tc>
          <w:tcPr>
            <w:tcW w:w="2182" w:type="dxa"/>
            <w:gridSpan w:val="3"/>
            <w:shd w:val="clear" w:color="auto" w:fill="808080"/>
          </w:tcPr>
          <w:p w:rsidR="00B72901" w:rsidRDefault="00DE1661">
            <w:pPr>
              <w:pStyle w:val="TableParagraph"/>
              <w:spacing w:before="20" w:line="240" w:lineRule="auto"/>
              <w:ind w:left="511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SEMESTRE INDIVIDUAL</w:t>
            </w:r>
          </w:p>
        </w:tc>
        <w:tc>
          <w:tcPr>
            <w:tcW w:w="1091" w:type="dxa"/>
            <w:gridSpan w:val="2"/>
            <w:shd w:val="clear" w:color="auto" w:fill="808080"/>
          </w:tcPr>
          <w:p w:rsidR="00B72901" w:rsidRDefault="00DE1661">
            <w:pPr>
              <w:pStyle w:val="TableParagraph"/>
              <w:spacing w:before="25" w:line="240" w:lineRule="auto"/>
              <w:ind w:left="38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ANUAL</w:t>
            </w:r>
          </w:p>
        </w:tc>
      </w:tr>
      <w:tr w:rsidR="00B72901" w:rsidTr="00685265">
        <w:trPr>
          <w:gridAfter w:val="1"/>
          <w:wAfter w:w="10" w:type="dxa"/>
          <w:trHeight w:val="371"/>
          <w:jc w:val="center"/>
        </w:trPr>
        <w:tc>
          <w:tcPr>
            <w:tcW w:w="2989" w:type="dxa"/>
            <w:vMerge/>
            <w:tcBorders>
              <w:top w:val="nil"/>
              <w:left w:val="nil"/>
            </w:tcBorders>
          </w:tcPr>
          <w:p w:rsidR="00B72901" w:rsidRDefault="00B72901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82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ENERO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29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FEBRERO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66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MARZO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209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ABRIL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96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MAYO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201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JUNIO</w:t>
            </w:r>
          </w:p>
        </w:tc>
        <w:tc>
          <w:tcPr>
            <w:tcW w:w="652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206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JULIO</w:t>
            </w:r>
          </w:p>
        </w:tc>
        <w:tc>
          <w:tcPr>
            <w:tcW w:w="652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39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AGOSTO</w:t>
            </w:r>
          </w:p>
        </w:tc>
        <w:tc>
          <w:tcPr>
            <w:tcW w:w="652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right="43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SEPTIEMBRE</w:t>
            </w:r>
          </w:p>
        </w:tc>
        <w:tc>
          <w:tcPr>
            <w:tcW w:w="652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115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OCTUBRE</w:t>
            </w:r>
          </w:p>
        </w:tc>
        <w:tc>
          <w:tcPr>
            <w:tcW w:w="681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65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NOVIEMBRE</w:t>
            </w:r>
          </w:p>
        </w:tc>
        <w:tc>
          <w:tcPr>
            <w:tcW w:w="665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82" w:line="240" w:lineRule="auto"/>
              <w:ind w:left="85" w:right="0"/>
              <w:jc w:val="left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DICIEMBRE</w:t>
            </w:r>
          </w:p>
        </w:tc>
        <w:tc>
          <w:tcPr>
            <w:tcW w:w="1091" w:type="dxa"/>
            <w:gridSpan w:val="2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line="240" w:lineRule="auto"/>
              <w:ind w:left="51" w:right="52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PRIMER SEMESTRE</w:t>
            </w:r>
          </w:p>
          <w:p w:rsidR="00B72901" w:rsidRDefault="00DE1661">
            <w:pPr>
              <w:pStyle w:val="TableParagraph"/>
              <w:spacing w:before="14" w:line="103" w:lineRule="exact"/>
              <w:ind w:left="51" w:right="55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(ENE-JUN)</w:t>
            </w:r>
          </w:p>
        </w:tc>
        <w:tc>
          <w:tcPr>
            <w:tcW w:w="1091" w:type="dxa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line="240" w:lineRule="auto"/>
              <w:ind w:left="51" w:right="55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SEGUNDO SEMESTRE</w:t>
            </w:r>
          </w:p>
          <w:p w:rsidR="00B72901" w:rsidRDefault="00DE1661">
            <w:pPr>
              <w:pStyle w:val="TableParagraph"/>
              <w:spacing w:before="14" w:line="103" w:lineRule="exact"/>
              <w:ind w:left="49" w:right="55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(JUL-DIC)</w:t>
            </w:r>
          </w:p>
        </w:tc>
        <w:tc>
          <w:tcPr>
            <w:tcW w:w="1091" w:type="dxa"/>
            <w:gridSpan w:val="2"/>
            <w:tcBorders>
              <w:bottom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line="240" w:lineRule="auto"/>
              <w:ind w:left="51" w:right="54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VALOR ANUAL (ENE-</w:t>
            </w:r>
          </w:p>
          <w:p w:rsidR="00B72901" w:rsidRDefault="00DE1661">
            <w:pPr>
              <w:pStyle w:val="TableParagraph"/>
              <w:spacing w:before="14" w:line="103" w:lineRule="exact"/>
              <w:ind w:left="51" w:right="53"/>
              <w:jc w:val="center"/>
              <w:rPr>
                <w:i/>
                <w:sz w:val="11"/>
              </w:rPr>
            </w:pPr>
            <w:r>
              <w:rPr>
                <w:i/>
                <w:color w:val="FFFFFF"/>
                <w:w w:val="105"/>
                <w:sz w:val="11"/>
              </w:rPr>
              <w:t>DIC)</w:t>
            </w:r>
          </w:p>
        </w:tc>
      </w:tr>
      <w:tr w:rsidR="00B72901" w:rsidTr="00685265">
        <w:trPr>
          <w:gridAfter w:val="1"/>
          <w:wAfter w:w="10" w:type="dxa"/>
          <w:trHeight w:val="135"/>
          <w:jc w:val="center"/>
        </w:trPr>
        <w:tc>
          <w:tcPr>
            <w:tcW w:w="2989" w:type="dxa"/>
            <w:tcBorders>
              <w:left w:val="double" w:sz="1" w:space="0" w:color="0070BF"/>
            </w:tcBorders>
            <w:shd w:val="clear" w:color="auto" w:fill="808080"/>
          </w:tcPr>
          <w:p w:rsidR="00B72901" w:rsidRDefault="00DE1661">
            <w:pPr>
              <w:pStyle w:val="TableParagraph"/>
              <w:spacing w:before="2" w:line="79" w:lineRule="exact"/>
              <w:ind w:left="1367" w:right="1363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Variables</w:t>
            </w: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2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2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2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52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81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665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91" w:type="dxa"/>
            <w:gridSpan w:val="2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91" w:type="dxa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  <w:tc>
          <w:tcPr>
            <w:tcW w:w="1091" w:type="dxa"/>
            <w:gridSpan w:val="2"/>
            <w:tcBorders>
              <w:top w:val="double" w:sz="1" w:space="0" w:color="0070BF"/>
              <w:bottom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4"/>
              </w:rPr>
            </w:pPr>
          </w:p>
        </w:tc>
      </w:tr>
      <w:tr w:rsidR="00B72901" w:rsidTr="00685265">
        <w:trPr>
          <w:gridAfter w:val="1"/>
          <w:wAfter w:w="10" w:type="dxa"/>
          <w:trHeight w:val="565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B72901" w:rsidRDefault="00DE1661">
            <w:pPr>
              <w:pStyle w:val="TableParagraph"/>
              <w:spacing w:before="0" w:line="266" w:lineRule="auto"/>
              <w:ind w:left="13" w:right="139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avance en la implementación del PBR-SED en el estado de Yucatán</w:t>
            </w: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F2F2F2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52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81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665" w:type="dxa"/>
            <w:tcBorders>
              <w:top w:val="double" w:sz="1" w:space="0" w:color="0070BF"/>
            </w:tcBorders>
            <w:shd w:val="clear" w:color="auto" w:fill="D8D8D8"/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gridSpan w:val="2"/>
            <w:tcBorders>
              <w:top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tcBorders>
              <w:top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91" w:type="dxa"/>
            <w:gridSpan w:val="2"/>
            <w:tcBorders>
              <w:top w:val="double" w:sz="1" w:space="0" w:color="0070BF"/>
              <w:right w:val="double" w:sz="1" w:space="0" w:color="0070BF"/>
            </w:tcBorders>
          </w:tcPr>
          <w:p w:rsidR="00B72901" w:rsidRDefault="00B72901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  <w:sz w:val="10"/>
              </w:rPr>
            </w:pP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metas cumplidas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90.91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83.33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83.33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257.57</w:t>
            </w:r>
          </w:p>
        </w:tc>
        <w:tc>
          <w:tcPr>
            <w:tcW w:w="1091" w:type="dxa"/>
          </w:tcPr>
          <w:p w:rsid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257.57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metas cumplidas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metas establecidas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11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35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35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manuales implementados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manuales implementados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manuales programados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personal capacitado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4"/>
                <w:sz w:val="11"/>
              </w:rPr>
              <w:t>-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56.32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56.32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56.32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personal capacitado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4"/>
                <w:sz w:val="11"/>
              </w:rPr>
              <w:t>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98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98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98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personal en la institución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174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522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522</w:t>
            </w:r>
          </w:p>
        </w:tc>
      </w:tr>
      <w:tr w:rsidR="00664000" w:rsidTr="00685265">
        <w:trPr>
          <w:gridAfter w:val="1"/>
          <w:wAfter w:w="10" w:type="dxa"/>
          <w:trHeight w:val="374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spacing w:before="80" w:line="240" w:lineRule="auto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requisiciones de insumos y material adquiridos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rPr>
                <w:sz w:val="11"/>
              </w:rPr>
            </w:pPr>
            <w:r>
              <w:rPr>
                <w:w w:val="105"/>
                <w:sz w:val="11"/>
              </w:rPr>
              <w:t>100.00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w w:val="105"/>
                <w:sz w:val="11"/>
              </w:rPr>
              <w:t>100.00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w w:val="105"/>
                <w:sz w:val="11"/>
              </w:rPr>
              <w:t>100.00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300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300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requisiciones atendidas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51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51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requisiciones recibidas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19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7"/>
              <w:rPr>
                <w:sz w:val="11"/>
              </w:rPr>
            </w:pPr>
            <w:r>
              <w:rPr>
                <w:w w:val="105"/>
                <w:sz w:val="11"/>
              </w:rPr>
              <w:t>12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20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51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51</w:t>
            </w:r>
          </w:p>
        </w:tc>
      </w:tr>
      <w:tr w:rsidR="00664000" w:rsidTr="00685265">
        <w:trPr>
          <w:gridAfter w:val="1"/>
          <w:wAfter w:w="10" w:type="dxa"/>
          <w:trHeight w:val="374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spacing w:before="5" w:line="240" w:lineRule="auto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mantenimiento preventivo y correctivo de las</w:t>
            </w:r>
          </w:p>
          <w:p w:rsidR="00664000" w:rsidRDefault="00664000">
            <w:pPr>
              <w:pStyle w:val="TableParagraph"/>
              <w:spacing w:before="15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áreas y equipos realizado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20.00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rPr>
                <w:sz w:val="11"/>
              </w:rPr>
            </w:pPr>
            <w:r>
              <w:rPr>
                <w:w w:val="105"/>
                <w:sz w:val="11"/>
              </w:rPr>
              <w:t>22.86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w w:val="105"/>
                <w:sz w:val="11"/>
              </w:rPr>
              <w:t>21.43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64.29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64.29</w:t>
            </w:r>
          </w:p>
        </w:tc>
      </w:tr>
      <w:tr w:rsidR="00664000" w:rsidTr="00685265">
        <w:trPr>
          <w:gridAfter w:val="1"/>
          <w:wAfter w:w="10" w:type="dxa"/>
          <w:trHeight w:val="374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spacing w:before="80" w:line="240" w:lineRule="auto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mantenimientos preventivos y correctivos realizados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28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32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sz w:val="11"/>
              </w:rPr>
              <w:t>30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90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90</w:t>
            </w:r>
          </w:p>
        </w:tc>
      </w:tr>
      <w:tr w:rsidR="00664000" w:rsidTr="00685265">
        <w:trPr>
          <w:gridAfter w:val="1"/>
          <w:wAfter w:w="10" w:type="dxa"/>
          <w:trHeight w:val="180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bienes y áreas a recibir mantenimiento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rPr>
                <w:sz w:val="11"/>
              </w:rPr>
            </w:pPr>
            <w:r>
              <w:rPr>
                <w:w w:val="105"/>
                <w:sz w:val="11"/>
              </w:rPr>
              <w:t>140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420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420</w:t>
            </w:r>
          </w:p>
        </w:tc>
      </w:tr>
      <w:tr w:rsidR="00664000" w:rsidTr="00685265">
        <w:trPr>
          <w:gridAfter w:val="1"/>
          <w:wAfter w:w="10" w:type="dxa"/>
          <w:trHeight w:val="374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664000" w:rsidRDefault="00664000">
            <w:pPr>
              <w:pStyle w:val="TableParagraph"/>
              <w:spacing w:before="5" w:line="240" w:lineRule="auto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Porcentaje de presupuesto ejercido por concepto de recursos</w:t>
            </w:r>
          </w:p>
          <w:p w:rsidR="00664000" w:rsidRDefault="00664000">
            <w:pPr>
              <w:pStyle w:val="TableParagraph"/>
              <w:spacing w:before="15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financieros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81.07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rPr>
                <w:sz w:val="11"/>
              </w:rPr>
            </w:pPr>
            <w:r>
              <w:rPr>
                <w:w w:val="105"/>
                <w:sz w:val="11"/>
              </w:rPr>
              <w:t>89.22</w:t>
            </w:r>
          </w:p>
        </w:tc>
        <w:tc>
          <w:tcPr>
            <w:tcW w:w="665" w:type="dxa"/>
          </w:tcPr>
          <w:p w:rsidR="00664000" w:rsidRDefault="00664000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w w:val="105"/>
                <w:sz w:val="11"/>
              </w:rPr>
              <w:t>96.89</w:t>
            </w:r>
          </w:p>
        </w:tc>
        <w:tc>
          <w:tcPr>
            <w:tcW w:w="665" w:type="dxa"/>
          </w:tcPr>
          <w:p w:rsidR="00664000" w:rsidRDefault="00664000" w:rsidP="00514B47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vAlign w:val="bottom"/>
          </w:tcPr>
          <w:p w:rsidR="00664000" w:rsidRPr="00664000" w:rsidRDefault="00664000" w:rsidP="00664000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267.18</w:t>
            </w:r>
          </w:p>
        </w:tc>
        <w:tc>
          <w:tcPr>
            <w:tcW w:w="1091" w:type="dxa"/>
          </w:tcPr>
          <w:p w:rsidR="00664000" w:rsidRDefault="00664000" w:rsidP="00930D72">
            <w:pPr>
              <w:jc w:val="right"/>
            </w:pPr>
            <w:r w:rsidRPr="004371EB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  <w:vAlign w:val="bottom"/>
          </w:tcPr>
          <w:p w:rsidR="00664000" w:rsidRPr="00664000" w:rsidRDefault="00664000" w:rsidP="00930D72">
            <w:pPr>
              <w:pStyle w:val="TableParagraph"/>
              <w:ind w:right="4"/>
              <w:rPr>
                <w:sz w:val="11"/>
              </w:rPr>
            </w:pPr>
            <w:r w:rsidRPr="00664000">
              <w:rPr>
                <w:sz w:val="11"/>
              </w:rPr>
              <w:t>267.18</w:t>
            </w:r>
          </w:p>
        </w:tc>
      </w:tr>
      <w:tr w:rsidR="00570DB1" w:rsidTr="00685265">
        <w:trPr>
          <w:gridAfter w:val="1"/>
          <w:wAfter w:w="10" w:type="dxa"/>
          <w:trHeight w:val="374"/>
          <w:jc w:val="center"/>
        </w:trPr>
        <w:tc>
          <w:tcPr>
            <w:tcW w:w="2989" w:type="dxa"/>
            <w:tcBorders>
              <w:left w:val="double" w:sz="1" w:space="0" w:color="0070BF"/>
            </w:tcBorders>
          </w:tcPr>
          <w:p w:rsidR="00570DB1" w:rsidRDefault="00570DB1">
            <w:pPr>
              <w:pStyle w:val="TableParagraph"/>
              <w:spacing w:before="5" w:line="240" w:lineRule="auto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del presupuesto ejercido en actividades de administración</w:t>
            </w:r>
          </w:p>
          <w:p w:rsidR="00570DB1" w:rsidRDefault="00570DB1">
            <w:pPr>
              <w:pStyle w:val="TableParagraph"/>
              <w:spacing w:before="15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de recursos financieros</w:t>
            </w:r>
          </w:p>
        </w:tc>
        <w:tc>
          <w:tcPr>
            <w:tcW w:w="665" w:type="dxa"/>
          </w:tcPr>
          <w:p w:rsidR="00570DB1" w:rsidRDefault="00570DB1" w:rsidP="00570DB1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w w:val="105"/>
                <w:sz w:val="11"/>
              </w:rPr>
              <w:t>3,125,901.49</w:t>
            </w:r>
          </w:p>
        </w:tc>
        <w:tc>
          <w:tcPr>
            <w:tcW w:w="665" w:type="dxa"/>
          </w:tcPr>
          <w:p w:rsidR="00570DB1" w:rsidRDefault="00570DB1">
            <w:pPr>
              <w:pStyle w:val="TableParagraph"/>
              <w:spacing w:before="80" w:line="240" w:lineRule="auto"/>
              <w:ind w:right="6"/>
              <w:rPr>
                <w:sz w:val="11"/>
              </w:rPr>
            </w:pPr>
            <w:r>
              <w:rPr>
                <w:sz w:val="11"/>
              </w:rPr>
              <w:t>3,946,497.61</w:t>
            </w:r>
          </w:p>
        </w:tc>
        <w:tc>
          <w:tcPr>
            <w:tcW w:w="665" w:type="dxa"/>
          </w:tcPr>
          <w:p w:rsidR="00570DB1" w:rsidRDefault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sz w:val="11"/>
              </w:rPr>
              <w:t>3,899,931.70</w:t>
            </w:r>
          </w:p>
        </w:tc>
        <w:tc>
          <w:tcPr>
            <w:tcW w:w="665" w:type="dxa"/>
          </w:tcPr>
          <w:p w:rsidR="00570DB1" w:rsidRDefault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52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81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665" w:type="dxa"/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4"/>
              <w:rPr>
                <w:sz w:val="11"/>
              </w:rPr>
            </w:pPr>
            <w:r w:rsidRPr="0076760F"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</w:tcPr>
          <w:p w:rsidR="00570DB1" w:rsidRDefault="00570DB1">
            <w:pPr>
              <w:pStyle w:val="TableParagraph"/>
              <w:spacing w:before="80" w:line="240" w:lineRule="auto"/>
              <w:ind w:right="3"/>
              <w:rPr>
                <w:sz w:val="11"/>
              </w:rPr>
            </w:pPr>
            <w:r>
              <w:rPr>
                <w:w w:val="105"/>
                <w:sz w:val="11"/>
              </w:rPr>
              <w:t>10,972,330.80</w:t>
            </w:r>
          </w:p>
        </w:tc>
        <w:tc>
          <w:tcPr>
            <w:tcW w:w="1091" w:type="dxa"/>
          </w:tcPr>
          <w:p w:rsidR="00570DB1" w:rsidRDefault="00570DB1">
            <w:pPr>
              <w:pStyle w:val="TableParagraph"/>
              <w:spacing w:before="80" w:line="240" w:lineRule="auto"/>
              <w:ind w:right="3"/>
              <w:rPr>
                <w:sz w:val="11"/>
              </w:rPr>
            </w:pPr>
            <w:r>
              <w:rPr>
                <w:sz w:val="11"/>
              </w:rPr>
              <w:t>0.00</w:t>
            </w:r>
          </w:p>
        </w:tc>
        <w:tc>
          <w:tcPr>
            <w:tcW w:w="1091" w:type="dxa"/>
            <w:gridSpan w:val="2"/>
            <w:tcBorders>
              <w:right w:val="double" w:sz="1" w:space="0" w:color="0070BF"/>
            </w:tcBorders>
          </w:tcPr>
          <w:p w:rsidR="00570DB1" w:rsidRDefault="00570DB1">
            <w:pPr>
              <w:pStyle w:val="TableParagraph"/>
              <w:spacing w:before="80" w:line="240" w:lineRule="auto"/>
              <w:ind w:right="-15"/>
              <w:rPr>
                <w:sz w:val="11"/>
              </w:rPr>
            </w:pPr>
            <w:r>
              <w:rPr>
                <w:sz w:val="11"/>
              </w:rPr>
              <w:t>10,972,330.80</w:t>
            </w:r>
          </w:p>
        </w:tc>
      </w:tr>
      <w:tr w:rsidR="00570DB1" w:rsidTr="00685265">
        <w:trPr>
          <w:gridAfter w:val="1"/>
          <w:wAfter w:w="10" w:type="dxa"/>
          <w:trHeight w:val="176"/>
          <w:jc w:val="center"/>
        </w:trPr>
        <w:tc>
          <w:tcPr>
            <w:tcW w:w="2989" w:type="dxa"/>
            <w:tcBorders>
              <w:left w:val="double" w:sz="1" w:space="0" w:color="0070BF"/>
              <w:bottom w:val="double" w:sz="1" w:space="0" w:color="0070BF"/>
            </w:tcBorders>
          </w:tcPr>
          <w:p w:rsidR="00570DB1" w:rsidRDefault="00570DB1">
            <w:pPr>
              <w:pStyle w:val="TableParagraph"/>
              <w:spacing w:before="10" w:line="103" w:lineRule="exact"/>
              <w:ind w:left="13" w:right="0"/>
              <w:jc w:val="lef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Total de presupuesto autorizado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4,339,021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4,759,661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4,613,161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4,389,161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4,310,291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4,275,672 </w:t>
            </w:r>
          </w:p>
        </w:tc>
        <w:tc>
          <w:tcPr>
            <w:tcW w:w="652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4,194,160 </w:t>
            </w:r>
          </w:p>
        </w:tc>
        <w:tc>
          <w:tcPr>
            <w:tcW w:w="652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4,211,003 </w:t>
            </w:r>
          </w:p>
        </w:tc>
        <w:tc>
          <w:tcPr>
            <w:tcW w:w="652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4,160,989 </w:t>
            </w:r>
          </w:p>
        </w:tc>
        <w:tc>
          <w:tcPr>
            <w:tcW w:w="652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4,098,159 </w:t>
            </w:r>
          </w:p>
        </w:tc>
        <w:tc>
          <w:tcPr>
            <w:tcW w:w="681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4,171,074 </w:t>
            </w:r>
          </w:p>
        </w:tc>
        <w:tc>
          <w:tcPr>
            <w:tcW w:w="665" w:type="dxa"/>
            <w:tcBorders>
              <w:bottom w:val="double" w:sz="1" w:space="0" w:color="0070BF"/>
            </w:tcBorders>
          </w:tcPr>
          <w:p w:rsidR="00570DB1" w:rsidRPr="00570DB1" w:rsidRDefault="00570DB1" w:rsidP="00570DB1">
            <w:pPr>
              <w:pStyle w:val="TableParagraph"/>
              <w:spacing w:before="80" w:line="240" w:lineRule="auto"/>
              <w:ind w:right="6"/>
              <w:rPr>
                <w:w w:val="105"/>
                <w:sz w:val="11"/>
              </w:rPr>
            </w:pPr>
            <w:r w:rsidRPr="00570DB1">
              <w:rPr>
                <w:w w:val="105"/>
                <w:sz w:val="11"/>
              </w:rPr>
              <w:t xml:space="preserve">4,339,021 </w:t>
            </w:r>
          </w:p>
        </w:tc>
        <w:tc>
          <w:tcPr>
            <w:tcW w:w="1091" w:type="dxa"/>
            <w:gridSpan w:val="2"/>
            <w:tcBorders>
              <w:bottom w:val="double" w:sz="1" w:space="0" w:color="0070BF"/>
            </w:tcBorders>
          </w:tcPr>
          <w:p w:rsidR="00570DB1" w:rsidRDefault="00570DB1">
            <w:pPr>
              <w:pStyle w:val="TableParagraph"/>
              <w:spacing w:before="10" w:line="103" w:lineRule="exact"/>
              <w:ind w:right="6"/>
              <w:rPr>
                <w:sz w:val="11"/>
              </w:rPr>
            </w:pPr>
            <w:r>
              <w:rPr>
                <w:sz w:val="11"/>
              </w:rPr>
              <w:t>26,686,967.00</w:t>
            </w:r>
          </w:p>
        </w:tc>
        <w:tc>
          <w:tcPr>
            <w:tcW w:w="1091" w:type="dxa"/>
            <w:tcBorders>
              <w:bottom w:val="double" w:sz="1" w:space="0" w:color="0070BF"/>
            </w:tcBorders>
          </w:tcPr>
          <w:p w:rsidR="00570DB1" w:rsidRDefault="00570DB1">
            <w:pPr>
              <w:pStyle w:val="TableParagraph"/>
              <w:spacing w:before="10" w:line="103" w:lineRule="exact"/>
              <w:ind w:right="6"/>
              <w:rPr>
                <w:sz w:val="11"/>
              </w:rPr>
            </w:pPr>
            <w:r>
              <w:rPr>
                <w:sz w:val="11"/>
              </w:rPr>
              <w:t>26,813,495.00</w:t>
            </w:r>
          </w:p>
        </w:tc>
        <w:tc>
          <w:tcPr>
            <w:tcW w:w="1091" w:type="dxa"/>
            <w:gridSpan w:val="2"/>
            <w:tcBorders>
              <w:bottom w:val="double" w:sz="1" w:space="0" w:color="0070BF"/>
              <w:right w:val="double" w:sz="1" w:space="0" w:color="0070BF"/>
            </w:tcBorders>
          </w:tcPr>
          <w:p w:rsidR="00570DB1" w:rsidRDefault="00570DB1">
            <w:pPr>
              <w:pStyle w:val="TableParagraph"/>
              <w:spacing w:before="10" w:line="103" w:lineRule="exact"/>
              <w:ind w:right="-15"/>
              <w:rPr>
                <w:sz w:val="11"/>
              </w:rPr>
            </w:pPr>
            <w:r>
              <w:rPr>
                <w:sz w:val="11"/>
              </w:rPr>
              <w:t>53,500,462.00</w:t>
            </w:r>
          </w:p>
        </w:tc>
      </w:tr>
    </w:tbl>
    <w:p w:rsidR="00B72901" w:rsidRDefault="00B72901">
      <w:pPr>
        <w:pStyle w:val="Textoindependiente"/>
        <w:spacing w:before="6"/>
        <w:rPr>
          <w:b/>
          <w:sz w:val="20"/>
        </w:rPr>
      </w:pPr>
    </w:p>
    <w:sectPr w:rsidR="00B72901" w:rsidSect="00685265">
      <w:type w:val="continuous"/>
      <w:pgSz w:w="15840" w:h="12240" w:orient="landscape"/>
      <w:pgMar w:top="2835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01"/>
    <w:rsid w:val="00514B47"/>
    <w:rsid w:val="00570DB1"/>
    <w:rsid w:val="00664000"/>
    <w:rsid w:val="00685265"/>
    <w:rsid w:val="00B72901"/>
    <w:rsid w:val="00DE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8CA34"/>
  <w15:docId w15:val="{D7B17EBD-19D6-4792-A47A-E8E6A15F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5262" w:right="5238"/>
      <w:jc w:val="center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spacing w:before="31"/>
      <w:ind w:left="5257" w:right="5238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109" w:lineRule="exact"/>
      <w:ind w:right="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de resultados Mensual 2024.xlsx</dc:title>
  <dc:creator>Eduar Raul Chi Santana</dc:creator>
  <cp:lastModifiedBy>Eduar Raul Chi Santana</cp:lastModifiedBy>
  <cp:revision>2</cp:revision>
  <dcterms:created xsi:type="dcterms:W3CDTF">2025-04-30T15:20:00Z</dcterms:created>
  <dcterms:modified xsi:type="dcterms:W3CDTF">2025-04-30T15:20:00Z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LastSaved">
    <vt:filetime>2025-01-20T00:00:00Z</vt:filetime>
  </property>
</Properties>
</file>