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9B" w:rsidRDefault="00206C9B" w:rsidP="00206C9B">
      <w:pPr>
        <w:spacing w:line="360" w:lineRule="auto"/>
        <w:jc w:val="center"/>
        <w:rPr>
          <w:rFonts w:ascii="Lato" w:hAnsi="Lato"/>
          <w:b/>
          <w:szCs w:val="20"/>
        </w:rPr>
      </w:pPr>
      <w:r>
        <w:rPr>
          <w:rFonts w:ascii="Lato" w:hAnsi="Lato"/>
          <w:b/>
          <w:szCs w:val="20"/>
        </w:rPr>
        <w:t>Notas a los Estados Financieros</w:t>
      </w:r>
    </w:p>
    <w:p w:rsidR="00206C9B" w:rsidRDefault="00206C9B" w:rsidP="00206C9B">
      <w:pPr>
        <w:spacing w:line="360" w:lineRule="auto"/>
        <w:jc w:val="center"/>
        <w:rPr>
          <w:rFonts w:ascii="Lato" w:hAnsi="Lato"/>
          <w:b/>
          <w:szCs w:val="20"/>
        </w:rPr>
      </w:pPr>
      <w:r>
        <w:rPr>
          <w:rFonts w:ascii="Lato" w:hAnsi="Lato"/>
          <w:b/>
          <w:szCs w:val="20"/>
        </w:rPr>
        <w:t>Al 31 de marzo del 2025</w:t>
      </w:r>
    </w:p>
    <w:p w:rsidR="00206C9B" w:rsidRDefault="00206C9B" w:rsidP="00206C9B">
      <w:pPr>
        <w:spacing w:line="360" w:lineRule="auto"/>
        <w:jc w:val="center"/>
        <w:rPr>
          <w:rFonts w:ascii="Lato" w:hAnsi="Lato"/>
          <w:b/>
          <w:szCs w:val="20"/>
        </w:rPr>
      </w:pPr>
      <w:r>
        <w:rPr>
          <w:rFonts w:ascii="Lato" w:hAnsi="Lato"/>
          <w:b/>
          <w:szCs w:val="20"/>
        </w:rPr>
        <w:t>(Cifras en Pesos)</w:t>
      </w:r>
    </w:p>
    <w:p w:rsidR="00206C9B" w:rsidRDefault="00206C9B" w:rsidP="00206C9B">
      <w:pPr>
        <w:jc w:val="center"/>
        <w:rPr>
          <w:rFonts w:ascii="Lato" w:hAnsi="Lato"/>
          <w:b/>
          <w:szCs w:val="20"/>
        </w:rPr>
      </w:pPr>
    </w:p>
    <w:p w:rsidR="00206C9B" w:rsidRDefault="00206C9B" w:rsidP="00206C9B">
      <w:pPr>
        <w:jc w:val="center"/>
        <w:rPr>
          <w:rFonts w:ascii="Lato" w:hAnsi="Lato" w:cs="Arial"/>
          <w:b/>
          <w:szCs w:val="20"/>
        </w:rPr>
      </w:pPr>
    </w:p>
    <w:p w:rsidR="00206C9B" w:rsidRDefault="00206C9B" w:rsidP="00206C9B">
      <w:pPr>
        <w:rPr>
          <w:rFonts w:ascii="Lato" w:hAnsi="Lato" w:cs="Arial"/>
          <w:b/>
          <w:szCs w:val="20"/>
          <w:u w:val="single"/>
        </w:rPr>
      </w:pPr>
      <w:r>
        <w:rPr>
          <w:rFonts w:ascii="Lato" w:hAnsi="Lato" w:cs="Arial"/>
          <w:b/>
          <w:szCs w:val="20"/>
        </w:rPr>
        <w:t>Ente Público: FONDO ESTATAL PARA EL TRANSPORTE</w:t>
      </w:r>
    </w:p>
    <w:p w:rsidR="00206C9B" w:rsidRDefault="00206C9B" w:rsidP="00503923">
      <w:pPr>
        <w:jc w:val="both"/>
        <w:rPr>
          <w:rFonts w:ascii="Lato" w:hAnsi="Lato"/>
          <w:szCs w:val="20"/>
        </w:rPr>
      </w:pPr>
    </w:p>
    <w:p w:rsidR="00206C9B" w:rsidRDefault="00206C9B" w:rsidP="00503923">
      <w:pPr>
        <w:jc w:val="both"/>
        <w:rPr>
          <w:rFonts w:ascii="Lato" w:hAnsi="Lato"/>
          <w:szCs w:val="20"/>
        </w:rPr>
      </w:pPr>
    </w:p>
    <w:p w:rsidR="00503923" w:rsidRPr="00834810" w:rsidRDefault="00503923" w:rsidP="00503923">
      <w:pPr>
        <w:jc w:val="both"/>
        <w:rPr>
          <w:rFonts w:ascii="Lato" w:hAnsi="Lato"/>
          <w:szCs w:val="20"/>
        </w:rPr>
      </w:pPr>
      <w:r w:rsidRPr="00834810">
        <w:rPr>
          <w:rFonts w:ascii="Lato" w:hAnsi="Lato"/>
          <w:szCs w:val="20"/>
        </w:rPr>
        <w:t xml:space="preserve">Con el propósito de dar cumplimiento a los artículos 46, </w:t>
      </w:r>
      <w:r w:rsidR="00997E79" w:rsidRPr="00834810">
        <w:rPr>
          <w:rFonts w:ascii="Lato" w:hAnsi="Lato"/>
          <w:szCs w:val="20"/>
        </w:rPr>
        <w:t xml:space="preserve">fracción I, inciso g), </w:t>
      </w:r>
      <w:r w:rsidRPr="00834810">
        <w:rPr>
          <w:rFonts w:ascii="Lato" w:hAnsi="Lato"/>
          <w:szCs w:val="20"/>
        </w:rPr>
        <w:t>47, 4</w:t>
      </w:r>
      <w:r w:rsidR="00997E79" w:rsidRPr="00834810">
        <w:rPr>
          <w:rFonts w:ascii="Lato" w:hAnsi="Lato"/>
          <w:szCs w:val="20"/>
        </w:rPr>
        <w:t>8 y 49</w:t>
      </w:r>
      <w:r w:rsidRPr="00834810">
        <w:rPr>
          <w:rFonts w:ascii="Lato" w:hAnsi="Lato"/>
          <w:szCs w:val="20"/>
        </w:rPr>
        <w:t xml:space="preserve"> de la Ley General de Contabilidad Gubernamental</w:t>
      </w:r>
      <w:r w:rsidR="00997E79" w:rsidRPr="00834810">
        <w:rPr>
          <w:rFonts w:ascii="Lato" w:hAnsi="Lato"/>
          <w:szCs w:val="20"/>
        </w:rPr>
        <w:t xml:space="preserve"> (LGCG)</w:t>
      </w:r>
      <w:r w:rsidRPr="00834810">
        <w:rPr>
          <w:rFonts w:ascii="Lato" w:hAnsi="Lato"/>
          <w:szCs w:val="20"/>
        </w:rPr>
        <w:t>,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503923" w:rsidRPr="00834810" w:rsidRDefault="00503923" w:rsidP="00503923">
      <w:pPr>
        <w:jc w:val="both"/>
        <w:rPr>
          <w:rFonts w:ascii="Lato" w:hAnsi="Lato"/>
          <w:szCs w:val="20"/>
        </w:rPr>
      </w:pPr>
      <w:r w:rsidRPr="00834810">
        <w:rPr>
          <w:rFonts w:ascii="Lato" w:hAnsi="Lato"/>
          <w:szCs w:val="20"/>
        </w:rPr>
        <w:t xml:space="preserve">A continuación, se presenta los tres tipos de notas que acompañan a los </w:t>
      </w:r>
      <w:r w:rsidR="00266243" w:rsidRPr="00834810">
        <w:rPr>
          <w:rFonts w:ascii="Lato" w:hAnsi="Lato"/>
          <w:szCs w:val="20"/>
        </w:rPr>
        <w:t>E</w:t>
      </w:r>
      <w:r w:rsidRPr="00834810">
        <w:rPr>
          <w:rFonts w:ascii="Lato" w:hAnsi="Lato"/>
          <w:szCs w:val="20"/>
        </w:rPr>
        <w:t>stados</w:t>
      </w:r>
      <w:r w:rsidR="00266243" w:rsidRPr="00834810">
        <w:rPr>
          <w:rFonts w:ascii="Lato" w:hAnsi="Lato"/>
          <w:szCs w:val="20"/>
        </w:rPr>
        <w:t xml:space="preserve"> Financieros</w:t>
      </w:r>
      <w:r w:rsidRPr="00834810">
        <w:rPr>
          <w:rFonts w:ascii="Lato" w:hAnsi="Lato"/>
          <w:szCs w:val="20"/>
        </w:rPr>
        <w:t>, a saber:</w:t>
      </w:r>
    </w:p>
    <w:p w:rsidR="00A50478" w:rsidRPr="00834810" w:rsidRDefault="00A50478">
      <w:pPr>
        <w:rPr>
          <w:rFonts w:ascii="Lato" w:hAnsi="Lato"/>
          <w:szCs w:val="20"/>
        </w:rPr>
      </w:pPr>
    </w:p>
    <w:p w:rsidR="00266243" w:rsidRPr="00834810" w:rsidRDefault="00266243">
      <w:pPr>
        <w:rPr>
          <w:rFonts w:ascii="Lato" w:hAnsi="Lato"/>
          <w:szCs w:val="20"/>
        </w:rPr>
      </w:pPr>
      <w:r w:rsidRPr="00834810">
        <w:rPr>
          <w:rFonts w:ascii="Lato" w:hAnsi="Lato"/>
          <w:szCs w:val="20"/>
        </w:rPr>
        <w:t>a) Notas de gestión administrativa,</w:t>
      </w:r>
    </w:p>
    <w:p w:rsidR="00266243" w:rsidRPr="00834810" w:rsidRDefault="00266243">
      <w:pPr>
        <w:rPr>
          <w:rFonts w:ascii="Lato" w:hAnsi="Lato"/>
          <w:szCs w:val="20"/>
        </w:rPr>
      </w:pPr>
      <w:r w:rsidRPr="00834810">
        <w:rPr>
          <w:rFonts w:ascii="Lato" w:hAnsi="Lato"/>
          <w:szCs w:val="20"/>
        </w:rPr>
        <w:t xml:space="preserve">b) Notas de desglose, y </w:t>
      </w:r>
    </w:p>
    <w:p w:rsidR="00266243" w:rsidRPr="00834810" w:rsidRDefault="00266243">
      <w:pPr>
        <w:rPr>
          <w:rFonts w:ascii="Lato" w:hAnsi="Lato"/>
          <w:szCs w:val="20"/>
        </w:rPr>
      </w:pPr>
      <w:r w:rsidRPr="00834810">
        <w:rPr>
          <w:rFonts w:ascii="Lato" w:hAnsi="Lato"/>
          <w:szCs w:val="20"/>
        </w:rPr>
        <w:t>c) Notas de memoria (cuentas de orden).</w:t>
      </w:r>
    </w:p>
    <w:p w:rsidR="00266243" w:rsidRPr="00834810" w:rsidRDefault="00266243" w:rsidP="006C5266">
      <w:pPr>
        <w:pStyle w:val="Ttulo1"/>
        <w:numPr>
          <w:ilvl w:val="0"/>
          <w:numId w:val="1"/>
        </w:numPr>
        <w:rPr>
          <w:rFonts w:ascii="Lato" w:hAnsi="Lato"/>
          <w:szCs w:val="20"/>
        </w:rPr>
      </w:pPr>
      <w:r w:rsidRPr="00834810">
        <w:rPr>
          <w:rFonts w:ascii="Lato" w:hAnsi="Lato"/>
          <w:szCs w:val="20"/>
        </w:rPr>
        <w:t>NOTAS DE GESTIÓN ADMINISTRATIVA</w:t>
      </w:r>
    </w:p>
    <w:p w:rsidR="00266243" w:rsidRPr="00834810" w:rsidRDefault="00266243" w:rsidP="00266243">
      <w:pPr>
        <w:tabs>
          <w:tab w:val="left" w:pos="1394"/>
        </w:tabs>
        <w:rPr>
          <w:rFonts w:ascii="Lato" w:hAnsi="Lato"/>
          <w:szCs w:val="20"/>
        </w:rPr>
      </w:pPr>
    </w:p>
    <w:p w:rsidR="00266243" w:rsidRPr="00834810" w:rsidRDefault="00266243" w:rsidP="006C5266">
      <w:pPr>
        <w:pStyle w:val="Ttulo2"/>
        <w:numPr>
          <w:ilvl w:val="0"/>
          <w:numId w:val="2"/>
        </w:numPr>
        <w:rPr>
          <w:rFonts w:ascii="Lato" w:hAnsi="Lato"/>
          <w:szCs w:val="20"/>
        </w:rPr>
      </w:pPr>
      <w:r w:rsidRPr="00834810">
        <w:rPr>
          <w:rFonts w:ascii="Lato" w:hAnsi="Lato"/>
          <w:szCs w:val="20"/>
        </w:rPr>
        <w:t>Autorización e Historia</w:t>
      </w:r>
    </w:p>
    <w:p w:rsidR="005D1315" w:rsidRPr="00834810" w:rsidRDefault="005D1315" w:rsidP="005D1315">
      <w:pPr>
        <w:pStyle w:val="Prrafodelista"/>
        <w:tabs>
          <w:tab w:val="left" w:pos="1394"/>
        </w:tabs>
        <w:rPr>
          <w:rFonts w:ascii="Lato" w:hAnsi="Lato"/>
          <w:szCs w:val="20"/>
        </w:rPr>
      </w:pPr>
    </w:p>
    <w:p w:rsidR="005D1315" w:rsidRPr="00834810" w:rsidRDefault="005D1315" w:rsidP="006C5266">
      <w:pPr>
        <w:pStyle w:val="Ttulo3"/>
        <w:numPr>
          <w:ilvl w:val="0"/>
          <w:numId w:val="3"/>
        </w:numPr>
        <w:rPr>
          <w:rFonts w:ascii="Lato" w:hAnsi="Lato"/>
          <w:szCs w:val="20"/>
        </w:rPr>
      </w:pPr>
      <w:r w:rsidRPr="00834810">
        <w:rPr>
          <w:rFonts w:ascii="Lato" w:hAnsi="Lato"/>
          <w:szCs w:val="20"/>
        </w:rPr>
        <w:t>Fecha de creación del ente público</w:t>
      </w:r>
    </w:p>
    <w:p w:rsidR="00382FDB" w:rsidRPr="00834810" w:rsidRDefault="00382FDB" w:rsidP="00382FDB">
      <w:pPr>
        <w:pStyle w:val="Prrafodelista"/>
        <w:spacing w:line="276" w:lineRule="auto"/>
        <w:jc w:val="both"/>
        <w:rPr>
          <w:rFonts w:ascii="Lato" w:hAnsi="Lato" w:cs="Arial"/>
          <w:szCs w:val="20"/>
        </w:rPr>
      </w:pPr>
      <w:r w:rsidRPr="00834810">
        <w:rPr>
          <w:rFonts w:ascii="Lato" w:hAnsi="Lato" w:cs="Arial"/>
          <w:szCs w:val="20"/>
        </w:rPr>
        <w:t xml:space="preserve">La Ley de </w:t>
      </w:r>
      <w:r w:rsidR="008E4D70" w:rsidRPr="00834810">
        <w:rPr>
          <w:rFonts w:ascii="Lato" w:hAnsi="Lato" w:cs="Arial"/>
          <w:szCs w:val="20"/>
        </w:rPr>
        <w:t xml:space="preserve">la Agencia de </w:t>
      </w:r>
      <w:r w:rsidRPr="00834810">
        <w:rPr>
          <w:rFonts w:ascii="Lato" w:hAnsi="Lato" w:cs="Arial"/>
          <w:szCs w:val="20"/>
        </w:rPr>
        <w:t xml:space="preserve">Transporte en su artículo </w:t>
      </w:r>
      <w:r w:rsidR="008E4D70" w:rsidRPr="00834810">
        <w:rPr>
          <w:rFonts w:ascii="Lato" w:hAnsi="Lato" w:cs="Arial"/>
          <w:szCs w:val="20"/>
        </w:rPr>
        <w:t>66, estableció el Fondo Estatal para el Transporte.</w:t>
      </w:r>
    </w:p>
    <w:p w:rsidR="005D1315" w:rsidRPr="00834810" w:rsidRDefault="005D1315" w:rsidP="005D1315">
      <w:pPr>
        <w:ind w:left="720" w:right="956"/>
        <w:jc w:val="both"/>
        <w:rPr>
          <w:rFonts w:ascii="Lato" w:eastAsia="Barlow" w:hAnsi="Lato" w:cs="Barlow"/>
          <w:szCs w:val="20"/>
        </w:rPr>
      </w:pPr>
    </w:p>
    <w:p w:rsidR="005D1315" w:rsidRPr="00834810" w:rsidRDefault="005D1315" w:rsidP="006C5266">
      <w:pPr>
        <w:pStyle w:val="Ttulo3"/>
        <w:numPr>
          <w:ilvl w:val="0"/>
          <w:numId w:val="3"/>
        </w:numPr>
        <w:rPr>
          <w:rFonts w:ascii="Lato" w:eastAsia="Barlow" w:hAnsi="Lato"/>
          <w:szCs w:val="20"/>
        </w:rPr>
      </w:pPr>
      <w:r w:rsidRPr="00834810">
        <w:rPr>
          <w:rFonts w:ascii="Lato" w:eastAsia="Barlow" w:hAnsi="Lato"/>
          <w:szCs w:val="20"/>
        </w:rPr>
        <w:t>Principales cambios en su estructura</w:t>
      </w:r>
    </w:p>
    <w:p w:rsidR="00382FDB" w:rsidRPr="00834810" w:rsidRDefault="00061C4B" w:rsidP="00382FDB">
      <w:pPr>
        <w:pStyle w:val="Prrafodelista"/>
        <w:autoSpaceDE w:val="0"/>
        <w:autoSpaceDN w:val="0"/>
        <w:adjustRightInd w:val="0"/>
        <w:spacing w:line="360" w:lineRule="auto"/>
        <w:jc w:val="both"/>
        <w:rPr>
          <w:rFonts w:ascii="Lato" w:hAnsi="Lato" w:cs="Arial"/>
          <w:szCs w:val="20"/>
        </w:rPr>
      </w:pPr>
      <w:r w:rsidRPr="00834810">
        <w:rPr>
          <w:rFonts w:ascii="Lato" w:hAnsi="Lato" w:cs="Arial"/>
          <w:szCs w:val="20"/>
        </w:rPr>
        <w:t>En el acuerdo ATY/04/2024, se expide el Reglamento para la operación del Fondo Estatal para el Transporte.</w:t>
      </w:r>
    </w:p>
    <w:p w:rsidR="00266243" w:rsidRPr="00834810" w:rsidRDefault="00266243" w:rsidP="006C5266">
      <w:pPr>
        <w:pStyle w:val="Ttulo2"/>
        <w:numPr>
          <w:ilvl w:val="0"/>
          <w:numId w:val="2"/>
        </w:numPr>
        <w:rPr>
          <w:rFonts w:ascii="Lato" w:hAnsi="Lato"/>
          <w:szCs w:val="20"/>
        </w:rPr>
      </w:pPr>
      <w:r w:rsidRPr="00834810">
        <w:rPr>
          <w:rFonts w:ascii="Lato" w:hAnsi="Lato"/>
          <w:szCs w:val="20"/>
        </w:rPr>
        <w:t>Panorama Económico y Financiero</w:t>
      </w:r>
    </w:p>
    <w:p w:rsidR="005D1315" w:rsidRPr="00834810" w:rsidRDefault="005D1315" w:rsidP="005D1315">
      <w:pPr>
        <w:ind w:left="709"/>
        <w:jc w:val="both"/>
        <w:rPr>
          <w:rFonts w:ascii="Lato" w:eastAsia="Barlow" w:hAnsi="Lato" w:cs="Barlow"/>
          <w:szCs w:val="20"/>
        </w:rPr>
      </w:pPr>
      <w:r w:rsidRPr="00834810">
        <w:rPr>
          <w:rFonts w:ascii="Lato" w:eastAsia="Barlow" w:hAnsi="Lato" w:cs="Barlow"/>
          <w:szCs w:val="20"/>
        </w:rPr>
        <w:t>Entre las principales fortalezas que tiene el Estado se encuentra su ubicación geográfica, lo que representa un punto clave para el comercio nacional e internacional.</w:t>
      </w:r>
    </w:p>
    <w:p w:rsidR="005D1315" w:rsidRPr="00834810" w:rsidRDefault="005D1315" w:rsidP="005D1315">
      <w:pPr>
        <w:rPr>
          <w:rFonts w:ascii="Lato" w:hAnsi="Lato"/>
          <w:szCs w:val="20"/>
        </w:rPr>
      </w:pPr>
    </w:p>
    <w:p w:rsidR="00266243" w:rsidRPr="00834810" w:rsidRDefault="00266243" w:rsidP="006C5266">
      <w:pPr>
        <w:pStyle w:val="Ttulo2"/>
        <w:numPr>
          <w:ilvl w:val="0"/>
          <w:numId w:val="2"/>
        </w:numPr>
        <w:rPr>
          <w:rFonts w:ascii="Lato" w:hAnsi="Lato"/>
          <w:szCs w:val="20"/>
        </w:rPr>
      </w:pPr>
      <w:r w:rsidRPr="00834810">
        <w:rPr>
          <w:rFonts w:ascii="Lato" w:hAnsi="Lato"/>
          <w:szCs w:val="20"/>
        </w:rPr>
        <w:t>Organización y Objetivo Social</w:t>
      </w:r>
    </w:p>
    <w:p w:rsidR="00A200F7" w:rsidRPr="00834810" w:rsidRDefault="00DF39F4" w:rsidP="00F92C6E">
      <w:pPr>
        <w:ind w:left="709"/>
        <w:rPr>
          <w:rFonts w:ascii="Lato" w:hAnsi="Lato"/>
          <w:szCs w:val="20"/>
        </w:rPr>
      </w:pPr>
      <w:r w:rsidRPr="00834810">
        <w:rPr>
          <w:rFonts w:ascii="Lato" w:hAnsi="Lato"/>
          <w:szCs w:val="20"/>
        </w:rPr>
        <w:t xml:space="preserve">Los recursos del Fondo podrán destinarse para el logro de los siguientes fines: </w:t>
      </w:r>
    </w:p>
    <w:p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Implementar estrategias y acciones que procuren la calidad y eficiencia del transporte de personas pasajeras en el estado. </w:t>
      </w:r>
    </w:p>
    <w:p w:rsidR="00A200F7" w:rsidRPr="00834810" w:rsidRDefault="00DF39F4" w:rsidP="006C5266">
      <w:pPr>
        <w:pStyle w:val="Prrafodelista"/>
        <w:numPr>
          <w:ilvl w:val="0"/>
          <w:numId w:val="13"/>
        </w:numPr>
        <w:rPr>
          <w:rFonts w:ascii="Lato" w:hAnsi="Lato"/>
          <w:szCs w:val="20"/>
        </w:rPr>
      </w:pPr>
      <w:r w:rsidRPr="00834810">
        <w:rPr>
          <w:rFonts w:ascii="Lato" w:hAnsi="Lato"/>
          <w:szCs w:val="20"/>
        </w:rPr>
        <w:t>Impulsar el uso del transporte público de personas pasajeras, y reducir la dependencia de los medios de transporte motorizados individuales.</w:t>
      </w:r>
      <w:r w:rsidR="00336CB9">
        <w:rPr>
          <w:rFonts w:ascii="Lato" w:hAnsi="Lato"/>
          <w:szCs w:val="20"/>
        </w:rPr>
        <w:tab/>
      </w:r>
      <w:r w:rsidR="00336CB9">
        <w:rPr>
          <w:rFonts w:ascii="Lato" w:hAnsi="Lato"/>
          <w:szCs w:val="20"/>
        </w:rPr>
        <w:tab/>
      </w:r>
    </w:p>
    <w:p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 Propiciar el uso de energías alternativas y el mejoramiento de tecnologías y combustibles para el transporte público de personas pasajeras. </w:t>
      </w:r>
    </w:p>
    <w:p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Desarrollar proyectos de infraestructura para el servicio de transporte de personas pasajeras y sus servicios auxiliares y conexos. </w:t>
      </w:r>
    </w:p>
    <w:p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Mejorar la infraestructura para la movilidad relacionada con el transporte público de personas pasajeras y promover la accesibilidad universal. </w:t>
      </w:r>
    </w:p>
    <w:p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Apoyar económicamente, en caso de ser necesario, a las tarifas de transporte público de personas pasajeras, para permitir que tanto estas como las relacionadas con el servicio contratado a través de plataformas tecnológicas, sean congruentes con las condiciones socioeconómicas de la población. </w:t>
      </w:r>
    </w:p>
    <w:p w:rsidR="00A200F7" w:rsidRPr="00834810" w:rsidRDefault="00DF39F4" w:rsidP="006C5266">
      <w:pPr>
        <w:pStyle w:val="Prrafodelista"/>
        <w:numPr>
          <w:ilvl w:val="0"/>
          <w:numId w:val="13"/>
        </w:numPr>
        <w:rPr>
          <w:rFonts w:ascii="Lato" w:hAnsi="Lato"/>
          <w:szCs w:val="20"/>
        </w:rPr>
      </w:pPr>
      <w:r w:rsidRPr="00834810">
        <w:rPr>
          <w:rFonts w:ascii="Lato" w:hAnsi="Lato"/>
          <w:szCs w:val="20"/>
        </w:rPr>
        <w:t>Financiar el servicio de transporte de personas pasajeras en cualquiera de sus modalidades, cuando la Agencia así lo determine.</w:t>
      </w:r>
    </w:p>
    <w:p w:rsidR="00A200F7" w:rsidRPr="00834810" w:rsidRDefault="00A200F7" w:rsidP="006C5266">
      <w:pPr>
        <w:pStyle w:val="Prrafodelista"/>
        <w:numPr>
          <w:ilvl w:val="0"/>
          <w:numId w:val="13"/>
        </w:numPr>
        <w:rPr>
          <w:rFonts w:ascii="Lato" w:hAnsi="Lato"/>
          <w:szCs w:val="20"/>
        </w:rPr>
      </w:pPr>
      <w:r w:rsidRPr="00834810">
        <w:rPr>
          <w:rFonts w:ascii="Lato" w:hAnsi="Lato"/>
          <w:szCs w:val="20"/>
        </w:rPr>
        <w:t xml:space="preserve">Implementar acciones encaminadas a reducir hechos o accidentes de tránsito, principalmente, en puntos viales conflictivos. </w:t>
      </w:r>
    </w:p>
    <w:p w:rsidR="00A200F7" w:rsidRPr="00834810" w:rsidRDefault="00A200F7" w:rsidP="006C5266">
      <w:pPr>
        <w:pStyle w:val="Prrafodelista"/>
        <w:numPr>
          <w:ilvl w:val="0"/>
          <w:numId w:val="13"/>
        </w:numPr>
        <w:rPr>
          <w:rFonts w:ascii="Lato" w:hAnsi="Lato"/>
          <w:szCs w:val="20"/>
        </w:rPr>
      </w:pPr>
      <w:r w:rsidRPr="00834810">
        <w:rPr>
          <w:rFonts w:ascii="Lato" w:hAnsi="Lato"/>
          <w:szCs w:val="20"/>
        </w:rPr>
        <w:t>Fomentar el desarrollo de estudios e investigaciones para el mejoramiento del sistema de transporte de personas pasajeras.</w:t>
      </w:r>
    </w:p>
    <w:p w:rsidR="00A200F7" w:rsidRPr="00834810" w:rsidRDefault="00A200F7" w:rsidP="006C5266">
      <w:pPr>
        <w:pStyle w:val="Prrafodelista"/>
        <w:numPr>
          <w:ilvl w:val="0"/>
          <w:numId w:val="13"/>
        </w:numPr>
        <w:rPr>
          <w:rFonts w:ascii="Lato" w:hAnsi="Lato"/>
          <w:szCs w:val="20"/>
        </w:rPr>
      </w:pPr>
      <w:r w:rsidRPr="00834810">
        <w:rPr>
          <w:rFonts w:ascii="Lato" w:hAnsi="Lato"/>
          <w:szCs w:val="20"/>
        </w:rPr>
        <w:t xml:space="preserve">Realizar programas de difusión y promoción, educación y capacitación en materia de cultura del uso de transporte de personas pasajeras. </w:t>
      </w:r>
    </w:p>
    <w:p w:rsidR="005D1315" w:rsidRPr="00834810" w:rsidRDefault="00A200F7" w:rsidP="006C5266">
      <w:pPr>
        <w:pStyle w:val="Prrafodelista"/>
        <w:numPr>
          <w:ilvl w:val="0"/>
          <w:numId w:val="13"/>
        </w:numPr>
        <w:rPr>
          <w:rFonts w:ascii="Lato" w:hAnsi="Lato"/>
          <w:szCs w:val="20"/>
        </w:rPr>
      </w:pPr>
      <w:r w:rsidRPr="00834810">
        <w:rPr>
          <w:rFonts w:ascii="Lato" w:hAnsi="Lato"/>
          <w:szCs w:val="20"/>
        </w:rPr>
        <w:t>Los demás que sean necesarios para el cumplimiento de su objeto, previa aprobación del Comité Técnico.</w:t>
      </w:r>
    </w:p>
    <w:p w:rsidR="0073754F" w:rsidRPr="00834810" w:rsidRDefault="0073754F" w:rsidP="005D1315">
      <w:pPr>
        <w:rPr>
          <w:rFonts w:ascii="Lato" w:hAnsi="Lato"/>
          <w:szCs w:val="20"/>
        </w:rPr>
      </w:pPr>
    </w:p>
    <w:p w:rsidR="0073754F" w:rsidRPr="00834810" w:rsidRDefault="0073754F" w:rsidP="006C5266">
      <w:pPr>
        <w:pStyle w:val="Ttulo3"/>
        <w:numPr>
          <w:ilvl w:val="0"/>
          <w:numId w:val="4"/>
        </w:numPr>
        <w:rPr>
          <w:rFonts w:ascii="Lato" w:hAnsi="Lato"/>
          <w:szCs w:val="20"/>
        </w:rPr>
      </w:pPr>
      <w:r w:rsidRPr="00834810">
        <w:rPr>
          <w:rFonts w:ascii="Lato" w:hAnsi="Lato"/>
          <w:szCs w:val="20"/>
        </w:rPr>
        <w:t>Objetivo social</w:t>
      </w:r>
    </w:p>
    <w:p w:rsidR="00DF39F4" w:rsidRPr="00834810" w:rsidRDefault="00DF39F4" w:rsidP="00DF39F4">
      <w:pPr>
        <w:ind w:left="709"/>
        <w:rPr>
          <w:rFonts w:ascii="Lato" w:hAnsi="Lato"/>
          <w:szCs w:val="20"/>
        </w:rPr>
      </w:pPr>
      <w:r w:rsidRPr="00834810">
        <w:rPr>
          <w:rFonts w:ascii="Lato" w:hAnsi="Lato"/>
          <w:szCs w:val="20"/>
        </w:rPr>
        <w:t xml:space="preserve"> Garantizar a las personas en la entidad una mejor movilidad a través de traslados seguros y medios de transporte modernos al alcance de toda    la población yucateca.</w:t>
      </w:r>
    </w:p>
    <w:p w:rsidR="00F92C6E" w:rsidRPr="00834810" w:rsidRDefault="00F92C6E" w:rsidP="00F92C6E">
      <w:pPr>
        <w:rPr>
          <w:rFonts w:ascii="Lato" w:hAnsi="Lato"/>
          <w:szCs w:val="20"/>
        </w:rPr>
      </w:pPr>
    </w:p>
    <w:p w:rsidR="0073754F" w:rsidRPr="00834810" w:rsidRDefault="0073754F" w:rsidP="006C5266">
      <w:pPr>
        <w:pStyle w:val="Ttulo3"/>
        <w:numPr>
          <w:ilvl w:val="0"/>
          <w:numId w:val="4"/>
        </w:numPr>
        <w:rPr>
          <w:rFonts w:ascii="Lato" w:hAnsi="Lato"/>
          <w:szCs w:val="20"/>
        </w:rPr>
      </w:pPr>
      <w:r w:rsidRPr="00834810">
        <w:rPr>
          <w:rFonts w:ascii="Lato" w:hAnsi="Lato"/>
          <w:szCs w:val="20"/>
        </w:rPr>
        <w:t>Principal actividad</w:t>
      </w:r>
    </w:p>
    <w:p w:rsidR="00061C4B" w:rsidRPr="00834810" w:rsidRDefault="00061C4B" w:rsidP="00061C4B">
      <w:pPr>
        <w:pStyle w:val="Prrafodelista"/>
        <w:jc w:val="both"/>
        <w:rPr>
          <w:rFonts w:ascii="Lato" w:eastAsia="Calibri" w:hAnsi="Lato"/>
          <w:szCs w:val="20"/>
          <w:lang w:eastAsia="en-US"/>
        </w:rPr>
      </w:pPr>
      <w:r w:rsidRPr="00834810">
        <w:rPr>
          <w:rFonts w:ascii="Lato" w:hAnsi="Lato"/>
          <w:szCs w:val="20"/>
        </w:rPr>
        <w:t xml:space="preserve">  </w:t>
      </w:r>
      <w:r w:rsidRPr="00834810">
        <w:rPr>
          <w:rFonts w:ascii="Lato" w:hAnsi="Lato" w:cs="Arial"/>
          <w:szCs w:val="20"/>
        </w:rPr>
        <w:t xml:space="preserve">El Fondo Estatal para el Transporte, </w:t>
      </w:r>
      <w:r w:rsidRPr="00834810">
        <w:rPr>
          <w:rFonts w:ascii="Lato" w:hAnsi="Lato"/>
          <w:szCs w:val="20"/>
        </w:rPr>
        <w:t xml:space="preserve">tendrá como objeto contribuir a la viabilidad presupuestal de acciones y proyectos de transporte, encaminados a propiciar la movilidad sostenible en el estado, así como que la administración y operación del citado fondo estará a cargo de la Agencia de Transporte de Yucatán. </w:t>
      </w:r>
    </w:p>
    <w:p w:rsidR="00061C4B" w:rsidRPr="00834810" w:rsidRDefault="00061C4B" w:rsidP="00061C4B">
      <w:pPr>
        <w:rPr>
          <w:rFonts w:ascii="Lato" w:hAnsi="Lato"/>
          <w:szCs w:val="20"/>
        </w:rPr>
      </w:pPr>
    </w:p>
    <w:p w:rsidR="0073754F" w:rsidRPr="00834810" w:rsidRDefault="0073754F" w:rsidP="006C5266">
      <w:pPr>
        <w:pStyle w:val="Ttulo3"/>
        <w:numPr>
          <w:ilvl w:val="0"/>
          <w:numId w:val="4"/>
        </w:numPr>
        <w:rPr>
          <w:rFonts w:ascii="Lato" w:hAnsi="Lato"/>
          <w:szCs w:val="20"/>
        </w:rPr>
      </w:pPr>
      <w:r w:rsidRPr="00834810">
        <w:rPr>
          <w:rFonts w:ascii="Lato" w:hAnsi="Lato"/>
          <w:szCs w:val="20"/>
        </w:rPr>
        <w:t>Ejercicio fiscal</w:t>
      </w:r>
    </w:p>
    <w:p w:rsidR="00F92C6E" w:rsidRPr="00834810" w:rsidRDefault="00F92C6E" w:rsidP="00F92C6E">
      <w:pPr>
        <w:pStyle w:val="Prrafodelista"/>
        <w:jc w:val="both"/>
        <w:rPr>
          <w:rFonts w:ascii="Lato" w:eastAsia="Barlow" w:hAnsi="Lato" w:cs="Barlow"/>
          <w:szCs w:val="20"/>
        </w:rPr>
      </w:pPr>
      <w:r w:rsidRPr="00834810">
        <w:rPr>
          <w:rFonts w:ascii="Lato" w:eastAsia="Barlow" w:hAnsi="Lato" w:cs="Barlow"/>
          <w:szCs w:val="20"/>
        </w:rPr>
        <w:t xml:space="preserve">Las cifras contenidas en los Estados Financieros y que se mencionan en estas notas se presentan al </w:t>
      </w:r>
      <w:bookmarkStart w:id="0" w:name="2jxsxqh" w:colFirst="0" w:colLast="0"/>
      <w:bookmarkEnd w:id="0"/>
      <w:r w:rsidR="0003543F">
        <w:rPr>
          <w:rFonts w:ascii="Lato" w:eastAsia="Barlow" w:hAnsi="Lato" w:cs="Barlow"/>
          <w:szCs w:val="20"/>
        </w:rPr>
        <w:t>31</w:t>
      </w:r>
      <w:r w:rsidR="0081111D" w:rsidRPr="00834810">
        <w:rPr>
          <w:rFonts w:ascii="Lato" w:eastAsia="Barlow" w:hAnsi="Lato" w:cs="Barlow"/>
          <w:szCs w:val="20"/>
        </w:rPr>
        <w:t xml:space="preserve"> de </w:t>
      </w:r>
      <w:r w:rsidR="0003543F">
        <w:rPr>
          <w:rFonts w:ascii="Lato" w:eastAsia="Barlow" w:hAnsi="Lato" w:cs="Barlow"/>
          <w:szCs w:val="20"/>
        </w:rPr>
        <w:t>marz</w:t>
      </w:r>
      <w:r w:rsidR="0081111D" w:rsidRPr="00834810">
        <w:rPr>
          <w:rFonts w:ascii="Lato" w:eastAsia="Barlow" w:hAnsi="Lato" w:cs="Barlow"/>
          <w:szCs w:val="20"/>
        </w:rPr>
        <w:t>o</w:t>
      </w:r>
      <w:r w:rsidR="00023C13" w:rsidRPr="00834810">
        <w:rPr>
          <w:rFonts w:ascii="Lato" w:eastAsia="Barlow" w:hAnsi="Lato" w:cs="Barlow"/>
          <w:szCs w:val="20"/>
        </w:rPr>
        <w:t xml:space="preserve"> </w:t>
      </w:r>
      <w:r w:rsidRPr="00834810">
        <w:rPr>
          <w:rFonts w:ascii="Lato" w:eastAsia="Barlow" w:hAnsi="Lato" w:cs="Barlow"/>
          <w:szCs w:val="20"/>
        </w:rPr>
        <w:t>del Ejercicio Fiscal 202</w:t>
      </w:r>
      <w:r w:rsidR="005F2120" w:rsidRPr="00834810">
        <w:rPr>
          <w:rFonts w:ascii="Lato" w:eastAsia="Barlow" w:hAnsi="Lato" w:cs="Barlow"/>
          <w:szCs w:val="20"/>
        </w:rPr>
        <w:t>5</w:t>
      </w:r>
      <w:r w:rsidRPr="00834810">
        <w:rPr>
          <w:rFonts w:ascii="Lato" w:eastAsia="Barlow" w:hAnsi="Lato" w:cs="Barlow"/>
          <w:szCs w:val="20"/>
        </w:rPr>
        <w:t>.</w:t>
      </w:r>
    </w:p>
    <w:p w:rsidR="00F92C6E" w:rsidRPr="00834810" w:rsidRDefault="00F92C6E" w:rsidP="00F92C6E">
      <w:pPr>
        <w:rPr>
          <w:rFonts w:ascii="Lato" w:hAnsi="Lato"/>
          <w:szCs w:val="20"/>
        </w:rPr>
      </w:pPr>
    </w:p>
    <w:p w:rsidR="0073754F" w:rsidRPr="00834810" w:rsidRDefault="0073754F" w:rsidP="006C5266">
      <w:pPr>
        <w:pStyle w:val="Ttulo3"/>
        <w:numPr>
          <w:ilvl w:val="0"/>
          <w:numId w:val="4"/>
        </w:numPr>
        <w:rPr>
          <w:rFonts w:ascii="Lato" w:hAnsi="Lato"/>
          <w:szCs w:val="20"/>
        </w:rPr>
      </w:pPr>
      <w:r w:rsidRPr="00834810">
        <w:rPr>
          <w:rFonts w:ascii="Lato" w:hAnsi="Lato"/>
          <w:szCs w:val="20"/>
        </w:rPr>
        <w:lastRenderedPageBreak/>
        <w:t>Régimen jurídico</w:t>
      </w:r>
    </w:p>
    <w:p w:rsidR="00382FDB" w:rsidRPr="00834810" w:rsidRDefault="00382FDB" w:rsidP="00382FDB">
      <w:pPr>
        <w:pStyle w:val="Prrafodelista"/>
        <w:autoSpaceDE w:val="0"/>
        <w:autoSpaceDN w:val="0"/>
        <w:adjustRightInd w:val="0"/>
        <w:spacing w:line="360" w:lineRule="auto"/>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 xml:space="preserve">Fondo Estatal para el Transporte </w:t>
      </w:r>
      <w:r w:rsidRPr="00834810">
        <w:rPr>
          <w:rFonts w:ascii="Lato" w:hAnsi="Lato" w:cs="Arial"/>
          <w:szCs w:val="20"/>
        </w:rPr>
        <w:t>está regulado por lo siguiente:</w:t>
      </w:r>
    </w:p>
    <w:p w:rsidR="00F92C6E" w:rsidRPr="00834810" w:rsidRDefault="00F92C6E" w:rsidP="006C5266">
      <w:pPr>
        <w:pStyle w:val="Prrafodelista"/>
        <w:numPr>
          <w:ilvl w:val="0"/>
          <w:numId w:val="5"/>
        </w:numPr>
        <w:ind w:left="709" w:firstLine="0"/>
        <w:jc w:val="both"/>
        <w:rPr>
          <w:rFonts w:ascii="Lato" w:hAnsi="Lato"/>
          <w:szCs w:val="20"/>
        </w:rPr>
      </w:pPr>
      <w:r w:rsidRPr="00834810">
        <w:rPr>
          <w:rFonts w:ascii="Lato" w:eastAsia="Barlow" w:hAnsi="Lato" w:cs="Barlow"/>
          <w:szCs w:val="20"/>
        </w:rPr>
        <w:t>La Constitución de los Estados Unidos Mexicanos.</w:t>
      </w:r>
    </w:p>
    <w:p w:rsidR="00F92C6E" w:rsidRPr="00834810" w:rsidRDefault="00F92C6E" w:rsidP="006C5266">
      <w:pPr>
        <w:numPr>
          <w:ilvl w:val="0"/>
          <w:numId w:val="6"/>
        </w:numPr>
        <w:ind w:left="709" w:firstLine="0"/>
        <w:jc w:val="both"/>
        <w:rPr>
          <w:rFonts w:ascii="Lato" w:hAnsi="Lato"/>
          <w:szCs w:val="20"/>
        </w:rPr>
      </w:pPr>
      <w:r w:rsidRPr="00834810">
        <w:rPr>
          <w:rFonts w:ascii="Lato" w:eastAsia="Barlow" w:hAnsi="Lato" w:cs="Barlow"/>
          <w:szCs w:val="20"/>
        </w:rPr>
        <w:t>La Constitución Política del Estado de Yucatán.</w:t>
      </w:r>
    </w:p>
    <w:p w:rsidR="00F92C6E" w:rsidRPr="00834810" w:rsidRDefault="00F92C6E" w:rsidP="006C5266">
      <w:pPr>
        <w:numPr>
          <w:ilvl w:val="0"/>
          <w:numId w:val="6"/>
        </w:numPr>
        <w:ind w:left="709" w:firstLine="0"/>
        <w:jc w:val="both"/>
        <w:rPr>
          <w:rFonts w:ascii="Lato" w:hAnsi="Lato"/>
          <w:szCs w:val="20"/>
        </w:rPr>
      </w:pPr>
      <w:r w:rsidRPr="00834810">
        <w:rPr>
          <w:rFonts w:ascii="Lato" w:eastAsia="Barlow" w:hAnsi="Lato" w:cs="Barlow"/>
          <w:szCs w:val="20"/>
        </w:rPr>
        <w:t>La Ley General de Contabilidad Gubernamental.</w:t>
      </w:r>
    </w:p>
    <w:p w:rsidR="00DF39F4" w:rsidRPr="00834810" w:rsidRDefault="00DF39F4" w:rsidP="006C5266">
      <w:pPr>
        <w:numPr>
          <w:ilvl w:val="0"/>
          <w:numId w:val="6"/>
        </w:numPr>
        <w:ind w:left="709" w:firstLine="0"/>
        <w:jc w:val="both"/>
        <w:rPr>
          <w:rFonts w:ascii="Lato" w:hAnsi="Lato"/>
          <w:szCs w:val="20"/>
        </w:rPr>
      </w:pPr>
      <w:r w:rsidRPr="00834810">
        <w:rPr>
          <w:rFonts w:ascii="Lato" w:hAnsi="Lato" w:cs="Arial"/>
          <w:szCs w:val="20"/>
        </w:rPr>
        <w:t>Ley de la Agencia de Transporte de Yucatán.</w:t>
      </w:r>
    </w:p>
    <w:p w:rsidR="00DF39F4" w:rsidRPr="00834810" w:rsidRDefault="00DF39F4" w:rsidP="006C5266">
      <w:pPr>
        <w:numPr>
          <w:ilvl w:val="0"/>
          <w:numId w:val="6"/>
        </w:numPr>
        <w:ind w:left="709" w:firstLine="0"/>
        <w:jc w:val="both"/>
        <w:rPr>
          <w:rFonts w:ascii="Lato" w:hAnsi="Lato"/>
          <w:szCs w:val="20"/>
        </w:rPr>
      </w:pPr>
      <w:r w:rsidRPr="00834810">
        <w:rPr>
          <w:rFonts w:ascii="Lato" w:hAnsi="Lato"/>
          <w:szCs w:val="20"/>
        </w:rPr>
        <w:t>El Reglamento para la Operación del Fondo Estatal para el Transporte.</w:t>
      </w:r>
    </w:p>
    <w:p w:rsidR="00F92C6E" w:rsidRPr="00834810" w:rsidRDefault="00F92C6E" w:rsidP="00F92C6E">
      <w:pPr>
        <w:rPr>
          <w:rFonts w:ascii="Lato" w:hAnsi="Lato"/>
          <w:szCs w:val="20"/>
        </w:rPr>
      </w:pPr>
    </w:p>
    <w:p w:rsidR="0073754F" w:rsidRPr="00834810" w:rsidRDefault="0073754F" w:rsidP="006C5266">
      <w:pPr>
        <w:pStyle w:val="Ttulo3"/>
        <w:numPr>
          <w:ilvl w:val="0"/>
          <w:numId w:val="4"/>
        </w:numPr>
        <w:rPr>
          <w:rFonts w:ascii="Lato" w:hAnsi="Lato"/>
          <w:szCs w:val="20"/>
        </w:rPr>
      </w:pPr>
      <w:r w:rsidRPr="00834810">
        <w:rPr>
          <w:rFonts w:ascii="Lato" w:hAnsi="Lato"/>
          <w:szCs w:val="20"/>
        </w:rPr>
        <w:t>Consideraciones fiscales del ente</w:t>
      </w:r>
    </w:p>
    <w:p w:rsidR="00046E5D" w:rsidRPr="00834810" w:rsidRDefault="00382FDB" w:rsidP="00382FDB">
      <w:pPr>
        <w:ind w:left="709"/>
        <w:rPr>
          <w:rFonts w:ascii="Lato" w:hAnsi="Lato" w:cs="Arial"/>
          <w:szCs w:val="20"/>
        </w:rPr>
      </w:pPr>
      <w:r w:rsidRPr="00834810">
        <w:rPr>
          <w:rFonts w:ascii="Lato" w:hAnsi="Lato" w:cs="Arial"/>
          <w:szCs w:val="20"/>
        </w:rPr>
        <w:t xml:space="preserve">El </w:t>
      </w:r>
      <w:r w:rsidR="00DF39F4" w:rsidRPr="00834810">
        <w:rPr>
          <w:rFonts w:ascii="Lato" w:hAnsi="Lato" w:cs="Arial"/>
          <w:szCs w:val="20"/>
        </w:rPr>
        <w:t xml:space="preserve">Fondo Estatal para el Transporte </w:t>
      </w:r>
      <w:r w:rsidRPr="00834810">
        <w:rPr>
          <w:rFonts w:ascii="Lato" w:hAnsi="Lato" w:cs="Arial"/>
          <w:szCs w:val="20"/>
        </w:rPr>
        <w:t>es un organismo de la Administración Pública General; No tiene obligaciones fiscales</w:t>
      </w:r>
    </w:p>
    <w:p w:rsidR="00382FDB" w:rsidRPr="00834810" w:rsidRDefault="00382FDB" w:rsidP="00382FDB">
      <w:pPr>
        <w:ind w:left="709"/>
        <w:rPr>
          <w:rFonts w:ascii="Lato" w:hAnsi="Lato"/>
          <w:szCs w:val="20"/>
        </w:rPr>
      </w:pPr>
    </w:p>
    <w:p w:rsidR="0073754F" w:rsidRPr="00834810" w:rsidRDefault="0073754F" w:rsidP="006C5266">
      <w:pPr>
        <w:pStyle w:val="Ttulo3"/>
        <w:numPr>
          <w:ilvl w:val="0"/>
          <w:numId w:val="4"/>
        </w:numPr>
        <w:rPr>
          <w:rFonts w:ascii="Lato" w:hAnsi="Lato"/>
          <w:szCs w:val="20"/>
        </w:rPr>
      </w:pPr>
      <w:r w:rsidRPr="00834810">
        <w:rPr>
          <w:rFonts w:ascii="Lato" w:hAnsi="Lato"/>
          <w:szCs w:val="20"/>
        </w:rPr>
        <w:t>Estructura organizacional básica</w:t>
      </w:r>
    </w:p>
    <w:p w:rsidR="00046E5D" w:rsidRPr="00834810" w:rsidRDefault="00DF39F4" w:rsidP="00DF39F4">
      <w:pPr>
        <w:tabs>
          <w:tab w:val="left" w:pos="810"/>
        </w:tabs>
        <w:rPr>
          <w:rFonts w:ascii="Lato" w:hAnsi="Lato"/>
          <w:szCs w:val="20"/>
        </w:rPr>
      </w:pPr>
      <w:r w:rsidRPr="00834810">
        <w:rPr>
          <w:rFonts w:ascii="Lato" w:hAnsi="Lato"/>
          <w:szCs w:val="20"/>
        </w:rPr>
        <w:t xml:space="preserve"> </w:t>
      </w:r>
      <w:r w:rsidRPr="00834810">
        <w:rPr>
          <w:rFonts w:ascii="Lato" w:hAnsi="Lato"/>
          <w:szCs w:val="20"/>
        </w:rPr>
        <w:tab/>
        <w:t>La administración y operación del Fondo estará a cargo de la Agencia, de conformidad con lo establecido en el artículo 66 de la Ley.</w:t>
      </w:r>
    </w:p>
    <w:p w:rsidR="00DF39F4" w:rsidRPr="00834810" w:rsidRDefault="00DF39F4" w:rsidP="00DF39F4">
      <w:pPr>
        <w:tabs>
          <w:tab w:val="left" w:pos="810"/>
        </w:tabs>
        <w:rPr>
          <w:rFonts w:ascii="Lato" w:hAnsi="Lato"/>
          <w:szCs w:val="20"/>
        </w:rPr>
      </w:pPr>
    </w:p>
    <w:p w:rsidR="0073754F" w:rsidRPr="00834810" w:rsidRDefault="0073754F" w:rsidP="006C5266">
      <w:pPr>
        <w:pStyle w:val="Ttulo3"/>
        <w:numPr>
          <w:ilvl w:val="0"/>
          <w:numId w:val="4"/>
        </w:numPr>
        <w:rPr>
          <w:rFonts w:ascii="Lato" w:hAnsi="Lato"/>
          <w:szCs w:val="20"/>
        </w:rPr>
      </w:pPr>
      <w:r w:rsidRPr="00834810">
        <w:rPr>
          <w:rFonts w:ascii="Lato" w:hAnsi="Lato"/>
          <w:szCs w:val="20"/>
        </w:rPr>
        <w:t xml:space="preserve">Fideicomisos de los cuales es fideicomitente o fideicomisario, y contratos análogos, incluyendo mandatos de los cuales es parte </w:t>
      </w:r>
    </w:p>
    <w:p w:rsidR="00C736A7" w:rsidRPr="00834810" w:rsidRDefault="00C736A7" w:rsidP="00C736A7">
      <w:pPr>
        <w:ind w:left="709"/>
        <w:rPr>
          <w:rFonts w:ascii="Lato" w:hAnsi="Lato"/>
          <w:szCs w:val="20"/>
        </w:rPr>
      </w:pPr>
      <w:r w:rsidRPr="00834810">
        <w:rPr>
          <w:rFonts w:ascii="Lato" w:hAnsi="Lato"/>
          <w:szCs w:val="20"/>
        </w:rPr>
        <w:t xml:space="preserve">El </w:t>
      </w:r>
      <w:r w:rsidR="00DF39F4" w:rsidRPr="00834810">
        <w:rPr>
          <w:rFonts w:ascii="Lato" w:hAnsi="Lato"/>
          <w:szCs w:val="20"/>
        </w:rPr>
        <w:t>Fondo Estatal para el Transporte</w:t>
      </w:r>
      <w:r w:rsidR="00AD2DBB" w:rsidRPr="00834810">
        <w:rPr>
          <w:rFonts w:ascii="Lato" w:hAnsi="Lato"/>
          <w:szCs w:val="20"/>
        </w:rPr>
        <w:t xml:space="preserve"> </w:t>
      </w:r>
      <w:r w:rsidRPr="00834810">
        <w:rPr>
          <w:rFonts w:ascii="Lato" w:hAnsi="Lato"/>
          <w:szCs w:val="20"/>
        </w:rPr>
        <w:t>se encuentra a cargo de</w:t>
      </w:r>
      <w:r w:rsidR="00AD2DBB" w:rsidRPr="00834810">
        <w:rPr>
          <w:rFonts w:ascii="Lato" w:hAnsi="Lato"/>
          <w:szCs w:val="20"/>
        </w:rPr>
        <w:t xml:space="preserve"> la Agencia de Transporte de Yucatán (ATY), </w:t>
      </w:r>
      <w:r w:rsidRPr="00834810">
        <w:rPr>
          <w:rFonts w:ascii="Lato" w:hAnsi="Lato"/>
          <w:szCs w:val="20"/>
        </w:rPr>
        <w:t>para la presentación de su información Financiera.</w:t>
      </w:r>
    </w:p>
    <w:p w:rsidR="00C736A7" w:rsidRPr="00834810" w:rsidRDefault="00C736A7" w:rsidP="00C736A7">
      <w:pPr>
        <w:ind w:left="709"/>
        <w:rPr>
          <w:rFonts w:ascii="Lato" w:hAnsi="Lato"/>
          <w:szCs w:val="20"/>
        </w:rPr>
      </w:pPr>
    </w:p>
    <w:p w:rsidR="00266243" w:rsidRPr="00834810" w:rsidRDefault="00266243" w:rsidP="006C5266">
      <w:pPr>
        <w:pStyle w:val="Ttulo2"/>
        <w:numPr>
          <w:ilvl w:val="0"/>
          <w:numId w:val="2"/>
        </w:numPr>
        <w:rPr>
          <w:rFonts w:ascii="Lato" w:hAnsi="Lato"/>
          <w:szCs w:val="20"/>
        </w:rPr>
      </w:pPr>
      <w:r w:rsidRPr="00834810">
        <w:rPr>
          <w:rFonts w:ascii="Lato" w:hAnsi="Lato"/>
          <w:szCs w:val="20"/>
        </w:rPr>
        <w:t>Bases de Preparación de los Estados Financieros</w:t>
      </w:r>
    </w:p>
    <w:p w:rsidR="00AB56A3" w:rsidRPr="00834810" w:rsidRDefault="00AB56A3" w:rsidP="00AB56A3">
      <w:pPr>
        <w:ind w:left="709"/>
        <w:rPr>
          <w:rFonts w:ascii="Lato" w:hAnsi="Lato"/>
          <w:szCs w:val="20"/>
        </w:rPr>
      </w:pPr>
      <w:r w:rsidRPr="00834810">
        <w:rPr>
          <w:rFonts w:ascii="Lato" w:hAnsi="Lato"/>
          <w:szCs w:val="20"/>
        </w:rPr>
        <w:t>Se informará sobre:</w:t>
      </w:r>
    </w:p>
    <w:p w:rsidR="00AB56A3" w:rsidRPr="00834810" w:rsidRDefault="00AB56A3" w:rsidP="006C5266">
      <w:pPr>
        <w:numPr>
          <w:ilvl w:val="0"/>
          <w:numId w:val="7"/>
        </w:numPr>
        <w:ind w:left="851" w:hanging="11"/>
        <w:jc w:val="both"/>
        <w:rPr>
          <w:rFonts w:ascii="Lato" w:eastAsia="Barlow" w:hAnsi="Lato" w:cs="Barlow"/>
          <w:szCs w:val="20"/>
        </w:rPr>
      </w:pPr>
      <w:r w:rsidRPr="00834810">
        <w:rPr>
          <w:rFonts w:ascii="Lato" w:eastAsia="Barlow" w:hAnsi="Lato" w:cs="Barlow"/>
          <w:szCs w:val="20"/>
        </w:rPr>
        <w:t xml:space="preserve">En la preparación de los Estados Financieros, se observó con lo establecido en la Ley General de Contabilidad Gubernamental, la Ley de Presupuesto y Contabilidad Gubernamental del Estado de Yucatán y demás disposiciones emitidas para tal efecto por el Consejo Nacional de Armonización Contable (CONAC).  </w:t>
      </w:r>
    </w:p>
    <w:p w:rsidR="00AB56A3" w:rsidRPr="00834810" w:rsidRDefault="00AB56A3" w:rsidP="00AB56A3">
      <w:pPr>
        <w:ind w:left="851" w:hanging="11"/>
        <w:jc w:val="both"/>
        <w:rPr>
          <w:rFonts w:ascii="Lato" w:eastAsia="Barlow" w:hAnsi="Lato" w:cs="Barlow"/>
          <w:szCs w:val="20"/>
        </w:rPr>
      </w:pPr>
    </w:p>
    <w:p w:rsidR="00AB56A3" w:rsidRPr="00834810" w:rsidRDefault="00AB56A3" w:rsidP="006C5266">
      <w:pPr>
        <w:numPr>
          <w:ilvl w:val="0"/>
          <w:numId w:val="7"/>
        </w:numPr>
        <w:ind w:left="851" w:hanging="11"/>
        <w:jc w:val="both"/>
        <w:rPr>
          <w:rFonts w:ascii="Lato" w:eastAsia="Barlow" w:hAnsi="Lato" w:cs="Barlow"/>
          <w:szCs w:val="20"/>
        </w:rPr>
      </w:pPr>
      <w:r w:rsidRPr="00834810">
        <w:rPr>
          <w:rFonts w:ascii="Lato" w:eastAsia="Barlow" w:hAnsi="Lato" w:cs="Barlow"/>
          <w:szCs w:val="20"/>
        </w:rPr>
        <w:t>La base de medición utilizada en el registro de las operaciones para la elaboración de los Estados Financieros es a Costo histórico.</w:t>
      </w:r>
    </w:p>
    <w:p w:rsidR="00AB56A3" w:rsidRPr="00834810" w:rsidRDefault="00AB56A3" w:rsidP="00AB56A3">
      <w:pPr>
        <w:ind w:left="851" w:hanging="11"/>
        <w:jc w:val="both"/>
        <w:rPr>
          <w:rFonts w:ascii="Lato" w:eastAsia="Barlow" w:hAnsi="Lato" w:cs="Barlow"/>
          <w:szCs w:val="20"/>
        </w:rPr>
      </w:pPr>
    </w:p>
    <w:p w:rsidR="00AB56A3" w:rsidRPr="00834810" w:rsidRDefault="00AB56A3" w:rsidP="006C5266">
      <w:pPr>
        <w:numPr>
          <w:ilvl w:val="0"/>
          <w:numId w:val="7"/>
        </w:numPr>
        <w:ind w:left="851" w:hanging="11"/>
        <w:jc w:val="both"/>
        <w:rPr>
          <w:rFonts w:ascii="Lato" w:eastAsia="Barlow" w:hAnsi="Lato" w:cs="Barlow"/>
          <w:szCs w:val="20"/>
        </w:rPr>
      </w:pPr>
      <w:r w:rsidRPr="00834810">
        <w:rPr>
          <w:rFonts w:ascii="Lato" w:eastAsia="Barlow" w:hAnsi="Lato" w:cs="Barlow"/>
          <w:szCs w:val="20"/>
        </w:rPr>
        <w:t>Postulados básicos de la Contabilidad gubernamental aprobados por la CONAC y Publicados en el Diario Oficial del Estado para su difusión.</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Sustancia Económica</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Entes Públicos</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Existencia Permanente</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lastRenderedPageBreak/>
        <w:t>Revelación Suficiente</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Importancia Relativa</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Registro e Integración Presupuestaria</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Consolidación de la Información Financiera</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Devengo Contable</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Valuación</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Dualidad Económica</w:t>
      </w:r>
    </w:p>
    <w:p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Consistencia</w:t>
      </w:r>
    </w:p>
    <w:p w:rsidR="00AB56A3" w:rsidRPr="00834810" w:rsidRDefault="00AB56A3" w:rsidP="00AB56A3">
      <w:pPr>
        <w:ind w:left="851" w:hanging="11"/>
        <w:jc w:val="both"/>
        <w:rPr>
          <w:rFonts w:ascii="Lato" w:eastAsia="Barlow" w:hAnsi="Lato" w:cs="Barlow"/>
          <w:szCs w:val="20"/>
        </w:rPr>
      </w:pPr>
    </w:p>
    <w:p w:rsidR="00AB56A3" w:rsidRPr="00834810" w:rsidRDefault="00AB56A3" w:rsidP="00AB56A3">
      <w:pPr>
        <w:ind w:left="851" w:hanging="11"/>
        <w:jc w:val="both"/>
        <w:rPr>
          <w:rFonts w:ascii="Lato" w:eastAsia="Barlow" w:hAnsi="Lato" w:cs="Barlow"/>
          <w:szCs w:val="20"/>
        </w:rPr>
      </w:pPr>
      <w:r w:rsidRPr="00834810">
        <w:rPr>
          <w:rFonts w:ascii="Lato" w:eastAsia="Barlow" w:hAnsi="Lato" w:cs="Barlow"/>
          <w:szCs w:val="20"/>
        </w:rPr>
        <w:t>d)   En forma supletoria a las Normas de la Ley General de Contabilidad Gubernamental y a las emitidas por la CONAC aplicaron las siguientes:</w:t>
      </w:r>
    </w:p>
    <w:p w:rsidR="00AB56A3" w:rsidRPr="00834810" w:rsidRDefault="00AB56A3" w:rsidP="006C5266">
      <w:pPr>
        <w:pStyle w:val="Prrafodelista"/>
        <w:numPr>
          <w:ilvl w:val="1"/>
          <w:numId w:val="8"/>
        </w:numPr>
        <w:ind w:left="1560"/>
        <w:jc w:val="both"/>
        <w:rPr>
          <w:rFonts w:ascii="Lato" w:hAnsi="Lato"/>
          <w:szCs w:val="20"/>
        </w:rPr>
      </w:pPr>
      <w:r w:rsidRPr="00834810">
        <w:rPr>
          <w:rFonts w:ascii="Lato" w:eastAsia="Barlow" w:hAnsi="Lato" w:cs="Barlow"/>
          <w:szCs w:val="20"/>
        </w:rPr>
        <w:t>Normatividad emitida por las unidades administrativas o instancias competentes en materia de Contabilidad Gubernamental.</w:t>
      </w:r>
    </w:p>
    <w:p w:rsidR="00AB56A3" w:rsidRPr="00834810" w:rsidRDefault="00AB56A3" w:rsidP="006C5266">
      <w:pPr>
        <w:pStyle w:val="Prrafodelista"/>
        <w:numPr>
          <w:ilvl w:val="1"/>
          <w:numId w:val="8"/>
        </w:numPr>
        <w:ind w:left="1560"/>
        <w:jc w:val="both"/>
        <w:rPr>
          <w:rFonts w:ascii="Lato" w:hAnsi="Lato"/>
          <w:szCs w:val="20"/>
        </w:rPr>
      </w:pPr>
      <w:r w:rsidRPr="00834810">
        <w:rPr>
          <w:rFonts w:ascii="Lato" w:eastAsia="Barlow" w:hAnsi="Lato" w:cs="Barlow"/>
          <w:szCs w:val="20"/>
        </w:rPr>
        <w:t>Las Normas Internacionales de Contabilidad para el sector público (NICSP) emitidas por la junta de Normas Internacionales de Contabilidad del Sector Público.</w:t>
      </w:r>
    </w:p>
    <w:p w:rsidR="00AB56A3" w:rsidRPr="00834810" w:rsidRDefault="00AB56A3" w:rsidP="006C5266">
      <w:pPr>
        <w:pStyle w:val="Prrafodelista"/>
        <w:numPr>
          <w:ilvl w:val="1"/>
          <w:numId w:val="8"/>
        </w:numPr>
        <w:ind w:left="1560"/>
        <w:jc w:val="both"/>
        <w:rPr>
          <w:rFonts w:ascii="Lato" w:hAnsi="Lato"/>
          <w:szCs w:val="20"/>
        </w:rPr>
      </w:pPr>
      <w:r w:rsidRPr="00834810">
        <w:rPr>
          <w:rFonts w:ascii="Lato" w:eastAsia="Barlow" w:hAnsi="Lato" w:cs="Barlow"/>
          <w:szCs w:val="20"/>
        </w:rPr>
        <w:t>Las normas de información financiera del consejo mexicano para la Investigación y Desarrollo de Normas de Información Financiera A.C. (CINIF).</w:t>
      </w:r>
    </w:p>
    <w:p w:rsidR="00AB56A3" w:rsidRPr="00834810" w:rsidRDefault="00AB56A3" w:rsidP="00AB56A3">
      <w:pPr>
        <w:rPr>
          <w:rFonts w:ascii="Lato" w:hAnsi="Lato"/>
          <w:szCs w:val="20"/>
        </w:rPr>
      </w:pPr>
    </w:p>
    <w:p w:rsidR="00266243" w:rsidRPr="00834810" w:rsidRDefault="00FC7C93" w:rsidP="006C5266">
      <w:pPr>
        <w:pStyle w:val="Ttulo2"/>
        <w:numPr>
          <w:ilvl w:val="0"/>
          <w:numId w:val="2"/>
        </w:numPr>
        <w:rPr>
          <w:rFonts w:ascii="Lato" w:hAnsi="Lato"/>
          <w:szCs w:val="20"/>
        </w:rPr>
      </w:pPr>
      <w:r w:rsidRPr="00834810">
        <w:rPr>
          <w:rFonts w:ascii="Lato" w:hAnsi="Lato"/>
          <w:szCs w:val="20"/>
        </w:rPr>
        <w:t>Políticas de Contabilidad Significativas</w:t>
      </w:r>
    </w:p>
    <w:p w:rsidR="00A66775" w:rsidRPr="00834810" w:rsidRDefault="00A66775" w:rsidP="00A66775">
      <w:pPr>
        <w:ind w:left="709"/>
        <w:rPr>
          <w:rFonts w:ascii="Lato" w:hAnsi="Lato"/>
          <w:szCs w:val="20"/>
        </w:rPr>
      </w:pPr>
      <w:r w:rsidRPr="00834810">
        <w:rPr>
          <w:rFonts w:ascii="Lato" w:hAnsi="Lato"/>
          <w:szCs w:val="20"/>
        </w:rPr>
        <w:t>Son los principios, bases, reglas y procedimientos específicos adoptados por el ente público en la elaboración y presentación de sus estados financieros.</w:t>
      </w:r>
    </w:p>
    <w:p w:rsidR="00A66775" w:rsidRPr="00834810" w:rsidRDefault="00A66775" w:rsidP="00A66775">
      <w:pPr>
        <w:rPr>
          <w:rFonts w:ascii="Lato" w:hAnsi="Lato"/>
          <w:szCs w:val="20"/>
        </w:rPr>
      </w:pPr>
    </w:p>
    <w:p w:rsidR="00A66775" w:rsidRPr="00834810" w:rsidRDefault="00A66775" w:rsidP="00A66775">
      <w:pPr>
        <w:ind w:left="709"/>
        <w:rPr>
          <w:rFonts w:ascii="Lato" w:hAnsi="Lato"/>
          <w:szCs w:val="20"/>
        </w:rPr>
      </w:pPr>
      <w:r w:rsidRPr="00834810">
        <w:rPr>
          <w:rFonts w:ascii="Lato" w:hAnsi="Lato"/>
          <w:szCs w:val="20"/>
        </w:rPr>
        <w:t xml:space="preserve">El ente público seleccionará y aplicará sus políticas contables de manera congruente para transacciones, otros eventos y condiciones que sean similares. </w:t>
      </w:r>
    </w:p>
    <w:p w:rsidR="00A66775" w:rsidRPr="00834810" w:rsidRDefault="00A66775" w:rsidP="00A66775">
      <w:pPr>
        <w:ind w:left="709"/>
        <w:rPr>
          <w:rFonts w:ascii="Lato" w:hAnsi="Lato"/>
          <w:szCs w:val="20"/>
        </w:rPr>
      </w:pPr>
      <w:r w:rsidRPr="00834810">
        <w:rPr>
          <w:rFonts w:ascii="Lato" w:hAnsi="Lato"/>
          <w:szCs w:val="20"/>
        </w:rPr>
        <w:t>Se informará sobre:</w:t>
      </w:r>
    </w:p>
    <w:p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 xml:space="preserve">Los Estados Financieros del </w:t>
      </w:r>
      <w:r w:rsidR="00DF39F4" w:rsidRPr="00834810">
        <w:rPr>
          <w:rFonts w:ascii="Lato" w:hAnsi="Lato" w:cs="Arial"/>
          <w:szCs w:val="20"/>
        </w:rPr>
        <w:t xml:space="preserve">Fondo Estatal para el Transporte </w:t>
      </w:r>
      <w:r w:rsidRPr="00834810">
        <w:rPr>
          <w:rFonts w:ascii="Lato" w:hAnsi="Lato" w:cs="Arial"/>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 xml:space="preserve">El </w:t>
      </w:r>
      <w:r w:rsidR="008770B5" w:rsidRPr="00834810">
        <w:rPr>
          <w:rFonts w:ascii="Lato" w:hAnsi="Lato" w:cs="Arial"/>
          <w:szCs w:val="20"/>
        </w:rPr>
        <w:t>Fondo Estatal para el Transporte</w:t>
      </w:r>
      <w:r w:rsidRPr="00834810">
        <w:rPr>
          <w:rFonts w:ascii="Lato" w:hAnsi="Lato" w:cs="Arial"/>
          <w:szCs w:val="20"/>
        </w:rPr>
        <w:t>, no realizó operaciones en el extranjero.</w:t>
      </w:r>
    </w:p>
    <w:p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Las inversiones en activos se encuentran registradas a valor histórico.</w:t>
      </w:r>
    </w:p>
    <w:p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lastRenderedPageBreak/>
        <w:t xml:space="preserve">El </w:t>
      </w:r>
      <w:r w:rsidR="008770B5" w:rsidRPr="00834810">
        <w:rPr>
          <w:rFonts w:ascii="Lato" w:hAnsi="Lato" w:cs="Arial"/>
          <w:szCs w:val="20"/>
        </w:rPr>
        <w:t>Fondo Estatal para el Transporte</w:t>
      </w:r>
      <w:r w:rsidRPr="00834810">
        <w:rPr>
          <w:rFonts w:ascii="Lato" w:hAnsi="Lato" w:cs="Arial"/>
          <w:szCs w:val="20"/>
        </w:rPr>
        <w:t>, no cuentan con inventarios de mercancías para venta.</w:t>
      </w:r>
    </w:p>
    <w:p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El cálculo de la reserva actuarial, la realiza el Instituto de Seguridad de los Trabajadores al Servicio del Estado, órgano descentralizado del Sector Central.</w:t>
      </w:r>
    </w:p>
    <w:p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Los Estados financieros no presentan registros de reservas.</w:t>
      </w:r>
    </w:p>
    <w:p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No se realizaron cambios contables durante el ejercicio.</w:t>
      </w:r>
    </w:p>
    <w:p w:rsidR="00A66775" w:rsidRPr="00834810" w:rsidRDefault="00A66775" w:rsidP="00A66775">
      <w:pPr>
        <w:ind w:left="1134"/>
        <w:jc w:val="both"/>
        <w:rPr>
          <w:rFonts w:ascii="Lato" w:eastAsia="Barlow" w:hAnsi="Lato" w:cs="Barlow"/>
          <w:szCs w:val="20"/>
        </w:rPr>
      </w:pPr>
    </w:p>
    <w:p w:rsidR="00A66775" w:rsidRPr="00834810" w:rsidRDefault="00A66775" w:rsidP="00015D8F">
      <w:pPr>
        <w:ind w:left="1134"/>
        <w:jc w:val="both"/>
        <w:rPr>
          <w:rFonts w:ascii="Lato" w:eastAsia="Barlow" w:hAnsi="Lato" w:cs="Barlow"/>
          <w:szCs w:val="20"/>
        </w:rPr>
      </w:pPr>
      <w:r w:rsidRPr="00834810">
        <w:rPr>
          <w:rFonts w:ascii="Lato" w:eastAsia="Barlow" w:hAnsi="Lato" w:cs="Barlow"/>
          <w:szCs w:val="20"/>
        </w:rPr>
        <w:t>Respecto a las correcciones de errores, reclasificaciones, depuración y cancelación de saldos, estos se ven reflejados en la cuenta de Hacienda Pública.</w:t>
      </w:r>
    </w:p>
    <w:p w:rsidR="00BE44A0" w:rsidRPr="00834810" w:rsidRDefault="00BE44A0" w:rsidP="00A66775">
      <w:pPr>
        <w:ind w:left="567"/>
        <w:rPr>
          <w:rFonts w:ascii="Lato" w:hAnsi="Lato"/>
          <w:szCs w:val="20"/>
        </w:rPr>
      </w:pPr>
    </w:p>
    <w:p w:rsidR="00FC7C93" w:rsidRPr="00834810" w:rsidRDefault="00FC7C93" w:rsidP="006C5266">
      <w:pPr>
        <w:pStyle w:val="Ttulo2"/>
        <w:numPr>
          <w:ilvl w:val="0"/>
          <w:numId w:val="2"/>
        </w:numPr>
        <w:rPr>
          <w:rFonts w:ascii="Lato" w:hAnsi="Lato"/>
          <w:szCs w:val="20"/>
        </w:rPr>
      </w:pPr>
      <w:r w:rsidRPr="00834810">
        <w:rPr>
          <w:rFonts w:ascii="Lato" w:hAnsi="Lato"/>
          <w:szCs w:val="20"/>
        </w:rPr>
        <w:t>Posición en Moneda Extranjera y Protección por Riesgo Cambiario</w:t>
      </w:r>
    </w:p>
    <w:p w:rsidR="00BE44A0" w:rsidRPr="00834810" w:rsidRDefault="00EC523B" w:rsidP="00EC523B">
      <w:pPr>
        <w:ind w:left="426" w:firstLine="141"/>
        <w:rPr>
          <w:rFonts w:ascii="Lato" w:hAnsi="Lato"/>
          <w:szCs w:val="20"/>
        </w:rPr>
      </w:pPr>
      <w:r w:rsidRPr="00834810">
        <w:rPr>
          <w:rFonts w:ascii="Lato" w:hAnsi="Lato"/>
          <w:szCs w:val="20"/>
        </w:rPr>
        <w:t>No aplica</w:t>
      </w:r>
    </w:p>
    <w:p w:rsidR="00FC7C93" w:rsidRPr="00834810" w:rsidRDefault="000600AC" w:rsidP="006C5266">
      <w:pPr>
        <w:pStyle w:val="Ttulo2"/>
        <w:numPr>
          <w:ilvl w:val="0"/>
          <w:numId w:val="2"/>
        </w:numPr>
        <w:rPr>
          <w:rFonts w:ascii="Lato" w:hAnsi="Lato"/>
          <w:szCs w:val="20"/>
        </w:rPr>
      </w:pPr>
      <w:r w:rsidRPr="00834810">
        <w:rPr>
          <w:rFonts w:ascii="Lato" w:hAnsi="Lato"/>
          <w:szCs w:val="20"/>
        </w:rPr>
        <w:t>Reporte Analítico del Activo</w:t>
      </w:r>
    </w:p>
    <w:p w:rsidR="006A27DB" w:rsidRPr="00834810" w:rsidRDefault="00EC523B" w:rsidP="00EC523B">
      <w:pPr>
        <w:ind w:left="709"/>
        <w:rPr>
          <w:rFonts w:ascii="Lato" w:hAnsi="Lato"/>
          <w:szCs w:val="20"/>
        </w:rPr>
      </w:pPr>
      <w:r w:rsidRPr="00834810">
        <w:rPr>
          <w:rFonts w:ascii="Lato" w:hAnsi="Lato"/>
          <w:szCs w:val="20"/>
        </w:rPr>
        <w:t>No aplica</w:t>
      </w:r>
    </w:p>
    <w:p w:rsidR="000600AC" w:rsidRPr="00834810" w:rsidRDefault="000600AC" w:rsidP="006C5266">
      <w:pPr>
        <w:pStyle w:val="Ttulo2"/>
        <w:numPr>
          <w:ilvl w:val="0"/>
          <w:numId w:val="2"/>
        </w:numPr>
        <w:rPr>
          <w:rFonts w:ascii="Lato" w:hAnsi="Lato"/>
          <w:szCs w:val="20"/>
        </w:rPr>
      </w:pPr>
      <w:r w:rsidRPr="00834810">
        <w:rPr>
          <w:rFonts w:ascii="Lato" w:hAnsi="Lato"/>
          <w:szCs w:val="20"/>
        </w:rPr>
        <w:t>Fideicomisos, Mandatos y Análogos</w:t>
      </w:r>
    </w:p>
    <w:p w:rsidR="00E40EF9" w:rsidRPr="00834810" w:rsidRDefault="00E40EF9" w:rsidP="00E40EF9">
      <w:pPr>
        <w:tabs>
          <w:tab w:val="left" w:pos="1515"/>
        </w:tabs>
        <w:ind w:left="720"/>
        <w:rPr>
          <w:rFonts w:ascii="Lato" w:hAnsi="Lato"/>
          <w:szCs w:val="20"/>
        </w:rPr>
      </w:pPr>
      <w:r w:rsidRPr="00834810">
        <w:rPr>
          <w:rFonts w:ascii="Lato" w:hAnsi="Lato"/>
          <w:szCs w:val="20"/>
        </w:rPr>
        <w:t>No aplica.</w:t>
      </w:r>
    </w:p>
    <w:p w:rsidR="000600AC" w:rsidRPr="00834810" w:rsidRDefault="000600AC" w:rsidP="006C5266">
      <w:pPr>
        <w:pStyle w:val="Ttulo2"/>
        <w:numPr>
          <w:ilvl w:val="0"/>
          <w:numId w:val="2"/>
        </w:numPr>
        <w:rPr>
          <w:rFonts w:ascii="Lato" w:hAnsi="Lato"/>
          <w:szCs w:val="20"/>
        </w:rPr>
      </w:pPr>
      <w:r w:rsidRPr="00834810">
        <w:rPr>
          <w:rFonts w:ascii="Lato" w:hAnsi="Lato"/>
          <w:szCs w:val="20"/>
        </w:rPr>
        <w:t>Reportes de la Recaudación</w:t>
      </w:r>
    </w:p>
    <w:p w:rsidR="00832F8E" w:rsidRPr="00834810" w:rsidRDefault="006A27DB" w:rsidP="00EC523B">
      <w:pPr>
        <w:ind w:left="709"/>
        <w:jc w:val="both"/>
        <w:rPr>
          <w:rFonts w:ascii="Lato" w:eastAsia="Barlow" w:hAnsi="Lato" w:cs="Barlow"/>
          <w:szCs w:val="20"/>
        </w:rPr>
      </w:pPr>
      <w:r w:rsidRPr="00834810">
        <w:rPr>
          <w:rFonts w:ascii="Lato" w:hAnsi="Lato"/>
          <w:szCs w:val="20"/>
        </w:rPr>
        <w:t>No aplica</w:t>
      </w:r>
    </w:p>
    <w:p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Información sobre la Deuda y el Reporte Analítico de la Deuda</w:t>
      </w:r>
    </w:p>
    <w:p w:rsidR="00832F8E" w:rsidRPr="00834810" w:rsidRDefault="00832F8E" w:rsidP="00832F8E">
      <w:pPr>
        <w:pStyle w:val="Prrafodelista"/>
        <w:ind w:left="851"/>
        <w:rPr>
          <w:rFonts w:ascii="Lato" w:eastAsia="Barlow" w:hAnsi="Lato" w:cs="Barlow"/>
          <w:b/>
          <w:szCs w:val="20"/>
        </w:rPr>
      </w:pPr>
      <w:r w:rsidRPr="00834810">
        <w:rPr>
          <w:rFonts w:ascii="Lato" w:eastAsia="Barlow" w:hAnsi="Lato" w:cs="Barlow"/>
          <w:b/>
          <w:szCs w:val="20"/>
        </w:rPr>
        <w:t>Deuda respecto al PIB</w:t>
      </w:r>
    </w:p>
    <w:p w:rsidR="00832F8E" w:rsidRPr="00834810" w:rsidRDefault="00832F8E" w:rsidP="00832F8E">
      <w:pPr>
        <w:pStyle w:val="Prrafodelista"/>
        <w:ind w:left="851"/>
        <w:jc w:val="both"/>
        <w:rPr>
          <w:rFonts w:ascii="Lato" w:eastAsia="Barlow" w:hAnsi="Lato" w:cs="Barlow"/>
          <w:szCs w:val="20"/>
        </w:rPr>
      </w:pPr>
      <w:r w:rsidRPr="00834810">
        <w:rPr>
          <w:rFonts w:ascii="Lato" w:eastAsia="Barlow" w:hAnsi="Lato" w:cs="Barlow"/>
          <w:szCs w:val="20"/>
        </w:rPr>
        <w:t>No aplica</w:t>
      </w:r>
    </w:p>
    <w:p w:rsidR="00832F8E" w:rsidRPr="00834810" w:rsidRDefault="00832F8E" w:rsidP="006B40EA">
      <w:pPr>
        <w:ind w:left="851"/>
        <w:jc w:val="both"/>
        <w:rPr>
          <w:rFonts w:ascii="Lato" w:eastAsia="Barlow" w:hAnsi="Lato" w:cs="Barlow"/>
          <w:b/>
          <w:szCs w:val="20"/>
        </w:rPr>
      </w:pPr>
      <w:r w:rsidRPr="00834810">
        <w:rPr>
          <w:rFonts w:ascii="Lato" w:eastAsia="Barlow" w:hAnsi="Lato" w:cs="Barlow"/>
          <w:b/>
          <w:szCs w:val="20"/>
        </w:rPr>
        <w:t>Deuda respecto a la Recaudación</w:t>
      </w:r>
    </w:p>
    <w:p w:rsidR="006A27DB" w:rsidRPr="00834810" w:rsidRDefault="00832F8E" w:rsidP="00EC523B">
      <w:pPr>
        <w:pStyle w:val="Prrafodelista"/>
        <w:ind w:left="851"/>
        <w:rPr>
          <w:rFonts w:ascii="Lato" w:eastAsia="Barlow" w:hAnsi="Lato" w:cs="Barlow"/>
          <w:szCs w:val="20"/>
        </w:rPr>
      </w:pPr>
      <w:r w:rsidRPr="00834810">
        <w:rPr>
          <w:rFonts w:ascii="Lato" w:eastAsia="Barlow" w:hAnsi="Lato" w:cs="Barlow"/>
          <w:szCs w:val="20"/>
        </w:rPr>
        <w:t>No aplica</w:t>
      </w:r>
    </w:p>
    <w:p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 xml:space="preserve">Calificaciones otorgadas </w:t>
      </w:r>
    </w:p>
    <w:p w:rsidR="00832F8E" w:rsidRPr="00834810" w:rsidRDefault="00032E9B" w:rsidP="00EC523B">
      <w:pPr>
        <w:pStyle w:val="Prrafodelista"/>
        <w:jc w:val="both"/>
        <w:rPr>
          <w:rFonts w:ascii="Lato" w:eastAsia="Barlow" w:hAnsi="Lato" w:cs="Barlow"/>
          <w:szCs w:val="20"/>
        </w:rPr>
      </w:pPr>
      <w:r w:rsidRPr="00834810">
        <w:rPr>
          <w:rFonts w:ascii="Lato" w:eastAsia="Barlow" w:hAnsi="Lato" w:cs="Barlow"/>
          <w:szCs w:val="20"/>
        </w:rPr>
        <w:t>No aplica</w:t>
      </w:r>
    </w:p>
    <w:p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Proceso de Mejora</w:t>
      </w:r>
    </w:p>
    <w:p w:rsidR="00032E9B" w:rsidRPr="00834810" w:rsidRDefault="00735049" w:rsidP="006B40EA">
      <w:pPr>
        <w:pStyle w:val="Prrafodelista"/>
        <w:autoSpaceDE w:val="0"/>
        <w:autoSpaceDN w:val="0"/>
        <w:adjustRightInd w:val="0"/>
        <w:spacing w:line="360" w:lineRule="auto"/>
        <w:jc w:val="both"/>
        <w:rPr>
          <w:rFonts w:ascii="Lato" w:hAnsi="Lato" w:cs="Arial"/>
          <w:szCs w:val="20"/>
        </w:rPr>
      </w:pPr>
      <w:r w:rsidRPr="00834810">
        <w:rPr>
          <w:rFonts w:ascii="Lato" w:hAnsi="Lato" w:cs="Arial"/>
          <w:szCs w:val="20"/>
        </w:rPr>
        <w:t>Resultados</w:t>
      </w:r>
      <w:r w:rsidR="00F53F9B" w:rsidRPr="00834810">
        <w:rPr>
          <w:rFonts w:ascii="Lato" w:hAnsi="Lato" w:cs="Arial"/>
          <w:szCs w:val="20"/>
        </w:rPr>
        <w:t xml:space="preserve">: Al </w:t>
      </w:r>
      <w:r w:rsidR="0003543F">
        <w:rPr>
          <w:rFonts w:ascii="Lato" w:hAnsi="Lato" w:cs="Arial"/>
          <w:szCs w:val="20"/>
        </w:rPr>
        <w:t>31</w:t>
      </w:r>
      <w:r w:rsidR="0081111D" w:rsidRPr="00834810">
        <w:rPr>
          <w:rFonts w:ascii="Lato" w:hAnsi="Lato" w:cs="Arial"/>
          <w:szCs w:val="20"/>
        </w:rPr>
        <w:t xml:space="preserve"> de </w:t>
      </w:r>
      <w:r w:rsidR="0003543F">
        <w:rPr>
          <w:rFonts w:ascii="Lato" w:hAnsi="Lato" w:cs="Arial"/>
          <w:szCs w:val="20"/>
        </w:rPr>
        <w:t>marzo</w:t>
      </w:r>
      <w:r w:rsidR="00F53F9B" w:rsidRPr="00834810">
        <w:rPr>
          <w:rFonts w:ascii="Lato" w:hAnsi="Lato" w:cs="Arial"/>
          <w:szCs w:val="20"/>
        </w:rPr>
        <w:t xml:space="preserve"> de 202</w:t>
      </w:r>
      <w:r w:rsidR="005F2120" w:rsidRPr="00834810">
        <w:rPr>
          <w:rFonts w:ascii="Lato" w:hAnsi="Lato" w:cs="Arial"/>
          <w:szCs w:val="20"/>
        </w:rPr>
        <w:t>5</w:t>
      </w:r>
      <w:r w:rsidR="00F53F9B" w:rsidRPr="00834810">
        <w:rPr>
          <w:rFonts w:ascii="Lato" w:hAnsi="Lato" w:cs="Arial"/>
          <w:szCs w:val="20"/>
        </w:rPr>
        <w:t xml:space="preserve"> se advierte un ahorro contable y presupuestal en los Estados Financieros de Fondo Estatal para el Transporte, por un importe de $</w:t>
      </w:r>
      <w:r w:rsidR="0081111D" w:rsidRPr="00834810">
        <w:rPr>
          <w:rFonts w:ascii="Lato" w:hAnsi="Lato" w:cs="Arial"/>
          <w:szCs w:val="20"/>
        </w:rPr>
        <w:t>10,</w:t>
      </w:r>
      <w:r w:rsidR="0003543F">
        <w:rPr>
          <w:rFonts w:ascii="Lato" w:hAnsi="Lato" w:cs="Arial"/>
          <w:szCs w:val="20"/>
        </w:rPr>
        <w:t>588,166.78</w:t>
      </w:r>
    </w:p>
    <w:p w:rsidR="000600AC" w:rsidRPr="00834810" w:rsidRDefault="000600AC" w:rsidP="006C5266">
      <w:pPr>
        <w:pStyle w:val="Ttulo2"/>
        <w:numPr>
          <w:ilvl w:val="0"/>
          <w:numId w:val="2"/>
        </w:numPr>
        <w:ind w:left="567"/>
        <w:rPr>
          <w:rFonts w:ascii="Lato" w:hAnsi="Lato"/>
          <w:szCs w:val="20"/>
        </w:rPr>
      </w:pPr>
      <w:r w:rsidRPr="00834810">
        <w:rPr>
          <w:rFonts w:ascii="Lato" w:hAnsi="Lato"/>
          <w:szCs w:val="20"/>
        </w:rPr>
        <w:lastRenderedPageBreak/>
        <w:t>Información por Segmentos</w:t>
      </w:r>
    </w:p>
    <w:p w:rsidR="00832F8E" w:rsidRPr="00834810" w:rsidRDefault="00EC523B" w:rsidP="00EC523B">
      <w:pPr>
        <w:ind w:left="709"/>
        <w:rPr>
          <w:rFonts w:ascii="Lato" w:hAnsi="Lato"/>
          <w:szCs w:val="20"/>
        </w:rPr>
      </w:pPr>
      <w:r w:rsidRPr="00834810">
        <w:rPr>
          <w:rFonts w:ascii="Lato" w:hAnsi="Lato"/>
          <w:szCs w:val="20"/>
        </w:rPr>
        <w:t>No aplica</w:t>
      </w:r>
    </w:p>
    <w:p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Eventos Posteriores al Cierre</w:t>
      </w:r>
    </w:p>
    <w:p w:rsidR="00832F8E" w:rsidRPr="00834810" w:rsidRDefault="00EC523B" w:rsidP="00EC523B">
      <w:pPr>
        <w:ind w:left="709"/>
        <w:rPr>
          <w:rFonts w:ascii="Lato" w:hAnsi="Lato"/>
          <w:szCs w:val="20"/>
        </w:rPr>
      </w:pPr>
      <w:r w:rsidRPr="00834810">
        <w:rPr>
          <w:rFonts w:ascii="Lato" w:hAnsi="Lato"/>
          <w:szCs w:val="20"/>
        </w:rPr>
        <w:t>No aplica</w:t>
      </w:r>
    </w:p>
    <w:p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Partes Relacionadas</w:t>
      </w:r>
    </w:p>
    <w:p w:rsidR="00832F8E" w:rsidRPr="00834810" w:rsidRDefault="00EC523B" w:rsidP="00EC523B">
      <w:pPr>
        <w:ind w:left="709"/>
        <w:rPr>
          <w:rFonts w:ascii="Lato" w:hAnsi="Lato"/>
          <w:szCs w:val="20"/>
        </w:rPr>
      </w:pPr>
      <w:r w:rsidRPr="00834810">
        <w:rPr>
          <w:rFonts w:ascii="Lato" w:hAnsi="Lato"/>
          <w:szCs w:val="20"/>
        </w:rPr>
        <w:t xml:space="preserve">No aplica </w:t>
      </w:r>
    </w:p>
    <w:p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Responsabilidad Sobre la Presentación Razonable de la Información Contable</w:t>
      </w:r>
    </w:p>
    <w:p w:rsidR="00266243" w:rsidRPr="00834810" w:rsidRDefault="00832F8E" w:rsidP="00832F8E">
      <w:pPr>
        <w:ind w:left="709"/>
        <w:rPr>
          <w:rFonts w:ascii="Lato" w:hAnsi="Lato"/>
          <w:szCs w:val="20"/>
        </w:rPr>
      </w:pPr>
      <w:r w:rsidRPr="00834810">
        <w:rPr>
          <w:rFonts w:ascii="Lato" w:hAnsi="Lato"/>
          <w:szCs w:val="20"/>
        </w:rPr>
        <w:t>Bajo protesta de decir verdad declaramos que los Estados Financieros y sus notas, son razonablemente correctos y son responsabilidad del emisor</w:t>
      </w:r>
    </w:p>
    <w:p w:rsidR="00266243" w:rsidRPr="00834810" w:rsidRDefault="00266243" w:rsidP="006C5266">
      <w:pPr>
        <w:pStyle w:val="Ttulo1"/>
        <w:numPr>
          <w:ilvl w:val="0"/>
          <w:numId w:val="1"/>
        </w:numPr>
        <w:rPr>
          <w:rFonts w:ascii="Lato" w:hAnsi="Lato"/>
          <w:szCs w:val="20"/>
        </w:rPr>
      </w:pPr>
      <w:r w:rsidRPr="00834810">
        <w:rPr>
          <w:rFonts w:ascii="Lato" w:hAnsi="Lato"/>
          <w:szCs w:val="20"/>
        </w:rPr>
        <w:t>NOTAS DE DESGLOSE</w:t>
      </w:r>
    </w:p>
    <w:p w:rsidR="000600AC" w:rsidRPr="00834810" w:rsidRDefault="000600AC" w:rsidP="000600AC">
      <w:pPr>
        <w:rPr>
          <w:rFonts w:ascii="Lato" w:hAnsi="Lato"/>
          <w:szCs w:val="20"/>
        </w:rPr>
      </w:pPr>
    </w:p>
    <w:p w:rsidR="000600AC" w:rsidRPr="00834810" w:rsidRDefault="004D021D" w:rsidP="006C5266">
      <w:pPr>
        <w:pStyle w:val="Ttulo2"/>
        <w:numPr>
          <w:ilvl w:val="0"/>
          <w:numId w:val="10"/>
        </w:numPr>
        <w:rPr>
          <w:rFonts w:ascii="Lato" w:hAnsi="Lato"/>
          <w:szCs w:val="20"/>
        </w:rPr>
      </w:pPr>
      <w:r w:rsidRPr="00834810">
        <w:rPr>
          <w:rFonts w:ascii="Lato" w:hAnsi="Lato"/>
          <w:szCs w:val="20"/>
        </w:rPr>
        <w:t>NOTAS AL ESTADO DE ACTIVIDADES</w:t>
      </w:r>
    </w:p>
    <w:p w:rsidR="004D021D" w:rsidRPr="00834810" w:rsidRDefault="004D021D" w:rsidP="004D021D">
      <w:pPr>
        <w:pStyle w:val="Prrafodelista"/>
        <w:ind w:left="1080"/>
        <w:rPr>
          <w:rFonts w:ascii="Lato" w:hAnsi="Lato"/>
          <w:szCs w:val="20"/>
        </w:rPr>
      </w:pPr>
    </w:p>
    <w:p w:rsidR="004D021D" w:rsidRPr="00834810" w:rsidRDefault="004D021D" w:rsidP="004D021D">
      <w:pPr>
        <w:pStyle w:val="Ttulo3"/>
        <w:ind w:left="1134"/>
        <w:rPr>
          <w:rFonts w:ascii="Lato" w:hAnsi="Lato"/>
          <w:szCs w:val="20"/>
        </w:rPr>
      </w:pPr>
      <w:r w:rsidRPr="00834810">
        <w:rPr>
          <w:rFonts w:ascii="Lato" w:hAnsi="Lato"/>
          <w:szCs w:val="20"/>
        </w:rPr>
        <w:t>Ingresos y Otros Beneficios</w:t>
      </w:r>
    </w:p>
    <w:p w:rsidR="00D11213" w:rsidRPr="00834810" w:rsidRDefault="00D11213" w:rsidP="00D11213">
      <w:pPr>
        <w:rPr>
          <w:rFonts w:ascii="Lato" w:hAnsi="Lato"/>
          <w:szCs w:val="20"/>
        </w:rPr>
      </w:pPr>
    </w:p>
    <w:p w:rsidR="00D11213" w:rsidRPr="00834810" w:rsidRDefault="00D11213" w:rsidP="006C5266">
      <w:pPr>
        <w:pStyle w:val="Prrafodelista"/>
        <w:numPr>
          <w:ilvl w:val="3"/>
          <w:numId w:val="9"/>
        </w:numPr>
        <w:ind w:left="1418"/>
        <w:rPr>
          <w:rFonts w:ascii="Lato" w:hAnsi="Lato"/>
          <w:b/>
          <w:bCs/>
          <w:szCs w:val="20"/>
        </w:rPr>
      </w:pPr>
      <w:r w:rsidRPr="00834810">
        <w:rPr>
          <w:rFonts w:ascii="Lato" w:hAnsi="Lato"/>
          <w:szCs w:val="20"/>
        </w:rPr>
        <w:t xml:space="preserve"> </w:t>
      </w:r>
      <w:r w:rsidRPr="00834810">
        <w:rPr>
          <w:rFonts w:ascii="Lato" w:hAnsi="Lato"/>
          <w:b/>
          <w:bCs/>
          <w:szCs w:val="20"/>
        </w:rPr>
        <w:t xml:space="preserve">Ingresos de gestión </w:t>
      </w:r>
    </w:p>
    <w:p w:rsidR="00A16F55" w:rsidRPr="00834810" w:rsidRDefault="00A16F55" w:rsidP="00971201">
      <w:pPr>
        <w:pStyle w:val="Prrafodelista"/>
        <w:autoSpaceDE w:val="0"/>
        <w:autoSpaceDN w:val="0"/>
        <w:adjustRightInd w:val="0"/>
        <w:spacing w:line="360" w:lineRule="auto"/>
        <w:ind w:left="1418"/>
        <w:jc w:val="both"/>
        <w:rPr>
          <w:rFonts w:ascii="Lato" w:hAnsi="Lato" w:cs="Arial"/>
          <w:szCs w:val="20"/>
        </w:rPr>
      </w:pPr>
      <w:r w:rsidRPr="00834810">
        <w:rPr>
          <w:rFonts w:ascii="Lato" w:hAnsi="Lato" w:cs="Arial"/>
          <w:szCs w:val="20"/>
        </w:rPr>
        <w:t xml:space="preserve">Representa el monto de los ingresos ministrados durante el ejercicio fiscal y que se previeron en la Ley de Ingresos del Estado de Yucatán, así como de los recursos que El </w:t>
      </w:r>
      <w:r w:rsidR="008770B5" w:rsidRPr="00834810">
        <w:rPr>
          <w:rFonts w:ascii="Lato" w:hAnsi="Lato" w:cs="Arial"/>
          <w:szCs w:val="20"/>
        </w:rPr>
        <w:t>Fondo Estatal para el Transporte</w:t>
      </w:r>
      <w:r w:rsidRPr="00834810">
        <w:rPr>
          <w:rFonts w:ascii="Lato" w:hAnsi="Lato" w:cs="Arial"/>
          <w:szCs w:val="20"/>
        </w:rPr>
        <w:t xml:space="preserve">, no se recibieron del Gobierno Federal, por concepto de Participaciones en Ingresos Federales, Aportaciones y Convenios, como se muestra a </w:t>
      </w:r>
      <w:r w:rsidR="003A2FE6" w:rsidRPr="00834810">
        <w:rPr>
          <w:rFonts w:ascii="Lato" w:hAnsi="Lato" w:cs="Arial"/>
          <w:szCs w:val="20"/>
        </w:rPr>
        <w:t xml:space="preserve">continuación: Hasta la fecha </w:t>
      </w:r>
      <w:r w:rsidR="00222B81">
        <w:rPr>
          <w:rFonts w:ascii="Lato" w:hAnsi="Lato" w:cs="Arial"/>
          <w:szCs w:val="20"/>
        </w:rPr>
        <w:t>31</w:t>
      </w:r>
      <w:r w:rsidR="0081111D" w:rsidRPr="00834810">
        <w:rPr>
          <w:rFonts w:ascii="Lato" w:hAnsi="Lato" w:cs="Arial"/>
          <w:szCs w:val="20"/>
        </w:rPr>
        <w:t xml:space="preserve"> de </w:t>
      </w:r>
      <w:r w:rsidR="00222B81">
        <w:rPr>
          <w:rFonts w:ascii="Lato" w:hAnsi="Lato" w:cs="Arial"/>
          <w:szCs w:val="20"/>
        </w:rPr>
        <w:t>marzo</w:t>
      </w:r>
      <w:r w:rsidR="00C23334" w:rsidRPr="00834810">
        <w:rPr>
          <w:rFonts w:ascii="Lato" w:hAnsi="Lato" w:cs="Arial"/>
          <w:szCs w:val="20"/>
        </w:rPr>
        <w:t xml:space="preserve"> de 202</w:t>
      </w:r>
      <w:r w:rsidR="005F2120" w:rsidRPr="00834810">
        <w:rPr>
          <w:rFonts w:ascii="Lato" w:hAnsi="Lato" w:cs="Arial"/>
          <w:szCs w:val="20"/>
        </w:rPr>
        <w:t>5</w:t>
      </w:r>
      <w:r w:rsidRPr="00834810">
        <w:rPr>
          <w:rFonts w:ascii="Lato" w:hAnsi="Lato" w:cs="Arial"/>
          <w:szCs w:val="20"/>
        </w:rPr>
        <w:t>.</w:t>
      </w:r>
    </w:p>
    <w:p w:rsidR="00A16F55" w:rsidRPr="00834810" w:rsidRDefault="00A16F55" w:rsidP="006B40EA">
      <w:pPr>
        <w:pStyle w:val="Prrafodelista"/>
        <w:autoSpaceDE w:val="0"/>
        <w:autoSpaceDN w:val="0"/>
        <w:adjustRightInd w:val="0"/>
        <w:spacing w:line="360" w:lineRule="auto"/>
        <w:ind w:left="1418"/>
        <w:jc w:val="both"/>
        <w:rPr>
          <w:rFonts w:ascii="Lato" w:hAnsi="Lato" w:cs="Arial"/>
          <w:bCs/>
          <w:szCs w:val="20"/>
        </w:rPr>
      </w:pPr>
      <w:r w:rsidRPr="00834810">
        <w:rPr>
          <w:rFonts w:ascii="Lato" w:hAnsi="Lato" w:cs="Arial"/>
          <w:b/>
          <w:bCs/>
          <w:szCs w:val="20"/>
        </w:rPr>
        <w:t>PRODUCTOS DE TIPO CORRIENTE –</w:t>
      </w:r>
      <w:r w:rsidRPr="00834810">
        <w:rPr>
          <w:rFonts w:ascii="Lato" w:hAnsi="Lato" w:cs="Arial"/>
          <w:bCs/>
          <w:szCs w:val="20"/>
        </w:rPr>
        <w:t xml:space="preserve"> </w:t>
      </w:r>
      <w:r w:rsidRPr="00834810">
        <w:rPr>
          <w:rFonts w:ascii="Lato" w:hAnsi="Lato"/>
          <w:szCs w:val="20"/>
        </w:rPr>
        <w:t xml:space="preserve">Ingresos por concepto de servicios otorgados por funciones de derecho privado, tales son los intereses generados de las cuentas bancarias del </w:t>
      </w:r>
      <w:r w:rsidR="00DF39F4" w:rsidRPr="00834810">
        <w:rPr>
          <w:rFonts w:ascii="Lato" w:hAnsi="Lato"/>
          <w:szCs w:val="20"/>
        </w:rPr>
        <w:t>Fondo Estatal para el Transporte</w:t>
      </w:r>
      <w:r w:rsidR="00C23334" w:rsidRPr="00834810">
        <w:rPr>
          <w:rFonts w:ascii="Lato" w:hAnsi="Lato"/>
          <w:szCs w:val="20"/>
        </w:rPr>
        <w:t xml:space="preserve"> </w:t>
      </w:r>
      <w:r w:rsidRPr="00834810">
        <w:rPr>
          <w:rFonts w:ascii="Lato" w:hAnsi="Lato"/>
          <w:szCs w:val="20"/>
        </w:rPr>
        <w:t>son $</w:t>
      </w:r>
      <w:r w:rsidR="00222B81">
        <w:rPr>
          <w:rFonts w:ascii="Lato" w:hAnsi="Lato"/>
          <w:szCs w:val="20"/>
        </w:rPr>
        <w:t>102,718.61</w:t>
      </w:r>
    </w:p>
    <w:p w:rsidR="006B40EA" w:rsidRPr="00834810" w:rsidRDefault="00A16F55" w:rsidP="00EC523B">
      <w:pPr>
        <w:pStyle w:val="Prrafodelista"/>
        <w:autoSpaceDE w:val="0"/>
        <w:autoSpaceDN w:val="0"/>
        <w:adjustRightInd w:val="0"/>
        <w:spacing w:line="360" w:lineRule="auto"/>
        <w:ind w:left="1418"/>
        <w:jc w:val="both"/>
        <w:rPr>
          <w:rFonts w:ascii="Lato" w:hAnsi="Lato"/>
          <w:szCs w:val="20"/>
        </w:rPr>
      </w:pPr>
      <w:r w:rsidRPr="00834810">
        <w:rPr>
          <w:rFonts w:ascii="Lato" w:hAnsi="Lato" w:cs="Arial"/>
          <w:b/>
          <w:bCs/>
          <w:szCs w:val="20"/>
        </w:rPr>
        <w:t xml:space="preserve">INGRESOS POR VENTA DE BIENES Y SERVICIOS </w:t>
      </w:r>
      <w:r w:rsidR="007563FE" w:rsidRPr="00834810">
        <w:rPr>
          <w:rFonts w:ascii="Lato" w:hAnsi="Lato" w:cs="Arial"/>
          <w:b/>
          <w:bCs/>
          <w:szCs w:val="20"/>
        </w:rPr>
        <w:t>–</w:t>
      </w:r>
      <w:r w:rsidR="007563FE" w:rsidRPr="00834810">
        <w:rPr>
          <w:rFonts w:ascii="Lato" w:hAnsi="Lato" w:cs="Arial"/>
          <w:bCs/>
          <w:szCs w:val="20"/>
        </w:rPr>
        <w:t xml:space="preserve"> El </w:t>
      </w:r>
      <w:r w:rsidR="007563FE" w:rsidRPr="00834810">
        <w:rPr>
          <w:rFonts w:ascii="Lato" w:hAnsi="Lato"/>
          <w:szCs w:val="20"/>
        </w:rPr>
        <w:t>Fondo Estatal para el Transporte, no presenta saldos.</w:t>
      </w:r>
    </w:p>
    <w:p w:rsidR="006B40EA" w:rsidRPr="00834810" w:rsidRDefault="006B40EA" w:rsidP="00EC523B">
      <w:pPr>
        <w:pStyle w:val="Prrafodelista"/>
        <w:autoSpaceDE w:val="0"/>
        <w:autoSpaceDN w:val="0"/>
        <w:adjustRightInd w:val="0"/>
        <w:spacing w:line="360" w:lineRule="auto"/>
        <w:ind w:left="1418"/>
        <w:jc w:val="both"/>
        <w:rPr>
          <w:rFonts w:ascii="Lato" w:hAnsi="Lato"/>
          <w:szCs w:val="20"/>
        </w:rPr>
      </w:pPr>
      <w:r w:rsidRPr="00834810">
        <w:rPr>
          <w:rFonts w:ascii="Lato" w:hAnsi="Lato" w:cs="Arial"/>
          <w:b/>
          <w:bCs/>
          <w:szCs w:val="20"/>
        </w:rPr>
        <w:t>P</w:t>
      </w:r>
      <w:r w:rsidR="00A16F55" w:rsidRPr="00834810">
        <w:rPr>
          <w:rFonts w:ascii="Lato" w:hAnsi="Lato" w:cs="Arial"/>
          <w:b/>
          <w:bCs/>
          <w:szCs w:val="20"/>
        </w:rPr>
        <w:t>articipaciones, aportaciones, transferencias, asignac</w:t>
      </w:r>
      <w:r w:rsidRPr="00834810">
        <w:rPr>
          <w:rFonts w:ascii="Lato" w:hAnsi="Lato" w:cs="Arial"/>
          <w:b/>
          <w:bCs/>
          <w:szCs w:val="20"/>
        </w:rPr>
        <w:t>iones, subsidios y otras ayudas</w:t>
      </w:r>
      <w:r w:rsidRPr="00834810">
        <w:rPr>
          <w:rFonts w:ascii="Lato" w:hAnsi="Lato" w:cs="Arial"/>
          <w:bCs/>
          <w:szCs w:val="20"/>
        </w:rPr>
        <w:t xml:space="preserve"> - </w:t>
      </w:r>
    </w:p>
    <w:p w:rsidR="007563FE" w:rsidRPr="00834810" w:rsidRDefault="007563FE" w:rsidP="005F2120">
      <w:pPr>
        <w:autoSpaceDE w:val="0"/>
        <w:autoSpaceDN w:val="0"/>
        <w:adjustRightInd w:val="0"/>
        <w:spacing w:line="360" w:lineRule="auto"/>
        <w:jc w:val="both"/>
        <w:rPr>
          <w:rFonts w:ascii="Lato" w:hAnsi="Lato" w:cs="Arial"/>
          <w:bCs/>
          <w:szCs w:val="20"/>
        </w:rPr>
      </w:pPr>
    </w:p>
    <w:p w:rsidR="00D83043" w:rsidRPr="00834810" w:rsidRDefault="00A16F55" w:rsidP="004F3F81">
      <w:pPr>
        <w:pStyle w:val="Prrafodelista"/>
        <w:autoSpaceDE w:val="0"/>
        <w:autoSpaceDN w:val="0"/>
        <w:adjustRightInd w:val="0"/>
        <w:spacing w:line="360" w:lineRule="auto"/>
        <w:ind w:left="1418"/>
        <w:jc w:val="both"/>
        <w:rPr>
          <w:rFonts w:ascii="Lato" w:hAnsi="Lato" w:cs="Arial"/>
          <w:b/>
          <w:szCs w:val="20"/>
        </w:rPr>
      </w:pPr>
      <w:r w:rsidRPr="00834810">
        <w:rPr>
          <w:rFonts w:ascii="Lato" w:hAnsi="Lato" w:cs="Arial"/>
          <w:b/>
          <w:szCs w:val="20"/>
        </w:rPr>
        <w:t xml:space="preserve">Otros Ingresos y Beneficios Varios – </w:t>
      </w:r>
      <w:r w:rsidR="00191B1A" w:rsidRPr="00834810">
        <w:rPr>
          <w:rFonts w:ascii="Lato" w:hAnsi="Lato" w:cs="Arial"/>
          <w:bCs/>
          <w:szCs w:val="20"/>
        </w:rPr>
        <w:t>La cuenta</w:t>
      </w:r>
      <w:r w:rsidR="0094026E" w:rsidRPr="00834810">
        <w:rPr>
          <w:rFonts w:ascii="Lato" w:hAnsi="Lato" w:cs="Arial"/>
          <w:bCs/>
          <w:szCs w:val="20"/>
        </w:rPr>
        <w:t xml:space="preserve"> tiene un importe de $0.00</w:t>
      </w:r>
      <w:r w:rsidR="00191B1A" w:rsidRPr="00834810">
        <w:rPr>
          <w:rFonts w:ascii="Lato" w:hAnsi="Lato" w:cs="Arial"/>
          <w:bCs/>
          <w:szCs w:val="20"/>
        </w:rPr>
        <w:t xml:space="preserve"> </w:t>
      </w:r>
    </w:p>
    <w:p w:rsidR="00D83043" w:rsidRPr="00834810" w:rsidRDefault="00D83043" w:rsidP="00EC523B">
      <w:pPr>
        <w:pStyle w:val="Ttulo3"/>
        <w:ind w:left="709"/>
        <w:rPr>
          <w:rFonts w:ascii="Lato" w:hAnsi="Lato"/>
          <w:szCs w:val="20"/>
        </w:rPr>
      </w:pPr>
      <w:r w:rsidRPr="00834810">
        <w:rPr>
          <w:rFonts w:ascii="Lato" w:hAnsi="Lato"/>
          <w:szCs w:val="20"/>
        </w:rPr>
        <w:lastRenderedPageBreak/>
        <w:t>Gastos y Otras Pérdidas</w:t>
      </w:r>
    </w:p>
    <w:p w:rsidR="00494783" w:rsidRPr="00834810" w:rsidRDefault="00D83043" w:rsidP="00494783">
      <w:pPr>
        <w:ind w:left="993"/>
        <w:jc w:val="both"/>
        <w:rPr>
          <w:rFonts w:ascii="Lato" w:hAnsi="Lato"/>
          <w:szCs w:val="20"/>
        </w:rPr>
      </w:pPr>
      <w:r w:rsidRPr="00834810">
        <w:rPr>
          <w:rFonts w:ascii="Lato" w:hAnsi="Lato"/>
          <w:b/>
          <w:szCs w:val="20"/>
        </w:rPr>
        <w:t xml:space="preserve">Gastos de Funcionamiento - </w:t>
      </w:r>
      <w:r w:rsidR="00494783" w:rsidRPr="00834810">
        <w:rPr>
          <w:rFonts w:ascii="Lato" w:hAnsi="Lato"/>
          <w:szCs w:val="20"/>
        </w:rPr>
        <w:t>El gasto erogado por</w:t>
      </w:r>
      <w:r w:rsidR="003A2FE6" w:rsidRPr="00834810">
        <w:rPr>
          <w:rFonts w:ascii="Lato" w:hAnsi="Lato"/>
          <w:szCs w:val="20"/>
        </w:rPr>
        <w:t xml:space="preserve"> el periodo del 1 de enero al </w:t>
      </w:r>
      <w:r w:rsidR="00222B81">
        <w:rPr>
          <w:rFonts w:ascii="Lato" w:hAnsi="Lato"/>
          <w:szCs w:val="20"/>
        </w:rPr>
        <w:t>31</w:t>
      </w:r>
      <w:r w:rsidR="0081111D" w:rsidRPr="00834810">
        <w:rPr>
          <w:rFonts w:ascii="Lato" w:hAnsi="Lato"/>
          <w:szCs w:val="20"/>
        </w:rPr>
        <w:t xml:space="preserve"> </w:t>
      </w:r>
      <w:r w:rsidR="00222B81">
        <w:rPr>
          <w:rFonts w:ascii="Lato" w:hAnsi="Lato"/>
          <w:szCs w:val="20"/>
        </w:rPr>
        <w:t>marzo</w:t>
      </w:r>
      <w:r w:rsidR="005F2120" w:rsidRPr="00834810">
        <w:rPr>
          <w:rFonts w:ascii="Lato" w:hAnsi="Lato"/>
          <w:szCs w:val="20"/>
        </w:rPr>
        <w:t xml:space="preserve"> </w:t>
      </w:r>
      <w:r w:rsidR="00494783" w:rsidRPr="00834810">
        <w:rPr>
          <w:rFonts w:ascii="Lato" w:hAnsi="Lato"/>
          <w:szCs w:val="20"/>
        </w:rPr>
        <w:t>de 202</w:t>
      </w:r>
      <w:r w:rsidR="005F2120" w:rsidRPr="00834810">
        <w:rPr>
          <w:rFonts w:ascii="Lato" w:hAnsi="Lato"/>
          <w:szCs w:val="20"/>
        </w:rPr>
        <w:t>5</w:t>
      </w:r>
      <w:r w:rsidR="00494783" w:rsidRPr="00834810">
        <w:rPr>
          <w:rFonts w:ascii="Lato" w:hAnsi="Lato"/>
          <w:szCs w:val="20"/>
        </w:rPr>
        <w:t>, por conce</w:t>
      </w:r>
      <w:r w:rsidR="00487648" w:rsidRPr="00834810">
        <w:rPr>
          <w:rFonts w:ascii="Lato" w:hAnsi="Lato"/>
          <w:szCs w:val="20"/>
        </w:rPr>
        <w:t>pto de gastos operativos del Fondo Estatal Movilidad</w:t>
      </w:r>
      <w:r w:rsidR="00494783" w:rsidRPr="00834810">
        <w:rPr>
          <w:rFonts w:ascii="Lato" w:hAnsi="Lato"/>
          <w:szCs w:val="20"/>
        </w:rPr>
        <w:t>, es el siguiente:</w:t>
      </w:r>
    </w:p>
    <w:p w:rsidR="00494783" w:rsidRPr="00834810" w:rsidRDefault="00494783" w:rsidP="00494783">
      <w:pPr>
        <w:jc w:val="both"/>
        <w:rPr>
          <w:rFonts w:ascii="Lato" w:hAnsi="Lato"/>
          <w:szCs w:val="20"/>
        </w:rPr>
      </w:pPr>
    </w:p>
    <w:tbl>
      <w:tblPr>
        <w:tblW w:w="5320" w:type="dxa"/>
        <w:jc w:val="center"/>
        <w:tblCellMar>
          <w:left w:w="70" w:type="dxa"/>
          <w:right w:w="70" w:type="dxa"/>
        </w:tblCellMar>
        <w:tblLook w:val="04A0" w:firstRow="1" w:lastRow="0" w:firstColumn="1" w:lastColumn="0" w:noHBand="0" w:noVBand="1"/>
      </w:tblPr>
      <w:tblGrid>
        <w:gridCol w:w="3880"/>
        <w:gridCol w:w="1440"/>
      </w:tblGrid>
      <w:tr w:rsidR="00494783" w:rsidRPr="00834810"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834810" w:rsidRDefault="00494783" w:rsidP="00494783">
            <w:pPr>
              <w:rPr>
                <w:rFonts w:ascii="Lato" w:hAnsi="Lato" w:cs="Calibri"/>
                <w:color w:val="000000"/>
                <w:szCs w:val="20"/>
                <w:lang w:eastAsia="es-MX"/>
              </w:rPr>
            </w:pPr>
            <w:r w:rsidRPr="00834810">
              <w:rPr>
                <w:rFonts w:ascii="Lato" w:hAnsi="Lato" w:cs="Calibri"/>
                <w:color w:val="000000"/>
                <w:szCs w:val="20"/>
                <w:lang w:eastAsia="es-MX"/>
              </w:rPr>
              <w:t>Capítulo 1000 (Servicios Personales)</w:t>
            </w:r>
          </w:p>
        </w:tc>
        <w:tc>
          <w:tcPr>
            <w:tcW w:w="1440" w:type="dxa"/>
            <w:tcBorders>
              <w:top w:val="nil"/>
              <w:left w:val="nil"/>
              <w:bottom w:val="nil"/>
              <w:right w:val="nil"/>
            </w:tcBorders>
            <w:shd w:val="clear" w:color="auto" w:fill="auto"/>
            <w:noWrap/>
            <w:vAlign w:val="center"/>
            <w:hideMark/>
          </w:tcPr>
          <w:p w:rsidR="00494783" w:rsidRPr="00834810" w:rsidRDefault="00487648" w:rsidP="00494783">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494783" w:rsidRPr="00834810"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834810" w:rsidRDefault="00494783" w:rsidP="00494783">
            <w:pPr>
              <w:rPr>
                <w:rFonts w:ascii="Lato" w:hAnsi="Lato" w:cs="Calibri"/>
                <w:color w:val="000000"/>
                <w:szCs w:val="20"/>
                <w:lang w:eastAsia="es-MX"/>
              </w:rPr>
            </w:pPr>
            <w:r w:rsidRPr="00834810">
              <w:rPr>
                <w:rFonts w:ascii="Lato" w:hAnsi="Lato" w:cs="Calibri"/>
                <w:color w:val="000000"/>
                <w:szCs w:val="20"/>
                <w:lang w:eastAsia="es-MX"/>
              </w:rPr>
              <w:t>Capítulo 2000 (Materiales y Suministros)</w:t>
            </w:r>
          </w:p>
        </w:tc>
        <w:tc>
          <w:tcPr>
            <w:tcW w:w="1440" w:type="dxa"/>
            <w:tcBorders>
              <w:top w:val="nil"/>
              <w:left w:val="nil"/>
              <w:bottom w:val="nil"/>
              <w:right w:val="nil"/>
            </w:tcBorders>
            <w:shd w:val="clear" w:color="auto" w:fill="auto"/>
            <w:noWrap/>
            <w:vAlign w:val="center"/>
            <w:hideMark/>
          </w:tcPr>
          <w:p w:rsidR="00494783" w:rsidRPr="00834810" w:rsidRDefault="00F00DE9" w:rsidP="00494783">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494783" w:rsidRPr="00834810"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834810" w:rsidRDefault="00494783" w:rsidP="00494783">
            <w:pPr>
              <w:rPr>
                <w:rFonts w:ascii="Lato" w:hAnsi="Lato" w:cs="Calibri"/>
                <w:color w:val="000000"/>
                <w:szCs w:val="20"/>
                <w:lang w:eastAsia="es-MX"/>
              </w:rPr>
            </w:pPr>
            <w:r w:rsidRPr="00834810">
              <w:rPr>
                <w:rFonts w:ascii="Lato" w:hAnsi="Lato" w:cs="Calibri"/>
                <w:color w:val="000000"/>
                <w:szCs w:val="20"/>
                <w:lang w:eastAsia="es-MX"/>
              </w:rPr>
              <w:t>Capítulo 3000 (Servicios Generales)</w:t>
            </w:r>
          </w:p>
        </w:tc>
        <w:tc>
          <w:tcPr>
            <w:tcW w:w="1440" w:type="dxa"/>
            <w:tcBorders>
              <w:top w:val="nil"/>
              <w:left w:val="nil"/>
              <w:bottom w:val="nil"/>
              <w:right w:val="nil"/>
            </w:tcBorders>
            <w:shd w:val="clear" w:color="auto" w:fill="auto"/>
            <w:noWrap/>
            <w:vAlign w:val="center"/>
            <w:hideMark/>
          </w:tcPr>
          <w:p w:rsidR="00494783" w:rsidRPr="00834810" w:rsidRDefault="005F2120" w:rsidP="00494783">
            <w:pPr>
              <w:jc w:val="right"/>
              <w:rPr>
                <w:rFonts w:ascii="Lato" w:hAnsi="Lato" w:cs="Calibri"/>
                <w:color w:val="000000"/>
                <w:szCs w:val="20"/>
                <w:lang w:eastAsia="es-MX"/>
              </w:rPr>
            </w:pPr>
            <w:r w:rsidRPr="00834810">
              <w:rPr>
                <w:rFonts w:ascii="Lato" w:hAnsi="Lato" w:cs="Calibri"/>
                <w:color w:val="000000"/>
                <w:szCs w:val="20"/>
                <w:lang w:eastAsia="es-MX"/>
              </w:rPr>
              <w:t>0.00</w:t>
            </w:r>
          </w:p>
        </w:tc>
      </w:tr>
    </w:tbl>
    <w:p w:rsidR="00D83043" w:rsidRPr="00834810" w:rsidRDefault="00D83043" w:rsidP="00D83043">
      <w:pPr>
        <w:ind w:left="1134"/>
        <w:rPr>
          <w:rFonts w:ascii="Lato" w:hAnsi="Lato"/>
          <w:szCs w:val="20"/>
        </w:rPr>
      </w:pPr>
    </w:p>
    <w:p w:rsidR="00494783" w:rsidRPr="00834810" w:rsidRDefault="00494783" w:rsidP="00494783">
      <w:pPr>
        <w:pStyle w:val="Prrafodelista"/>
        <w:tabs>
          <w:tab w:val="left" w:pos="1159"/>
        </w:tabs>
        <w:ind w:left="0"/>
        <w:jc w:val="both"/>
        <w:rPr>
          <w:rFonts w:ascii="Lato" w:hAnsi="Lato"/>
          <w:szCs w:val="20"/>
        </w:rPr>
      </w:pPr>
      <w:r w:rsidRPr="00834810">
        <w:rPr>
          <w:rFonts w:ascii="Lato" w:hAnsi="Lato"/>
          <w:szCs w:val="20"/>
        </w:rPr>
        <w:tab/>
        <w:t>Transferencias, Subsidios y Otras Ayudas</w:t>
      </w:r>
      <w:r w:rsidR="00971201" w:rsidRPr="00834810">
        <w:rPr>
          <w:rFonts w:ascii="Lato" w:hAnsi="Lato"/>
          <w:szCs w:val="20"/>
        </w:rPr>
        <w:t xml:space="preserve"> </w:t>
      </w:r>
    </w:p>
    <w:p w:rsidR="00494783" w:rsidRPr="00834810" w:rsidRDefault="00494783" w:rsidP="00EC523B">
      <w:pPr>
        <w:pStyle w:val="Prrafodelista"/>
        <w:tabs>
          <w:tab w:val="left" w:pos="284"/>
        </w:tabs>
        <w:ind w:left="1134"/>
        <w:jc w:val="both"/>
        <w:rPr>
          <w:rFonts w:ascii="Lato" w:hAnsi="Lato"/>
          <w:szCs w:val="20"/>
        </w:rPr>
      </w:pPr>
      <w:r w:rsidRPr="00834810">
        <w:rPr>
          <w:rFonts w:ascii="Lato" w:hAnsi="Lato"/>
          <w:szCs w:val="20"/>
        </w:rPr>
        <w:t>Participaciones y Aportaciones</w:t>
      </w:r>
    </w:p>
    <w:p w:rsidR="00CE1695" w:rsidRPr="00834810" w:rsidRDefault="00494783" w:rsidP="00EC523B">
      <w:pPr>
        <w:pStyle w:val="Prrafodelista"/>
        <w:tabs>
          <w:tab w:val="left" w:pos="284"/>
        </w:tabs>
        <w:ind w:left="1134"/>
        <w:jc w:val="both"/>
        <w:rPr>
          <w:rFonts w:ascii="Lato" w:hAnsi="Lato"/>
          <w:szCs w:val="20"/>
        </w:rPr>
      </w:pPr>
      <w:r w:rsidRPr="00834810">
        <w:rPr>
          <w:rFonts w:ascii="Lato" w:hAnsi="Lato"/>
          <w:szCs w:val="20"/>
        </w:rPr>
        <w:t>Intereses, Comisiones y Otros Gastos de la Deuda Pública</w:t>
      </w:r>
    </w:p>
    <w:p w:rsidR="00CE1695" w:rsidRPr="00834810" w:rsidRDefault="00CE1695" w:rsidP="00CE1695">
      <w:pPr>
        <w:autoSpaceDE w:val="0"/>
        <w:autoSpaceDN w:val="0"/>
        <w:adjustRightInd w:val="0"/>
        <w:spacing w:line="360" w:lineRule="auto"/>
        <w:ind w:left="1134"/>
        <w:jc w:val="both"/>
        <w:rPr>
          <w:rFonts w:ascii="Lato" w:hAnsi="Lato" w:cs="Arial"/>
          <w:bCs/>
          <w:szCs w:val="20"/>
        </w:rPr>
      </w:pPr>
      <w:r w:rsidRPr="00834810">
        <w:rPr>
          <w:rFonts w:ascii="Lato" w:hAnsi="Lato" w:cs="Arial"/>
          <w:bCs/>
          <w:szCs w:val="20"/>
        </w:rPr>
        <w:t>Los gastos superiores al 10% del total de gasto se integran a continuación.</w:t>
      </w:r>
    </w:p>
    <w:p w:rsidR="00CE1695" w:rsidRPr="00834810" w:rsidRDefault="00CE1695" w:rsidP="00CE1695">
      <w:pPr>
        <w:pStyle w:val="Prrafodelista"/>
        <w:autoSpaceDE w:val="0"/>
        <w:autoSpaceDN w:val="0"/>
        <w:adjustRightInd w:val="0"/>
        <w:spacing w:line="360" w:lineRule="auto"/>
        <w:ind w:left="993"/>
        <w:jc w:val="both"/>
        <w:rPr>
          <w:rFonts w:ascii="Lato" w:hAnsi="Lato" w:cs="Arial"/>
          <w:szCs w:val="20"/>
        </w:rPr>
      </w:pPr>
      <w:r w:rsidRPr="00834810">
        <w:rPr>
          <w:rFonts w:ascii="Lato" w:hAnsi="Lato" w:cs="Arial"/>
          <w:szCs w:val="20"/>
        </w:rPr>
        <w:t xml:space="preserve"> El </w:t>
      </w:r>
      <w:r w:rsidR="00553A4B" w:rsidRPr="00834810">
        <w:rPr>
          <w:rFonts w:ascii="Lato" w:hAnsi="Lato" w:cs="Arial"/>
          <w:szCs w:val="20"/>
        </w:rPr>
        <w:t>0</w:t>
      </w:r>
      <w:r w:rsidRPr="00834810">
        <w:rPr>
          <w:rFonts w:ascii="Lato" w:hAnsi="Lato" w:cs="Arial"/>
          <w:szCs w:val="20"/>
        </w:rPr>
        <w:t xml:space="preserve">% de los gastos del </w:t>
      </w:r>
      <w:r w:rsidR="00DF39F4" w:rsidRPr="00834810">
        <w:rPr>
          <w:rFonts w:ascii="Lato" w:hAnsi="Lato" w:cs="Arial"/>
          <w:szCs w:val="20"/>
        </w:rPr>
        <w:t>Fondo Estatal para el Transporte</w:t>
      </w:r>
      <w:r w:rsidR="00F00DE9" w:rsidRPr="00834810">
        <w:rPr>
          <w:rFonts w:ascii="Lato" w:hAnsi="Lato" w:cs="Arial"/>
          <w:szCs w:val="20"/>
        </w:rPr>
        <w:t xml:space="preserve"> </w:t>
      </w:r>
      <w:r w:rsidRPr="00834810">
        <w:rPr>
          <w:rFonts w:ascii="Lato" w:hAnsi="Lato" w:cs="Arial"/>
          <w:szCs w:val="20"/>
        </w:rPr>
        <w:t>corresponden a Inversión Pública.</w:t>
      </w:r>
    </w:p>
    <w:p w:rsidR="00494783" w:rsidRPr="00834810" w:rsidRDefault="00494783" w:rsidP="00EC523B">
      <w:pPr>
        <w:tabs>
          <w:tab w:val="left" w:pos="284"/>
        </w:tabs>
        <w:jc w:val="both"/>
        <w:rPr>
          <w:rFonts w:ascii="Lato" w:hAnsi="Lato"/>
          <w:b/>
          <w:bCs/>
          <w:szCs w:val="20"/>
        </w:rPr>
      </w:pPr>
    </w:p>
    <w:p w:rsidR="00494783" w:rsidRPr="00834810" w:rsidRDefault="00494783" w:rsidP="004D6061">
      <w:pPr>
        <w:pStyle w:val="Prrafodelista"/>
        <w:tabs>
          <w:tab w:val="left" w:pos="284"/>
        </w:tabs>
        <w:ind w:left="1134"/>
        <w:jc w:val="both"/>
        <w:rPr>
          <w:rFonts w:ascii="Lato" w:hAnsi="Lato"/>
          <w:b/>
          <w:bCs/>
          <w:szCs w:val="20"/>
        </w:rPr>
      </w:pPr>
      <w:r w:rsidRPr="00834810">
        <w:rPr>
          <w:rFonts w:ascii="Lato" w:hAnsi="Lato"/>
          <w:b/>
          <w:bCs/>
          <w:szCs w:val="20"/>
        </w:rPr>
        <w:t>Otros Gastos y Pérdidas Extraordinarias</w:t>
      </w:r>
    </w:p>
    <w:p w:rsidR="00350BFC" w:rsidRPr="00834810" w:rsidRDefault="00350BFC" w:rsidP="00350BFC">
      <w:pPr>
        <w:tabs>
          <w:tab w:val="left" w:pos="426"/>
        </w:tabs>
        <w:ind w:left="1134"/>
        <w:rPr>
          <w:rFonts w:ascii="Lato" w:hAnsi="Lato"/>
          <w:szCs w:val="20"/>
        </w:rPr>
      </w:pPr>
      <w:r w:rsidRPr="00834810">
        <w:rPr>
          <w:rFonts w:ascii="Lato" w:hAnsi="Lato"/>
          <w:szCs w:val="20"/>
        </w:rPr>
        <w:t>La cuenta de estimaciones, depreciaciones, deterioros, obsolescencia y amortizaciones, se integra de la siguiente manera:</w:t>
      </w:r>
    </w:p>
    <w:p w:rsidR="00350BFC" w:rsidRPr="00834810" w:rsidRDefault="00350BFC" w:rsidP="00350BFC">
      <w:pPr>
        <w:ind w:left="1134"/>
        <w:jc w:val="both"/>
        <w:rPr>
          <w:rFonts w:ascii="Lato" w:hAnsi="Lato"/>
          <w:szCs w:val="20"/>
        </w:rPr>
      </w:pPr>
    </w:p>
    <w:tbl>
      <w:tblPr>
        <w:tblW w:w="5320" w:type="dxa"/>
        <w:jc w:val="center"/>
        <w:tblCellMar>
          <w:left w:w="70" w:type="dxa"/>
          <w:right w:w="70" w:type="dxa"/>
        </w:tblCellMar>
        <w:tblLook w:val="04A0" w:firstRow="1" w:lastRow="0" w:firstColumn="1" w:lastColumn="0" w:noHBand="0" w:noVBand="1"/>
      </w:tblPr>
      <w:tblGrid>
        <w:gridCol w:w="3880"/>
        <w:gridCol w:w="2181"/>
      </w:tblGrid>
      <w:tr w:rsidR="00350BFC" w:rsidRPr="00834810" w:rsidTr="00350BFC">
        <w:trPr>
          <w:trHeight w:val="270"/>
          <w:jc w:val="center"/>
        </w:trPr>
        <w:tc>
          <w:tcPr>
            <w:tcW w:w="3880" w:type="dxa"/>
            <w:tcBorders>
              <w:top w:val="nil"/>
              <w:left w:val="nil"/>
              <w:bottom w:val="nil"/>
              <w:right w:val="nil"/>
            </w:tcBorders>
            <w:shd w:val="clear" w:color="auto" w:fill="auto"/>
            <w:noWrap/>
            <w:vAlign w:val="center"/>
            <w:hideMark/>
          </w:tcPr>
          <w:p w:rsidR="00350BFC" w:rsidRPr="00834810" w:rsidRDefault="00350BFC" w:rsidP="00350BFC">
            <w:pPr>
              <w:ind w:left="1134"/>
              <w:rPr>
                <w:rFonts w:ascii="Lato" w:hAnsi="Lato" w:cs="Arial"/>
                <w:color w:val="000000"/>
                <w:szCs w:val="20"/>
                <w:lang w:eastAsia="es-MX"/>
              </w:rPr>
            </w:pPr>
            <w:r w:rsidRPr="00834810">
              <w:rPr>
                <w:rFonts w:ascii="Lato" w:hAnsi="Lato" w:cs="Arial"/>
                <w:color w:val="000000"/>
                <w:szCs w:val="20"/>
              </w:rPr>
              <w:t>DEPRECIACIÓN DE BIENES INMUEBLES</w:t>
            </w:r>
          </w:p>
        </w:tc>
        <w:tc>
          <w:tcPr>
            <w:tcW w:w="1440" w:type="dxa"/>
            <w:tcBorders>
              <w:top w:val="nil"/>
              <w:left w:val="nil"/>
              <w:bottom w:val="nil"/>
              <w:right w:val="nil"/>
            </w:tcBorders>
            <w:shd w:val="clear" w:color="auto" w:fill="auto"/>
            <w:noWrap/>
            <w:vAlign w:val="center"/>
            <w:hideMark/>
          </w:tcPr>
          <w:p w:rsidR="00350BFC" w:rsidRPr="00834810" w:rsidRDefault="00350BFC" w:rsidP="00350BFC">
            <w:pPr>
              <w:ind w:left="1134"/>
              <w:jc w:val="right"/>
              <w:rPr>
                <w:rFonts w:ascii="Lato" w:hAnsi="Lato" w:cs="Arial"/>
                <w:color w:val="000000"/>
                <w:szCs w:val="20"/>
                <w:highlight w:val="yellow"/>
              </w:rPr>
            </w:pPr>
            <w:r w:rsidRPr="00834810">
              <w:rPr>
                <w:rFonts w:ascii="Lato" w:hAnsi="Lato" w:cs="Arial"/>
                <w:color w:val="000000"/>
                <w:szCs w:val="20"/>
              </w:rPr>
              <w:t>0.00</w:t>
            </w:r>
          </w:p>
        </w:tc>
      </w:tr>
      <w:tr w:rsidR="00350BFC" w:rsidRPr="00834810" w:rsidTr="00350BFC">
        <w:trPr>
          <w:trHeight w:val="270"/>
          <w:jc w:val="center"/>
        </w:trPr>
        <w:tc>
          <w:tcPr>
            <w:tcW w:w="3880" w:type="dxa"/>
            <w:tcBorders>
              <w:top w:val="nil"/>
              <w:left w:val="nil"/>
              <w:bottom w:val="nil"/>
              <w:right w:val="nil"/>
            </w:tcBorders>
            <w:shd w:val="clear" w:color="auto" w:fill="auto"/>
            <w:noWrap/>
            <w:vAlign w:val="center"/>
            <w:hideMark/>
          </w:tcPr>
          <w:p w:rsidR="00350BFC" w:rsidRPr="00834810" w:rsidRDefault="00350BFC" w:rsidP="00350BFC">
            <w:pPr>
              <w:ind w:left="1134"/>
              <w:rPr>
                <w:rFonts w:ascii="Lato" w:hAnsi="Lato" w:cs="Arial"/>
                <w:color w:val="000000"/>
                <w:szCs w:val="20"/>
              </w:rPr>
            </w:pPr>
            <w:r w:rsidRPr="00834810">
              <w:rPr>
                <w:rFonts w:ascii="Lato" w:hAnsi="Lato" w:cs="Arial"/>
                <w:color w:val="000000"/>
                <w:szCs w:val="20"/>
              </w:rPr>
              <w:t>DEPRECIACIÓN DE BIENES MUEBLES</w:t>
            </w:r>
          </w:p>
        </w:tc>
        <w:tc>
          <w:tcPr>
            <w:tcW w:w="1440" w:type="dxa"/>
            <w:tcBorders>
              <w:top w:val="nil"/>
              <w:left w:val="nil"/>
              <w:bottom w:val="nil"/>
              <w:right w:val="nil"/>
            </w:tcBorders>
            <w:shd w:val="clear" w:color="auto" w:fill="auto"/>
            <w:noWrap/>
            <w:vAlign w:val="center"/>
            <w:hideMark/>
          </w:tcPr>
          <w:p w:rsidR="00350BFC" w:rsidRPr="00834810" w:rsidRDefault="00222B81" w:rsidP="00350BFC">
            <w:pPr>
              <w:ind w:left="1134"/>
              <w:jc w:val="right"/>
              <w:rPr>
                <w:rFonts w:ascii="Lato" w:hAnsi="Lato" w:cs="Arial"/>
                <w:color w:val="000000"/>
                <w:szCs w:val="20"/>
                <w:highlight w:val="yellow"/>
              </w:rPr>
            </w:pPr>
            <w:r>
              <w:rPr>
                <w:rFonts w:ascii="Lato" w:hAnsi="Lato" w:cs="Arial"/>
                <w:color w:val="000000"/>
                <w:szCs w:val="20"/>
              </w:rPr>
              <w:t>79,992.12</w:t>
            </w:r>
          </w:p>
        </w:tc>
      </w:tr>
      <w:tr w:rsidR="00350BFC" w:rsidRPr="00834810" w:rsidTr="00350BFC">
        <w:trPr>
          <w:trHeight w:val="285"/>
          <w:jc w:val="center"/>
        </w:trPr>
        <w:tc>
          <w:tcPr>
            <w:tcW w:w="3880" w:type="dxa"/>
            <w:tcBorders>
              <w:top w:val="nil"/>
              <w:left w:val="nil"/>
              <w:bottom w:val="nil"/>
              <w:right w:val="nil"/>
            </w:tcBorders>
            <w:shd w:val="clear" w:color="auto" w:fill="auto"/>
            <w:noWrap/>
            <w:vAlign w:val="center"/>
            <w:hideMark/>
          </w:tcPr>
          <w:p w:rsidR="00350BFC" w:rsidRPr="00834810" w:rsidRDefault="00350BFC" w:rsidP="00350BFC">
            <w:pPr>
              <w:ind w:left="1134"/>
              <w:rPr>
                <w:rFonts w:ascii="Lato" w:hAnsi="Lato" w:cs="Arial"/>
                <w:color w:val="000000"/>
                <w:szCs w:val="20"/>
              </w:rPr>
            </w:pPr>
            <w:r w:rsidRPr="00834810">
              <w:rPr>
                <w:rFonts w:ascii="Lato" w:hAnsi="Lato" w:cs="Arial"/>
                <w:color w:val="000000"/>
                <w:szCs w:val="20"/>
              </w:rPr>
              <w:t>AMORTIZACIÓN DE ACTIVOS INTANGIBLES</w:t>
            </w:r>
          </w:p>
        </w:tc>
        <w:tc>
          <w:tcPr>
            <w:tcW w:w="1440" w:type="dxa"/>
            <w:tcBorders>
              <w:top w:val="nil"/>
              <w:left w:val="nil"/>
              <w:bottom w:val="nil"/>
              <w:right w:val="nil"/>
            </w:tcBorders>
            <w:shd w:val="clear" w:color="auto" w:fill="auto"/>
            <w:noWrap/>
            <w:vAlign w:val="center"/>
            <w:hideMark/>
          </w:tcPr>
          <w:p w:rsidR="00350BFC" w:rsidRPr="00834810" w:rsidRDefault="00350BFC" w:rsidP="00350BFC">
            <w:pPr>
              <w:ind w:left="1134"/>
              <w:jc w:val="right"/>
              <w:rPr>
                <w:rFonts w:ascii="Lato" w:hAnsi="Lato" w:cs="Arial"/>
                <w:color w:val="000000"/>
                <w:szCs w:val="20"/>
                <w:highlight w:val="yellow"/>
              </w:rPr>
            </w:pPr>
            <w:r w:rsidRPr="00834810">
              <w:rPr>
                <w:rFonts w:ascii="Lato" w:hAnsi="Lato" w:cs="Arial"/>
                <w:color w:val="000000"/>
                <w:szCs w:val="20"/>
              </w:rPr>
              <w:t>0.00</w:t>
            </w:r>
          </w:p>
        </w:tc>
      </w:tr>
      <w:tr w:rsidR="00350BFC" w:rsidRPr="00834810" w:rsidTr="00350BFC">
        <w:trPr>
          <w:trHeight w:val="270"/>
          <w:jc w:val="center"/>
        </w:trPr>
        <w:tc>
          <w:tcPr>
            <w:tcW w:w="3880" w:type="dxa"/>
            <w:tcBorders>
              <w:top w:val="nil"/>
              <w:left w:val="nil"/>
              <w:bottom w:val="nil"/>
              <w:right w:val="nil"/>
            </w:tcBorders>
            <w:shd w:val="clear" w:color="auto" w:fill="auto"/>
            <w:noWrap/>
            <w:vAlign w:val="bottom"/>
            <w:hideMark/>
          </w:tcPr>
          <w:p w:rsidR="00350BFC" w:rsidRPr="00834810" w:rsidRDefault="00350BFC" w:rsidP="00350BFC">
            <w:pPr>
              <w:ind w:left="1134"/>
              <w:jc w:val="right"/>
              <w:rPr>
                <w:rFonts w:ascii="Lato" w:hAnsi="Lato" w:cs="Arial"/>
                <w:color w:val="000000"/>
                <w:szCs w:val="20"/>
              </w:rPr>
            </w:pPr>
          </w:p>
        </w:tc>
        <w:tc>
          <w:tcPr>
            <w:tcW w:w="1440" w:type="dxa"/>
            <w:tcBorders>
              <w:top w:val="single" w:sz="8" w:space="0" w:color="auto"/>
              <w:left w:val="nil"/>
              <w:bottom w:val="nil"/>
              <w:right w:val="nil"/>
            </w:tcBorders>
            <w:shd w:val="clear" w:color="auto" w:fill="auto"/>
            <w:noWrap/>
            <w:vAlign w:val="center"/>
            <w:hideMark/>
          </w:tcPr>
          <w:p w:rsidR="00350BFC" w:rsidRPr="00834810" w:rsidRDefault="00222B81" w:rsidP="00350BFC">
            <w:pPr>
              <w:ind w:left="1134"/>
              <w:jc w:val="right"/>
              <w:rPr>
                <w:rFonts w:ascii="Lato" w:hAnsi="Lato" w:cs="Arial"/>
                <w:b/>
                <w:bCs/>
                <w:color w:val="000000"/>
                <w:szCs w:val="20"/>
                <w:highlight w:val="yellow"/>
              </w:rPr>
            </w:pPr>
            <w:r>
              <w:rPr>
                <w:rFonts w:ascii="Lato" w:hAnsi="Lato" w:cs="Arial"/>
                <w:b/>
                <w:bCs/>
                <w:color w:val="000000"/>
                <w:szCs w:val="20"/>
              </w:rPr>
              <w:t>79,992.12</w:t>
            </w:r>
          </w:p>
        </w:tc>
      </w:tr>
    </w:tbl>
    <w:p w:rsidR="00350BFC" w:rsidRPr="00834810" w:rsidRDefault="00350BFC" w:rsidP="00EC523B">
      <w:pPr>
        <w:jc w:val="both"/>
        <w:rPr>
          <w:rFonts w:ascii="Lato" w:hAnsi="Lato"/>
          <w:szCs w:val="20"/>
        </w:rPr>
      </w:pPr>
    </w:p>
    <w:p w:rsidR="00350BFC" w:rsidRPr="00834810" w:rsidRDefault="00350BFC" w:rsidP="00350BFC">
      <w:pPr>
        <w:ind w:left="1134"/>
        <w:jc w:val="both"/>
        <w:rPr>
          <w:rFonts w:ascii="Lato" w:hAnsi="Lato"/>
          <w:szCs w:val="20"/>
        </w:rPr>
      </w:pPr>
      <w:r w:rsidRPr="00834810">
        <w:rPr>
          <w:rFonts w:ascii="Lato" w:hAnsi="Lato"/>
          <w:szCs w:val="20"/>
        </w:rPr>
        <w:t xml:space="preserve">La cuenta de depreciaciones de bienes inmuebles y muebles, así como la de amortización de activos intangibles, corresponden al deterioro por el uso por el periodo del 1 de enero al </w:t>
      </w:r>
      <w:r w:rsidR="007C423A">
        <w:rPr>
          <w:rFonts w:ascii="Lato" w:hAnsi="Lato"/>
          <w:szCs w:val="20"/>
        </w:rPr>
        <w:t>31</w:t>
      </w:r>
      <w:r w:rsidR="0081111D" w:rsidRPr="00834810">
        <w:rPr>
          <w:rFonts w:ascii="Lato" w:hAnsi="Lato"/>
          <w:szCs w:val="20"/>
        </w:rPr>
        <w:t xml:space="preserve"> de </w:t>
      </w:r>
      <w:r w:rsidR="007C423A">
        <w:rPr>
          <w:rFonts w:ascii="Lato" w:hAnsi="Lato"/>
          <w:szCs w:val="20"/>
        </w:rPr>
        <w:t>marzo</w:t>
      </w:r>
      <w:r w:rsidR="00F00DE9" w:rsidRPr="00834810">
        <w:rPr>
          <w:rFonts w:ascii="Lato" w:hAnsi="Lato"/>
          <w:szCs w:val="20"/>
        </w:rPr>
        <w:t xml:space="preserve"> de 202</w:t>
      </w:r>
      <w:r w:rsidR="00006C96" w:rsidRPr="00834810">
        <w:rPr>
          <w:rFonts w:ascii="Lato" w:hAnsi="Lato"/>
          <w:szCs w:val="20"/>
        </w:rPr>
        <w:t>5</w:t>
      </w:r>
      <w:r w:rsidRPr="00834810">
        <w:rPr>
          <w:rFonts w:ascii="Lato" w:hAnsi="Lato"/>
          <w:szCs w:val="20"/>
        </w:rPr>
        <w:t>.</w:t>
      </w:r>
    </w:p>
    <w:p w:rsidR="004D021D" w:rsidRPr="00834810" w:rsidRDefault="004D021D" w:rsidP="004D021D">
      <w:pPr>
        <w:pStyle w:val="Prrafodelista"/>
        <w:ind w:left="1080"/>
        <w:rPr>
          <w:rFonts w:ascii="Lato" w:hAnsi="Lato"/>
          <w:szCs w:val="20"/>
        </w:rPr>
      </w:pPr>
    </w:p>
    <w:p w:rsidR="004D021D" w:rsidRPr="00834810" w:rsidRDefault="004D021D" w:rsidP="006C5266">
      <w:pPr>
        <w:pStyle w:val="Ttulo2"/>
        <w:numPr>
          <w:ilvl w:val="0"/>
          <w:numId w:val="10"/>
        </w:numPr>
        <w:rPr>
          <w:rFonts w:ascii="Lato" w:hAnsi="Lato"/>
          <w:szCs w:val="20"/>
        </w:rPr>
      </w:pPr>
      <w:r w:rsidRPr="00834810">
        <w:rPr>
          <w:rFonts w:ascii="Lato" w:hAnsi="Lato"/>
          <w:szCs w:val="20"/>
        </w:rPr>
        <w:lastRenderedPageBreak/>
        <w:t>NOTAS AL ESTADO DE SITUACIÓN FINANCIERA</w:t>
      </w:r>
    </w:p>
    <w:p w:rsidR="000F7590" w:rsidRPr="00834810" w:rsidRDefault="000F7590" w:rsidP="000F7590">
      <w:pPr>
        <w:rPr>
          <w:rFonts w:ascii="Lato" w:hAnsi="Lato"/>
          <w:szCs w:val="20"/>
        </w:rPr>
      </w:pPr>
    </w:p>
    <w:p w:rsidR="000F7590" w:rsidRPr="00834810" w:rsidRDefault="000F7590" w:rsidP="000F7590">
      <w:pPr>
        <w:tabs>
          <w:tab w:val="left" w:pos="426"/>
          <w:tab w:val="left" w:pos="567"/>
        </w:tabs>
        <w:rPr>
          <w:rFonts w:ascii="Lato" w:hAnsi="Lato"/>
          <w:b/>
          <w:szCs w:val="20"/>
        </w:rPr>
      </w:pPr>
      <w:r w:rsidRPr="00834810">
        <w:rPr>
          <w:rFonts w:ascii="Lato" w:hAnsi="Lato"/>
          <w:b/>
          <w:szCs w:val="20"/>
        </w:rPr>
        <w:t>1000 Activo</w:t>
      </w:r>
    </w:p>
    <w:p w:rsidR="000F7590" w:rsidRPr="00834810" w:rsidRDefault="000F7590" w:rsidP="000F7590">
      <w:pPr>
        <w:tabs>
          <w:tab w:val="left" w:pos="3009"/>
        </w:tabs>
        <w:rPr>
          <w:rFonts w:ascii="Lato" w:hAnsi="Lato"/>
          <w:b/>
          <w:szCs w:val="20"/>
        </w:rPr>
      </w:pPr>
      <w:r w:rsidRPr="00834810">
        <w:rPr>
          <w:rFonts w:ascii="Lato" w:hAnsi="Lato"/>
          <w:b/>
          <w:szCs w:val="20"/>
        </w:rPr>
        <w:tab/>
      </w:r>
    </w:p>
    <w:p w:rsidR="000F7590" w:rsidRPr="00834810" w:rsidRDefault="000F7590" w:rsidP="000F7590">
      <w:pPr>
        <w:pStyle w:val="Prrafodelista"/>
        <w:tabs>
          <w:tab w:val="left" w:pos="426"/>
        </w:tabs>
        <w:ind w:left="0"/>
        <w:rPr>
          <w:rFonts w:ascii="Lato" w:hAnsi="Lato"/>
          <w:b/>
          <w:szCs w:val="20"/>
        </w:rPr>
      </w:pPr>
      <w:r w:rsidRPr="00834810">
        <w:rPr>
          <w:rFonts w:ascii="Lato" w:hAnsi="Lato"/>
          <w:b/>
          <w:szCs w:val="20"/>
        </w:rPr>
        <w:t>1110 Efectivo y equivalentes.</w:t>
      </w:r>
    </w:p>
    <w:p w:rsidR="000F7590" w:rsidRPr="00834810" w:rsidRDefault="000F7590" w:rsidP="000F7590">
      <w:pPr>
        <w:pStyle w:val="Prrafodelista"/>
        <w:tabs>
          <w:tab w:val="left" w:pos="426"/>
        </w:tabs>
        <w:ind w:left="0"/>
        <w:rPr>
          <w:rFonts w:ascii="Lato" w:hAnsi="Lato"/>
          <w:b/>
          <w:szCs w:val="20"/>
        </w:rPr>
      </w:pPr>
    </w:p>
    <w:p w:rsidR="006B40EA" w:rsidRPr="00834810" w:rsidRDefault="006B40EA" w:rsidP="006B40EA">
      <w:pPr>
        <w:autoSpaceDE w:val="0"/>
        <w:autoSpaceDN w:val="0"/>
        <w:adjustRightInd w:val="0"/>
        <w:spacing w:line="360" w:lineRule="auto"/>
        <w:ind w:left="567"/>
        <w:jc w:val="both"/>
        <w:rPr>
          <w:rFonts w:ascii="Lato" w:hAnsi="Lato" w:cs="Arial"/>
          <w:szCs w:val="20"/>
        </w:rPr>
      </w:pPr>
      <w:r w:rsidRPr="00834810">
        <w:rPr>
          <w:rFonts w:ascii="Lato" w:hAnsi="Lato" w:cs="Arial"/>
          <w:szCs w:val="20"/>
        </w:rPr>
        <w:t xml:space="preserve">La cuenta de bancos del </w:t>
      </w:r>
      <w:r w:rsidR="00DF39F4" w:rsidRPr="00834810">
        <w:rPr>
          <w:rFonts w:ascii="Lato" w:hAnsi="Lato" w:cs="Arial"/>
          <w:b/>
          <w:szCs w:val="20"/>
        </w:rPr>
        <w:t>Fondo Estatal para el Transporte</w:t>
      </w:r>
      <w:r w:rsidR="00F83336" w:rsidRPr="00834810">
        <w:rPr>
          <w:rFonts w:ascii="Lato" w:hAnsi="Lato" w:cs="Arial"/>
          <w:b/>
          <w:szCs w:val="20"/>
        </w:rPr>
        <w:t xml:space="preserve"> </w:t>
      </w:r>
      <w:r w:rsidRPr="00834810">
        <w:rPr>
          <w:rFonts w:ascii="Lato" w:hAnsi="Lato" w:cs="Arial"/>
          <w:szCs w:val="20"/>
        </w:rPr>
        <w:t>según muestra en los registros contables como el cual integra la cuenta de efectivo y equivalentes se encuentra integrada por tipo de cuenta bancaria de la siguiente manera:</w:t>
      </w:r>
    </w:p>
    <w:p w:rsidR="000F7590" w:rsidRPr="00834810" w:rsidRDefault="000F7590" w:rsidP="000F7590">
      <w:pPr>
        <w:pStyle w:val="Prrafodelista"/>
        <w:tabs>
          <w:tab w:val="left" w:pos="426"/>
        </w:tabs>
        <w:ind w:left="0"/>
        <w:jc w:val="both"/>
        <w:rPr>
          <w:rFonts w:ascii="Lato" w:hAnsi="Lato"/>
          <w:szCs w:val="20"/>
        </w:rPr>
      </w:pPr>
    </w:p>
    <w:tbl>
      <w:tblPr>
        <w:tblW w:w="8813" w:type="dxa"/>
        <w:jc w:val="center"/>
        <w:tblLook w:val="04A0" w:firstRow="1" w:lastRow="0" w:firstColumn="1" w:lastColumn="0" w:noHBand="0" w:noVBand="1"/>
      </w:tblPr>
      <w:tblGrid>
        <w:gridCol w:w="2876"/>
        <w:gridCol w:w="2139"/>
        <w:gridCol w:w="1899"/>
        <w:gridCol w:w="1899"/>
      </w:tblGrid>
      <w:tr w:rsidR="006B40EA" w:rsidRPr="00834810" w:rsidTr="006B40EA">
        <w:trPr>
          <w:trHeight w:val="380"/>
          <w:jc w:val="center"/>
        </w:trPr>
        <w:tc>
          <w:tcPr>
            <w:tcW w:w="0" w:type="auto"/>
            <w:shd w:val="clear" w:color="auto" w:fill="auto"/>
          </w:tcPr>
          <w:p w:rsidR="006B40EA" w:rsidRPr="00834810" w:rsidRDefault="006B40EA" w:rsidP="007F2C65">
            <w:pPr>
              <w:autoSpaceDE w:val="0"/>
              <w:autoSpaceDN w:val="0"/>
              <w:adjustRightInd w:val="0"/>
              <w:spacing w:line="360" w:lineRule="auto"/>
              <w:jc w:val="both"/>
              <w:rPr>
                <w:rFonts w:ascii="Lato" w:hAnsi="Lato" w:cs="Arial"/>
                <w:b/>
                <w:szCs w:val="20"/>
              </w:rPr>
            </w:pPr>
            <w:r w:rsidRPr="00834810">
              <w:rPr>
                <w:rFonts w:ascii="Lato" w:hAnsi="Lato" w:cs="Arial"/>
                <w:b/>
                <w:szCs w:val="20"/>
              </w:rPr>
              <w:t xml:space="preserve">Tipo de Banco                  </w:t>
            </w:r>
          </w:p>
        </w:tc>
        <w:tc>
          <w:tcPr>
            <w:tcW w:w="2139" w:type="dxa"/>
            <w:shd w:val="clear" w:color="auto" w:fill="auto"/>
          </w:tcPr>
          <w:p w:rsidR="006B40EA" w:rsidRPr="00834810" w:rsidRDefault="006B40EA" w:rsidP="007F2C65">
            <w:pPr>
              <w:autoSpaceDE w:val="0"/>
              <w:autoSpaceDN w:val="0"/>
              <w:adjustRightInd w:val="0"/>
              <w:spacing w:line="360" w:lineRule="auto"/>
              <w:jc w:val="right"/>
              <w:rPr>
                <w:rFonts w:ascii="Lato" w:hAnsi="Lato" w:cs="Arial"/>
                <w:b/>
                <w:szCs w:val="20"/>
              </w:rPr>
            </w:pPr>
            <w:r w:rsidRPr="00834810">
              <w:rPr>
                <w:rFonts w:ascii="Lato" w:hAnsi="Lato" w:cs="Arial"/>
                <w:b/>
                <w:szCs w:val="20"/>
              </w:rPr>
              <w:t>Bancos</w:t>
            </w:r>
          </w:p>
          <w:p w:rsidR="006B40EA" w:rsidRPr="00834810" w:rsidRDefault="00166CB5" w:rsidP="007F2C65">
            <w:pPr>
              <w:autoSpaceDE w:val="0"/>
              <w:autoSpaceDN w:val="0"/>
              <w:adjustRightInd w:val="0"/>
              <w:spacing w:line="360" w:lineRule="auto"/>
              <w:jc w:val="right"/>
              <w:rPr>
                <w:rFonts w:ascii="Lato" w:hAnsi="Lato" w:cs="Arial"/>
                <w:szCs w:val="20"/>
              </w:rPr>
            </w:pPr>
            <w:r>
              <w:rPr>
                <w:rFonts w:ascii="Lato" w:hAnsi="Lato" w:cs="Arial"/>
                <w:szCs w:val="20"/>
              </w:rPr>
              <w:t>9,708,158.90</w:t>
            </w:r>
            <w:r w:rsidR="006B40EA" w:rsidRPr="00834810">
              <w:rPr>
                <w:rFonts w:ascii="Lato" w:hAnsi="Lato" w:cs="Arial"/>
                <w:szCs w:val="20"/>
              </w:rPr>
              <w:t xml:space="preserve"> </w:t>
            </w:r>
          </w:p>
        </w:tc>
        <w:tc>
          <w:tcPr>
            <w:tcW w:w="1899" w:type="dxa"/>
          </w:tcPr>
          <w:p w:rsidR="006B40EA" w:rsidRPr="00834810" w:rsidRDefault="006B40EA" w:rsidP="007F2C65">
            <w:pPr>
              <w:autoSpaceDE w:val="0"/>
              <w:autoSpaceDN w:val="0"/>
              <w:adjustRightInd w:val="0"/>
              <w:spacing w:line="360" w:lineRule="auto"/>
              <w:rPr>
                <w:rFonts w:ascii="Lato" w:hAnsi="Lato" w:cs="Arial"/>
                <w:b/>
                <w:szCs w:val="20"/>
              </w:rPr>
            </w:pPr>
            <w:r w:rsidRPr="00834810">
              <w:rPr>
                <w:rFonts w:ascii="Lato" w:hAnsi="Lato" w:cs="Arial"/>
                <w:b/>
                <w:szCs w:val="20"/>
              </w:rPr>
              <w:t xml:space="preserve"> INVERSIONES</w:t>
            </w:r>
          </w:p>
          <w:p w:rsidR="006B40EA" w:rsidRPr="00834810" w:rsidRDefault="006B40EA" w:rsidP="007F2C65">
            <w:pPr>
              <w:autoSpaceDE w:val="0"/>
              <w:autoSpaceDN w:val="0"/>
              <w:adjustRightInd w:val="0"/>
              <w:spacing w:line="360" w:lineRule="auto"/>
              <w:jc w:val="right"/>
              <w:rPr>
                <w:rFonts w:ascii="Lato" w:hAnsi="Lato" w:cs="Arial"/>
                <w:b/>
                <w:szCs w:val="20"/>
              </w:rPr>
            </w:pPr>
            <w:r w:rsidRPr="00834810">
              <w:rPr>
                <w:rFonts w:ascii="Lato" w:hAnsi="Lato" w:cs="Arial"/>
                <w:b/>
                <w:szCs w:val="20"/>
              </w:rPr>
              <w:t>0.00</w:t>
            </w:r>
          </w:p>
        </w:tc>
        <w:tc>
          <w:tcPr>
            <w:tcW w:w="1899" w:type="dxa"/>
          </w:tcPr>
          <w:p w:rsidR="006B40EA" w:rsidRPr="00834810" w:rsidRDefault="006B40EA" w:rsidP="007F2C65">
            <w:pPr>
              <w:autoSpaceDE w:val="0"/>
              <w:autoSpaceDN w:val="0"/>
              <w:adjustRightInd w:val="0"/>
              <w:spacing w:line="360" w:lineRule="auto"/>
              <w:jc w:val="center"/>
              <w:rPr>
                <w:rFonts w:ascii="Lato" w:hAnsi="Lato" w:cs="Arial"/>
                <w:b/>
                <w:szCs w:val="20"/>
              </w:rPr>
            </w:pPr>
            <w:r w:rsidRPr="00834810">
              <w:rPr>
                <w:rFonts w:ascii="Lato" w:hAnsi="Lato" w:cs="Arial"/>
                <w:b/>
                <w:szCs w:val="20"/>
              </w:rPr>
              <w:t>Efectivo</w:t>
            </w:r>
          </w:p>
          <w:p w:rsidR="006B40EA" w:rsidRPr="00834810" w:rsidRDefault="006B40EA" w:rsidP="007F2C65">
            <w:pPr>
              <w:jc w:val="center"/>
              <w:rPr>
                <w:rFonts w:ascii="Lato" w:hAnsi="Lato" w:cs="Arial"/>
                <w:b/>
                <w:szCs w:val="20"/>
              </w:rPr>
            </w:pPr>
            <w:r w:rsidRPr="00834810">
              <w:rPr>
                <w:rFonts w:ascii="Lato" w:hAnsi="Lato" w:cs="Arial"/>
                <w:b/>
                <w:szCs w:val="20"/>
              </w:rPr>
              <w:t>0.00</w:t>
            </w:r>
          </w:p>
        </w:tc>
      </w:tr>
      <w:tr w:rsidR="006B40EA" w:rsidRPr="00834810" w:rsidTr="006B40EA">
        <w:trPr>
          <w:trHeight w:val="396"/>
          <w:jc w:val="center"/>
        </w:trPr>
        <w:tc>
          <w:tcPr>
            <w:tcW w:w="0" w:type="auto"/>
            <w:shd w:val="clear" w:color="auto" w:fill="auto"/>
          </w:tcPr>
          <w:p w:rsidR="006B40EA" w:rsidRPr="00834810" w:rsidRDefault="006B40EA" w:rsidP="007F2C65">
            <w:pPr>
              <w:autoSpaceDE w:val="0"/>
              <w:autoSpaceDN w:val="0"/>
              <w:adjustRightInd w:val="0"/>
              <w:spacing w:line="360" w:lineRule="auto"/>
              <w:jc w:val="both"/>
              <w:rPr>
                <w:rFonts w:ascii="Lato" w:hAnsi="Lato" w:cs="Arial"/>
                <w:b/>
                <w:szCs w:val="20"/>
              </w:rPr>
            </w:pPr>
            <w:r w:rsidRPr="00834810">
              <w:rPr>
                <w:rFonts w:ascii="Lato" w:hAnsi="Lato" w:cs="Arial"/>
                <w:b/>
                <w:szCs w:val="20"/>
              </w:rPr>
              <w:t>TOTAL</w:t>
            </w:r>
          </w:p>
        </w:tc>
        <w:tc>
          <w:tcPr>
            <w:tcW w:w="2139" w:type="dxa"/>
            <w:shd w:val="clear" w:color="auto" w:fill="auto"/>
          </w:tcPr>
          <w:p w:rsidR="006B40EA" w:rsidRPr="00834810" w:rsidRDefault="00166CB5" w:rsidP="007F2C65">
            <w:pPr>
              <w:autoSpaceDE w:val="0"/>
              <w:autoSpaceDN w:val="0"/>
              <w:adjustRightInd w:val="0"/>
              <w:spacing w:line="360" w:lineRule="auto"/>
              <w:jc w:val="right"/>
              <w:rPr>
                <w:rFonts w:ascii="Lato" w:hAnsi="Lato" w:cs="Arial"/>
                <w:b/>
                <w:szCs w:val="20"/>
              </w:rPr>
            </w:pPr>
            <w:r>
              <w:rPr>
                <w:rFonts w:ascii="Lato" w:hAnsi="Lato" w:cs="Arial"/>
                <w:b/>
                <w:szCs w:val="20"/>
              </w:rPr>
              <w:t>9,708,158.90</w:t>
            </w:r>
          </w:p>
        </w:tc>
        <w:tc>
          <w:tcPr>
            <w:tcW w:w="1899" w:type="dxa"/>
          </w:tcPr>
          <w:p w:rsidR="006B40EA" w:rsidRPr="00834810" w:rsidRDefault="006B40EA" w:rsidP="007F2C65">
            <w:pPr>
              <w:autoSpaceDE w:val="0"/>
              <w:autoSpaceDN w:val="0"/>
              <w:adjustRightInd w:val="0"/>
              <w:spacing w:line="360" w:lineRule="auto"/>
              <w:jc w:val="right"/>
              <w:rPr>
                <w:rFonts w:ascii="Lato" w:hAnsi="Lato" w:cs="Arial"/>
                <w:b/>
                <w:szCs w:val="20"/>
              </w:rPr>
            </w:pPr>
            <w:r w:rsidRPr="00834810">
              <w:rPr>
                <w:rFonts w:ascii="Lato" w:hAnsi="Lato" w:cs="Arial"/>
                <w:b/>
                <w:szCs w:val="20"/>
              </w:rPr>
              <w:t>0.00</w:t>
            </w:r>
          </w:p>
        </w:tc>
        <w:tc>
          <w:tcPr>
            <w:tcW w:w="1899" w:type="dxa"/>
          </w:tcPr>
          <w:p w:rsidR="006B40EA" w:rsidRPr="00834810" w:rsidRDefault="006B40EA" w:rsidP="007F2C65">
            <w:pPr>
              <w:autoSpaceDE w:val="0"/>
              <w:autoSpaceDN w:val="0"/>
              <w:adjustRightInd w:val="0"/>
              <w:spacing w:line="360" w:lineRule="auto"/>
              <w:jc w:val="center"/>
              <w:rPr>
                <w:rFonts w:ascii="Lato" w:hAnsi="Lato" w:cs="Arial"/>
                <w:b/>
                <w:szCs w:val="20"/>
              </w:rPr>
            </w:pPr>
            <w:r w:rsidRPr="00834810">
              <w:rPr>
                <w:rFonts w:ascii="Lato" w:hAnsi="Lato" w:cs="Arial"/>
                <w:b/>
                <w:szCs w:val="20"/>
              </w:rPr>
              <w:t>0.00</w:t>
            </w:r>
          </w:p>
        </w:tc>
      </w:tr>
    </w:tbl>
    <w:p w:rsidR="006B40EA" w:rsidRPr="00834810" w:rsidRDefault="006B40EA" w:rsidP="000F7590">
      <w:pPr>
        <w:pStyle w:val="Prrafodelista"/>
        <w:tabs>
          <w:tab w:val="left" w:pos="426"/>
        </w:tabs>
        <w:ind w:left="0"/>
        <w:jc w:val="both"/>
        <w:rPr>
          <w:rFonts w:ascii="Lato" w:hAnsi="Lato"/>
          <w:szCs w:val="20"/>
        </w:rPr>
      </w:pPr>
    </w:p>
    <w:p w:rsidR="000F7590" w:rsidRPr="00834810" w:rsidRDefault="006B40EA" w:rsidP="006B40EA">
      <w:pPr>
        <w:pStyle w:val="Prrafodelista"/>
        <w:tabs>
          <w:tab w:val="left" w:pos="284"/>
        </w:tabs>
        <w:ind w:left="567"/>
        <w:jc w:val="both"/>
        <w:rPr>
          <w:rFonts w:ascii="Lato" w:hAnsi="Lato" w:cs="Arial"/>
          <w:szCs w:val="20"/>
        </w:rPr>
      </w:pPr>
      <w:r w:rsidRPr="00834810">
        <w:rPr>
          <w:rFonts w:ascii="Lato" w:hAnsi="Lato" w:cs="Arial"/>
          <w:szCs w:val="20"/>
        </w:rPr>
        <w:t>Esta información resulta de las operaciones sobre los recursos disponibles en cuentas bancarias, de</w:t>
      </w:r>
      <w:r w:rsidR="00F83336" w:rsidRPr="00834810">
        <w:rPr>
          <w:rFonts w:ascii="Lato" w:hAnsi="Lato" w:cs="Arial"/>
          <w:szCs w:val="20"/>
        </w:rPr>
        <w:t xml:space="preserve"> la Agencia de Transporte de Yucatán</w:t>
      </w:r>
      <w:r w:rsidRPr="00834810">
        <w:rPr>
          <w:rFonts w:ascii="Lato" w:hAnsi="Lato" w:cs="Arial"/>
          <w:szCs w:val="20"/>
        </w:rPr>
        <w:t xml:space="preserve"> y que están asociadas a los recursos financieros del </w:t>
      </w:r>
      <w:r w:rsidR="008770B5" w:rsidRPr="00834810">
        <w:rPr>
          <w:rFonts w:ascii="Lato" w:hAnsi="Lato" w:cs="Arial"/>
          <w:szCs w:val="20"/>
        </w:rPr>
        <w:t>Fondo Estatal para el Transporte</w:t>
      </w:r>
      <w:r w:rsidR="00F83336" w:rsidRPr="00834810">
        <w:rPr>
          <w:rFonts w:ascii="Lato" w:hAnsi="Lato" w:cs="Arial"/>
          <w:szCs w:val="20"/>
        </w:rPr>
        <w:t>.</w:t>
      </w:r>
    </w:p>
    <w:p w:rsidR="000F7590" w:rsidRPr="00834810" w:rsidRDefault="000F7590" w:rsidP="006B40EA">
      <w:pPr>
        <w:pStyle w:val="Prrafodelista"/>
        <w:tabs>
          <w:tab w:val="left" w:pos="284"/>
        </w:tabs>
        <w:ind w:left="0"/>
        <w:rPr>
          <w:rFonts w:ascii="Lato" w:hAnsi="Lato"/>
          <w:szCs w:val="20"/>
        </w:rPr>
      </w:pPr>
      <w:r w:rsidRPr="00834810">
        <w:rPr>
          <w:rFonts w:ascii="Lato" w:hAnsi="Lato"/>
          <w:b/>
          <w:szCs w:val="20"/>
        </w:rPr>
        <w:t>1111</w:t>
      </w:r>
      <w:r w:rsidR="006B40EA" w:rsidRPr="00834810">
        <w:rPr>
          <w:rFonts w:ascii="Lato" w:hAnsi="Lato"/>
          <w:szCs w:val="20"/>
        </w:rPr>
        <w:t xml:space="preserve"> La cuenta de efectivo no tiene movimientos.</w:t>
      </w:r>
      <w:r w:rsidRPr="00834810">
        <w:rPr>
          <w:rFonts w:ascii="Lato" w:hAnsi="Lato"/>
          <w:szCs w:val="20"/>
        </w:rPr>
        <w:br w:type="textWrapping" w:clear="all"/>
      </w:r>
    </w:p>
    <w:p w:rsidR="000F7590" w:rsidRPr="00834810" w:rsidRDefault="000F7590" w:rsidP="000F7590">
      <w:pPr>
        <w:pStyle w:val="Prrafodelista"/>
        <w:tabs>
          <w:tab w:val="left" w:pos="284"/>
        </w:tabs>
        <w:ind w:left="0"/>
        <w:rPr>
          <w:rFonts w:ascii="Lato" w:hAnsi="Lato"/>
          <w:szCs w:val="20"/>
        </w:rPr>
      </w:pPr>
      <w:r w:rsidRPr="00834810">
        <w:rPr>
          <w:rFonts w:ascii="Lato" w:hAnsi="Lato"/>
          <w:b/>
          <w:szCs w:val="20"/>
        </w:rPr>
        <w:t>1112</w:t>
      </w:r>
      <w:r w:rsidRPr="00834810">
        <w:rPr>
          <w:rFonts w:ascii="Lato" w:hAnsi="Lato"/>
          <w:szCs w:val="20"/>
        </w:rPr>
        <w:t xml:space="preserve"> La cuenta de bancos se encuentra integrada de la siguiente manera:</w:t>
      </w:r>
    </w:p>
    <w:p w:rsidR="006B40EA" w:rsidRPr="00834810" w:rsidRDefault="006B40EA" w:rsidP="000F7590">
      <w:pPr>
        <w:pStyle w:val="Prrafodelista"/>
        <w:tabs>
          <w:tab w:val="left" w:pos="284"/>
        </w:tabs>
        <w:ind w:left="0"/>
        <w:rPr>
          <w:rFonts w:ascii="Lato" w:hAnsi="Lato"/>
          <w:szCs w:val="20"/>
        </w:rPr>
      </w:pPr>
    </w:p>
    <w:p w:rsidR="006B40EA" w:rsidRPr="00834810" w:rsidRDefault="006B40EA" w:rsidP="006B40EA">
      <w:pPr>
        <w:autoSpaceDE w:val="0"/>
        <w:autoSpaceDN w:val="0"/>
        <w:adjustRightInd w:val="0"/>
        <w:spacing w:line="360" w:lineRule="auto"/>
        <w:jc w:val="both"/>
        <w:rPr>
          <w:rFonts w:ascii="Lato" w:hAnsi="Lato" w:cs="Arial"/>
          <w:szCs w:val="20"/>
        </w:rPr>
      </w:pPr>
    </w:p>
    <w:tbl>
      <w:tblPr>
        <w:tblW w:w="0" w:type="auto"/>
        <w:jc w:val="center"/>
        <w:tblLook w:val="04A0" w:firstRow="1" w:lastRow="0" w:firstColumn="1" w:lastColumn="0" w:noHBand="0" w:noVBand="1"/>
      </w:tblPr>
      <w:tblGrid>
        <w:gridCol w:w="2376"/>
        <w:gridCol w:w="1985"/>
      </w:tblGrid>
      <w:tr w:rsidR="006B40EA" w:rsidRPr="00834810" w:rsidTr="006B40EA">
        <w:trPr>
          <w:jc w:val="center"/>
        </w:trPr>
        <w:tc>
          <w:tcPr>
            <w:tcW w:w="2376" w:type="dxa"/>
            <w:shd w:val="clear" w:color="auto" w:fill="auto"/>
            <w:vAlign w:val="bottom"/>
          </w:tcPr>
          <w:p w:rsidR="006B40EA" w:rsidRPr="00834810" w:rsidRDefault="005C38EF" w:rsidP="007F2C65">
            <w:pPr>
              <w:autoSpaceDE w:val="0"/>
              <w:autoSpaceDN w:val="0"/>
              <w:adjustRightInd w:val="0"/>
              <w:spacing w:line="360" w:lineRule="auto"/>
              <w:jc w:val="center"/>
              <w:rPr>
                <w:rFonts w:ascii="Lato" w:hAnsi="Lato" w:cs="Arial"/>
                <w:b/>
                <w:szCs w:val="20"/>
              </w:rPr>
            </w:pPr>
            <w:r w:rsidRPr="00834810">
              <w:rPr>
                <w:rFonts w:ascii="Lato" w:hAnsi="Lato" w:cs="Arial"/>
                <w:b/>
                <w:szCs w:val="20"/>
              </w:rPr>
              <w:t>HSBC</w:t>
            </w:r>
          </w:p>
        </w:tc>
        <w:tc>
          <w:tcPr>
            <w:tcW w:w="1985" w:type="dxa"/>
            <w:shd w:val="clear" w:color="auto" w:fill="auto"/>
            <w:vAlign w:val="bottom"/>
          </w:tcPr>
          <w:p w:rsidR="006B40EA" w:rsidRPr="00834810" w:rsidRDefault="006B40EA" w:rsidP="007F2C65">
            <w:pPr>
              <w:autoSpaceDE w:val="0"/>
              <w:autoSpaceDN w:val="0"/>
              <w:adjustRightInd w:val="0"/>
              <w:spacing w:line="360" w:lineRule="auto"/>
              <w:jc w:val="center"/>
              <w:rPr>
                <w:rFonts w:ascii="Lato" w:hAnsi="Lato" w:cs="Arial"/>
                <w:b/>
                <w:szCs w:val="20"/>
              </w:rPr>
            </w:pPr>
            <w:r w:rsidRPr="00834810">
              <w:rPr>
                <w:rFonts w:ascii="Lato" w:hAnsi="Lato" w:cs="Arial"/>
                <w:b/>
                <w:szCs w:val="20"/>
              </w:rPr>
              <w:t>IMPORTE</w:t>
            </w:r>
          </w:p>
        </w:tc>
      </w:tr>
      <w:tr w:rsidR="006B40EA" w:rsidRPr="00834810" w:rsidTr="006B40EA">
        <w:trPr>
          <w:jc w:val="center"/>
        </w:trPr>
        <w:tc>
          <w:tcPr>
            <w:tcW w:w="2376" w:type="dxa"/>
            <w:shd w:val="clear" w:color="auto" w:fill="auto"/>
            <w:vAlign w:val="bottom"/>
          </w:tcPr>
          <w:p w:rsidR="006B40EA" w:rsidRPr="00834810" w:rsidRDefault="006B40EA" w:rsidP="007F2C65">
            <w:pPr>
              <w:autoSpaceDE w:val="0"/>
              <w:autoSpaceDN w:val="0"/>
              <w:adjustRightInd w:val="0"/>
              <w:spacing w:line="360" w:lineRule="auto"/>
              <w:jc w:val="center"/>
              <w:rPr>
                <w:rFonts w:ascii="Lato" w:hAnsi="Lato" w:cs="Arial"/>
                <w:szCs w:val="20"/>
              </w:rPr>
            </w:pPr>
            <w:r w:rsidRPr="00834810">
              <w:rPr>
                <w:rFonts w:ascii="Lato" w:hAnsi="Lato" w:cs="Arial"/>
                <w:szCs w:val="20"/>
              </w:rPr>
              <w:t xml:space="preserve">CTA. </w:t>
            </w:r>
            <w:r w:rsidR="005C38EF" w:rsidRPr="00834810">
              <w:rPr>
                <w:rFonts w:ascii="Lato" w:hAnsi="Lato" w:cs="Arial"/>
                <w:szCs w:val="20"/>
              </w:rPr>
              <w:t>4070622410</w:t>
            </w:r>
          </w:p>
        </w:tc>
        <w:tc>
          <w:tcPr>
            <w:tcW w:w="1985" w:type="dxa"/>
            <w:shd w:val="clear" w:color="auto" w:fill="auto"/>
            <w:vAlign w:val="bottom"/>
          </w:tcPr>
          <w:p w:rsidR="006B40EA" w:rsidRPr="00834810" w:rsidRDefault="00166CB5" w:rsidP="007F2C65">
            <w:pPr>
              <w:autoSpaceDE w:val="0"/>
              <w:autoSpaceDN w:val="0"/>
              <w:adjustRightInd w:val="0"/>
              <w:spacing w:line="360" w:lineRule="auto"/>
              <w:jc w:val="right"/>
              <w:rPr>
                <w:rFonts w:ascii="Lato" w:hAnsi="Lato" w:cs="Arial"/>
                <w:szCs w:val="20"/>
              </w:rPr>
            </w:pPr>
            <w:r>
              <w:rPr>
                <w:rFonts w:ascii="Lato" w:hAnsi="Lato" w:cs="Arial"/>
                <w:szCs w:val="20"/>
              </w:rPr>
              <w:t>9,708,158.90</w:t>
            </w:r>
          </w:p>
        </w:tc>
      </w:tr>
      <w:tr w:rsidR="006B40EA" w:rsidRPr="00834810" w:rsidTr="006B40EA">
        <w:trPr>
          <w:jc w:val="center"/>
        </w:trPr>
        <w:tc>
          <w:tcPr>
            <w:tcW w:w="2376" w:type="dxa"/>
            <w:shd w:val="clear" w:color="auto" w:fill="auto"/>
            <w:vAlign w:val="bottom"/>
          </w:tcPr>
          <w:p w:rsidR="006B40EA" w:rsidRPr="00834810" w:rsidRDefault="006B40EA" w:rsidP="007F2C65">
            <w:pPr>
              <w:autoSpaceDE w:val="0"/>
              <w:autoSpaceDN w:val="0"/>
              <w:adjustRightInd w:val="0"/>
              <w:spacing w:line="360" w:lineRule="auto"/>
              <w:jc w:val="center"/>
              <w:rPr>
                <w:rFonts w:ascii="Lato" w:hAnsi="Lato" w:cs="Arial"/>
                <w:b/>
                <w:szCs w:val="20"/>
              </w:rPr>
            </w:pPr>
            <w:r w:rsidRPr="00834810">
              <w:rPr>
                <w:rFonts w:ascii="Lato" w:hAnsi="Lato" w:cs="Arial"/>
                <w:szCs w:val="20"/>
              </w:rPr>
              <w:t>T</w:t>
            </w:r>
            <w:r w:rsidRPr="00834810">
              <w:rPr>
                <w:rFonts w:ascii="Lato" w:hAnsi="Lato" w:cs="Arial"/>
                <w:b/>
                <w:szCs w:val="20"/>
              </w:rPr>
              <w:t>OTAL</w:t>
            </w:r>
          </w:p>
        </w:tc>
        <w:tc>
          <w:tcPr>
            <w:tcW w:w="1985" w:type="dxa"/>
            <w:shd w:val="clear" w:color="auto" w:fill="auto"/>
            <w:vAlign w:val="bottom"/>
          </w:tcPr>
          <w:p w:rsidR="006B40EA" w:rsidRPr="00834810" w:rsidRDefault="00ED5C76" w:rsidP="007F2C65">
            <w:pPr>
              <w:autoSpaceDE w:val="0"/>
              <w:autoSpaceDN w:val="0"/>
              <w:adjustRightInd w:val="0"/>
              <w:spacing w:line="360" w:lineRule="auto"/>
              <w:jc w:val="right"/>
              <w:rPr>
                <w:rFonts w:ascii="Lato" w:hAnsi="Lato" w:cs="Arial"/>
                <w:szCs w:val="20"/>
              </w:rPr>
            </w:pPr>
            <w:r>
              <w:rPr>
                <w:rFonts w:ascii="Lato" w:hAnsi="Lato" w:cs="Arial"/>
                <w:b/>
                <w:szCs w:val="20"/>
              </w:rPr>
              <w:t>9,708,158.90</w:t>
            </w:r>
          </w:p>
        </w:tc>
      </w:tr>
    </w:tbl>
    <w:p w:rsidR="006B40EA" w:rsidRPr="00834810" w:rsidRDefault="006B40EA" w:rsidP="006B40EA">
      <w:pPr>
        <w:autoSpaceDE w:val="0"/>
        <w:autoSpaceDN w:val="0"/>
        <w:adjustRightInd w:val="0"/>
        <w:spacing w:line="360" w:lineRule="auto"/>
        <w:jc w:val="both"/>
        <w:rPr>
          <w:rFonts w:ascii="Lato" w:hAnsi="Lato" w:cs="Arial"/>
          <w:b/>
          <w:szCs w:val="20"/>
        </w:rPr>
      </w:pPr>
    </w:p>
    <w:p w:rsidR="006B40EA" w:rsidRPr="00834810" w:rsidRDefault="006B40EA" w:rsidP="006B40EA">
      <w:pPr>
        <w:pStyle w:val="Textoindependiente2"/>
        <w:spacing w:after="0" w:line="240" w:lineRule="auto"/>
        <w:ind w:left="567"/>
        <w:jc w:val="both"/>
        <w:rPr>
          <w:rFonts w:ascii="Lato" w:hAnsi="Lato" w:cs="Calibri"/>
          <w:color w:val="000000"/>
          <w:szCs w:val="20"/>
          <w:lang w:eastAsia="es-MX"/>
        </w:rPr>
      </w:pPr>
      <w:r w:rsidRPr="00834810">
        <w:rPr>
          <w:rFonts w:ascii="Lato" w:hAnsi="Lato"/>
          <w:szCs w:val="20"/>
        </w:rPr>
        <w:t xml:space="preserve">La cuenta denominada </w:t>
      </w:r>
      <w:r w:rsidR="00742F5B" w:rsidRPr="00834810">
        <w:rPr>
          <w:rFonts w:ascii="Lato" w:hAnsi="Lato" w:cs="Arial"/>
          <w:b/>
          <w:szCs w:val="20"/>
        </w:rPr>
        <w:t>HSBC</w:t>
      </w:r>
      <w:r w:rsidRPr="00834810">
        <w:rPr>
          <w:rFonts w:ascii="Lato" w:hAnsi="Lato" w:cs="Calibri"/>
          <w:color w:val="000000"/>
          <w:szCs w:val="20"/>
          <w:lang w:eastAsia="es-MX"/>
        </w:rPr>
        <w:t xml:space="preserve"> CTA </w:t>
      </w:r>
      <w:r w:rsidR="00742F5B" w:rsidRPr="00834810">
        <w:rPr>
          <w:rFonts w:ascii="Lato" w:hAnsi="Lato" w:cs="Arial"/>
          <w:szCs w:val="20"/>
        </w:rPr>
        <w:t>4070622410</w:t>
      </w:r>
      <w:r w:rsidRPr="00834810">
        <w:rPr>
          <w:rFonts w:ascii="Lato" w:hAnsi="Lato" w:cs="Calibri"/>
          <w:color w:val="000000"/>
          <w:szCs w:val="20"/>
          <w:lang w:eastAsia="es-MX"/>
        </w:rPr>
        <w:t xml:space="preserve">, corresponde a la cuenta concentradora que acumula los ingresos obtenidos. </w:t>
      </w:r>
    </w:p>
    <w:p w:rsidR="006B40EA" w:rsidRPr="00834810" w:rsidRDefault="006B40EA" w:rsidP="006B40EA">
      <w:pPr>
        <w:pStyle w:val="Textoindependiente2"/>
        <w:spacing w:after="0" w:line="240" w:lineRule="auto"/>
        <w:ind w:left="567"/>
        <w:jc w:val="both"/>
        <w:rPr>
          <w:rFonts w:ascii="Lato" w:hAnsi="Lato" w:cs="Calibri"/>
          <w:color w:val="000000"/>
          <w:szCs w:val="20"/>
          <w:lang w:eastAsia="es-MX"/>
        </w:rPr>
      </w:pPr>
    </w:p>
    <w:p w:rsidR="006B40EA" w:rsidRPr="00834810" w:rsidRDefault="006B40EA" w:rsidP="006B40EA">
      <w:pPr>
        <w:autoSpaceDE w:val="0"/>
        <w:autoSpaceDN w:val="0"/>
        <w:adjustRightInd w:val="0"/>
        <w:spacing w:line="360" w:lineRule="auto"/>
        <w:ind w:left="567"/>
        <w:jc w:val="both"/>
        <w:rPr>
          <w:rFonts w:ascii="Lato" w:hAnsi="Lato" w:cs="Arial"/>
          <w:b/>
          <w:szCs w:val="20"/>
        </w:rPr>
      </w:pPr>
      <w:r w:rsidRPr="00834810">
        <w:rPr>
          <w:rFonts w:ascii="Lato" w:hAnsi="Lato" w:cs="Arial"/>
          <w:b/>
          <w:szCs w:val="20"/>
        </w:rPr>
        <w:lastRenderedPageBreak/>
        <w:t>Inversiones Temporales</w:t>
      </w:r>
    </w:p>
    <w:p w:rsidR="006B40EA" w:rsidRPr="00834810" w:rsidRDefault="006B40EA" w:rsidP="006B40EA">
      <w:pPr>
        <w:autoSpaceDE w:val="0"/>
        <w:autoSpaceDN w:val="0"/>
        <w:adjustRightInd w:val="0"/>
        <w:spacing w:line="360" w:lineRule="auto"/>
        <w:ind w:left="567"/>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742F5B" w:rsidRPr="00834810">
        <w:rPr>
          <w:rFonts w:ascii="Lato" w:hAnsi="Lato" w:cs="Arial"/>
          <w:szCs w:val="20"/>
        </w:rPr>
        <w:t xml:space="preserve"> </w:t>
      </w:r>
      <w:r w:rsidRPr="00834810">
        <w:rPr>
          <w:rFonts w:ascii="Lato" w:hAnsi="Lato" w:cs="Arial"/>
          <w:szCs w:val="20"/>
        </w:rPr>
        <w:t>no cuenta con</w:t>
      </w:r>
      <w:r w:rsidR="007A18A5">
        <w:rPr>
          <w:rFonts w:ascii="Lato" w:hAnsi="Lato" w:cs="Arial"/>
          <w:szCs w:val="20"/>
        </w:rPr>
        <w:t xml:space="preserve"> cuentas</w:t>
      </w:r>
      <w:r w:rsidR="003A2FE6" w:rsidRPr="00834810">
        <w:rPr>
          <w:rFonts w:ascii="Lato" w:hAnsi="Lato" w:cs="Arial"/>
          <w:szCs w:val="20"/>
        </w:rPr>
        <w:t xml:space="preserve"> de inversiones temporales al </w:t>
      </w:r>
      <w:r w:rsidR="00ED5C76">
        <w:rPr>
          <w:rFonts w:ascii="Lato" w:hAnsi="Lato" w:cs="Arial"/>
          <w:szCs w:val="20"/>
        </w:rPr>
        <w:t>31</w:t>
      </w:r>
      <w:r w:rsidR="00471896" w:rsidRPr="00834810">
        <w:rPr>
          <w:rFonts w:ascii="Lato" w:hAnsi="Lato" w:cs="Arial"/>
          <w:szCs w:val="20"/>
        </w:rPr>
        <w:t xml:space="preserve"> de </w:t>
      </w:r>
      <w:r w:rsidR="00ED5C76">
        <w:rPr>
          <w:rFonts w:ascii="Lato" w:hAnsi="Lato" w:cs="Arial"/>
          <w:szCs w:val="20"/>
        </w:rPr>
        <w:t>marzo</w:t>
      </w:r>
      <w:r w:rsidRPr="00834810">
        <w:rPr>
          <w:rFonts w:ascii="Lato" w:hAnsi="Lato" w:cs="Arial"/>
          <w:szCs w:val="20"/>
        </w:rPr>
        <w:t xml:space="preserve"> del 202</w:t>
      </w:r>
      <w:r w:rsidR="00006C96" w:rsidRPr="00834810">
        <w:rPr>
          <w:rFonts w:ascii="Lato" w:hAnsi="Lato" w:cs="Arial"/>
          <w:szCs w:val="20"/>
        </w:rPr>
        <w:t>5</w:t>
      </w:r>
      <w:r w:rsidRPr="00834810">
        <w:rPr>
          <w:rFonts w:ascii="Lato" w:hAnsi="Lato" w:cs="Arial"/>
          <w:szCs w:val="20"/>
        </w:rPr>
        <w:t>.</w:t>
      </w:r>
    </w:p>
    <w:p w:rsidR="000F7590" w:rsidRPr="00834810" w:rsidRDefault="000F7590" w:rsidP="000F7590">
      <w:pPr>
        <w:pStyle w:val="Prrafodelista"/>
        <w:tabs>
          <w:tab w:val="left" w:pos="284"/>
        </w:tabs>
        <w:ind w:left="0"/>
        <w:rPr>
          <w:rFonts w:ascii="Lato" w:hAnsi="Lato"/>
          <w:szCs w:val="20"/>
        </w:rPr>
      </w:pPr>
    </w:p>
    <w:p w:rsidR="000F7590" w:rsidRPr="00834810" w:rsidRDefault="000F7590" w:rsidP="000F7590">
      <w:pPr>
        <w:tabs>
          <w:tab w:val="left" w:pos="426"/>
          <w:tab w:val="left" w:pos="709"/>
        </w:tabs>
        <w:rPr>
          <w:rFonts w:ascii="Lato" w:hAnsi="Lato"/>
          <w:b/>
          <w:szCs w:val="20"/>
        </w:rPr>
      </w:pPr>
      <w:r w:rsidRPr="00834810">
        <w:rPr>
          <w:rFonts w:ascii="Lato" w:hAnsi="Lato"/>
          <w:b/>
          <w:szCs w:val="20"/>
        </w:rPr>
        <w:t>Derechos a Recibir efectivo o equivalentes y Bienes o Servicios a Recibir.</w:t>
      </w:r>
    </w:p>
    <w:p w:rsidR="000F7590" w:rsidRPr="00834810" w:rsidRDefault="000F7590" w:rsidP="000F7590">
      <w:pPr>
        <w:pStyle w:val="Prrafodelista"/>
        <w:tabs>
          <w:tab w:val="left" w:pos="426"/>
        </w:tabs>
        <w:ind w:left="0"/>
        <w:rPr>
          <w:rFonts w:ascii="Lato" w:hAnsi="Lato"/>
          <w:b/>
          <w:szCs w:val="20"/>
        </w:rPr>
      </w:pPr>
    </w:p>
    <w:p w:rsidR="006B40EA" w:rsidRPr="00834810" w:rsidRDefault="000F7590" w:rsidP="00490357">
      <w:pPr>
        <w:pStyle w:val="Prrafodelista"/>
        <w:autoSpaceDE w:val="0"/>
        <w:autoSpaceDN w:val="0"/>
        <w:adjustRightInd w:val="0"/>
        <w:spacing w:line="360" w:lineRule="auto"/>
        <w:ind w:left="0"/>
        <w:jc w:val="both"/>
        <w:rPr>
          <w:rFonts w:ascii="Lato" w:hAnsi="Lato" w:cs="Arial"/>
          <w:szCs w:val="20"/>
        </w:rPr>
      </w:pPr>
      <w:r w:rsidRPr="00834810">
        <w:rPr>
          <w:rFonts w:ascii="Lato" w:hAnsi="Lato"/>
          <w:b/>
          <w:szCs w:val="20"/>
        </w:rPr>
        <w:t>1122</w:t>
      </w:r>
      <w:r w:rsidRPr="00834810">
        <w:rPr>
          <w:rFonts w:ascii="Lato" w:hAnsi="Lato"/>
          <w:szCs w:val="20"/>
        </w:rPr>
        <w:t xml:space="preserve"> </w:t>
      </w:r>
      <w:r w:rsidR="006B40EA" w:rsidRPr="00834810">
        <w:rPr>
          <w:rFonts w:ascii="Lato" w:hAnsi="Lato" w:cs="Arial"/>
          <w:szCs w:val="20"/>
        </w:rPr>
        <w:t xml:space="preserve">La cuenta derechos a recibir efectivo o equivalentes, </w:t>
      </w:r>
      <w:r w:rsidR="007320D1" w:rsidRPr="00834810">
        <w:rPr>
          <w:rFonts w:ascii="Lato" w:hAnsi="Lato"/>
          <w:bCs/>
          <w:szCs w:val="20"/>
        </w:rPr>
        <w:t>presenta un saldo de $</w:t>
      </w:r>
      <w:r w:rsidR="00553A4B" w:rsidRPr="00834810">
        <w:rPr>
          <w:rFonts w:ascii="Lato" w:hAnsi="Lato"/>
          <w:bCs/>
          <w:szCs w:val="20"/>
        </w:rPr>
        <w:t>0</w:t>
      </w:r>
      <w:r w:rsidR="007320D1" w:rsidRPr="00834810">
        <w:rPr>
          <w:rFonts w:ascii="Lato" w:hAnsi="Lato"/>
          <w:bCs/>
          <w:szCs w:val="20"/>
        </w:rPr>
        <w:t>.00 pesos</w:t>
      </w:r>
      <w:r w:rsidR="00490357" w:rsidRPr="00834810">
        <w:rPr>
          <w:rFonts w:ascii="Lato" w:hAnsi="Lato" w:cs="Arial"/>
          <w:szCs w:val="20"/>
        </w:rPr>
        <w:t>.</w:t>
      </w:r>
    </w:p>
    <w:p w:rsidR="00490357" w:rsidRPr="00834810" w:rsidRDefault="00490357" w:rsidP="00490357">
      <w:pPr>
        <w:pStyle w:val="Prrafodelista"/>
        <w:autoSpaceDE w:val="0"/>
        <w:autoSpaceDN w:val="0"/>
        <w:adjustRightInd w:val="0"/>
        <w:spacing w:line="360" w:lineRule="auto"/>
        <w:ind w:left="0"/>
        <w:jc w:val="both"/>
        <w:rPr>
          <w:rFonts w:ascii="Lato" w:hAnsi="Lato" w:cs="Arial"/>
          <w:szCs w:val="20"/>
        </w:rPr>
      </w:pPr>
    </w:p>
    <w:p w:rsidR="006B40EA" w:rsidRPr="00834810" w:rsidRDefault="006B40EA" w:rsidP="006B40EA">
      <w:pPr>
        <w:autoSpaceDE w:val="0"/>
        <w:autoSpaceDN w:val="0"/>
        <w:adjustRightInd w:val="0"/>
        <w:spacing w:line="360" w:lineRule="auto"/>
        <w:jc w:val="both"/>
        <w:rPr>
          <w:rFonts w:ascii="Lato" w:hAnsi="Lato" w:cs="Arial"/>
          <w:szCs w:val="20"/>
        </w:rPr>
      </w:pPr>
      <w:r w:rsidRPr="00834810">
        <w:rPr>
          <w:rFonts w:ascii="Lato" w:hAnsi="Lato"/>
          <w:b/>
          <w:bCs/>
          <w:color w:val="000000"/>
          <w:szCs w:val="20"/>
        </w:rPr>
        <w:t>Otros Derechos a Recibir Efectivos o Equivalentes a corto plazo</w:t>
      </w:r>
    </w:p>
    <w:p w:rsidR="000F4D25" w:rsidRPr="00834810" w:rsidRDefault="006B40EA" w:rsidP="006B40EA">
      <w:pPr>
        <w:autoSpaceDE w:val="0"/>
        <w:autoSpaceDN w:val="0"/>
        <w:adjustRightInd w:val="0"/>
        <w:spacing w:line="360" w:lineRule="auto"/>
        <w:jc w:val="both"/>
        <w:rPr>
          <w:rFonts w:ascii="Lato" w:hAnsi="Lato"/>
          <w:b/>
          <w:szCs w:val="20"/>
        </w:rPr>
      </w:pPr>
      <w:r w:rsidRPr="00834810">
        <w:rPr>
          <w:rFonts w:ascii="Lato" w:hAnsi="Lato"/>
          <w:bCs/>
          <w:szCs w:val="20"/>
        </w:rPr>
        <w:t xml:space="preserve">El rubro de otros derechos a recibir efectivos y equivalentes </w:t>
      </w:r>
      <w:r w:rsidR="007320D1" w:rsidRPr="00834810">
        <w:rPr>
          <w:rFonts w:ascii="Lato" w:hAnsi="Lato"/>
          <w:bCs/>
          <w:szCs w:val="20"/>
        </w:rPr>
        <w:t>a corto plazo, no presenta saldo.</w:t>
      </w:r>
    </w:p>
    <w:p w:rsidR="006B40EA" w:rsidRPr="00834810" w:rsidRDefault="006B40EA" w:rsidP="006B40EA">
      <w:pPr>
        <w:autoSpaceDE w:val="0"/>
        <w:autoSpaceDN w:val="0"/>
        <w:adjustRightInd w:val="0"/>
        <w:spacing w:line="360" w:lineRule="auto"/>
        <w:jc w:val="both"/>
        <w:rPr>
          <w:rFonts w:ascii="Lato" w:hAnsi="Lato"/>
          <w:b/>
          <w:bCs/>
          <w:color w:val="000000"/>
          <w:szCs w:val="20"/>
        </w:rPr>
      </w:pPr>
      <w:r w:rsidRPr="00834810">
        <w:rPr>
          <w:rFonts w:ascii="Lato" w:hAnsi="Lato"/>
          <w:b/>
          <w:bCs/>
          <w:color w:val="000000"/>
          <w:szCs w:val="20"/>
        </w:rPr>
        <w:t>Derechos a recibir B</w:t>
      </w:r>
      <w:r w:rsidR="000F4D25" w:rsidRPr="00834810">
        <w:rPr>
          <w:rFonts w:ascii="Lato" w:hAnsi="Lato"/>
          <w:b/>
          <w:bCs/>
          <w:color w:val="000000"/>
          <w:szCs w:val="20"/>
        </w:rPr>
        <w:t>ienes o Servicios a corto plazo</w:t>
      </w:r>
    </w:p>
    <w:p w:rsidR="000F7590" w:rsidRPr="00834810" w:rsidRDefault="000F4D25" w:rsidP="00490357">
      <w:pPr>
        <w:autoSpaceDE w:val="0"/>
        <w:autoSpaceDN w:val="0"/>
        <w:adjustRightInd w:val="0"/>
        <w:spacing w:line="360" w:lineRule="auto"/>
        <w:jc w:val="both"/>
        <w:rPr>
          <w:rFonts w:ascii="Lato" w:hAnsi="Lato"/>
          <w:bCs/>
          <w:color w:val="000000"/>
          <w:szCs w:val="20"/>
        </w:rPr>
      </w:pPr>
      <w:r w:rsidRPr="00834810">
        <w:rPr>
          <w:rFonts w:ascii="Lato" w:hAnsi="Lato"/>
          <w:bCs/>
          <w:color w:val="000000"/>
          <w:szCs w:val="20"/>
        </w:rPr>
        <w:t xml:space="preserve">La cuenta derechos a recibir Bienes o Servicios a </w:t>
      </w:r>
      <w:r w:rsidR="00490357" w:rsidRPr="00834810">
        <w:rPr>
          <w:rFonts w:ascii="Lato" w:hAnsi="Lato"/>
          <w:bCs/>
          <w:color w:val="000000"/>
          <w:szCs w:val="20"/>
        </w:rPr>
        <w:t>corto plazo, no presenta saldo.</w:t>
      </w:r>
    </w:p>
    <w:p w:rsidR="000F7590" w:rsidRPr="00834810" w:rsidRDefault="000F7590" w:rsidP="000F7590">
      <w:pPr>
        <w:tabs>
          <w:tab w:val="left" w:pos="0"/>
          <w:tab w:val="left" w:pos="426"/>
        </w:tabs>
        <w:jc w:val="both"/>
        <w:rPr>
          <w:rFonts w:ascii="Lato" w:hAnsi="Lato"/>
          <w:b/>
          <w:szCs w:val="20"/>
        </w:rPr>
      </w:pPr>
      <w:r w:rsidRPr="00834810">
        <w:rPr>
          <w:rFonts w:ascii="Lato" w:hAnsi="Lato"/>
          <w:b/>
          <w:szCs w:val="20"/>
        </w:rPr>
        <w:t>1140 Inventarios</w:t>
      </w:r>
    </w:p>
    <w:p w:rsidR="000F7590" w:rsidRPr="00834810" w:rsidRDefault="000F7590" w:rsidP="000F7590">
      <w:pPr>
        <w:autoSpaceDE w:val="0"/>
        <w:jc w:val="both"/>
        <w:rPr>
          <w:rFonts w:ascii="Lato" w:hAnsi="Lato"/>
          <w:szCs w:val="20"/>
        </w:rPr>
      </w:pPr>
    </w:p>
    <w:p w:rsidR="000F4D25" w:rsidRPr="00834810" w:rsidRDefault="000F4D25" w:rsidP="00DF65AB">
      <w:pPr>
        <w:autoSpaceDE w:val="0"/>
        <w:autoSpaceDN w:val="0"/>
        <w:adjustRightInd w:val="0"/>
        <w:spacing w:line="360" w:lineRule="auto"/>
        <w:ind w:left="709"/>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562509" w:rsidRPr="00834810">
        <w:rPr>
          <w:rFonts w:ascii="Lato" w:hAnsi="Lato" w:cs="Arial"/>
          <w:szCs w:val="20"/>
        </w:rPr>
        <w:t xml:space="preserve"> </w:t>
      </w:r>
      <w:r w:rsidRPr="00834810">
        <w:rPr>
          <w:rFonts w:ascii="Lato" w:hAnsi="Lato" w:cs="Arial"/>
          <w:szCs w:val="20"/>
        </w:rPr>
        <w:t>no realiza ningún proceso de transform</w:t>
      </w:r>
      <w:r w:rsidR="00DF65AB" w:rsidRPr="00834810">
        <w:rPr>
          <w:rFonts w:ascii="Lato" w:hAnsi="Lato" w:cs="Arial"/>
          <w:szCs w:val="20"/>
        </w:rPr>
        <w:t>ación y/o elaboración de bienes</w:t>
      </w:r>
    </w:p>
    <w:p w:rsidR="00202093" w:rsidRPr="00834810" w:rsidRDefault="00202093" w:rsidP="00202093">
      <w:pPr>
        <w:autoSpaceDE w:val="0"/>
        <w:autoSpaceDN w:val="0"/>
        <w:adjustRightInd w:val="0"/>
        <w:spacing w:line="360" w:lineRule="auto"/>
        <w:jc w:val="both"/>
        <w:rPr>
          <w:rFonts w:ascii="Lato" w:hAnsi="Lato" w:cs="Arial"/>
          <w:b/>
          <w:szCs w:val="20"/>
        </w:rPr>
      </w:pPr>
      <w:r w:rsidRPr="00834810">
        <w:rPr>
          <w:rFonts w:ascii="Lato" w:hAnsi="Lato" w:cs="Arial"/>
          <w:b/>
          <w:szCs w:val="20"/>
        </w:rPr>
        <w:t xml:space="preserve">            Almacenes</w:t>
      </w:r>
    </w:p>
    <w:p w:rsidR="000F4D25" w:rsidRPr="00834810" w:rsidRDefault="000F4D25" w:rsidP="000F4D25">
      <w:pPr>
        <w:autoSpaceDE w:val="0"/>
        <w:autoSpaceDN w:val="0"/>
        <w:adjustRightInd w:val="0"/>
        <w:spacing w:line="360" w:lineRule="auto"/>
        <w:ind w:left="709"/>
        <w:jc w:val="both"/>
        <w:rPr>
          <w:rFonts w:ascii="Lato" w:hAnsi="Lato" w:cs="Arial"/>
          <w:szCs w:val="20"/>
        </w:rPr>
      </w:pPr>
      <w:r w:rsidRPr="00834810">
        <w:rPr>
          <w:rFonts w:ascii="Lato" w:hAnsi="Lato" w:cs="Arial"/>
          <w:szCs w:val="20"/>
        </w:rPr>
        <w:t xml:space="preserve">El </w:t>
      </w:r>
      <w:r w:rsidR="008770B5" w:rsidRPr="00834810">
        <w:rPr>
          <w:rFonts w:ascii="Lato" w:hAnsi="Lato" w:cs="Arial"/>
          <w:szCs w:val="20"/>
        </w:rPr>
        <w:t>Fondo Estatal para el Transporte</w:t>
      </w:r>
      <w:r w:rsidRPr="00834810">
        <w:rPr>
          <w:rFonts w:ascii="Lato" w:hAnsi="Lato" w:cs="Arial"/>
          <w:szCs w:val="20"/>
        </w:rPr>
        <w:t>, no realizan registro en la cuenta de almacén en virtud por la naturaleza de sus operaciones no tiene bienes en inventarios.</w:t>
      </w:r>
    </w:p>
    <w:p w:rsidR="000F7590" w:rsidRPr="00834810" w:rsidRDefault="000F7590" w:rsidP="000F7590">
      <w:pPr>
        <w:autoSpaceDE w:val="0"/>
        <w:jc w:val="both"/>
        <w:rPr>
          <w:rFonts w:ascii="Lato" w:hAnsi="Lato"/>
          <w:szCs w:val="20"/>
          <w:shd w:val="clear" w:color="auto" w:fill="FFFFFF"/>
        </w:rPr>
      </w:pPr>
    </w:p>
    <w:p w:rsidR="000F7590" w:rsidRPr="00834810" w:rsidRDefault="000F7590" w:rsidP="006C5266">
      <w:pPr>
        <w:pStyle w:val="Prrafodelista"/>
        <w:numPr>
          <w:ilvl w:val="0"/>
          <w:numId w:val="11"/>
        </w:numPr>
        <w:tabs>
          <w:tab w:val="left" w:pos="426"/>
        </w:tabs>
        <w:ind w:left="0" w:hanging="11"/>
        <w:jc w:val="both"/>
        <w:rPr>
          <w:rFonts w:ascii="Lato" w:hAnsi="Lato"/>
          <w:b/>
          <w:szCs w:val="20"/>
        </w:rPr>
      </w:pPr>
      <w:r w:rsidRPr="00834810">
        <w:rPr>
          <w:rFonts w:ascii="Lato" w:hAnsi="Lato"/>
          <w:b/>
          <w:szCs w:val="20"/>
        </w:rPr>
        <w:t>Inversiones Financieras.</w:t>
      </w:r>
    </w:p>
    <w:p w:rsidR="000F7590" w:rsidRPr="00834810" w:rsidRDefault="000F7590" w:rsidP="000F7590">
      <w:pPr>
        <w:pStyle w:val="Prrafodelista"/>
        <w:tabs>
          <w:tab w:val="left" w:pos="0"/>
          <w:tab w:val="left" w:pos="426"/>
        </w:tabs>
        <w:ind w:left="0"/>
        <w:jc w:val="both"/>
        <w:rPr>
          <w:rFonts w:ascii="Lato" w:hAnsi="Lato"/>
          <w:szCs w:val="20"/>
        </w:rPr>
      </w:pPr>
    </w:p>
    <w:p w:rsidR="000F7590" w:rsidRPr="00834810" w:rsidRDefault="000F4D25" w:rsidP="000F4D25">
      <w:pPr>
        <w:tabs>
          <w:tab w:val="left" w:pos="0"/>
          <w:tab w:val="left" w:pos="426"/>
        </w:tabs>
        <w:ind w:left="709"/>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562509" w:rsidRPr="00834810">
        <w:rPr>
          <w:rFonts w:ascii="Lato" w:hAnsi="Lato" w:cs="Arial"/>
          <w:szCs w:val="20"/>
        </w:rPr>
        <w:t xml:space="preserve"> </w:t>
      </w:r>
      <w:proofErr w:type="gramStart"/>
      <w:r w:rsidR="00562509" w:rsidRPr="00834810">
        <w:rPr>
          <w:rFonts w:ascii="Lato" w:hAnsi="Lato" w:cs="Arial"/>
          <w:szCs w:val="20"/>
        </w:rPr>
        <w:t xml:space="preserve">al </w:t>
      </w:r>
      <w:r w:rsidRPr="00834810">
        <w:rPr>
          <w:rFonts w:ascii="Lato" w:hAnsi="Lato" w:cs="Arial"/>
          <w:szCs w:val="20"/>
        </w:rPr>
        <w:t xml:space="preserve"> </w:t>
      </w:r>
      <w:r w:rsidR="004C7800">
        <w:rPr>
          <w:rFonts w:ascii="Lato" w:hAnsi="Lato" w:cs="Arial"/>
          <w:b/>
          <w:szCs w:val="20"/>
        </w:rPr>
        <w:t>31</w:t>
      </w:r>
      <w:proofErr w:type="gramEnd"/>
      <w:r w:rsidR="00471896" w:rsidRPr="00834810">
        <w:rPr>
          <w:rFonts w:ascii="Lato" w:hAnsi="Lato" w:cs="Arial"/>
          <w:b/>
          <w:szCs w:val="20"/>
        </w:rPr>
        <w:t xml:space="preserve"> de </w:t>
      </w:r>
      <w:r w:rsidR="004C7800">
        <w:rPr>
          <w:rFonts w:ascii="Lato" w:hAnsi="Lato" w:cs="Arial"/>
          <w:b/>
          <w:szCs w:val="20"/>
        </w:rPr>
        <w:t>marzo</w:t>
      </w:r>
      <w:r w:rsidRPr="00834810">
        <w:rPr>
          <w:rFonts w:ascii="Lato" w:hAnsi="Lato" w:cs="Arial"/>
          <w:b/>
          <w:szCs w:val="20"/>
        </w:rPr>
        <w:t xml:space="preserve"> de 202</w:t>
      </w:r>
      <w:r w:rsidR="00006C96" w:rsidRPr="00834810">
        <w:rPr>
          <w:rFonts w:ascii="Lato" w:hAnsi="Lato" w:cs="Arial"/>
          <w:b/>
          <w:szCs w:val="20"/>
        </w:rPr>
        <w:t>5</w:t>
      </w:r>
      <w:r w:rsidRPr="00834810">
        <w:rPr>
          <w:rFonts w:ascii="Lato" w:hAnsi="Lato" w:cs="Arial"/>
          <w:szCs w:val="20"/>
        </w:rPr>
        <w:t>, no cuenta con Rubro de Inversiones financiera Largo Plazo</w:t>
      </w:r>
    </w:p>
    <w:p w:rsidR="000F4D25" w:rsidRPr="00834810" w:rsidRDefault="000F4D25" w:rsidP="000F7590">
      <w:pPr>
        <w:tabs>
          <w:tab w:val="left" w:pos="0"/>
          <w:tab w:val="left" w:pos="426"/>
        </w:tabs>
        <w:ind w:left="-76"/>
        <w:jc w:val="both"/>
        <w:rPr>
          <w:rFonts w:ascii="Lato" w:hAnsi="Lato"/>
          <w:szCs w:val="20"/>
        </w:rPr>
      </w:pPr>
    </w:p>
    <w:p w:rsidR="000F7590" w:rsidRPr="00834810" w:rsidRDefault="000F7590" w:rsidP="000F7590">
      <w:pPr>
        <w:tabs>
          <w:tab w:val="left" w:pos="0"/>
          <w:tab w:val="left" w:pos="426"/>
        </w:tabs>
        <w:ind w:left="-76"/>
        <w:jc w:val="both"/>
        <w:rPr>
          <w:rFonts w:ascii="Lato" w:hAnsi="Lato"/>
          <w:b/>
          <w:szCs w:val="20"/>
        </w:rPr>
      </w:pPr>
      <w:r w:rsidRPr="00834810">
        <w:rPr>
          <w:rFonts w:ascii="Lato" w:hAnsi="Lato"/>
          <w:b/>
          <w:szCs w:val="20"/>
        </w:rPr>
        <w:t>Bienes muebles, Inmuebles e Intangibles</w:t>
      </w:r>
    </w:p>
    <w:p w:rsidR="00E40EF9" w:rsidRPr="00834810" w:rsidRDefault="00350BFC" w:rsidP="00350BFC">
      <w:pPr>
        <w:tabs>
          <w:tab w:val="left" w:pos="0"/>
          <w:tab w:val="left" w:pos="426"/>
        </w:tabs>
        <w:ind w:left="-76"/>
        <w:rPr>
          <w:rFonts w:ascii="Lato" w:hAnsi="Lato"/>
          <w:szCs w:val="20"/>
        </w:rPr>
      </w:pPr>
      <w:r w:rsidRPr="00834810">
        <w:rPr>
          <w:rFonts w:ascii="Lato" w:hAnsi="Lato"/>
          <w:szCs w:val="20"/>
        </w:rPr>
        <w:t>En el</w:t>
      </w:r>
      <w:r w:rsidRPr="00834810">
        <w:rPr>
          <w:rFonts w:ascii="Lato" w:hAnsi="Lato"/>
          <w:b/>
          <w:szCs w:val="20"/>
        </w:rPr>
        <w:t xml:space="preserve"> </w:t>
      </w:r>
      <w:r w:rsidRPr="00834810">
        <w:rPr>
          <w:rFonts w:ascii="Lato" w:hAnsi="Lato"/>
          <w:szCs w:val="20"/>
        </w:rPr>
        <w:t xml:space="preserve">rubro de bienes muebles al </w:t>
      </w:r>
      <w:r w:rsidR="004C7800">
        <w:rPr>
          <w:rFonts w:ascii="Lato" w:hAnsi="Lato"/>
          <w:szCs w:val="20"/>
        </w:rPr>
        <w:t>31</w:t>
      </w:r>
      <w:r w:rsidR="00471896" w:rsidRPr="00834810">
        <w:rPr>
          <w:rFonts w:ascii="Lato" w:hAnsi="Lato"/>
          <w:szCs w:val="20"/>
        </w:rPr>
        <w:t xml:space="preserve"> de </w:t>
      </w:r>
      <w:r w:rsidR="004C7800">
        <w:rPr>
          <w:rFonts w:ascii="Lato" w:hAnsi="Lato"/>
          <w:szCs w:val="20"/>
        </w:rPr>
        <w:t>marzo</w:t>
      </w:r>
      <w:r w:rsidR="00FB09E0" w:rsidRPr="00834810">
        <w:rPr>
          <w:rFonts w:ascii="Lato" w:hAnsi="Lato"/>
          <w:szCs w:val="20"/>
        </w:rPr>
        <w:t xml:space="preserve"> de 202</w:t>
      </w:r>
      <w:r w:rsidR="00006C96" w:rsidRPr="00834810">
        <w:rPr>
          <w:rFonts w:ascii="Lato" w:hAnsi="Lato"/>
          <w:szCs w:val="20"/>
        </w:rPr>
        <w:t>5</w:t>
      </w:r>
      <w:r w:rsidRPr="00834810">
        <w:rPr>
          <w:rFonts w:ascii="Lato" w:hAnsi="Lato"/>
          <w:szCs w:val="20"/>
        </w:rPr>
        <w:t xml:space="preserve">, </w:t>
      </w:r>
      <w:r w:rsidR="00C05A06" w:rsidRPr="00834810">
        <w:rPr>
          <w:rFonts w:ascii="Lato" w:hAnsi="Lato"/>
          <w:szCs w:val="20"/>
        </w:rPr>
        <w:t>presenta saldos</w:t>
      </w:r>
      <w:r w:rsidR="00E40EF9" w:rsidRPr="00834810">
        <w:rPr>
          <w:rFonts w:ascii="Lato" w:hAnsi="Lato"/>
          <w:szCs w:val="20"/>
        </w:rPr>
        <w:t xml:space="preserve"> de $960,000</w:t>
      </w:r>
      <w:r w:rsidR="00C05A06" w:rsidRPr="00834810">
        <w:rPr>
          <w:rFonts w:ascii="Lato" w:hAnsi="Lato"/>
          <w:szCs w:val="20"/>
        </w:rPr>
        <w:t>.</w:t>
      </w:r>
      <w:r w:rsidRPr="00834810">
        <w:rPr>
          <w:rFonts w:ascii="Lato" w:hAnsi="Lato"/>
          <w:szCs w:val="20"/>
        </w:rPr>
        <w:t xml:space="preserve">      </w:t>
      </w:r>
    </w:p>
    <w:p w:rsidR="00E40EF9" w:rsidRPr="00834810" w:rsidRDefault="00E40EF9" w:rsidP="00350BFC">
      <w:pPr>
        <w:tabs>
          <w:tab w:val="left" w:pos="0"/>
          <w:tab w:val="left" w:pos="426"/>
        </w:tabs>
        <w:ind w:left="-76"/>
        <w:rPr>
          <w:rFonts w:ascii="Lato" w:hAnsi="Lato"/>
          <w:szCs w:val="20"/>
        </w:rPr>
      </w:pPr>
    </w:p>
    <w:tbl>
      <w:tblPr>
        <w:tblW w:w="7799" w:type="dxa"/>
        <w:jc w:val="center"/>
        <w:tblCellMar>
          <w:left w:w="70" w:type="dxa"/>
          <w:right w:w="70" w:type="dxa"/>
        </w:tblCellMar>
        <w:tblLook w:val="04A0" w:firstRow="1" w:lastRow="0" w:firstColumn="1" w:lastColumn="0" w:noHBand="0" w:noVBand="1"/>
      </w:tblPr>
      <w:tblGrid>
        <w:gridCol w:w="1268"/>
        <w:gridCol w:w="3572"/>
        <w:gridCol w:w="2959"/>
      </w:tblGrid>
      <w:tr w:rsidR="00E40EF9" w:rsidRPr="00834810" w:rsidTr="00E40EF9">
        <w:trPr>
          <w:trHeight w:val="302"/>
          <w:jc w:val="center"/>
        </w:trPr>
        <w:tc>
          <w:tcPr>
            <w:tcW w:w="1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0EF9" w:rsidRPr="00834810" w:rsidRDefault="00E40EF9" w:rsidP="00E40EF9">
            <w:pPr>
              <w:jc w:val="center"/>
              <w:rPr>
                <w:rFonts w:ascii="Lato" w:hAnsi="Lato" w:cs="Calibri"/>
                <w:b/>
                <w:bCs/>
                <w:color w:val="000000"/>
                <w:szCs w:val="20"/>
                <w:lang w:eastAsia="es-MX"/>
              </w:rPr>
            </w:pPr>
            <w:r w:rsidRPr="00834810">
              <w:rPr>
                <w:rFonts w:ascii="Lato" w:hAnsi="Lato" w:cs="Calibri"/>
                <w:b/>
                <w:bCs/>
                <w:color w:val="000000"/>
                <w:szCs w:val="20"/>
                <w:lang w:eastAsia="es-MX"/>
              </w:rPr>
              <w:lastRenderedPageBreak/>
              <w:t>Cuenta</w:t>
            </w:r>
          </w:p>
        </w:tc>
        <w:tc>
          <w:tcPr>
            <w:tcW w:w="3572" w:type="dxa"/>
            <w:tcBorders>
              <w:top w:val="single" w:sz="8" w:space="0" w:color="auto"/>
              <w:left w:val="nil"/>
              <w:bottom w:val="single" w:sz="8" w:space="0" w:color="auto"/>
              <w:right w:val="single" w:sz="8" w:space="0" w:color="auto"/>
            </w:tcBorders>
            <w:shd w:val="clear" w:color="auto" w:fill="auto"/>
            <w:noWrap/>
            <w:vAlign w:val="center"/>
            <w:hideMark/>
          </w:tcPr>
          <w:p w:rsidR="00E40EF9" w:rsidRPr="00834810" w:rsidRDefault="00E40EF9" w:rsidP="00E40EF9">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Descripción </w:t>
            </w:r>
          </w:p>
        </w:tc>
        <w:tc>
          <w:tcPr>
            <w:tcW w:w="2959" w:type="dxa"/>
            <w:tcBorders>
              <w:top w:val="single" w:sz="8" w:space="0" w:color="auto"/>
              <w:left w:val="nil"/>
              <w:bottom w:val="single" w:sz="8" w:space="0" w:color="auto"/>
              <w:right w:val="single" w:sz="8" w:space="0" w:color="auto"/>
            </w:tcBorders>
            <w:shd w:val="clear" w:color="auto" w:fill="auto"/>
            <w:noWrap/>
            <w:vAlign w:val="center"/>
            <w:hideMark/>
          </w:tcPr>
          <w:p w:rsidR="00E40EF9" w:rsidRPr="00834810" w:rsidRDefault="00E40EF9" w:rsidP="00E40EF9">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Saldo al </w:t>
            </w:r>
            <w:r w:rsidR="004C7800">
              <w:rPr>
                <w:rFonts w:ascii="Lato" w:hAnsi="Lato" w:cs="Calibri"/>
                <w:b/>
                <w:bCs/>
                <w:color w:val="000000"/>
                <w:szCs w:val="20"/>
                <w:lang w:eastAsia="es-MX"/>
              </w:rPr>
              <w:t>31</w:t>
            </w:r>
            <w:r w:rsidR="00471896" w:rsidRPr="00834810">
              <w:rPr>
                <w:rFonts w:ascii="Lato" w:hAnsi="Lato" w:cs="Calibri"/>
                <w:b/>
                <w:bCs/>
                <w:color w:val="000000"/>
                <w:szCs w:val="20"/>
                <w:lang w:eastAsia="es-MX"/>
              </w:rPr>
              <w:t xml:space="preserve"> de </w:t>
            </w:r>
            <w:r w:rsidR="004C7800">
              <w:rPr>
                <w:rFonts w:ascii="Lato" w:hAnsi="Lato" w:cs="Calibri"/>
                <w:b/>
                <w:bCs/>
                <w:color w:val="000000"/>
                <w:szCs w:val="20"/>
                <w:lang w:eastAsia="es-MX"/>
              </w:rPr>
              <w:t>marz</w:t>
            </w:r>
            <w:r w:rsidR="00471896" w:rsidRPr="00834810">
              <w:rPr>
                <w:rFonts w:ascii="Lato" w:hAnsi="Lato" w:cs="Calibri"/>
                <w:b/>
                <w:bCs/>
                <w:color w:val="000000"/>
                <w:szCs w:val="20"/>
                <w:lang w:eastAsia="es-MX"/>
              </w:rPr>
              <w:t>o</w:t>
            </w:r>
            <w:r w:rsidR="00006C96" w:rsidRPr="00834810">
              <w:rPr>
                <w:rFonts w:ascii="Lato" w:hAnsi="Lato" w:cs="Calibri"/>
                <w:b/>
                <w:bCs/>
                <w:color w:val="000000"/>
                <w:szCs w:val="20"/>
                <w:lang w:eastAsia="es-MX"/>
              </w:rPr>
              <w:t xml:space="preserve"> </w:t>
            </w:r>
            <w:r w:rsidRPr="00834810">
              <w:rPr>
                <w:rFonts w:ascii="Lato" w:hAnsi="Lato" w:cs="Calibri"/>
                <w:b/>
                <w:bCs/>
                <w:color w:val="000000"/>
                <w:szCs w:val="20"/>
                <w:lang w:eastAsia="es-MX"/>
              </w:rPr>
              <w:t>202</w:t>
            </w:r>
            <w:r w:rsidR="00006C96" w:rsidRPr="00834810">
              <w:rPr>
                <w:rFonts w:ascii="Lato" w:hAnsi="Lato" w:cs="Calibri"/>
                <w:b/>
                <w:bCs/>
                <w:color w:val="000000"/>
                <w:szCs w:val="20"/>
                <w:lang w:eastAsia="es-MX"/>
              </w:rPr>
              <w:t>5</w:t>
            </w:r>
          </w:p>
        </w:tc>
      </w:tr>
      <w:tr w:rsidR="00E40EF9" w:rsidRPr="00834810" w:rsidTr="00E40EF9">
        <w:trPr>
          <w:trHeight w:val="302"/>
          <w:jc w:val="center"/>
        </w:trPr>
        <w:tc>
          <w:tcPr>
            <w:tcW w:w="1268" w:type="dxa"/>
            <w:tcBorders>
              <w:top w:val="nil"/>
              <w:left w:val="single" w:sz="8" w:space="0" w:color="auto"/>
              <w:bottom w:val="single" w:sz="8" w:space="0" w:color="auto"/>
              <w:right w:val="single" w:sz="8" w:space="0" w:color="auto"/>
            </w:tcBorders>
            <w:shd w:val="clear" w:color="auto" w:fill="auto"/>
            <w:noWrap/>
            <w:vAlign w:val="center"/>
            <w:hideMark/>
          </w:tcPr>
          <w:p w:rsidR="00E40EF9" w:rsidRPr="00834810" w:rsidRDefault="00E40EF9" w:rsidP="00E40EF9">
            <w:pPr>
              <w:jc w:val="center"/>
              <w:rPr>
                <w:rFonts w:ascii="Lato" w:hAnsi="Lato" w:cs="Calibri"/>
                <w:b/>
                <w:bCs/>
                <w:color w:val="000000"/>
                <w:szCs w:val="20"/>
                <w:lang w:eastAsia="es-MX"/>
              </w:rPr>
            </w:pPr>
            <w:r w:rsidRPr="00834810">
              <w:rPr>
                <w:rFonts w:ascii="Lato" w:hAnsi="Lato" w:cs="Calibri"/>
                <w:b/>
                <w:bCs/>
                <w:color w:val="000000"/>
                <w:szCs w:val="20"/>
                <w:lang w:eastAsia="es-MX"/>
              </w:rPr>
              <w:t>1241</w:t>
            </w:r>
          </w:p>
        </w:tc>
        <w:tc>
          <w:tcPr>
            <w:tcW w:w="3572" w:type="dxa"/>
            <w:tcBorders>
              <w:top w:val="nil"/>
              <w:left w:val="nil"/>
              <w:bottom w:val="single" w:sz="8" w:space="0" w:color="auto"/>
              <w:right w:val="single" w:sz="8" w:space="0" w:color="auto"/>
            </w:tcBorders>
            <w:shd w:val="clear" w:color="auto" w:fill="auto"/>
            <w:noWrap/>
            <w:vAlign w:val="center"/>
            <w:hideMark/>
          </w:tcPr>
          <w:p w:rsidR="00E40EF9" w:rsidRPr="00834810" w:rsidRDefault="00E40EF9" w:rsidP="00E40EF9">
            <w:pPr>
              <w:rPr>
                <w:rFonts w:ascii="Lato" w:hAnsi="Lato" w:cs="Calibri"/>
                <w:b/>
                <w:bCs/>
                <w:color w:val="000000"/>
                <w:szCs w:val="20"/>
                <w:lang w:eastAsia="es-MX"/>
              </w:rPr>
            </w:pPr>
            <w:r w:rsidRPr="00834810">
              <w:rPr>
                <w:rFonts w:ascii="Lato" w:hAnsi="Lato" w:cs="Calibri"/>
                <w:b/>
                <w:bCs/>
                <w:color w:val="000000"/>
                <w:szCs w:val="20"/>
                <w:lang w:eastAsia="es-MX"/>
              </w:rPr>
              <w:t>Mobiliario y Equipo de Administración</w:t>
            </w:r>
          </w:p>
        </w:tc>
        <w:tc>
          <w:tcPr>
            <w:tcW w:w="2959" w:type="dxa"/>
            <w:tcBorders>
              <w:top w:val="nil"/>
              <w:left w:val="nil"/>
              <w:bottom w:val="single" w:sz="8" w:space="0" w:color="auto"/>
              <w:right w:val="single" w:sz="8" w:space="0" w:color="auto"/>
            </w:tcBorders>
            <w:shd w:val="clear" w:color="auto" w:fill="auto"/>
            <w:noWrap/>
            <w:vAlign w:val="bottom"/>
            <w:hideMark/>
          </w:tcPr>
          <w:p w:rsidR="00E40EF9" w:rsidRPr="00834810" w:rsidRDefault="00E40EF9" w:rsidP="00E40EF9">
            <w:pPr>
              <w:jc w:val="center"/>
              <w:rPr>
                <w:rFonts w:ascii="Lato" w:hAnsi="Lato" w:cs="Calibri"/>
                <w:color w:val="000000"/>
                <w:szCs w:val="20"/>
                <w:lang w:eastAsia="es-MX"/>
              </w:rPr>
            </w:pPr>
            <w:r w:rsidRPr="00834810">
              <w:rPr>
                <w:rFonts w:ascii="Lato" w:hAnsi="Lato" w:cs="Calibri"/>
                <w:color w:val="000000"/>
                <w:szCs w:val="20"/>
                <w:lang w:eastAsia="es-MX"/>
              </w:rPr>
              <w:t> </w:t>
            </w:r>
          </w:p>
        </w:tc>
      </w:tr>
      <w:tr w:rsidR="00E40EF9" w:rsidRPr="00834810" w:rsidTr="00E40EF9">
        <w:trPr>
          <w:trHeight w:val="302"/>
          <w:jc w:val="center"/>
        </w:trPr>
        <w:tc>
          <w:tcPr>
            <w:tcW w:w="1268" w:type="dxa"/>
            <w:tcBorders>
              <w:top w:val="nil"/>
              <w:left w:val="single" w:sz="8" w:space="0" w:color="auto"/>
              <w:bottom w:val="single" w:sz="8" w:space="0" w:color="auto"/>
              <w:right w:val="single" w:sz="8" w:space="0" w:color="auto"/>
            </w:tcBorders>
            <w:shd w:val="clear" w:color="auto" w:fill="auto"/>
            <w:noWrap/>
            <w:vAlign w:val="center"/>
            <w:hideMark/>
          </w:tcPr>
          <w:p w:rsidR="00E40EF9" w:rsidRPr="00834810" w:rsidRDefault="00E40EF9" w:rsidP="00E40EF9">
            <w:pPr>
              <w:rPr>
                <w:rFonts w:ascii="Lato" w:hAnsi="Lato" w:cs="Calibri"/>
                <w:color w:val="000000"/>
                <w:szCs w:val="20"/>
                <w:lang w:eastAsia="es-MX"/>
              </w:rPr>
            </w:pPr>
            <w:r w:rsidRPr="00834810">
              <w:rPr>
                <w:rFonts w:ascii="Lato" w:hAnsi="Lato" w:cs="Calibri"/>
                <w:color w:val="000000"/>
                <w:szCs w:val="20"/>
                <w:lang w:eastAsia="es-MX"/>
              </w:rPr>
              <w:t> </w:t>
            </w:r>
          </w:p>
        </w:tc>
        <w:tc>
          <w:tcPr>
            <w:tcW w:w="3572" w:type="dxa"/>
            <w:tcBorders>
              <w:top w:val="nil"/>
              <w:left w:val="nil"/>
              <w:bottom w:val="single" w:sz="8" w:space="0" w:color="auto"/>
              <w:right w:val="single" w:sz="8" w:space="0" w:color="auto"/>
            </w:tcBorders>
            <w:shd w:val="clear" w:color="auto" w:fill="auto"/>
            <w:noWrap/>
            <w:vAlign w:val="center"/>
            <w:hideMark/>
          </w:tcPr>
          <w:p w:rsidR="00E40EF9" w:rsidRPr="00834810" w:rsidRDefault="00006C96" w:rsidP="00E40EF9">
            <w:pPr>
              <w:rPr>
                <w:rFonts w:ascii="Lato" w:hAnsi="Lato" w:cs="Calibri"/>
                <w:color w:val="000000"/>
                <w:szCs w:val="20"/>
                <w:lang w:eastAsia="es-MX"/>
              </w:rPr>
            </w:pPr>
            <w:r w:rsidRPr="00834810">
              <w:rPr>
                <w:rFonts w:ascii="Lato" w:hAnsi="Lato" w:cs="Calibri"/>
                <w:color w:val="000000"/>
                <w:szCs w:val="20"/>
                <w:lang w:eastAsia="es-MX"/>
              </w:rPr>
              <w:t>Equipo de Cómputo y Tecnología de Información</w:t>
            </w:r>
          </w:p>
        </w:tc>
        <w:tc>
          <w:tcPr>
            <w:tcW w:w="2959" w:type="dxa"/>
            <w:tcBorders>
              <w:top w:val="nil"/>
              <w:left w:val="nil"/>
              <w:bottom w:val="single" w:sz="8" w:space="0" w:color="auto"/>
              <w:right w:val="single" w:sz="8" w:space="0" w:color="auto"/>
            </w:tcBorders>
            <w:shd w:val="clear" w:color="auto" w:fill="auto"/>
            <w:noWrap/>
            <w:vAlign w:val="center"/>
            <w:hideMark/>
          </w:tcPr>
          <w:p w:rsidR="00E40EF9" w:rsidRPr="00834810" w:rsidRDefault="00E40EF9" w:rsidP="00E40EF9">
            <w:pPr>
              <w:jc w:val="center"/>
              <w:rPr>
                <w:rFonts w:ascii="Lato" w:hAnsi="Lato" w:cs="Calibri"/>
                <w:color w:val="000000"/>
                <w:szCs w:val="20"/>
                <w:lang w:eastAsia="es-MX"/>
              </w:rPr>
            </w:pPr>
            <w:r w:rsidRPr="00834810">
              <w:rPr>
                <w:rFonts w:ascii="Lato" w:hAnsi="Lato" w:cs="Calibri"/>
                <w:color w:val="000000"/>
                <w:szCs w:val="20"/>
                <w:lang w:eastAsia="es-MX"/>
              </w:rPr>
              <w:t>$960,000.00</w:t>
            </w:r>
          </w:p>
        </w:tc>
      </w:tr>
      <w:tr w:rsidR="00E40EF9" w:rsidRPr="00834810" w:rsidTr="00E40EF9">
        <w:trPr>
          <w:trHeight w:val="302"/>
          <w:jc w:val="center"/>
        </w:trPr>
        <w:tc>
          <w:tcPr>
            <w:tcW w:w="1268" w:type="dxa"/>
            <w:tcBorders>
              <w:top w:val="nil"/>
              <w:left w:val="single" w:sz="8" w:space="0" w:color="auto"/>
              <w:bottom w:val="single" w:sz="8" w:space="0" w:color="auto"/>
              <w:right w:val="nil"/>
            </w:tcBorders>
            <w:shd w:val="clear" w:color="auto" w:fill="auto"/>
            <w:noWrap/>
            <w:vAlign w:val="bottom"/>
            <w:hideMark/>
          </w:tcPr>
          <w:p w:rsidR="00E40EF9" w:rsidRPr="00834810" w:rsidRDefault="00E40EF9" w:rsidP="00E40EF9">
            <w:pPr>
              <w:rPr>
                <w:rFonts w:ascii="Lato" w:hAnsi="Lato" w:cs="Calibri"/>
                <w:color w:val="000000"/>
                <w:szCs w:val="20"/>
                <w:lang w:eastAsia="es-MX"/>
              </w:rPr>
            </w:pPr>
            <w:r w:rsidRPr="00834810">
              <w:rPr>
                <w:rFonts w:ascii="Lato" w:hAnsi="Lato" w:cs="Calibri"/>
                <w:color w:val="000000"/>
                <w:szCs w:val="20"/>
                <w:lang w:eastAsia="es-MX"/>
              </w:rPr>
              <w:t> </w:t>
            </w:r>
          </w:p>
        </w:tc>
        <w:tc>
          <w:tcPr>
            <w:tcW w:w="3572" w:type="dxa"/>
            <w:tcBorders>
              <w:top w:val="nil"/>
              <w:left w:val="single" w:sz="8" w:space="0" w:color="auto"/>
              <w:bottom w:val="single" w:sz="8" w:space="0" w:color="auto"/>
              <w:right w:val="single" w:sz="8" w:space="0" w:color="auto"/>
            </w:tcBorders>
            <w:shd w:val="clear" w:color="auto" w:fill="auto"/>
            <w:noWrap/>
            <w:vAlign w:val="bottom"/>
            <w:hideMark/>
          </w:tcPr>
          <w:p w:rsidR="00E40EF9" w:rsidRPr="00834810" w:rsidRDefault="00E40EF9" w:rsidP="00E40EF9">
            <w:pPr>
              <w:rPr>
                <w:rFonts w:ascii="Lato" w:hAnsi="Lato" w:cs="Calibri"/>
                <w:b/>
                <w:bCs/>
                <w:color w:val="000000"/>
                <w:szCs w:val="20"/>
                <w:lang w:eastAsia="es-MX"/>
              </w:rPr>
            </w:pPr>
            <w:r w:rsidRPr="00834810">
              <w:rPr>
                <w:rFonts w:ascii="Lato" w:hAnsi="Lato" w:cs="Calibri"/>
                <w:b/>
                <w:bCs/>
                <w:color w:val="000000"/>
                <w:szCs w:val="20"/>
                <w:lang w:eastAsia="es-MX"/>
              </w:rPr>
              <w:t>Total Bienes Muebles</w:t>
            </w:r>
          </w:p>
        </w:tc>
        <w:tc>
          <w:tcPr>
            <w:tcW w:w="2959" w:type="dxa"/>
            <w:tcBorders>
              <w:top w:val="nil"/>
              <w:left w:val="nil"/>
              <w:bottom w:val="single" w:sz="8" w:space="0" w:color="auto"/>
              <w:right w:val="single" w:sz="8" w:space="0" w:color="auto"/>
            </w:tcBorders>
            <w:shd w:val="clear" w:color="auto" w:fill="auto"/>
            <w:noWrap/>
            <w:vAlign w:val="bottom"/>
            <w:hideMark/>
          </w:tcPr>
          <w:p w:rsidR="00E40EF9" w:rsidRPr="00834810" w:rsidRDefault="00E40EF9" w:rsidP="00E40EF9">
            <w:pPr>
              <w:jc w:val="center"/>
              <w:rPr>
                <w:rFonts w:ascii="Lato" w:hAnsi="Lato" w:cs="Calibri"/>
                <w:b/>
                <w:bCs/>
                <w:color w:val="000000"/>
                <w:szCs w:val="20"/>
                <w:lang w:eastAsia="es-MX"/>
              </w:rPr>
            </w:pPr>
            <w:r w:rsidRPr="00834810">
              <w:rPr>
                <w:rFonts w:ascii="Lato" w:hAnsi="Lato" w:cs="Calibri"/>
                <w:b/>
                <w:bCs/>
                <w:color w:val="000000"/>
                <w:szCs w:val="20"/>
                <w:lang w:eastAsia="es-MX"/>
              </w:rPr>
              <w:t>$960,000.00</w:t>
            </w:r>
          </w:p>
        </w:tc>
      </w:tr>
    </w:tbl>
    <w:p w:rsidR="00FC54F5" w:rsidRPr="00834810" w:rsidRDefault="00350BFC" w:rsidP="00E40EF9">
      <w:pPr>
        <w:tabs>
          <w:tab w:val="left" w:pos="0"/>
          <w:tab w:val="left" w:pos="426"/>
        </w:tabs>
        <w:ind w:left="-76"/>
        <w:rPr>
          <w:rFonts w:ascii="Lato" w:hAnsi="Lato"/>
          <w:szCs w:val="20"/>
        </w:rPr>
      </w:pPr>
      <w:r w:rsidRPr="00834810">
        <w:rPr>
          <w:rFonts w:ascii="Lato" w:hAnsi="Lato"/>
          <w:szCs w:val="20"/>
        </w:rPr>
        <w:t xml:space="preserve">                                                                                                                                                                                                                                                                                                                                                                                    </w:t>
      </w:r>
    </w:p>
    <w:p w:rsidR="00FC54F5" w:rsidRPr="00834810" w:rsidRDefault="00FC54F5" w:rsidP="00FC54F5">
      <w:pPr>
        <w:tabs>
          <w:tab w:val="left" w:pos="0"/>
          <w:tab w:val="left" w:pos="426"/>
        </w:tabs>
        <w:ind w:left="-76"/>
        <w:rPr>
          <w:rFonts w:ascii="Lato" w:hAnsi="Lato"/>
          <w:szCs w:val="20"/>
        </w:rPr>
      </w:pPr>
      <w:r w:rsidRPr="00834810">
        <w:rPr>
          <w:rFonts w:ascii="Lato" w:hAnsi="Lato"/>
          <w:szCs w:val="20"/>
        </w:rPr>
        <w:t>La depreciación es la distribución sistemática del costo de adquisición de un activo a lo largo de su vida útil, conforme el Acuerdo por el que se emiten las Reglas Específicas del Registro y Valoración del Patrimonio emitidas por el Consejo Nacional de Armonización Contable y publicadas en el Diario Oficial del Estado de Yucatán el 10 de enero de 2012.</w:t>
      </w:r>
    </w:p>
    <w:p w:rsidR="00FC54F5" w:rsidRDefault="00FC54F5" w:rsidP="00FC54F5">
      <w:pPr>
        <w:tabs>
          <w:tab w:val="left" w:pos="0"/>
          <w:tab w:val="left" w:pos="426"/>
        </w:tabs>
        <w:ind w:left="-76"/>
        <w:rPr>
          <w:rFonts w:ascii="Lato" w:hAnsi="Lato"/>
          <w:b/>
          <w:szCs w:val="20"/>
        </w:rPr>
      </w:pPr>
    </w:p>
    <w:p w:rsidR="007A18A5" w:rsidRPr="00834810" w:rsidRDefault="007A18A5" w:rsidP="00FC54F5">
      <w:pPr>
        <w:tabs>
          <w:tab w:val="left" w:pos="0"/>
          <w:tab w:val="left" w:pos="426"/>
        </w:tabs>
        <w:ind w:left="-76"/>
        <w:rPr>
          <w:rFonts w:ascii="Lato" w:hAnsi="Lato"/>
          <w:b/>
          <w:szCs w:val="20"/>
        </w:rPr>
      </w:pPr>
    </w:p>
    <w:p w:rsidR="00FC54F5" w:rsidRPr="00834810" w:rsidRDefault="00FC54F5" w:rsidP="00FC54F5">
      <w:pPr>
        <w:tabs>
          <w:tab w:val="left" w:pos="0"/>
          <w:tab w:val="left" w:pos="426"/>
        </w:tabs>
        <w:ind w:left="-76"/>
        <w:rPr>
          <w:rFonts w:ascii="Lato" w:hAnsi="Lato"/>
          <w:szCs w:val="20"/>
        </w:rPr>
      </w:pPr>
      <w:r w:rsidRPr="00834810">
        <w:rPr>
          <w:rFonts w:ascii="Lato" w:hAnsi="Lato"/>
          <w:szCs w:val="20"/>
        </w:rPr>
        <w:t xml:space="preserve">La depreciación acumulada de bienes muebles, </w:t>
      </w:r>
      <w:r w:rsidR="00C05A06" w:rsidRPr="00834810">
        <w:rPr>
          <w:rFonts w:ascii="Lato" w:hAnsi="Lato"/>
          <w:szCs w:val="20"/>
        </w:rPr>
        <w:t>no presenta saldos.</w:t>
      </w:r>
    </w:p>
    <w:p w:rsidR="005961D0" w:rsidRPr="00834810" w:rsidRDefault="005961D0" w:rsidP="00FC54F5">
      <w:pPr>
        <w:tabs>
          <w:tab w:val="left" w:pos="0"/>
          <w:tab w:val="left" w:pos="426"/>
        </w:tabs>
        <w:ind w:left="-76"/>
        <w:rPr>
          <w:rFonts w:ascii="Lato" w:hAnsi="Lato"/>
          <w:szCs w:val="20"/>
        </w:rPr>
      </w:pPr>
    </w:p>
    <w:tbl>
      <w:tblPr>
        <w:tblW w:w="7196" w:type="dxa"/>
        <w:jc w:val="center"/>
        <w:tblCellMar>
          <w:left w:w="70" w:type="dxa"/>
          <w:right w:w="70" w:type="dxa"/>
        </w:tblCellMar>
        <w:tblLook w:val="04A0" w:firstRow="1" w:lastRow="0" w:firstColumn="1" w:lastColumn="0" w:noHBand="0" w:noVBand="1"/>
      </w:tblPr>
      <w:tblGrid>
        <w:gridCol w:w="3638"/>
        <w:gridCol w:w="2174"/>
        <w:gridCol w:w="1161"/>
        <w:gridCol w:w="692"/>
      </w:tblGrid>
      <w:tr w:rsidR="005961D0" w:rsidRPr="00834810" w:rsidTr="005961D0">
        <w:trPr>
          <w:trHeight w:val="271"/>
          <w:jc w:val="center"/>
        </w:trPr>
        <w:tc>
          <w:tcPr>
            <w:tcW w:w="36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961D0" w:rsidRPr="00834810" w:rsidRDefault="005961D0" w:rsidP="005961D0">
            <w:pPr>
              <w:jc w:val="center"/>
              <w:rPr>
                <w:rFonts w:ascii="Lato" w:hAnsi="Lato" w:cs="Calibri"/>
                <w:color w:val="000000"/>
                <w:szCs w:val="20"/>
                <w:lang w:eastAsia="es-MX"/>
              </w:rPr>
            </w:pPr>
            <w:r w:rsidRPr="00834810">
              <w:rPr>
                <w:rFonts w:ascii="Lato" w:hAnsi="Lato" w:cs="Calibri"/>
                <w:color w:val="000000"/>
                <w:szCs w:val="20"/>
                <w:lang w:eastAsia="es-MX"/>
              </w:rPr>
              <w:t xml:space="preserve">  </w:t>
            </w:r>
            <w:r w:rsidRPr="00834810">
              <w:rPr>
                <w:rFonts w:ascii="Lato" w:hAnsi="Lato" w:cs="Calibri"/>
                <w:b/>
                <w:bCs/>
                <w:color w:val="000000"/>
                <w:szCs w:val="20"/>
                <w:lang w:eastAsia="es-MX"/>
              </w:rPr>
              <w:t>Grupo</w:t>
            </w:r>
          </w:p>
        </w:tc>
        <w:tc>
          <w:tcPr>
            <w:tcW w:w="2174" w:type="dxa"/>
            <w:tcBorders>
              <w:top w:val="single" w:sz="8" w:space="0" w:color="auto"/>
              <w:left w:val="nil"/>
              <w:bottom w:val="single" w:sz="8" w:space="0" w:color="auto"/>
              <w:right w:val="single" w:sz="8" w:space="0" w:color="auto"/>
            </w:tcBorders>
            <w:shd w:val="clear" w:color="auto" w:fill="auto"/>
            <w:noWrap/>
            <w:vAlign w:val="center"/>
            <w:hideMark/>
          </w:tcPr>
          <w:p w:rsidR="005961D0" w:rsidRPr="00834810" w:rsidRDefault="005961D0" w:rsidP="005961D0">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Tasa </w:t>
            </w:r>
            <w:r w:rsidR="00006C96" w:rsidRPr="00834810">
              <w:rPr>
                <w:rFonts w:ascii="Lato" w:hAnsi="Lato" w:cs="Calibri"/>
                <w:b/>
                <w:bCs/>
                <w:color w:val="000000"/>
                <w:szCs w:val="20"/>
                <w:lang w:eastAsia="es-MX"/>
              </w:rPr>
              <w:t>de Depreciación</w:t>
            </w:r>
          </w:p>
        </w:tc>
        <w:tc>
          <w:tcPr>
            <w:tcW w:w="692" w:type="dxa"/>
            <w:tcBorders>
              <w:top w:val="single" w:sz="8" w:space="0" w:color="auto"/>
              <w:left w:val="nil"/>
              <w:bottom w:val="single" w:sz="8" w:space="0" w:color="auto"/>
              <w:right w:val="single" w:sz="8" w:space="0" w:color="auto"/>
            </w:tcBorders>
            <w:shd w:val="clear" w:color="auto" w:fill="auto"/>
            <w:noWrap/>
            <w:vAlign w:val="center"/>
            <w:hideMark/>
          </w:tcPr>
          <w:p w:rsidR="005961D0" w:rsidRPr="00834810" w:rsidRDefault="005961D0" w:rsidP="005961D0">
            <w:pPr>
              <w:jc w:val="center"/>
              <w:rPr>
                <w:rFonts w:ascii="Lato" w:hAnsi="Lato" w:cs="Calibri"/>
                <w:b/>
                <w:bCs/>
                <w:color w:val="000000"/>
                <w:szCs w:val="20"/>
                <w:lang w:eastAsia="es-MX"/>
              </w:rPr>
            </w:pPr>
            <w:r w:rsidRPr="00834810">
              <w:rPr>
                <w:rFonts w:ascii="Lato" w:hAnsi="Lato" w:cs="Calibri"/>
                <w:b/>
                <w:bCs/>
                <w:color w:val="000000"/>
                <w:szCs w:val="20"/>
                <w:lang w:val="en-US" w:eastAsia="es-MX"/>
              </w:rPr>
              <w:t>202</w:t>
            </w:r>
            <w:r w:rsidR="00006C96" w:rsidRPr="00834810">
              <w:rPr>
                <w:rFonts w:ascii="Lato" w:hAnsi="Lato" w:cs="Calibri"/>
                <w:b/>
                <w:bCs/>
                <w:color w:val="000000"/>
                <w:szCs w:val="20"/>
                <w:lang w:val="en-US" w:eastAsia="es-MX"/>
              </w:rPr>
              <w:t>5</w:t>
            </w:r>
          </w:p>
        </w:tc>
        <w:tc>
          <w:tcPr>
            <w:tcW w:w="692" w:type="dxa"/>
            <w:tcBorders>
              <w:top w:val="single" w:sz="8" w:space="0" w:color="auto"/>
              <w:left w:val="nil"/>
              <w:bottom w:val="single" w:sz="8" w:space="0" w:color="auto"/>
              <w:right w:val="single" w:sz="8" w:space="0" w:color="auto"/>
            </w:tcBorders>
            <w:shd w:val="clear" w:color="auto" w:fill="auto"/>
            <w:noWrap/>
            <w:vAlign w:val="center"/>
            <w:hideMark/>
          </w:tcPr>
          <w:p w:rsidR="005961D0" w:rsidRPr="00834810" w:rsidRDefault="005961D0" w:rsidP="005961D0">
            <w:pPr>
              <w:jc w:val="center"/>
              <w:rPr>
                <w:rFonts w:ascii="Lato" w:hAnsi="Lato" w:cs="Calibri"/>
                <w:b/>
                <w:bCs/>
                <w:color w:val="000000"/>
                <w:szCs w:val="20"/>
                <w:lang w:eastAsia="es-MX"/>
              </w:rPr>
            </w:pPr>
            <w:r w:rsidRPr="00834810">
              <w:rPr>
                <w:rFonts w:ascii="Lato" w:hAnsi="Lato" w:cs="Calibri"/>
                <w:b/>
                <w:bCs/>
                <w:color w:val="000000"/>
                <w:szCs w:val="20"/>
                <w:lang w:val="en-US" w:eastAsia="es-MX"/>
              </w:rPr>
              <w:t>202</w:t>
            </w:r>
            <w:r w:rsidR="00006C96" w:rsidRPr="00834810">
              <w:rPr>
                <w:rFonts w:ascii="Lato" w:hAnsi="Lato" w:cs="Calibri"/>
                <w:b/>
                <w:bCs/>
                <w:color w:val="000000"/>
                <w:szCs w:val="20"/>
                <w:lang w:val="en-US" w:eastAsia="es-MX"/>
              </w:rPr>
              <w:t>4</w:t>
            </w:r>
          </w:p>
        </w:tc>
      </w:tr>
      <w:tr w:rsidR="005961D0" w:rsidRPr="00834810" w:rsidTr="005961D0">
        <w:trPr>
          <w:trHeight w:val="271"/>
          <w:jc w:val="center"/>
        </w:trPr>
        <w:tc>
          <w:tcPr>
            <w:tcW w:w="3638" w:type="dxa"/>
            <w:tcBorders>
              <w:top w:val="nil"/>
              <w:left w:val="single" w:sz="8" w:space="0" w:color="auto"/>
              <w:bottom w:val="single" w:sz="8" w:space="0" w:color="auto"/>
              <w:right w:val="single" w:sz="8" w:space="0" w:color="auto"/>
            </w:tcBorders>
            <w:shd w:val="clear" w:color="auto" w:fill="auto"/>
            <w:noWrap/>
            <w:vAlign w:val="center"/>
            <w:hideMark/>
          </w:tcPr>
          <w:p w:rsidR="005961D0" w:rsidRPr="00834810" w:rsidRDefault="005961D0" w:rsidP="005961D0">
            <w:pPr>
              <w:rPr>
                <w:rFonts w:ascii="Lato" w:hAnsi="Lato" w:cs="Calibri"/>
                <w:b/>
                <w:bCs/>
                <w:color w:val="000000"/>
                <w:szCs w:val="20"/>
                <w:lang w:eastAsia="es-MX"/>
              </w:rPr>
            </w:pPr>
            <w:r w:rsidRPr="00834810">
              <w:rPr>
                <w:rFonts w:ascii="Lato" w:hAnsi="Lato" w:cs="Calibri"/>
                <w:b/>
                <w:bCs/>
                <w:color w:val="000000"/>
                <w:szCs w:val="20"/>
                <w:lang w:eastAsia="es-MX"/>
              </w:rPr>
              <w:t>Mobiliario y Equipo de Administración</w:t>
            </w:r>
          </w:p>
        </w:tc>
        <w:tc>
          <w:tcPr>
            <w:tcW w:w="2174" w:type="dxa"/>
            <w:tcBorders>
              <w:top w:val="nil"/>
              <w:left w:val="nil"/>
              <w:bottom w:val="single" w:sz="8" w:space="0" w:color="auto"/>
              <w:right w:val="single" w:sz="8" w:space="0" w:color="auto"/>
            </w:tcBorders>
            <w:shd w:val="clear" w:color="auto" w:fill="auto"/>
            <w:noWrap/>
            <w:vAlign w:val="center"/>
            <w:hideMark/>
          </w:tcPr>
          <w:p w:rsidR="005961D0" w:rsidRPr="00834810" w:rsidRDefault="005961D0" w:rsidP="005961D0">
            <w:pPr>
              <w:jc w:val="center"/>
              <w:rPr>
                <w:rFonts w:ascii="Lato" w:hAnsi="Lato" w:cs="Calibri"/>
                <w:b/>
                <w:bCs/>
                <w:color w:val="000000"/>
                <w:szCs w:val="20"/>
                <w:lang w:eastAsia="es-MX"/>
              </w:rPr>
            </w:pPr>
            <w:r w:rsidRPr="00834810">
              <w:rPr>
                <w:rFonts w:ascii="Lato" w:hAnsi="Lato" w:cs="Calibri"/>
                <w:b/>
                <w:bCs/>
                <w:color w:val="000000"/>
                <w:szCs w:val="20"/>
                <w:lang w:eastAsia="es-MX"/>
              </w:rPr>
              <w:t> </w:t>
            </w:r>
          </w:p>
        </w:tc>
        <w:tc>
          <w:tcPr>
            <w:tcW w:w="692" w:type="dxa"/>
            <w:tcBorders>
              <w:top w:val="nil"/>
              <w:left w:val="nil"/>
              <w:bottom w:val="single" w:sz="8" w:space="0" w:color="auto"/>
              <w:right w:val="single" w:sz="8" w:space="0" w:color="auto"/>
            </w:tcBorders>
            <w:shd w:val="clear" w:color="auto" w:fill="auto"/>
            <w:noWrap/>
            <w:vAlign w:val="center"/>
            <w:hideMark/>
          </w:tcPr>
          <w:p w:rsidR="005961D0" w:rsidRPr="00834810" w:rsidRDefault="005961D0" w:rsidP="005961D0">
            <w:pPr>
              <w:rPr>
                <w:rFonts w:ascii="Lato" w:hAnsi="Lato" w:cs="Calibri"/>
                <w:color w:val="000000"/>
                <w:szCs w:val="20"/>
                <w:lang w:eastAsia="es-MX"/>
              </w:rPr>
            </w:pPr>
            <w:r w:rsidRPr="00834810">
              <w:rPr>
                <w:rFonts w:ascii="Lato" w:hAnsi="Lato" w:cs="Calibri"/>
                <w:color w:val="000000"/>
                <w:szCs w:val="20"/>
                <w:lang w:eastAsia="es-MX"/>
              </w:rPr>
              <w:t> </w:t>
            </w:r>
          </w:p>
        </w:tc>
        <w:tc>
          <w:tcPr>
            <w:tcW w:w="692" w:type="dxa"/>
            <w:tcBorders>
              <w:top w:val="nil"/>
              <w:left w:val="nil"/>
              <w:bottom w:val="single" w:sz="8" w:space="0" w:color="auto"/>
              <w:right w:val="single" w:sz="8" w:space="0" w:color="auto"/>
            </w:tcBorders>
            <w:shd w:val="clear" w:color="auto" w:fill="auto"/>
            <w:noWrap/>
            <w:vAlign w:val="center"/>
            <w:hideMark/>
          </w:tcPr>
          <w:p w:rsidR="005961D0" w:rsidRPr="00834810" w:rsidRDefault="005961D0" w:rsidP="005961D0">
            <w:pPr>
              <w:rPr>
                <w:rFonts w:ascii="Lato" w:hAnsi="Lato" w:cs="Calibri"/>
                <w:color w:val="000000"/>
                <w:szCs w:val="20"/>
                <w:lang w:eastAsia="es-MX"/>
              </w:rPr>
            </w:pPr>
            <w:r w:rsidRPr="00834810">
              <w:rPr>
                <w:rFonts w:ascii="Lato" w:hAnsi="Lato" w:cs="Calibri"/>
                <w:color w:val="000000"/>
                <w:szCs w:val="20"/>
                <w:lang w:eastAsia="es-MX"/>
              </w:rPr>
              <w:t> </w:t>
            </w:r>
          </w:p>
        </w:tc>
      </w:tr>
      <w:tr w:rsidR="005961D0" w:rsidRPr="00834810" w:rsidTr="005961D0">
        <w:trPr>
          <w:trHeight w:val="271"/>
          <w:jc w:val="center"/>
        </w:trPr>
        <w:tc>
          <w:tcPr>
            <w:tcW w:w="3638" w:type="dxa"/>
            <w:tcBorders>
              <w:top w:val="nil"/>
              <w:left w:val="single" w:sz="8" w:space="0" w:color="auto"/>
              <w:bottom w:val="single" w:sz="8" w:space="0" w:color="auto"/>
              <w:right w:val="single" w:sz="8" w:space="0" w:color="auto"/>
            </w:tcBorders>
            <w:shd w:val="clear" w:color="auto" w:fill="auto"/>
            <w:noWrap/>
            <w:vAlign w:val="center"/>
            <w:hideMark/>
          </w:tcPr>
          <w:p w:rsidR="005961D0" w:rsidRPr="00834810" w:rsidRDefault="00006C96" w:rsidP="005961D0">
            <w:pPr>
              <w:rPr>
                <w:rFonts w:ascii="Lato" w:hAnsi="Lato" w:cs="Calibri"/>
                <w:color w:val="000000"/>
                <w:szCs w:val="20"/>
                <w:lang w:eastAsia="es-MX"/>
              </w:rPr>
            </w:pPr>
            <w:r w:rsidRPr="00834810">
              <w:rPr>
                <w:rFonts w:ascii="Lato" w:hAnsi="Lato" w:cs="Calibri"/>
                <w:color w:val="000000"/>
                <w:szCs w:val="20"/>
                <w:lang w:eastAsia="es-MX"/>
              </w:rPr>
              <w:t>Equipo de Cómputo y Tecnología de Información</w:t>
            </w:r>
          </w:p>
        </w:tc>
        <w:tc>
          <w:tcPr>
            <w:tcW w:w="2174" w:type="dxa"/>
            <w:tcBorders>
              <w:top w:val="nil"/>
              <w:left w:val="nil"/>
              <w:bottom w:val="single" w:sz="8" w:space="0" w:color="auto"/>
              <w:right w:val="single" w:sz="8" w:space="0" w:color="auto"/>
            </w:tcBorders>
            <w:shd w:val="clear" w:color="auto" w:fill="auto"/>
            <w:noWrap/>
            <w:vAlign w:val="center"/>
            <w:hideMark/>
          </w:tcPr>
          <w:p w:rsidR="005961D0" w:rsidRPr="00834810" w:rsidRDefault="00006C96" w:rsidP="005961D0">
            <w:pPr>
              <w:jc w:val="center"/>
              <w:rPr>
                <w:rFonts w:ascii="Lato" w:hAnsi="Lato" w:cs="Calibri"/>
                <w:b/>
                <w:bCs/>
                <w:color w:val="000000"/>
                <w:szCs w:val="20"/>
                <w:lang w:eastAsia="es-MX"/>
              </w:rPr>
            </w:pPr>
            <w:r w:rsidRPr="00834810">
              <w:rPr>
                <w:rFonts w:ascii="Lato" w:hAnsi="Lato" w:cs="Calibri"/>
                <w:b/>
                <w:bCs/>
                <w:color w:val="000000"/>
                <w:szCs w:val="20"/>
                <w:lang w:eastAsia="es-MX"/>
              </w:rPr>
              <w:t>33.33</w:t>
            </w:r>
            <w:r w:rsidR="005961D0" w:rsidRPr="00834810">
              <w:rPr>
                <w:rFonts w:ascii="Lato" w:hAnsi="Lato" w:cs="Calibri"/>
                <w:b/>
                <w:bCs/>
                <w:color w:val="000000"/>
                <w:szCs w:val="20"/>
                <w:lang w:eastAsia="es-MX"/>
              </w:rPr>
              <w:t>%</w:t>
            </w:r>
          </w:p>
        </w:tc>
        <w:tc>
          <w:tcPr>
            <w:tcW w:w="692" w:type="dxa"/>
            <w:tcBorders>
              <w:top w:val="nil"/>
              <w:left w:val="nil"/>
              <w:bottom w:val="single" w:sz="8" w:space="0" w:color="auto"/>
              <w:right w:val="single" w:sz="8" w:space="0" w:color="auto"/>
            </w:tcBorders>
            <w:shd w:val="clear" w:color="auto" w:fill="auto"/>
            <w:noWrap/>
            <w:vAlign w:val="center"/>
            <w:hideMark/>
          </w:tcPr>
          <w:p w:rsidR="005961D0" w:rsidRPr="00834810" w:rsidRDefault="005961D0" w:rsidP="005961D0">
            <w:pPr>
              <w:jc w:val="right"/>
              <w:rPr>
                <w:rFonts w:ascii="Lato" w:hAnsi="Lato" w:cs="Calibri"/>
                <w:color w:val="000000"/>
                <w:szCs w:val="20"/>
                <w:lang w:eastAsia="es-MX"/>
              </w:rPr>
            </w:pPr>
            <w:r w:rsidRPr="00834810">
              <w:rPr>
                <w:rFonts w:ascii="Lato" w:hAnsi="Lato" w:cs="Calibri"/>
                <w:color w:val="000000"/>
                <w:szCs w:val="20"/>
                <w:lang w:eastAsia="es-MX"/>
              </w:rPr>
              <w:t>$</w:t>
            </w:r>
            <w:r w:rsidR="004C7800">
              <w:rPr>
                <w:rFonts w:ascii="Lato" w:hAnsi="Lato" w:cs="Calibri"/>
                <w:color w:val="000000"/>
                <w:szCs w:val="20"/>
                <w:lang w:eastAsia="es-MX"/>
              </w:rPr>
              <w:t>79,992.12</w:t>
            </w:r>
          </w:p>
        </w:tc>
        <w:tc>
          <w:tcPr>
            <w:tcW w:w="692" w:type="dxa"/>
            <w:tcBorders>
              <w:top w:val="nil"/>
              <w:left w:val="nil"/>
              <w:bottom w:val="single" w:sz="8" w:space="0" w:color="auto"/>
              <w:right w:val="single" w:sz="8" w:space="0" w:color="auto"/>
            </w:tcBorders>
            <w:shd w:val="clear" w:color="auto" w:fill="auto"/>
            <w:noWrap/>
            <w:vAlign w:val="center"/>
            <w:hideMark/>
          </w:tcPr>
          <w:p w:rsidR="005961D0" w:rsidRPr="00834810" w:rsidRDefault="005961D0" w:rsidP="005961D0">
            <w:pPr>
              <w:jc w:val="right"/>
              <w:rPr>
                <w:rFonts w:ascii="Lato" w:hAnsi="Lato" w:cs="Calibri"/>
                <w:color w:val="000000"/>
                <w:szCs w:val="20"/>
                <w:lang w:eastAsia="es-MX"/>
              </w:rPr>
            </w:pPr>
            <w:r w:rsidRPr="00834810">
              <w:rPr>
                <w:rFonts w:ascii="Lato" w:hAnsi="Lato" w:cs="Calibri"/>
                <w:color w:val="000000"/>
                <w:szCs w:val="20"/>
                <w:lang w:eastAsia="es-MX"/>
              </w:rPr>
              <w:t>$0.00</w:t>
            </w:r>
          </w:p>
        </w:tc>
      </w:tr>
    </w:tbl>
    <w:p w:rsidR="00FC54F5" w:rsidRPr="00834810" w:rsidRDefault="00FC54F5" w:rsidP="00C05A06">
      <w:pPr>
        <w:autoSpaceDE w:val="0"/>
        <w:autoSpaceDN w:val="0"/>
        <w:adjustRightInd w:val="0"/>
        <w:spacing w:line="360" w:lineRule="auto"/>
        <w:jc w:val="both"/>
        <w:rPr>
          <w:rFonts w:ascii="Lato" w:hAnsi="Lato" w:cs="Arial"/>
          <w:szCs w:val="20"/>
        </w:rPr>
      </w:pPr>
    </w:p>
    <w:p w:rsidR="000F7590" w:rsidRPr="00834810" w:rsidRDefault="000F7590" w:rsidP="006C5266">
      <w:pPr>
        <w:pStyle w:val="Prrafodelista"/>
        <w:numPr>
          <w:ilvl w:val="2"/>
          <w:numId w:val="12"/>
        </w:numPr>
        <w:tabs>
          <w:tab w:val="left" w:pos="567"/>
        </w:tabs>
        <w:ind w:left="0" w:firstLine="0"/>
        <w:rPr>
          <w:rFonts w:ascii="Lato" w:hAnsi="Lato"/>
          <w:b/>
          <w:szCs w:val="20"/>
        </w:rPr>
      </w:pPr>
      <w:r w:rsidRPr="00834810">
        <w:rPr>
          <w:rFonts w:ascii="Lato" w:hAnsi="Lato"/>
          <w:b/>
          <w:szCs w:val="20"/>
        </w:rPr>
        <w:t>Estimaciones y deterioros.</w:t>
      </w:r>
    </w:p>
    <w:p w:rsidR="000F7590" w:rsidRPr="00834810" w:rsidRDefault="000F7590" w:rsidP="000F7590">
      <w:pPr>
        <w:rPr>
          <w:rFonts w:ascii="Lato" w:hAnsi="Lato"/>
          <w:szCs w:val="20"/>
        </w:rPr>
      </w:pPr>
    </w:p>
    <w:p w:rsidR="000F4D25" w:rsidRPr="00834810" w:rsidRDefault="000F4D25" w:rsidP="00C05A06">
      <w:pPr>
        <w:pStyle w:val="Prrafodelista"/>
        <w:autoSpaceDE w:val="0"/>
        <w:autoSpaceDN w:val="0"/>
        <w:adjustRightInd w:val="0"/>
        <w:spacing w:line="360" w:lineRule="auto"/>
        <w:ind w:left="705"/>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 xml:space="preserve">no realizó durante el ejercicio </w:t>
      </w:r>
      <w:r w:rsidR="00981926" w:rsidRPr="00834810">
        <w:rPr>
          <w:rFonts w:ascii="Lato" w:hAnsi="Lato" w:cs="Arial"/>
          <w:szCs w:val="20"/>
        </w:rPr>
        <w:t>202</w:t>
      </w:r>
      <w:r w:rsidR="00006C96" w:rsidRPr="00834810">
        <w:rPr>
          <w:rFonts w:ascii="Lato" w:hAnsi="Lato" w:cs="Arial"/>
          <w:szCs w:val="20"/>
        </w:rPr>
        <w:t>5</w:t>
      </w:r>
      <w:r w:rsidR="00981926" w:rsidRPr="00834810">
        <w:rPr>
          <w:rFonts w:ascii="Lato" w:hAnsi="Lato" w:cs="Arial"/>
          <w:szCs w:val="20"/>
        </w:rPr>
        <w:t xml:space="preserve"> la</w:t>
      </w:r>
      <w:r w:rsidRPr="00834810">
        <w:rPr>
          <w:rFonts w:ascii="Lato" w:hAnsi="Lato" w:cs="Arial"/>
          <w:szCs w:val="20"/>
        </w:rPr>
        <w:t xml:space="preserve"> determinación de estimaciones de cuentas incobrables, inversiones deterioro de activos biológicos, etc. </w:t>
      </w:r>
    </w:p>
    <w:p w:rsidR="000F7590" w:rsidRPr="00834810" w:rsidRDefault="000F7590" w:rsidP="006C5266">
      <w:pPr>
        <w:pStyle w:val="Prrafodelista"/>
        <w:numPr>
          <w:ilvl w:val="2"/>
          <w:numId w:val="12"/>
        </w:numPr>
        <w:tabs>
          <w:tab w:val="left" w:pos="567"/>
        </w:tabs>
        <w:ind w:left="0" w:firstLine="0"/>
        <w:rPr>
          <w:rFonts w:ascii="Lato" w:hAnsi="Lato"/>
          <w:b/>
          <w:szCs w:val="20"/>
        </w:rPr>
      </w:pPr>
      <w:r w:rsidRPr="00834810">
        <w:rPr>
          <w:rFonts w:ascii="Lato" w:hAnsi="Lato"/>
          <w:b/>
          <w:szCs w:val="20"/>
        </w:rPr>
        <w:t>Otros Activos Circulantes.</w:t>
      </w:r>
    </w:p>
    <w:p w:rsidR="000F7590" w:rsidRPr="00834810" w:rsidRDefault="000F4D25" w:rsidP="000F4D25">
      <w:pPr>
        <w:ind w:left="709"/>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no registra en este rubro activo circulante derivado de embargos realizados por la agencia de administración fiscal.</w:t>
      </w:r>
    </w:p>
    <w:p w:rsidR="000F4D25" w:rsidRPr="00834810" w:rsidRDefault="000F4D25" w:rsidP="000F4D25">
      <w:pPr>
        <w:ind w:left="709"/>
        <w:jc w:val="both"/>
        <w:rPr>
          <w:rFonts w:ascii="Lato" w:hAnsi="Lato"/>
          <w:szCs w:val="20"/>
        </w:rPr>
      </w:pPr>
    </w:p>
    <w:p w:rsidR="00871DEB" w:rsidRPr="00834810" w:rsidRDefault="000F7590" w:rsidP="00871DEB">
      <w:pPr>
        <w:pStyle w:val="Prrafodelista"/>
        <w:numPr>
          <w:ilvl w:val="1"/>
          <w:numId w:val="12"/>
        </w:numPr>
        <w:tabs>
          <w:tab w:val="left" w:pos="426"/>
        </w:tabs>
        <w:rPr>
          <w:rFonts w:ascii="Lato" w:hAnsi="Lato"/>
          <w:b/>
          <w:szCs w:val="20"/>
        </w:rPr>
      </w:pPr>
      <w:r w:rsidRPr="00834810">
        <w:rPr>
          <w:rFonts w:ascii="Lato" w:hAnsi="Lato"/>
          <w:b/>
          <w:szCs w:val="20"/>
        </w:rPr>
        <w:t>Pasivo</w:t>
      </w:r>
    </w:p>
    <w:p w:rsidR="00871DEB" w:rsidRPr="00834810" w:rsidRDefault="00871DEB" w:rsidP="000F7590">
      <w:pPr>
        <w:pStyle w:val="Prrafodelista"/>
        <w:tabs>
          <w:tab w:val="left" w:pos="426"/>
        </w:tabs>
        <w:ind w:left="0"/>
        <w:rPr>
          <w:rFonts w:ascii="Lato" w:hAnsi="Lato"/>
          <w:b/>
          <w:szCs w:val="20"/>
        </w:rPr>
      </w:pPr>
      <w:r w:rsidRPr="00834810">
        <w:rPr>
          <w:rFonts w:ascii="Lato" w:hAnsi="Lato"/>
          <w:b/>
          <w:szCs w:val="20"/>
        </w:rPr>
        <w:t xml:space="preserve">            Cuentas y Documentos por pagar</w:t>
      </w:r>
    </w:p>
    <w:p w:rsidR="00871DEB" w:rsidRPr="00834810" w:rsidRDefault="00871DEB" w:rsidP="000F7590">
      <w:pPr>
        <w:pStyle w:val="Prrafodelista"/>
        <w:tabs>
          <w:tab w:val="left" w:pos="426"/>
        </w:tabs>
        <w:ind w:left="0"/>
        <w:rPr>
          <w:rFonts w:ascii="Lato" w:hAnsi="Lato" w:cs="Arial"/>
          <w:szCs w:val="20"/>
        </w:rPr>
      </w:pPr>
      <w:r w:rsidRPr="00834810">
        <w:rPr>
          <w:rFonts w:ascii="Lato" w:hAnsi="Lato"/>
          <w:b/>
          <w:szCs w:val="20"/>
        </w:rPr>
        <w:lastRenderedPageBreak/>
        <w:t xml:space="preserve">            </w:t>
      </w:r>
      <w:r w:rsidRPr="00834810">
        <w:rPr>
          <w:rFonts w:ascii="Lato" w:hAnsi="Lato" w:cs="Arial"/>
          <w:szCs w:val="20"/>
        </w:rPr>
        <w:t xml:space="preserve">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no registra cuentas y documentos por pagar</w:t>
      </w:r>
    </w:p>
    <w:p w:rsidR="00871DEB" w:rsidRPr="00834810" w:rsidRDefault="00871DEB" w:rsidP="000F7590">
      <w:pPr>
        <w:pStyle w:val="Prrafodelista"/>
        <w:tabs>
          <w:tab w:val="left" w:pos="426"/>
        </w:tabs>
        <w:ind w:left="0"/>
        <w:rPr>
          <w:rFonts w:ascii="Lato" w:hAnsi="Lato"/>
          <w:b/>
          <w:szCs w:val="20"/>
        </w:rPr>
      </w:pPr>
    </w:p>
    <w:p w:rsidR="00871DEB" w:rsidRPr="00834810" w:rsidRDefault="00871DEB" w:rsidP="00871DEB">
      <w:pPr>
        <w:tabs>
          <w:tab w:val="left" w:pos="426"/>
        </w:tabs>
        <w:rPr>
          <w:rFonts w:ascii="Lato" w:hAnsi="Lato"/>
          <w:b/>
          <w:szCs w:val="20"/>
        </w:rPr>
      </w:pPr>
      <w:r w:rsidRPr="00834810">
        <w:rPr>
          <w:rFonts w:ascii="Lato" w:hAnsi="Lato"/>
          <w:b/>
          <w:szCs w:val="20"/>
        </w:rPr>
        <w:t xml:space="preserve">            Fondos y Bienes de Terceros en Garantía o Administración</w:t>
      </w:r>
    </w:p>
    <w:p w:rsidR="00871DEB" w:rsidRPr="00834810" w:rsidRDefault="00871DEB" w:rsidP="00871DEB">
      <w:pPr>
        <w:tabs>
          <w:tab w:val="left" w:pos="426"/>
        </w:tabs>
        <w:rPr>
          <w:rFonts w:ascii="Lato" w:hAnsi="Lato" w:cs="Arial"/>
          <w:szCs w:val="20"/>
        </w:rPr>
      </w:pPr>
      <w:r w:rsidRPr="00834810">
        <w:rPr>
          <w:rFonts w:ascii="Lato" w:hAnsi="Lato"/>
          <w:b/>
          <w:szCs w:val="20"/>
        </w:rPr>
        <w:t xml:space="preserve">             </w:t>
      </w:r>
      <w:r w:rsidRPr="00834810">
        <w:rPr>
          <w:rFonts w:ascii="Lato" w:hAnsi="Lato" w:cs="Arial"/>
          <w:szCs w:val="20"/>
        </w:rPr>
        <w:t xml:space="preserve">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no registra fondos y bienes de terceros en Garantía</w:t>
      </w:r>
    </w:p>
    <w:p w:rsidR="00871DEB" w:rsidRPr="00834810" w:rsidRDefault="00871DEB" w:rsidP="00871DEB">
      <w:pPr>
        <w:tabs>
          <w:tab w:val="left" w:pos="426"/>
        </w:tabs>
        <w:rPr>
          <w:rFonts w:ascii="Lato" w:hAnsi="Lato" w:cs="Arial"/>
          <w:szCs w:val="20"/>
        </w:rPr>
      </w:pPr>
      <w:r w:rsidRPr="00834810">
        <w:rPr>
          <w:rFonts w:ascii="Lato" w:hAnsi="Lato" w:cs="Arial"/>
          <w:szCs w:val="20"/>
        </w:rPr>
        <w:t xml:space="preserve"> </w:t>
      </w:r>
    </w:p>
    <w:p w:rsidR="00871DEB" w:rsidRPr="00834810" w:rsidRDefault="00871DEB" w:rsidP="00871DEB">
      <w:pPr>
        <w:tabs>
          <w:tab w:val="left" w:pos="426"/>
        </w:tabs>
        <w:rPr>
          <w:rFonts w:ascii="Lato" w:hAnsi="Lato" w:cs="Arial"/>
          <w:b/>
          <w:szCs w:val="20"/>
        </w:rPr>
      </w:pPr>
      <w:r w:rsidRPr="00834810">
        <w:rPr>
          <w:rFonts w:ascii="Lato" w:hAnsi="Lato" w:cs="Arial"/>
          <w:szCs w:val="20"/>
        </w:rPr>
        <w:t xml:space="preserve">            </w:t>
      </w:r>
      <w:r w:rsidRPr="00834810">
        <w:rPr>
          <w:rFonts w:ascii="Lato" w:hAnsi="Lato" w:cs="Arial"/>
          <w:b/>
          <w:szCs w:val="20"/>
        </w:rPr>
        <w:t>Pasivos Diferidos</w:t>
      </w:r>
    </w:p>
    <w:p w:rsidR="00871DEB" w:rsidRPr="00834810" w:rsidRDefault="00871DEB" w:rsidP="00871DEB">
      <w:pPr>
        <w:tabs>
          <w:tab w:val="left" w:pos="426"/>
        </w:tabs>
        <w:rPr>
          <w:rFonts w:ascii="Lato" w:hAnsi="Lato" w:cs="Arial"/>
          <w:szCs w:val="20"/>
        </w:rPr>
      </w:pPr>
      <w:r w:rsidRPr="00834810">
        <w:rPr>
          <w:rFonts w:ascii="Lato" w:hAnsi="Lato" w:cs="Arial"/>
          <w:szCs w:val="20"/>
        </w:rPr>
        <w:t xml:space="preserve">            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no registra pasivos diferidos</w:t>
      </w:r>
    </w:p>
    <w:p w:rsidR="00871DEB" w:rsidRPr="00834810" w:rsidRDefault="00871DEB" w:rsidP="00871DEB">
      <w:pPr>
        <w:tabs>
          <w:tab w:val="left" w:pos="426"/>
        </w:tabs>
        <w:rPr>
          <w:rFonts w:ascii="Lato" w:hAnsi="Lato" w:cs="Arial"/>
          <w:szCs w:val="20"/>
        </w:rPr>
      </w:pPr>
    </w:p>
    <w:p w:rsidR="00871DEB" w:rsidRPr="00834810" w:rsidRDefault="00871DEB" w:rsidP="00871DEB">
      <w:pPr>
        <w:tabs>
          <w:tab w:val="left" w:pos="426"/>
        </w:tabs>
        <w:rPr>
          <w:rFonts w:ascii="Lato" w:hAnsi="Lato" w:cs="Arial"/>
          <w:b/>
          <w:szCs w:val="20"/>
        </w:rPr>
      </w:pPr>
      <w:r w:rsidRPr="00834810">
        <w:rPr>
          <w:rFonts w:ascii="Lato" w:hAnsi="Lato" w:cs="Arial"/>
          <w:szCs w:val="20"/>
        </w:rPr>
        <w:t xml:space="preserve">            </w:t>
      </w:r>
      <w:r w:rsidRPr="00834810">
        <w:rPr>
          <w:rFonts w:ascii="Lato" w:hAnsi="Lato" w:cs="Arial"/>
          <w:b/>
          <w:szCs w:val="20"/>
        </w:rPr>
        <w:t>Provisiones</w:t>
      </w:r>
    </w:p>
    <w:p w:rsidR="00871DEB" w:rsidRPr="00834810" w:rsidRDefault="00871DEB" w:rsidP="00871DEB">
      <w:pPr>
        <w:tabs>
          <w:tab w:val="left" w:pos="426"/>
        </w:tabs>
        <w:rPr>
          <w:rFonts w:ascii="Lato" w:hAnsi="Lato" w:cs="Arial"/>
          <w:szCs w:val="20"/>
        </w:rPr>
      </w:pPr>
      <w:r w:rsidRPr="00834810">
        <w:rPr>
          <w:rFonts w:ascii="Lato" w:hAnsi="Lato" w:cs="Arial"/>
          <w:szCs w:val="20"/>
        </w:rPr>
        <w:t xml:space="preserve">            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 xml:space="preserve">no registra provisiones </w:t>
      </w:r>
    </w:p>
    <w:p w:rsidR="00871DEB" w:rsidRPr="00834810" w:rsidRDefault="00871DEB" w:rsidP="00871DEB">
      <w:pPr>
        <w:tabs>
          <w:tab w:val="left" w:pos="426"/>
        </w:tabs>
        <w:rPr>
          <w:rFonts w:ascii="Lato" w:hAnsi="Lato"/>
          <w:b/>
          <w:szCs w:val="20"/>
        </w:rPr>
      </w:pPr>
    </w:p>
    <w:p w:rsidR="00871DEB" w:rsidRPr="00834810" w:rsidRDefault="00871DEB" w:rsidP="000F7590">
      <w:pPr>
        <w:pStyle w:val="Prrafodelista"/>
        <w:tabs>
          <w:tab w:val="left" w:pos="426"/>
        </w:tabs>
        <w:ind w:left="0"/>
        <w:rPr>
          <w:rFonts w:ascii="Lato" w:hAnsi="Lato"/>
          <w:b/>
          <w:szCs w:val="20"/>
        </w:rPr>
      </w:pPr>
      <w:r w:rsidRPr="00834810">
        <w:rPr>
          <w:rFonts w:ascii="Lato" w:hAnsi="Lato"/>
          <w:b/>
          <w:szCs w:val="20"/>
        </w:rPr>
        <w:t xml:space="preserve">             Otros Pasivos </w:t>
      </w:r>
    </w:p>
    <w:p w:rsidR="000F7590" w:rsidRPr="00834810" w:rsidRDefault="00871DEB" w:rsidP="004F3F81">
      <w:pPr>
        <w:autoSpaceDE w:val="0"/>
        <w:autoSpaceDN w:val="0"/>
        <w:adjustRightInd w:val="0"/>
        <w:spacing w:line="360" w:lineRule="auto"/>
        <w:ind w:left="709"/>
        <w:jc w:val="both"/>
        <w:rPr>
          <w:rFonts w:ascii="Lato" w:hAnsi="Lato" w:cs="Arial"/>
          <w:szCs w:val="20"/>
        </w:rPr>
      </w:pPr>
      <w:r w:rsidRPr="00834810">
        <w:rPr>
          <w:rFonts w:ascii="Lato" w:hAnsi="Lato" w:cs="Arial"/>
          <w:szCs w:val="20"/>
        </w:rPr>
        <w:t>En el rubro de otros pasivos</w:t>
      </w:r>
      <w:r w:rsidR="00C946C2" w:rsidRPr="00834810">
        <w:rPr>
          <w:rFonts w:ascii="Lato" w:hAnsi="Lato" w:cs="Arial"/>
          <w:szCs w:val="20"/>
        </w:rPr>
        <w:t xml:space="preserve">, </w:t>
      </w:r>
      <w:r w:rsidR="00C05A06" w:rsidRPr="00834810">
        <w:rPr>
          <w:rFonts w:ascii="Lato" w:hAnsi="Lato" w:cs="Arial"/>
          <w:szCs w:val="20"/>
        </w:rPr>
        <w:t xml:space="preserve">no </w:t>
      </w:r>
      <w:r w:rsidR="00C946C2" w:rsidRPr="00834810">
        <w:rPr>
          <w:rFonts w:ascii="Lato" w:hAnsi="Lato" w:cs="Arial"/>
          <w:szCs w:val="20"/>
        </w:rPr>
        <w:t>presenta movimientos</w:t>
      </w:r>
      <w:r w:rsidR="00C05A06" w:rsidRPr="00834810">
        <w:rPr>
          <w:rFonts w:ascii="Lato" w:hAnsi="Lato" w:cs="Arial"/>
          <w:szCs w:val="20"/>
        </w:rPr>
        <w:t>.</w:t>
      </w:r>
    </w:p>
    <w:p w:rsidR="004D021D" w:rsidRPr="00834810" w:rsidRDefault="004D021D" w:rsidP="006C5266">
      <w:pPr>
        <w:pStyle w:val="Ttulo2"/>
        <w:numPr>
          <w:ilvl w:val="0"/>
          <w:numId w:val="10"/>
        </w:numPr>
        <w:rPr>
          <w:rFonts w:ascii="Lato" w:hAnsi="Lato"/>
          <w:szCs w:val="20"/>
        </w:rPr>
      </w:pPr>
      <w:r w:rsidRPr="00834810">
        <w:rPr>
          <w:rFonts w:ascii="Lato" w:hAnsi="Lato"/>
          <w:szCs w:val="20"/>
        </w:rPr>
        <w:t>NOTAS AL ESTADO DE VARIACIÓN EN LA HACIENDA PÚBLICA</w:t>
      </w:r>
    </w:p>
    <w:p w:rsidR="000F7590" w:rsidRPr="00834810" w:rsidRDefault="000F7590" w:rsidP="000F7590">
      <w:pPr>
        <w:rPr>
          <w:rFonts w:ascii="Lato" w:hAnsi="Lato"/>
          <w:szCs w:val="20"/>
        </w:rPr>
      </w:pPr>
    </w:p>
    <w:p w:rsidR="00491B23" w:rsidRPr="00834810" w:rsidRDefault="00491B23" w:rsidP="00491B23">
      <w:pPr>
        <w:autoSpaceDE w:val="0"/>
        <w:autoSpaceDN w:val="0"/>
        <w:adjustRightInd w:val="0"/>
        <w:spacing w:line="360" w:lineRule="auto"/>
        <w:ind w:left="1134"/>
        <w:jc w:val="both"/>
        <w:rPr>
          <w:rFonts w:ascii="Lato" w:hAnsi="Lato" w:cs="Arial"/>
          <w:szCs w:val="20"/>
        </w:rPr>
      </w:pPr>
      <w:r w:rsidRPr="00834810">
        <w:rPr>
          <w:rFonts w:ascii="Lato" w:hAnsi="Lato" w:cs="Arial"/>
          <w:szCs w:val="20"/>
        </w:rPr>
        <w:t>En la cuenta de patrimonio contribuido presenta las siguientes variaciones:</w:t>
      </w:r>
    </w:p>
    <w:p w:rsidR="00491B23" w:rsidRPr="00834810" w:rsidRDefault="00491B23" w:rsidP="00491B23">
      <w:pPr>
        <w:autoSpaceDE w:val="0"/>
        <w:autoSpaceDN w:val="0"/>
        <w:adjustRightInd w:val="0"/>
        <w:spacing w:line="360" w:lineRule="auto"/>
        <w:ind w:left="360"/>
        <w:jc w:val="both"/>
        <w:rPr>
          <w:rFonts w:ascii="Lato" w:hAnsi="Lato" w:cs="Arial"/>
          <w:szCs w:val="20"/>
        </w:rPr>
      </w:pPr>
    </w:p>
    <w:tbl>
      <w:tblPr>
        <w:tblW w:w="11743" w:type="dxa"/>
        <w:jc w:val="center"/>
        <w:tblCellMar>
          <w:left w:w="70" w:type="dxa"/>
          <w:right w:w="70" w:type="dxa"/>
        </w:tblCellMar>
        <w:tblLook w:val="04A0" w:firstRow="1" w:lastRow="0" w:firstColumn="1" w:lastColumn="0" w:noHBand="0" w:noVBand="1"/>
      </w:tblPr>
      <w:tblGrid>
        <w:gridCol w:w="5274"/>
        <w:gridCol w:w="2680"/>
        <w:gridCol w:w="1738"/>
        <w:gridCol w:w="2051"/>
      </w:tblGrid>
      <w:tr w:rsidR="00491B23" w:rsidRPr="00834810" w:rsidTr="00014454">
        <w:trPr>
          <w:trHeight w:val="237"/>
          <w:jc w:val="center"/>
        </w:trPr>
        <w:tc>
          <w:tcPr>
            <w:tcW w:w="5274"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color w:val="000000"/>
                <w:szCs w:val="20"/>
                <w:lang w:eastAsia="es-MX"/>
              </w:rPr>
            </w:pPr>
          </w:p>
        </w:tc>
        <w:tc>
          <w:tcPr>
            <w:tcW w:w="2680"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b/>
                <w:bCs/>
                <w:color w:val="000000"/>
                <w:szCs w:val="20"/>
                <w:lang w:eastAsia="es-MX"/>
              </w:rPr>
            </w:pPr>
            <w:r w:rsidRPr="00834810">
              <w:rPr>
                <w:rFonts w:ascii="Lato" w:hAnsi="Lato" w:cs="Arial"/>
                <w:b/>
                <w:bCs/>
                <w:color w:val="000000"/>
                <w:szCs w:val="20"/>
                <w:lang w:eastAsia="es-MX"/>
              </w:rPr>
              <w:t>SALDO INICIAL</w:t>
            </w:r>
          </w:p>
        </w:tc>
        <w:tc>
          <w:tcPr>
            <w:tcW w:w="1738"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b/>
                <w:bCs/>
                <w:color w:val="000000"/>
                <w:szCs w:val="20"/>
                <w:lang w:eastAsia="es-MX"/>
              </w:rPr>
            </w:pPr>
            <w:r w:rsidRPr="00834810">
              <w:rPr>
                <w:rFonts w:ascii="Lato" w:hAnsi="Lato" w:cs="Arial"/>
                <w:b/>
                <w:bCs/>
                <w:color w:val="000000"/>
                <w:szCs w:val="20"/>
                <w:lang w:eastAsia="es-MX"/>
              </w:rPr>
              <w:t>VARIACIONES</w:t>
            </w:r>
          </w:p>
        </w:tc>
        <w:tc>
          <w:tcPr>
            <w:tcW w:w="2051"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b/>
                <w:bCs/>
                <w:color w:val="000000"/>
                <w:szCs w:val="20"/>
                <w:lang w:eastAsia="es-MX"/>
              </w:rPr>
            </w:pPr>
            <w:r w:rsidRPr="00834810">
              <w:rPr>
                <w:rFonts w:ascii="Lato" w:hAnsi="Lato" w:cs="Arial"/>
                <w:b/>
                <w:bCs/>
                <w:color w:val="000000"/>
                <w:szCs w:val="20"/>
                <w:lang w:eastAsia="es-MX"/>
              </w:rPr>
              <w:t>SALDO FINAL</w:t>
            </w:r>
          </w:p>
        </w:tc>
      </w:tr>
      <w:tr w:rsidR="00491B23" w:rsidRPr="00834810" w:rsidTr="00014454">
        <w:trPr>
          <w:trHeight w:val="237"/>
          <w:jc w:val="center"/>
        </w:trPr>
        <w:tc>
          <w:tcPr>
            <w:tcW w:w="5274"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bCs/>
                <w:color w:val="000000"/>
                <w:szCs w:val="20"/>
                <w:lang w:eastAsia="es-MX"/>
              </w:rPr>
            </w:pPr>
            <w:r w:rsidRPr="00834810">
              <w:rPr>
                <w:rFonts w:ascii="Lato" w:hAnsi="Lato" w:cs="Arial"/>
                <w:b/>
                <w:bCs/>
                <w:color w:val="000000"/>
                <w:szCs w:val="20"/>
                <w:lang w:eastAsia="es-MX"/>
              </w:rPr>
              <w:t>HACIENDA PUBLICA/PATRIMONIO CONTRIBUIDO</w:t>
            </w:r>
          </w:p>
        </w:tc>
        <w:tc>
          <w:tcPr>
            <w:tcW w:w="2680"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color w:val="000000"/>
                <w:szCs w:val="20"/>
                <w:lang w:eastAsia="es-MX"/>
              </w:rPr>
            </w:pPr>
          </w:p>
        </w:tc>
        <w:tc>
          <w:tcPr>
            <w:tcW w:w="1738"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color w:val="000000"/>
                <w:szCs w:val="20"/>
                <w:lang w:eastAsia="es-MX"/>
              </w:rPr>
            </w:pPr>
          </w:p>
        </w:tc>
        <w:tc>
          <w:tcPr>
            <w:tcW w:w="2051"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color w:val="000000"/>
                <w:szCs w:val="20"/>
                <w:lang w:eastAsia="es-MX"/>
              </w:rPr>
            </w:pPr>
          </w:p>
        </w:tc>
      </w:tr>
      <w:tr w:rsidR="00491B23" w:rsidRPr="00834810" w:rsidTr="00014454">
        <w:trPr>
          <w:trHeight w:val="237"/>
          <w:jc w:val="center"/>
        </w:trPr>
        <w:tc>
          <w:tcPr>
            <w:tcW w:w="5274"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bCs/>
                <w:color w:val="000000"/>
                <w:szCs w:val="20"/>
                <w:lang w:eastAsia="es-MX"/>
              </w:rPr>
            </w:pPr>
            <w:r w:rsidRPr="00834810">
              <w:rPr>
                <w:rFonts w:ascii="Lato" w:hAnsi="Lato" w:cs="Arial"/>
                <w:b/>
                <w:bCs/>
                <w:color w:val="000000"/>
                <w:szCs w:val="20"/>
                <w:lang w:eastAsia="es-MX"/>
              </w:rPr>
              <w:t>APORTACIONES</w:t>
            </w:r>
          </w:p>
        </w:tc>
        <w:tc>
          <w:tcPr>
            <w:tcW w:w="2680" w:type="dxa"/>
            <w:tcBorders>
              <w:top w:val="nil"/>
              <w:left w:val="nil"/>
              <w:bottom w:val="nil"/>
              <w:right w:val="nil"/>
            </w:tcBorders>
            <w:shd w:val="clear" w:color="auto" w:fill="auto"/>
            <w:noWrap/>
            <w:vAlign w:val="center"/>
            <w:hideMark/>
          </w:tcPr>
          <w:p w:rsidR="00491B23" w:rsidRPr="00834810" w:rsidRDefault="00C05A06"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1738" w:type="dxa"/>
            <w:tcBorders>
              <w:top w:val="nil"/>
              <w:left w:val="nil"/>
              <w:bottom w:val="nil"/>
              <w:right w:val="nil"/>
            </w:tcBorders>
            <w:shd w:val="clear" w:color="auto" w:fill="auto"/>
            <w:noWrap/>
            <w:vAlign w:val="center"/>
            <w:hideMark/>
          </w:tcPr>
          <w:p w:rsidR="00491B23" w:rsidRPr="00834810" w:rsidRDefault="009E1CFC"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2051" w:type="dxa"/>
            <w:tcBorders>
              <w:top w:val="nil"/>
              <w:left w:val="nil"/>
              <w:bottom w:val="nil"/>
              <w:right w:val="nil"/>
            </w:tcBorders>
            <w:shd w:val="clear" w:color="auto" w:fill="auto"/>
            <w:noWrap/>
            <w:vAlign w:val="center"/>
            <w:hideMark/>
          </w:tcPr>
          <w:p w:rsidR="00491B23" w:rsidRPr="00834810" w:rsidRDefault="00C05A06" w:rsidP="00491B23">
            <w:pPr>
              <w:jc w:val="center"/>
              <w:rPr>
                <w:rFonts w:ascii="Lato" w:hAnsi="Lato" w:cs="Arial"/>
                <w:color w:val="000000"/>
                <w:szCs w:val="20"/>
                <w:highlight w:val="yellow"/>
                <w:lang w:eastAsia="es-MX"/>
              </w:rPr>
            </w:pPr>
            <w:r w:rsidRPr="00834810">
              <w:rPr>
                <w:rFonts w:ascii="Lato" w:hAnsi="Lato" w:cs="Arial"/>
                <w:color w:val="000000"/>
                <w:szCs w:val="20"/>
                <w:lang w:eastAsia="es-MX"/>
              </w:rPr>
              <w:t>0.00</w:t>
            </w:r>
          </w:p>
        </w:tc>
      </w:tr>
      <w:tr w:rsidR="00491B23" w:rsidRPr="00834810" w:rsidTr="00014454">
        <w:trPr>
          <w:trHeight w:val="237"/>
          <w:jc w:val="center"/>
        </w:trPr>
        <w:tc>
          <w:tcPr>
            <w:tcW w:w="5274"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bCs/>
                <w:color w:val="000000"/>
                <w:szCs w:val="20"/>
                <w:lang w:eastAsia="es-MX"/>
              </w:rPr>
            </w:pPr>
            <w:r w:rsidRPr="00834810">
              <w:rPr>
                <w:rFonts w:ascii="Lato" w:hAnsi="Lato" w:cs="Arial"/>
                <w:b/>
                <w:bCs/>
                <w:color w:val="000000"/>
                <w:szCs w:val="20"/>
                <w:lang w:eastAsia="es-MX"/>
              </w:rPr>
              <w:t>PATRIMONIO NO RESTRINGIDO</w:t>
            </w:r>
          </w:p>
        </w:tc>
        <w:tc>
          <w:tcPr>
            <w:tcW w:w="2680"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1738"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2051"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r>
      <w:tr w:rsidR="00491B23" w:rsidRPr="00834810" w:rsidTr="00014454">
        <w:trPr>
          <w:trHeight w:val="237"/>
          <w:jc w:val="center"/>
        </w:trPr>
        <w:tc>
          <w:tcPr>
            <w:tcW w:w="5274"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bCs/>
                <w:color w:val="000000"/>
                <w:szCs w:val="20"/>
                <w:lang w:eastAsia="es-MX"/>
              </w:rPr>
            </w:pPr>
            <w:r w:rsidRPr="00834810">
              <w:rPr>
                <w:rFonts w:ascii="Lato" w:hAnsi="Lato" w:cs="Arial"/>
                <w:b/>
                <w:bCs/>
                <w:color w:val="000000"/>
                <w:szCs w:val="20"/>
                <w:lang w:eastAsia="es-MX"/>
              </w:rPr>
              <w:t>DONACIONES DE CAPITAL</w:t>
            </w:r>
          </w:p>
        </w:tc>
        <w:tc>
          <w:tcPr>
            <w:tcW w:w="2680"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1738"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2051"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r>
      <w:tr w:rsidR="00491B23" w:rsidRPr="00834810" w:rsidTr="00014454">
        <w:trPr>
          <w:trHeight w:val="237"/>
          <w:jc w:val="center"/>
        </w:trPr>
        <w:tc>
          <w:tcPr>
            <w:tcW w:w="5274"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bCs/>
                <w:color w:val="000000"/>
                <w:szCs w:val="20"/>
                <w:lang w:eastAsia="es-MX"/>
              </w:rPr>
            </w:pPr>
            <w:r w:rsidRPr="00834810">
              <w:rPr>
                <w:rFonts w:ascii="Lato" w:hAnsi="Lato" w:cs="Arial"/>
                <w:b/>
                <w:bCs/>
                <w:color w:val="000000"/>
                <w:szCs w:val="20"/>
                <w:lang w:eastAsia="es-MX"/>
              </w:rPr>
              <w:t>PATRIMONIO DONADO</w:t>
            </w:r>
          </w:p>
        </w:tc>
        <w:tc>
          <w:tcPr>
            <w:tcW w:w="2680"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1738"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2051"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r>
      <w:tr w:rsidR="00491B23" w:rsidRPr="00834810" w:rsidTr="00014454">
        <w:trPr>
          <w:trHeight w:val="307"/>
          <w:jc w:val="center"/>
        </w:trPr>
        <w:tc>
          <w:tcPr>
            <w:tcW w:w="5274" w:type="dxa"/>
            <w:tcBorders>
              <w:top w:val="nil"/>
              <w:left w:val="nil"/>
              <w:bottom w:val="nil"/>
              <w:right w:val="nil"/>
            </w:tcBorders>
            <w:shd w:val="clear" w:color="auto" w:fill="auto"/>
            <w:noWrap/>
            <w:hideMark/>
          </w:tcPr>
          <w:p w:rsidR="00491B23" w:rsidRPr="00834810" w:rsidRDefault="00491B23" w:rsidP="007F2C65">
            <w:pPr>
              <w:rPr>
                <w:rFonts w:ascii="Lato" w:hAnsi="Lato" w:cs="Arial"/>
                <w:b/>
                <w:bCs/>
                <w:color w:val="000000"/>
                <w:szCs w:val="20"/>
                <w:lang w:eastAsia="es-MX"/>
              </w:rPr>
            </w:pPr>
            <w:r w:rsidRPr="00834810">
              <w:rPr>
                <w:rFonts w:ascii="Lato" w:hAnsi="Lato" w:cs="Arial"/>
                <w:b/>
                <w:bCs/>
                <w:color w:val="000000"/>
                <w:szCs w:val="20"/>
                <w:lang w:eastAsia="es-MX"/>
              </w:rPr>
              <w:t>ACTUALIZACIÓN DE LA HACIENDA PÚBLICA/PATRIMONIO</w:t>
            </w:r>
          </w:p>
        </w:tc>
        <w:tc>
          <w:tcPr>
            <w:tcW w:w="2680"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1738"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c>
          <w:tcPr>
            <w:tcW w:w="2051" w:type="dxa"/>
            <w:tcBorders>
              <w:top w:val="nil"/>
              <w:left w:val="nil"/>
              <w:bottom w:val="nil"/>
              <w:right w:val="nil"/>
            </w:tcBorders>
            <w:shd w:val="clear" w:color="auto" w:fill="auto"/>
            <w:noWrap/>
            <w:vAlign w:val="center"/>
            <w:hideMark/>
          </w:tcPr>
          <w:p w:rsidR="00491B23" w:rsidRPr="00834810" w:rsidRDefault="00491B23" w:rsidP="00491B23">
            <w:pPr>
              <w:jc w:val="center"/>
              <w:rPr>
                <w:rFonts w:ascii="Lato" w:hAnsi="Lato" w:cs="Arial"/>
                <w:color w:val="000000"/>
                <w:szCs w:val="20"/>
                <w:lang w:eastAsia="es-MX"/>
              </w:rPr>
            </w:pPr>
            <w:r w:rsidRPr="00834810">
              <w:rPr>
                <w:rFonts w:ascii="Lato" w:hAnsi="Lato" w:cs="Arial"/>
                <w:color w:val="000000"/>
                <w:szCs w:val="20"/>
                <w:lang w:eastAsia="es-MX"/>
              </w:rPr>
              <w:t>0.00</w:t>
            </w:r>
          </w:p>
        </w:tc>
      </w:tr>
    </w:tbl>
    <w:p w:rsidR="00491B23" w:rsidRPr="00834810" w:rsidRDefault="00491B23" w:rsidP="00491B23">
      <w:pPr>
        <w:autoSpaceDE w:val="0"/>
        <w:autoSpaceDN w:val="0"/>
        <w:adjustRightInd w:val="0"/>
        <w:spacing w:line="360" w:lineRule="auto"/>
        <w:ind w:left="360"/>
        <w:jc w:val="both"/>
        <w:rPr>
          <w:rFonts w:ascii="Lato" w:hAnsi="Lato" w:cs="Arial"/>
          <w:szCs w:val="20"/>
        </w:rPr>
      </w:pPr>
    </w:p>
    <w:p w:rsidR="009E1CFC" w:rsidRDefault="009E1CFC" w:rsidP="00490357">
      <w:pPr>
        <w:autoSpaceDE w:val="0"/>
        <w:autoSpaceDN w:val="0"/>
        <w:adjustRightInd w:val="0"/>
        <w:spacing w:line="360" w:lineRule="auto"/>
        <w:jc w:val="both"/>
        <w:rPr>
          <w:rFonts w:ascii="Lato" w:hAnsi="Lato" w:cs="Arial"/>
          <w:szCs w:val="20"/>
        </w:rPr>
      </w:pPr>
    </w:p>
    <w:p w:rsidR="0029517C" w:rsidRDefault="0029517C" w:rsidP="00490357">
      <w:pPr>
        <w:autoSpaceDE w:val="0"/>
        <w:autoSpaceDN w:val="0"/>
        <w:adjustRightInd w:val="0"/>
        <w:spacing w:line="360" w:lineRule="auto"/>
        <w:jc w:val="both"/>
        <w:rPr>
          <w:rFonts w:ascii="Lato" w:hAnsi="Lato" w:cs="Arial"/>
          <w:szCs w:val="20"/>
        </w:rPr>
      </w:pPr>
    </w:p>
    <w:p w:rsidR="0029517C" w:rsidRPr="00834810" w:rsidRDefault="0029517C" w:rsidP="00490357">
      <w:pPr>
        <w:autoSpaceDE w:val="0"/>
        <w:autoSpaceDN w:val="0"/>
        <w:adjustRightInd w:val="0"/>
        <w:spacing w:line="360" w:lineRule="auto"/>
        <w:jc w:val="both"/>
        <w:rPr>
          <w:rFonts w:ascii="Lato" w:hAnsi="Lato" w:cs="Arial"/>
          <w:szCs w:val="20"/>
        </w:rPr>
      </w:pPr>
    </w:p>
    <w:p w:rsidR="00741577" w:rsidRDefault="00741577" w:rsidP="00741577">
      <w:pPr>
        <w:pStyle w:val="Prrafodelista"/>
        <w:autoSpaceDE w:val="0"/>
        <w:autoSpaceDN w:val="0"/>
        <w:adjustRightInd w:val="0"/>
        <w:spacing w:line="360" w:lineRule="auto"/>
        <w:ind w:left="1560"/>
        <w:jc w:val="both"/>
        <w:rPr>
          <w:rFonts w:ascii="Lato" w:hAnsi="Lato" w:cs="Arial"/>
          <w:szCs w:val="20"/>
        </w:rPr>
      </w:pPr>
    </w:p>
    <w:p w:rsidR="007A18A5" w:rsidRDefault="007A18A5" w:rsidP="00741577">
      <w:pPr>
        <w:pStyle w:val="Prrafodelista"/>
        <w:autoSpaceDE w:val="0"/>
        <w:autoSpaceDN w:val="0"/>
        <w:adjustRightInd w:val="0"/>
        <w:spacing w:line="360" w:lineRule="auto"/>
        <w:ind w:left="1560"/>
        <w:jc w:val="both"/>
        <w:rPr>
          <w:rFonts w:ascii="Lato" w:hAnsi="Lato" w:cs="Arial"/>
          <w:szCs w:val="20"/>
        </w:rPr>
      </w:pPr>
    </w:p>
    <w:p w:rsidR="007A18A5" w:rsidRPr="00834810" w:rsidRDefault="007A18A5" w:rsidP="00741577">
      <w:pPr>
        <w:pStyle w:val="Prrafodelista"/>
        <w:autoSpaceDE w:val="0"/>
        <w:autoSpaceDN w:val="0"/>
        <w:adjustRightInd w:val="0"/>
        <w:spacing w:line="360" w:lineRule="auto"/>
        <w:ind w:left="1560"/>
        <w:jc w:val="both"/>
        <w:rPr>
          <w:rFonts w:ascii="Lato" w:hAnsi="Lato" w:cs="Arial"/>
          <w:szCs w:val="20"/>
        </w:rPr>
      </w:pPr>
    </w:p>
    <w:p w:rsidR="00491B23" w:rsidRPr="00834810" w:rsidRDefault="00491B23" w:rsidP="00491B23">
      <w:pPr>
        <w:autoSpaceDE w:val="0"/>
        <w:autoSpaceDN w:val="0"/>
        <w:adjustRightInd w:val="0"/>
        <w:spacing w:line="360" w:lineRule="auto"/>
        <w:ind w:left="1134"/>
        <w:jc w:val="both"/>
        <w:rPr>
          <w:rFonts w:ascii="Lato" w:hAnsi="Lato" w:cs="Arial"/>
          <w:szCs w:val="20"/>
        </w:rPr>
      </w:pPr>
      <w:bookmarkStart w:id="1" w:name="m11"/>
      <w:bookmarkEnd w:id="1"/>
      <w:r w:rsidRPr="00834810">
        <w:rPr>
          <w:rFonts w:ascii="Lato" w:hAnsi="Lato" w:cs="Arial"/>
          <w:szCs w:val="20"/>
        </w:rPr>
        <w:t>En la cuenta de patrimonio generado se acumula el resultado de ejercicios anteriores y se integran de la siguiente forma:</w:t>
      </w:r>
    </w:p>
    <w:tbl>
      <w:tblPr>
        <w:tblW w:w="12456" w:type="dxa"/>
        <w:jc w:val="center"/>
        <w:tblCellMar>
          <w:left w:w="70" w:type="dxa"/>
          <w:right w:w="70" w:type="dxa"/>
        </w:tblCellMar>
        <w:tblLook w:val="04A0" w:firstRow="1" w:lastRow="0" w:firstColumn="1" w:lastColumn="0" w:noHBand="0" w:noVBand="1"/>
      </w:tblPr>
      <w:tblGrid>
        <w:gridCol w:w="7063"/>
        <w:gridCol w:w="1726"/>
        <w:gridCol w:w="1710"/>
        <w:gridCol w:w="1957"/>
      </w:tblGrid>
      <w:tr w:rsidR="00491B23" w:rsidRPr="00834810" w:rsidTr="00D41424">
        <w:trPr>
          <w:trHeight w:val="278"/>
          <w:jc w:val="center"/>
        </w:trPr>
        <w:tc>
          <w:tcPr>
            <w:tcW w:w="7063"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color w:val="000000"/>
                <w:szCs w:val="20"/>
                <w:lang w:eastAsia="es-MX"/>
              </w:rPr>
            </w:pPr>
          </w:p>
        </w:tc>
        <w:tc>
          <w:tcPr>
            <w:tcW w:w="1726" w:type="dxa"/>
            <w:tcBorders>
              <w:top w:val="nil"/>
              <w:left w:val="nil"/>
              <w:bottom w:val="nil"/>
              <w:right w:val="nil"/>
            </w:tcBorders>
            <w:shd w:val="clear" w:color="auto" w:fill="auto"/>
            <w:noWrap/>
            <w:vAlign w:val="center"/>
            <w:hideMark/>
          </w:tcPr>
          <w:p w:rsidR="00491B23" w:rsidRPr="00834810" w:rsidRDefault="00491B23" w:rsidP="007F2C65">
            <w:pPr>
              <w:jc w:val="both"/>
              <w:rPr>
                <w:rFonts w:ascii="Lato" w:hAnsi="Lato" w:cs="Arial"/>
                <w:b/>
                <w:bCs/>
                <w:color w:val="000000"/>
                <w:szCs w:val="20"/>
                <w:lang w:eastAsia="es-MX"/>
              </w:rPr>
            </w:pPr>
            <w:r w:rsidRPr="00834810">
              <w:rPr>
                <w:rFonts w:ascii="Lato" w:hAnsi="Lato" w:cs="Arial"/>
                <w:b/>
                <w:bCs/>
                <w:color w:val="000000"/>
                <w:szCs w:val="20"/>
                <w:lang w:eastAsia="es-MX"/>
              </w:rPr>
              <w:t>SALDO INICIAL</w:t>
            </w:r>
          </w:p>
        </w:tc>
        <w:tc>
          <w:tcPr>
            <w:tcW w:w="1710" w:type="dxa"/>
            <w:tcBorders>
              <w:top w:val="nil"/>
              <w:left w:val="nil"/>
              <w:bottom w:val="nil"/>
              <w:right w:val="nil"/>
            </w:tcBorders>
            <w:shd w:val="clear" w:color="auto" w:fill="auto"/>
            <w:noWrap/>
            <w:vAlign w:val="center"/>
            <w:hideMark/>
          </w:tcPr>
          <w:p w:rsidR="00491B23" w:rsidRPr="00834810" w:rsidRDefault="00491B23" w:rsidP="007F2C65">
            <w:pPr>
              <w:jc w:val="both"/>
              <w:rPr>
                <w:rFonts w:ascii="Lato" w:hAnsi="Lato" w:cs="Arial"/>
                <w:b/>
                <w:bCs/>
                <w:color w:val="000000"/>
                <w:szCs w:val="20"/>
                <w:lang w:eastAsia="es-MX"/>
              </w:rPr>
            </w:pPr>
            <w:r w:rsidRPr="00834810">
              <w:rPr>
                <w:rFonts w:ascii="Lato" w:hAnsi="Lato" w:cs="Arial"/>
                <w:b/>
                <w:bCs/>
                <w:color w:val="000000"/>
                <w:szCs w:val="20"/>
                <w:lang w:eastAsia="es-MX"/>
              </w:rPr>
              <w:t>VARIACIONES</w:t>
            </w:r>
          </w:p>
        </w:tc>
        <w:tc>
          <w:tcPr>
            <w:tcW w:w="1957" w:type="dxa"/>
            <w:tcBorders>
              <w:top w:val="nil"/>
              <w:left w:val="nil"/>
              <w:bottom w:val="nil"/>
              <w:right w:val="nil"/>
            </w:tcBorders>
            <w:shd w:val="clear" w:color="auto" w:fill="auto"/>
            <w:noWrap/>
            <w:vAlign w:val="center"/>
            <w:hideMark/>
          </w:tcPr>
          <w:p w:rsidR="00491B23" w:rsidRPr="00834810" w:rsidRDefault="00491B23" w:rsidP="007F2C65">
            <w:pPr>
              <w:jc w:val="both"/>
              <w:rPr>
                <w:rFonts w:ascii="Lato" w:hAnsi="Lato" w:cs="Arial"/>
                <w:b/>
                <w:bCs/>
                <w:color w:val="000000"/>
                <w:szCs w:val="20"/>
                <w:lang w:eastAsia="es-MX"/>
              </w:rPr>
            </w:pPr>
            <w:r w:rsidRPr="00834810">
              <w:rPr>
                <w:rFonts w:ascii="Lato" w:hAnsi="Lato" w:cs="Arial"/>
                <w:b/>
                <w:bCs/>
                <w:color w:val="000000"/>
                <w:szCs w:val="20"/>
                <w:lang w:eastAsia="es-MX"/>
              </w:rPr>
              <w:t>SALDO FINAL</w:t>
            </w:r>
          </w:p>
        </w:tc>
      </w:tr>
      <w:tr w:rsidR="00491B23" w:rsidRPr="00834810" w:rsidTr="00D41424">
        <w:trPr>
          <w:trHeight w:val="278"/>
          <w:jc w:val="center"/>
        </w:trPr>
        <w:tc>
          <w:tcPr>
            <w:tcW w:w="7063"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color w:val="000000"/>
                <w:szCs w:val="20"/>
                <w:lang w:eastAsia="es-MX"/>
              </w:rPr>
            </w:pPr>
            <w:r w:rsidRPr="00834810">
              <w:rPr>
                <w:rFonts w:ascii="Lato" w:hAnsi="Lato" w:cs="Arial"/>
                <w:b/>
                <w:color w:val="000000"/>
                <w:szCs w:val="20"/>
                <w:lang w:eastAsia="es-MX"/>
              </w:rPr>
              <w:t>HACIENDA PUBLICA /PATRIMONIO GENERADO</w:t>
            </w:r>
          </w:p>
        </w:tc>
        <w:tc>
          <w:tcPr>
            <w:tcW w:w="1726"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color w:val="000000"/>
                <w:szCs w:val="20"/>
                <w:lang w:eastAsia="es-MX"/>
              </w:rPr>
            </w:pPr>
          </w:p>
        </w:tc>
        <w:tc>
          <w:tcPr>
            <w:tcW w:w="1710"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color w:val="000000"/>
                <w:szCs w:val="20"/>
                <w:lang w:eastAsia="es-MX"/>
              </w:rPr>
            </w:pPr>
          </w:p>
        </w:tc>
        <w:tc>
          <w:tcPr>
            <w:tcW w:w="1957"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color w:val="000000"/>
                <w:szCs w:val="20"/>
                <w:lang w:eastAsia="es-MX"/>
              </w:rPr>
            </w:pPr>
          </w:p>
        </w:tc>
      </w:tr>
      <w:tr w:rsidR="00491B23" w:rsidRPr="00834810" w:rsidTr="00D41424">
        <w:trPr>
          <w:trHeight w:val="278"/>
          <w:jc w:val="center"/>
        </w:trPr>
        <w:tc>
          <w:tcPr>
            <w:tcW w:w="7063"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color w:val="000000"/>
                <w:szCs w:val="20"/>
                <w:lang w:eastAsia="es-MX"/>
              </w:rPr>
            </w:pPr>
            <w:r w:rsidRPr="00834810">
              <w:rPr>
                <w:rFonts w:ascii="Lato" w:hAnsi="Lato" w:cs="Arial"/>
                <w:b/>
                <w:color w:val="000000"/>
                <w:szCs w:val="20"/>
                <w:lang w:eastAsia="es-MX"/>
              </w:rPr>
              <w:t>RESULTADOS DE EJERCICIOS ANTERIORES</w:t>
            </w:r>
          </w:p>
        </w:tc>
        <w:tc>
          <w:tcPr>
            <w:tcW w:w="1726" w:type="dxa"/>
            <w:tcBorders>
              <w:top w:val="nil"/>
              <w:left w:val="nil"/>
              <w:bottom w:val="nil"/>
              <w:right w:val="nil"/>
            </w:tcBorders>
            <w:shd w:val="clear" w:color="auto" w:fill="auto"/>
            <w:noWrap/>
            <w:hideMark/>
          </w:tcPr>
          <w:p w:rsidR="00491B23" w:rsidRPr="00834810" w:rsidRDefault="00F12550" w:rsidP="007F2C65">
            <w:pPr>
              <w:jc w:val="right"/>
              <w:rPr>
                <w:rFonts w:ascii="Lato" w:hAnsi="Lato" w:cs="Arial"/>
                <w:color w:val="000000"/>
                <w:szCs w:val="20"/>
                <w:lang w:eastAsia="es-MX"/>
              </w:rPr>
            </w:pPr>
            <w:r w:rsidRPr="00834810">
              <w:rPr>
                <w:rFonts w:ascii="Lato" w:hAnsi="Lato" w:cs="Arial"/>
                <w:color w:val="000000"/>
                <w:szCs w:val="20"/>
                <w:lang w:eastAsia="es-MX"/>
              </w:rPr>
              <w:t>0.00</w:t>
            </w:r>
          </w:p>
        </w:tc>
        <w:tc>
          <w:tcPr>
            <w:tcW w:w="1710" w:type="dxa"/>
            <w:tcBorders>
              <w:top w:val="nil"/>
              <w:left w:val="nil"/>
              <w:bottom w:val="nil"/>
              <w:right w:val="nil"/>
            </w:tcBorders>
            <w:shd w:val="clear" w:color="auto" w:fill="auto"/>
            <w:noWrap/>
            <w:hideMark/>
          </w:tcPr>
          <w:p w:rsidR="00491B23" w:rsidRPr="00834810" w:rsidRDefault="00F12550" w:rsidP="00404373">
            <w:pPr>
              <w:jc w:val="right"/>
              <w:rPr>
                <w:rFonts w:ascii="Lato" w:hAnsi="Lato" w:cs="Arial"/>
                <w:color w:val="000000"/>
                <w:szCs w:val="20"/>
                <w:lang w:eastAsia="es-MX"/>
              </w:rPr>
            </w:pPr>
            <w:r w:rsidRPr="00834810">
              <w:rPr>
                <w:rFonts w:ascii="Lato" w:hAnsi="Lato" w:cs="Arial"/>
                <w:color w:val="000000"/>
                <w:szCs w:val="20"/>
                <w:lang w:eastAsia="es-MX"/>
              </w:rPr>
              <w:t>10,565,440.29</w:t>
            </w:r>
          </w:p>
        </w:tc>
        <w:tc>
          <w:tcPr>
            <w:tcW w:w="1957" w:type="dxa"/>
            <w:tcBorders>
              <w:top w:val="nil"/>
              <w:left w:val="nil"/>
              <w:bottom w:val="nil"/>
              <w:right w:val="nil"/>
            </w:tcBorders>
            <w:shd w:val="clear" w:color="auto" w:fill="auto"/>
            <w:noWrap/>
            <w:hideMark/>
          </w:tcPr>
          <w:p w:rsidR="00491B23" w:rsidRPr="00834810" w:rsidRDefault="00F12550" w:rsidP="007F2C65">
            <w:pPr>
              <w:jc w:val="right"/>
              <w:rPr>
                <w:rFonts w:ascii="Lato" w:hAnsi="Lato" w:cs="Arial"/>
                <w:color w:val="000000"/>
                <w:szCs w:val="20"/>
                <w:lang w:eastAsia="es-MX"/>
              </w:rPr>
            </w:pPr>
            <w:r w:rsidRPr="00834810">
              <w:rPr>
                <w:rFonts w:ascii="Lato" w:hAnsi="Lato" w:cs="Arial"/>
                <w:color w:val="000000"/>
                <w:szCs w:val="20"/>
                <w:lang w:eastAsia="es-MX"/>
              </w:rPr>
              <w:t>10,565,440.29</w:t>
            </w:r>
          </w:p>
        </w:tc>
      </w:tr>
      <w:tr w:rsidR="00491B23" w:rsidRPr="00834810" w:rsidTr="00D41424">
        <w:trPr>
          <w:trHeight w:val="278"/>
          <w:jc w:val="center"/>
        </w:trPr>
        <w:tc>
          <w:tcPr>
            <w:tcW w:w="7063"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color w:val="000000"/>
                <w:szCs w:val="20"/>
                <w:lang w:eastAsia="es-MX"/>
              </w:rPr>
            </w:pPr>
            <w:r w:rsidRPr="00834810">
              <w:rPr>
                <w:rFonts w:ascii="Lato" w:hAnsi="Lato" w:cs="Arial"/>
                <w:b/>
                <w:color w:val="000000"/>
                <w:szCs w:val="20"/>
                <w:lang w:eastAsia="es-MX"/>
              </w:rPr>
              <w:t>REVALÚOS</w:t>
            </w:r>
          </w:p>
        </w:tc>
        <w:tc>
          <w:tcPr>
            <w:tcW w:w="1726"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color w:val="000000"/>
                <w:szCs w:val="20"/>
                <w:lang w:eastAsia="es-MX"/>
              </w:rPr>
            </w:pPr>
            <w:r w:rsidRPr="00834810">
              <w:rPr>
                <w:rFonts w:ascii="Lato" w:hAnsi="Lato" w:cs="Arial"/>
                <w:color w:val="000000"/>
                <w:szCs w:val="20"/>
                <w:lang w:eastAsia="es-MX"/>
              </w:rPr>
              <w:t>0.00</w:t>
            </w:r>
          </w:p>
        </w:tc>
        <w:tc>
          <w:tcPr>
            <w:tcW w:w="1710"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color w:val="000000"/>
                <w:szCs w:val="20"/>
                <w:lang w:eastAsia="es-MX"/>
              </w:rPr>
            </w:pPr>
            <w:r w:rsidRPr="00834810">
              <w:rPr>
                <w:rFonts w:ascii="Lato" w:hAnsi="Lato" w:cs="Arial"/>
                <w:color w:val="000000"/>
                <w:szCs w:val="20"/>
                <w:lang w:eastAsia="es-MX"/>
              </w:rPr>
              <w:t>0.00</w:t>
            </w:r>
          </w:p>
        </w:tc>
        <w:tc>
          <w:tcPr>
            <w:tcW w:w="1957"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color w:val="000000"/>
                <w:szCs w:val="20"/>
                <w:lang w:eastAsia="es-MX"/>
              </w:rPr>
            </w:pPr>
            <w:r w:rsidRPr="00834810">
              <w:rPr>
                <w:rFonts w:ascii="Lato" w:hAnsi="Lato" w:cs="Arial"/>
                <w:color w:val="000000"/>
                <w:szCs w:val="20"/>
                <w:lang w:eastAsia="es-MX"/>
              </w:rPr>
              <w:t>0.00</w:t>
            </w:r>
          </w:p>
        </w:tc>
      </w:tr>
      <w:tr w:rsidR="00491B23" w:rsidRPr="00834810" w:rsidTr="00D41424">
        <w:trPr>
          <w:trHeight w:val="278"/>
          <w:jc w:val="center"/>
        </w:trPr>
        <w:tc>
          <w:tcPr>
            <w:tcW w:w="7063" w:type="dxa"/>
            <w:tcBorders>
              <w:top w:val="nil"/>
              <w:left w:val="nil"/>
              <w:bottom w:val="nil"/>
              <w:right w:val="nil"/>
            </w:tcBorders>
            <w:shd w:val="clear" w:color="auto" w:fill="auto"/>
            <w:noWrap/>
            <w:hideMark/>
          </w:tcPr>
          <w:p w:rsidR="00491B23" w:rsidRPr="00834810" w:rsidRDefault="00491B23" w:rsidP="007F2C65">
            <w:pPr>
              <w:jc w:val="both"/>
              <w:rPr>
                <w:rFonts w:ascii="Lato" w:hAnsi="Lato" w:cs="Arial"/>
                <w:b/>
                <w:color w:val="000000"/>
                <w:szCs w:val="20"/>
                <w:lang w:eastAsia="es-MX"/>
              </w:rPr>
            </w:pPr>
            <w:r w:rsidRPr="00834810">
              <w:rPr>
                <w:rFonts w:ascii="Lato" w:hAnsi="Lato" w:cs="Arial"/>
                <w:b/>
                <w:color w:val="000000"/>
                <w:szCs w:val="20"/>
                <w:lang w:eastAsia="es-MX"/>
              </w:rPr>
              <w:t>RECTIFICACIONES DE RESULTADOS DE EJERCICIOS ANTERIORES</w:t>
            </w:r>
          </w:p>
        </w:tc>
        <w:tc>
          <w:tcPr>
            <w:tcW w:w="1726" w:type="dxa"/>
            <w:tcBorders>
              <w:top w:val="nil"/>
              <w:left w:val="nil"/>
              <w:bottom w:val="nil"/>
              <w:right w:val="nil"/>
            </w:tcBorders>
            <w:shd w:val="clear" w:color="auto" w:fill="auto"/>
            <w:noWrap/>
            <w:hideMark/>
          </w:tcPr>
          <w:p w:rsidR="00491B23" w:rsidRPr="00834810" w:rsidRDefault="00491B23" w:rsidP="007F2C65">
            <w:pPr>
              <w:jc w:val="right"/>
              <w:rPr>
                <w:rFonts w:ascii="Lato" w:hAnsi="Lato" w:cs="Arial"/>
                <w:color w:val="000000"/>
                <w:szCs w:val="20"/>
                <w:lang w:eastAsia="es-MX"/>
              </w:rPr>
            </w:pPr>
            <w:r w:rsidRPr="00834810">
              <w:rPr>
                <w:rFonts w:ascii="Lato" w:hAnsi="Lato" w:cs="Arial"/>
                <w:color w:val="000000"/>
                <w:szCs w:val="20"/>
                <w:lang w:eastAsia="es-MX"/>
              </w:rPr>
              <w:t>0.00</w:t>
            </w:r>
          </w:p>
        </w:tc>
        <w:tc>
          <w:tcPr>
            <w:tcW w:w="1710" w:type="dxa"/>
            <w:tcBorders>
              <w:top w:val="nil"/>
              <w:left w:val="nil"/>
              <w:bottom w:val="nil"/>
              <w:right w:val="nil"/>
            </w:tcBorders>
            <w:shd w:val="clear" w:color="auto" w:fill="auto"/>
            <w:noWrap/>
            <w:hideMark/>
          </w:tcPr>
          <w:p w:rsidR="00491B23" w:rsidRPr="00834810" w:rsidRDefault="00C05A06" w:rsidP="007F2C65">
            <w:pPr>
              <w:jc w:val="right"/>
              <w:rPr>
                <w:rFonts w:ascii="Lato" w:hAnsi="Lato" w:cs="Arial"/>
                <w:color w:val="000000"/>
                <w:szCs w:val="20"/>
                <w:lang w:eastAsia="es-MX"/>
              </w:rPr>
            </w:pPr>
            <w:r w:rsidRPr="00834810">
              <w:rPr>
                <w:rFonts w:ascii="Lato" w:hAnsi="Lato" w:cs="Arial"/>
                <w:color w:val="000000"/>
                <w:szCs w:val="20"/>
                <w:lang w:eastAsia="es-MX"/>
              </w:rPr>
              <w:t>0.00</w:t>
            </w:r>
          </w:p>
        </w:tc>
        <w:tc>
          <w:tcPr>
            <w:tcW w:w="1957" w:type="dxa"/>
            <w:tcBorders>
              <w:top w:val="nil"/>
              <w:left w:val="nil"/>
              <w:bottom w:val="nil"/>
              <w:right w:val="nil"/>
            </w:tcBorders>
            <w:shd w:val="clear" w:color="auto" w:fill="auto"/>
            <w:noWrap/>
            <w:hideMark/>
          </w:tcPr>
          <w:p w:rsidR="00491B23" w:rsidRPr="00834810" w:rsidRDefault="00C05A06" w:rsidP="007F2C65">
            <w:pPr>
              <w:jc w:val="right"/>
              <w:rPr>
                <w:rFonts w:ascii="Lato" w:hAnsi="Lato" w:cs="Arial"/>
                <w:color w:val="000000"/>
                <w:szCs w:val="20"/>
                <w:lang w:eastAsia="es-MX"/>
              </w:rPr>
            </w:pPr>
            <w:r w:rsidRPr="00834810">
              <w:rPr>
                <w:rFonts w:ascii="Lato" w:hAnsi="Lato" w:cs="Arial"/>
                <w:color w:val="000000"/>
                <w:szCs w:val="20"/>
                <w:lang w:eastAsia="es-MX"/>
              </w:rPr>
              <w:t>0.00</w:t>
            </w:r>
          </w:p>
        </w:tc>
      </w:tr>
      <w:tr w:rsidR="00491B23" w:rsidRPr="00834810" w:rsidTr="00D41424">
        <w:trPr>
          <w:trHeight w:val="278"/>
          <w:jc w:val="center"/>
        </w:trPr>
        <w:tc>
          <w:tcPr>
            <w:tcW w:w="7063" w:type="dxa"/>
            <w:tcBorders>
              <w:top w:val="nil"/>
              <w:left w:val="nil"/>
              <w:bottom w:val="nil"/>
              <w:right w:val="nil"/>
            </w:tcBorders>
            <w:shd w:val="clear" w:color="auto" w:fill="auto"/>
            <w:noWrap/>
          </w:tcPr>
          <w:p w:rsidR="00491B23" w:rsidRPr="00834810" w:rsidRDefault="00491B23" w:rsidP="007F2C65">
            <w:pPr>
              <w:jc w:val="both"/>
              <w:rPr>
                <w:rFonts w:ascii="Lato" w:hAnsi="Lato" w:cs="Arial"/>
                <w:b/>
                <w:color w:val="000000"/>
                <w:szCs w:val="20"/>
                <w:lang w:eastAsia="es-MX"/>
              </w:rPr>
            </w:pPr>
            <w:r w:rsidRPr="00834810">
              <w:rPr>
                <w:rFonts w:ascii="Lato" w:hAnsi="Lato" w:cs="Arial"/>
                <w:b/>
                <w:color w:val="000000"/>
                <w:szCs w:val="20"/>
                <w:lang w:eastAsia="es-MX"/>
              </w:rPr>
              <w:t>RESULTADO DEL EJERCICIO</w:t>
            </w:r>
          </w:p>
        </w:tc>
        <w:tc>
          <w:tcPr>
            <w:tcW w:w="1726" w:type="dxa"/>
            <w:tcBorders>
              <w:top w:val="nil"/>
              <w:left w:val="nil"/>
              <w:bottom w:val="nil"/>
              <w:right w:val="nil"/>
            </w:tcBorders>
            <w:shd w:val="clear" w:color="auto" w:fill="auto"/>
            <w:noWrap/>
          </w:tcPr>
          <w:p w:rsidR="00D41424" w:rsidRPr="00834810" w:rsidRDefault="00F12550" w:rsidP="00D41424">
            <w:pPr>
              <w:jc w:val="right"/>
              <w:rPr>
                <w:rFonts w:ascii="Lato" w:hAnsi="Lato" w:cs="Arial"/>
                <w:color w:val="000000"/>
                <w:szCs w:val="20"/>
                <w:lang w:eastAsia="es-MX"/>
              </w:rPr>
            </w:pPr>
            <w:r w:rsidRPr="00834810">
              <w:rPr>
                <w:rFonts w:ascii="Lato" w:hAnsi="Lato" w:cs="Arial"/>
                <w:color w:val="000000"/>
                <w:szCs w:val="20"/>
                <w:lang w:eastAsia="es-MX"/>
              </w:rPr>
              <w:t>10,565,440.29</w:t>
            </w:r>
          </w:p>
          <w:p w:rsidR="00491B23" w:rsidRPr="00834810" w:rsidRDefault="00491B23" w:rsidP="007F2C65">
            <w:pPr>
              <w:jc w:val="right"/>
              <w:rPr>
                <w:rFonts w:ascii="Lato" w:hAnsi="Lato" w:cs="Arial"/>
                <w:color w:val="000000"/>
                <w:szCs w:val="20"/>
                <w:lang w:eastAsia="es-MX"/>
              </w:rPr>
            </w:pPr>
          </w:p>
        </w:tc>
        <w:tc>
          <w:tcPr>
            <w:tcW w:w="1710" w:type="dxa"/>
            <w:tcBorders>
              <w:top w:val="nil"/>
              <w:left w:val="nil"/>
              <w:bottom w:val="nil"/>
              <w:right w:val="nil"/>
            </w:tcBorders>
            <w:shd w:val="clear" w:color="auto" w:fill="auto"/>
            <w:noWrap/>
          </w:tcPr>
          <w:p w:rsidR="00491B23" w:rsidRPr="00834810" w:rsidRDefault="00F12550" w:rsidP="007F2C65">
            <w:pPr>
              <w:jc w:val="right"/>
              <w:rPr>
                <w:rFonts w:ascii="Lato" w:hAnsi="Lato" w:cs="Arial"/>
                <w:color w:val="000000"/>
                <w:szCs w:val="20"/>
                <w:lang w:eastAsia="es-MX"/>
              </w:rPr>
            </w:pPr>
            <w:r w:rsidRPr="00834810">
              <w:rPr>
                <w:rFonts w:ascii="Lato" w:hAnsi="Lato" w:cs="Arial"/>
                <w:color w:val="000000"/>
                <w:szCs w:val="20"/>
                <w:lang w:eastAsia="es-MX"/>
              </w:rPr>
              <w:t>-10,</w:t>
            </w:r>
            <w:r w:rsidR="00BC0B28">
              <w:rPr>
                <w:rFonts w:ascii="Lato" w:hAnsi="Lato" w:cs="Arial"/>
                <w:color w:val="000000"/>
                <w:szCs w:val="20"/>
                <w:lang w:eastAsia="es-MX"/>
              </w:rPr>
              <w:t>542,713.80</w:t>
            </w:r>
          </w:p>
        </w:tc>
        <w:tc>
          <w:tcPr>
            <w:tcW w:w="1957" w:type="dxa"/>
            <w:tcBorders>
              <w:top w:val="nil"/>
              <w:left w:val="nil"/>
              <w:bottom w:val="nil"/>
              <w:right w:val="nil"/>
            </w:tcBorders>
            <w:shd w:val="clear" w:color="auto" w:fill="auto"/>
            <w:noWrap/>
          </w:tcPr>
          <w:p w:rsidR="00491B23" w:rsidRPr="00834810" w:rsidRDefault="00BC0B28" w:rsidP="0056305B">
            <w:pPr>
              <w:jc w:val="right"/>
              <w:rPr>
                <w:rFonts w:ascii="Lato" w:hAnsi="Lato" w:cs="Arial"/>
                <w:color w:val="000000"/>
                <w:szCs w:val="20"/>
                <w:lang w:eastAsia="es-MX"/>
              </w:rPr>
            </w:pPr>
            <w:r>
              <w:rPr>
                <w:rFonts w:ascii="Lato" w:hAnsi="Lato" w:cs="Arial"/>
                <w:color w:val="000000"/>
                <w:szCs w:val="20"/>
                <w:lang w:eastAsia="es-MX"/>
              </w:rPr>
              <w:t>22,726.49</w:t>
            </w:r>
          </w:p>
          <w:p w:rsidR="00024599" w:rsidRPr="00834810" w:rsidRDefault="00024599" w:rsidP="0056305B">
            <w:pPr>
              <w:jc w:val="right"/>
              <w:rPr>
                <w:rFonts w:ascii="Lato" w:hAnsi="Lato" w:cs="Arial"/>
                <w:color w:val="000000"/>
                <w:szCs w:val="20"/>
                <w:lang w:eastAsia="es-MX"/>
              </w:rPr>
            </w:pPr>
          </w:p>
        </w:tc>
      </w:tr>
    </w:tbl>
    <w:p w:rsidR="00491B23" w:rsidRPr="00834810" w:rsidRDefault="00491B23" w:rsidP="00491B23">
      <w:pPr>
        <w:autoSpaceDE w:val="0"/>
        <w:autoSpaceDN w:val="0"/>
        <w:adjustRightInd w:val="0"/>
        <w:spacing w:line="360" w:lineRule="auto"/>
        <w:jc w:val="both"/>
        <w:rPr>
          <w:rFonts w:ascii="Lato" w:hAnsi="Lato" w:cs="Arial"/>
          <w:b/>
          <w:szCs w:val="20"/>
        </w:rPr>
      </w:pPr>
    </w:p>
    <w:p w:rsidR="004D021D" w:rsidRPr="00834810" w:rsidRDefault="004D021D" w:rsidP="006C5266">
      <w:pPr>
        <w:pStyle w:val="Ttulo2"/>
        <w:numPr>
          <w:ilvl w:val="0"/>
          <w:numId w:val="10"/>
        </w:numPr>
        <w:rPr>
          <w:rFonts w:ascii="Lato" w:hAnsi="Lato"/>
          <w:szCs w:val="20"/>
        </w:rPr>
      </w:pPr>
      <w:r w:rsidRPr="00834810">
        <w:rPr>
          <w:rFonts w:ascii="Lato" w:hAnsi="Lato"/>
          <w:szCs w:val="20"/>
        </w:rPr>
        <w:t>NOTAS AL ESTADO DE FLUJO DE EFECTIVO</w:t>
      </w:r>
    </w:p>
    <w:p w:rsidR="000F7590" w:rsidRPr="00834810" w:rsidRDefault="000F7590" w:rsidP="000F7590">
      <w:pPr>
        <w:rPr>
          <w:rFonts w:ascii="Lato" w:hAnsi="Lato"/>
          <w:szCs w:val="20"/>
        </w:rPr>
      </w:pPr>
    </w:p>
    <w:p w:rsidR="000F7590" w:rsidRPr="00834810" w:rsidRDefault="00A94F60" w:rsidP="006C5266">
      <w:pPr>
        <w:pStyle w:val="Prrafodelista"/>
        <w:numPr>
          <w:ilvl w:val="6"/>
          <w:numId w:val="9"/>
        </w:numPr>
        <w:ind w:left="1418"/>
        <w:rPr>
          <w:rFonts w:ascii="Lato" w:hAnsi="Lato"/>
          <w:szCs w:val="20"/>
        </w:rPr>
      </w:pPr>
      <w:r w:rsidRPr="00834810">
        <w:rPr>
          <w:rFonts w:ascii="Lato" w:hAnsi="Lato"/>
          <w:szCs w:val="20"/>
        </w:rPr>
        <w:t>El análisis de las cifras del periodo actual 202</w:t>
      </w:r>
      <w:r w:rsidR="00F12550" w:rsidRPr="00834810">
        <w:rPr>
          <w:rFonts w:ascii="Lato" w:hAnsi="Lato"/>
          <w:szCs w:val="20"/>
        </w:rPr>
        <w:t>5</w:t>
      </w:r>
      <w:r w:rsidRPr="00834810">
        <w:rPr>
          <w:rFonts w:ascii="Lato" w:hAnsi="Lato"/>
          <w:szCs w:val="20"/>
        </w:rPr>
        <w:t xml:space="preserve"> y periodo anterior 202</w:t>
      </w:r>
      <w:r w:rsidR="00F12550" w:rsidRPr="00834810">
        <w:rPr>
          <w:rFonts w:ascii="Lato" w:hAnsi="Lato"/>
          <w:szCs w:val="20"/>
        </w:rPr>
        <w:t>4</w:t>
      </w:r>
      <w:r w:rsidRPr="00834810">
        <w:rPr>
          <w:rFonts w:ascii="Lato" w:hAnsi="Lato"/>
          <w:szCs w:val="20"/>
        </w:rPr>
        <w:t xml:space="preserve"> del Efectivo y Equivalentes al Efectivo, al Final del Ejercicio del Estado de Flujos de Efectivo, respecto a la composición del rubro de Efectivo y Equivalentes, utilizando el siguiente cuadro:</w:t>
      </w:r>
    </w:p>
    <w:p w:rsidR="00A94F60" w:rsidRPr="00834810" w:rsidRDefault="00A94F60" w:rsidP="00A94F60">
      <w:pPr>
        <w:pStyle w:val="Prrafodelista"/>
        <w:ind w:left="1418"/>
        <w:rPr>
          <w:rFonts w:ascii="Lato" w:hAnsi="Lato"/>
          <w:szCs w:val="20"/>
        </w:rPr>
      </w:pPr>
    </w:p>
    <w:tbl>
      <w:tblPr>
        <w:tblW w:w="8467" w:type="dxa"/>
        <w:jc w:val="center"/>
        <w:tblCellMar>
          <w:left w:w="70" w:type="dxa"/>
          <w:right w:w="70" w:type="dxa"/>
        </w:tblCellMar>
        <w:tblLook w:val="04A0" w:firstRow="1" w:lastRow="0" w:firstColumn="1" w:lastColumn="0" w:noHBand="0" w:noVBand="1"/>
      </w:tblPr>
      <w:tblGrid>
        <w:gridCol w:w="5722"/>
        <w:gridCol w:w="1326"/>
        <w:gridCol w:w="1531"/>
      </w:tblGrid>
      <w:tr w:rsidR="00A94F60" w:rsidRPr="00834810" w:rsidTr="001C4F80">
        <w:trPr>
          <w:trHeight w:val="315"/>
          <w:jc w:val="center"/>
        </w:trPr>
        <w:tc>
          <w:tcPr>
            <w:tcW w:w="8467"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bottom"/>
            <w:hideMark/>
          </w:tcPr>
          <w:p w:rsidR="00A94F60" w:rsidRPr="00834810" w:rsidRDefault="00A94F60" w:rsidP="00A94F60">
            <w:pPr>
              <w:jc w:val="center"/>
              <w:rPr>
                <w:rFonts w:ascii="Lato" w:hAnsi="Lato" w:cs="Calibri"/>
                <w:b/>
                <w:bCs/>
                <w:color w:val="000000"/>
                <w:szCs w:val="20"/>
                <w:lang w:eastAsia="es-MX"/>
              </w:rPr>
            </w:pPr>
            <w:r w:rsidRPr="00834810">
              <w:rPr>
                <w:rFonts w:ascii="Lato" w:hAnsi="Lato" w:cs="Calibri"/>
                <w:b/>
                <w:bCs/>
                <w:color w:val="000000"/>
                <w:szCs w:val="20"/>
                <w:lang w:eastAsia="es-MX"/>
              </w:rPr>
              <w:t>Efectivo y Equivalentes</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rsidR="00A94F60" w:rsidRPr="00834810" w:rsidRDefault="00A94F60" w:rsidP="00A94F60">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214" w:type="dxa"/>
            <w:tcBorders>
              <w:top w:val="nil"/>
              <w:left w:val="nil"/>
              <w:bottom w:val="single" w:sz="8" w:space="0" w:color="auto"/>
              <w:right w:val="single" w:sz="8" w:space="0" w:color="auto"/>
            </w:tcBorders>
            <w:shd w:val="clear" w:color="auto" w:fill="E7E6E6" w:themeFill="background2"/>
            <w:noWrap/>
            <w:vAlign w:val="center"/>
            <w:hideMark/>
          </w:tcPr>
          <w:p w:rsidR="00A94F60" w:rsidRPr="00834810" w:rsidRDefault="00F12550" w:rsidP="00A94F60">
            <w:pPr>
              <w:jc w:val="center"/>
              <w:rPr>
                <w:rFonts w:ascii="Lato" w:hAnsi="Lato" w:cs="Calibri"/>
                <w:b/>
                <w:bCs/>
                <w:color w:val="000000"/>
                <w:szCs w:val="20"/>
                <w:lang w:eastAsia="es-MX"/>
              </w:rPr>
            </w:pPr>
            <w:r w:rsidRPr="00834810">
              <w:rPr>
                <w:rFonts w:ascii="Lato" w:hAnsi="Lato" w:cs="Calibri"/>
                <w:b/>
                <w:bCs/>
                <w:color w:val="000000"/>
                <w:szCs w:val="20"/>
                <w:lang w:eastAsia="es-MX"/>
              </w:rPr>
              <w:t>2025</w:t>
            </w:r>
          </w:p>
        </w:tc>
        <w:tc>
          <w:tcPr>
            <w:tcW w:w="1531" w:type="dxa"/>
            <w:tcBorders>
              <w:top w:val="nil"/>
              <w:left w:val="nil"/>
              <w:bottom w:val="single" w:sz="8" w:space="0" w:color="auto"/>
              <w:right w:val="single" w:sz="8" w:space="0" w:color="auto"/>
            </w:tcBorders>
            <w:shd w:val="clear" w:color="auto" w:fill="E7E6E6" w:themeFill="background2"/>
            <w:noWrap/>
            <w:vAlign w:val="center"/>
            <w:hideMark/>
          </w:tcPr>
          <w:p w:rsidR="00A94F60" w:rsidRPr="00834810" w:rsidRDefault="00F12550" w:rsidP="00A94F60">
            <w:pPr>
              <w:jc w:val="center"/>
              <w:rPr>
                <w:rFonts w:ascii="Lato" w:hAnsi="Lato" w:cs="Calibri"/>
                <w:b/>
                <w:bCs/>
                <w:color w:val="000000"/>
                <w:szCs w:val="20"/>
                <w:lang w:eastAsia="es-MX"/>
              </w:rPr>
            </w:pPr>
            <w:r w:rsidRPr="00834810">
              <w:rPr>
                <w:rFonts w:ascii="Lato" w:hAnsi="Lato" w:cs="Calibri"/>
                <w:b/>
                <w:bCs/>
                <w:color w:val="000000"/>
                <w:szCs w:val="20"/>
                <w:lang w:eastAsia="es-MX"/>
              </w:rPr>
              <w:t>2024</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Efectivo</w:t>
            </w:r>
          </w:p>
        </w:tc>
        <w:tc>
          <w:tcPr>
            <w:tcW w:w="1214" w:type="dxa"/>
            <w:tcBorders>
              <w:top w:val="nil"/>
              <w:left w:val="nil"/>
              <w:bottom w:val="single" w:sz="8" w:space="0" w:color="auto"/>
              <w:right w:val="single" w:sz="8" w:space="0" w:color="auto"/>
            </w:tcBorders>
            <w:shd w:val="clear" w:color="auto" w:fill="auto"/>
            <w:noWrap/>
            <w:vAlign w:val="center"/>
            <w:hideMark/>
          </w:tcPr>
          <w:p w:rsidR="00A94F60" w:rsidRPr="00834810" w:rsidRDefault="00DF4DE3"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A94F60"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Bancos/Tesorería</w:t>
            </w:r>
          </w:p>
        </w:tc>
        <w:tc>
          <w:tcPr>
            <w:tcW w:w="1214" w:type="dxa"/>
            <w:tcBorders>
              <w:top w:val="nil"/>
              <w:left w:val="nil"/>
              <w:bottom w:val="single" w:sz="8" w:space="0" w:color="auto"/>
              <w:right w:val="single" w:sz="8" w:space="0" w:color="auto"/>
            </w:tcBorders>
            <w:shd w:val="clear" w:color="auto" w:fill="auto"/>
            <w:noWrap/>
            <w:vAlign w:val="center"/>
            <w:hideMark/>
          </w:tcPr>
          <w:p w:rsidR="00A94F60" w:rsidRPr="00834810" w:rsidRDefault="00497487" w:rsidP="00A94F60">
            <w:pPr>
              <w:jc w:val="right"/>
              <w:rPr>
                <w:rFonts w:ascii="Lato" w:hAnsi="Lato" w:cs="Calibri"/>
                <w:color w:val="000000"/>
                <w:szCs w:val="20"/>
                <w:lang w:eastAsia="es-MX"/>
              </w:rPr>
            </w:pPr>
            <w:r>
              <w:rPr>
                <w:rFonts w:ascii="Lato" w:hAnsi="Lato" w:cs="Calibri"/>
                <w:color w:val="000000"/>
                <w:szCs w:val="20"/>
                <w:lang w:eastAsia="es-MX"/>
              </w:rPr>
              <w:t>9,708,158.90</w:t>
            </w:r>
          </w:p>
        </w:tc>
        <w:tc>
          <w:tcPr>
            <w:tcW w:w="1531" w:type="dxa"/>
            <w:tcBorders>
              <w:top w:val="nil"/>
              <w:left w:val="nil"/>
              <w:bottom w:val="single" w:sz="8" w:space="0" w:color="auto"/>
              <w:right w:val="single" w:sz="8" w:space="0" w:color="auto"/>
            </w:tcBorders>
            <w:shd w:val="clear" w:color="auto" w:fill="auto"/>
            <w:noWrap/>
            <w:vAlign w:val="center"/>
            <w:hideMark/>
          </w:tcPr>
          <w:p w:rsidR="00A94F60" w:rsidRPr="00834810" w:rsidRDefault="00F12550" w:rsidP="00A94F60">
            <w:pPr>
              <w:jc w:val="right"/>
              <w:rPr>
                <w:rFonts w:ascii="Lato" w:hAnsi="Lato" w:cs="Calibri"/>
                <w:color w:val="000000"/>
                <w:szCs w:val="20"/>
                <w:lang w:eastAsia="es-MX"/>
              </w:rPr>
            </w:pPr>
            <w:r w:rsidRPr="00834810">
              <w:rPr>
                <w:rFonts w:ascii="Lato" w:hAnsi="Lato" w:cs="Calibri"/>
                <w:color w:val="000000"/>
                <w:szCs w:val="20"/>
                <w:lang w:eastAsia="es-MX"/>
              </w:rPr>
              <w:t>9,605,440.29</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Bancos/Dependencias y otros</w:t>
            </w:r>
          </w:p>
        </w:tc>
        <w:tc>
          <w:tcPr>
            <w:tcW w:w="1214"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Inversiones Temporales (Hasta 3 meses)</w:t>
            </w:r>
          </w:p>
        </w:tc>
        <w:tc>
          <w:tcPr>
            <w:tcW w:w="1214"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Fondos con Afectación Específica</w:t>
            </w:r>
          </w:p>
        </w:tc>
        <w:tc>
          <w:tcPr>
            <w:tcW w:w="1214"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lastRenderedPageBreak/>
              <w:t>Depósitos de Fondos de Terceros en Garantía y/o Administración</w:t>
            </w:r>
          </w:p>
        </w:tc>
        <w:tc>
          <w:tcPr>
            <w:tcW w:w="1214" w:type="dxa"/>
            <w:tcBorders>
              <w:top w:val="nil"/>
              <w:left w:val="nil"/>
              <w:bottom w:val="single" w:sz="8" w:space="0" w:color="auto"/>
              <w:right w:val="single" w:sz="8" w:space="0" w:color="auto"/>
            </w:tcBorders>
            <w:shd w:val="clear" w:color="auto" w:fill="auto"/>
            <w:noWrap/>
            <w:vAlign w:val="center"/>
            <w:hideMark/>
          </w:tcPr>
          <w:p w:rsidR="00A94F60" w:rsidRPr="00834810" w:rsidRDefault="00DF4DE3" w:rsidP="00A94F60">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531"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 xml:space="preserve">Otros efectivos y Equivalentes </w:t>
            </w:r>
          </w:p>
        </w:tc>
        <w:tc>
          <w:tcPr>
            <w:tcW w:w="1214"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rsidR="00A94F60" w:rsidRPr="00834810" w:rsidRDefault="00A94F60" w:rsidP="00A94F60">
            <w:pPr>
              <w:rPr>
                <w:rFonts w:ascii="Lato" w:hAnsi="Lato" w:cs="Calibri"/>
                <w:b/>
                <w:bCs/>
                <w:color w:val="000000"/>
                <w:szCs w:val="20"/>
                <w:lang w:eastAsia="es-MX"/>
              </w:rPr>
            </w:pPr>
            <w:r w:rsidRPr="00834810">
              <w:rPr>
                <w:rFonts w:ascii="Lato" w:hAnsi="Lato" w:cs="Calibri"/>
                <w:b/>
                <w:bCs/>
                <w:color w:val="000000"/>
                <w:szCs w:val="20"/>
                <w:lang w:eastAsia="es-MX"/>
              </w:rPr>
              <w:t>Total de Efectivo y Equivalentes</w:t>
            </w:r>
          </w:p>
        </w:tc>
        <w:tc>
          <w:tcPr>
            <w:tcW w:w="1214" w:type="dxa"/>
            <w:tcBorders>
              <w:top w:val="nil"/>
              <w:left w:val="nil"/>
              <w:bottom w:val="single" w:sz="8" w:space="0" w:color="auto"/>
              <w:right w:val="single" w:sz="8" w:space="0" w:color="auto"/>
            </w:tcBorders>
            <w:shd w:val="clear" w:color="auto" w:fill="E7E6E6" w:themeFill="background2"/>
            <w:noWrap/>
            <w:vAlign w:val="center"/>
            <w:hideMark/>
          </w:tcPr>
          <w:p w:rsidR="00A94F60" w:rsidRPr="00834810" w:rsidRDefault="00497487" w:rsidP="00A94F60">
            <w:pPr>
              <w:jc w:val="right"/>
              <w:rPr>
                <w:rFonts w:ascii="Lato" w:hAnsi="Lato" w:cs="Calibri"/>
                <w:b/>
                <w:bCs/>
                <w:color w:val="000000"/>
                <w:szCs w:val="20"/>
                <w:lang w:eastAsia="es-MX"/>
              </w:rPr>
            </w:pPr>
            <w:r>
              <w:rPr>
                <w:rFonts w:ascii="Lato" w:hAnsi="Lato" w:cs="Calibri"/>
                <w:b/>
                <w:bCs/>
                <w:color w:val="000000"/>
                <w:szCs w:val="20"/>
                <w:lang w:eastAsia="es-MX"/>
              </w:rPr>
              <w:t>9,708,158.90</w:t>
            </w:r>
          </w:p>
        </w:tc>
        <w:tc>
          <w:tcPr>
            <w:tcW w:w="1531" w:type="dxa"/>
            <w:tcBorders>
              <w:top w:val="nil"/>
              <w:left w:val="nil"/>
              <w:bottom w:val="single" w:sz="8" w:space="0" w:color="auto"/>
              <w:right w:val="single" w:sz="8" w:space="0" w:color="auto"/>
            </w:tcBorders>
            <w:shd w:val="clear" w:color="auto" w:fill="E7E6E6" w:themeFill="background2"/>
            <w:noWrap/>
            <w:vAlign w:val="center"/>
            <w:hideMark/>
          </w:tcPr>
          <w:p w:rsidR="00A94F60" w:rsidRPr="00834810" w:rsidRDefault="00F12550" w:rsidP="00A94F60">
            <w:pPr>
              <w:jc w:val="right"/>
              <w:rPr>
                <w:rFonts w:ascii="Lato" w:hAnsi="Lato" w:cs="Calibri"/>
                <w:b/>
                <w:bCs/>
                <w:color w:val="000000"/>
                <w:szCs w:val="20"/>
                <w:lang w:eastAsia="es-MX"/>
              </w:rPr>
            </w:pPr>
            <w:r w:rsidRPr="00834810">
              <w:rPr>
                <w:rFonts w:ascii="Lato" w:hAnsi="Lato" w:cs="Calibri"/>
                <w:b/>
                <w:bCs/>
                <w:color w:val="000000"/>
                <w:szCs w:val="20"/>
                <w:lang w:eastAsia="es-MX"/>
              </w:rPr>
              <w:t>9,605,440.29</w:t>
            </w:r>
          </w:p>
        </w:tc>
      </w:tr>
    </w:tbl>
    <w:p w:rsidR="00A11E66" w:rsidRPr="00834810" w:rsidRDefault="00A94F60" w:rsidP="006C5266">
      <w:pPr>
        <w:pStyle w:val="Prrafodelista"/>
        <w:numPr>
          <w:ilvl w:val="6"/>
          <w:numId w:val="9"/>
        </w:numPr>
        <w:ind w:left="1560"/>
        <w:rPr>
          <w:rFonts w:ascii="Lato" w:hAnsi="Lato"/>
          <w:szCs w:val="20"/>
        </w:rPr>
      </w:pPr>
      <w:r w:rsidRPr="00834810">
        <w:rPr>
          <w:rFonts w:ascii="Lato" w:hAnsi="Lato"/>
          <w:szCs w:val="20"/>
        </w:rPr>
        <w:t xml:space="preserve"> Detallar las adquisiciones de las Actividades de Inversión efectivamente pagadas, respecto del apartado de aplicación.</w:t>
      </w:r>
    </w:p>
    <w:p w:rsidR="00A11E66" w:rsidRPr="00834810" w:rsidRDefault="00A11E66" w:rsidP="00A11E66">
      <w:pPr>
        <w:pStyle w:val="Prrafodelista"/>
        <w:ind w:left="1560"/>
        <w:rPr>
          <w:rFonts w:ascii="Lato" w:hAnsi="Lato"/>
          <w:szCs w:val="20"/>
        </w:rPr>
      </w:pPr>
    </w:p>
    <w:tbl>
      <w:tblPr>
        <w:tblW w:w="9908" w:type="dxa"/>
        <w:jc w:val="center"/>
        <w:tblCellMar>
          <w:left w:w="70" w:type="dxa"/>
          <w:right w:w="70" w:type="dxa"/>
        </w:tblCellMar>
        <w:tblLook w:val="04A0" w:firstRow="1" w:lastRow="0" w:firstColumn="1" w:lastColumn="0" w:noHBand="0" w:noVBand="1"/>
      </w:tblPr>
      <w:tblGrid>
        <w:gridCol w:w="7284"/>
        <w:gridCol w:w="1332"/>
        <w:gridCol w:w="1292"/>
      </w:tblGrid>
      <w:tr w:rsidR="00A11E66" w:rsidRPr="00834810" w:rsidTr="00452803">
        <w:trPr>
          <w:trHeight w:val="270"/>
          <w:jc w:val="center"/>
        </w:trPr>
        <w:tc>
          <w:tcPr>
            <w:tcW w:w="9908" w:type="dxa"/>
            <w:gridSpan w:val="3"/>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A11E66" w:rsidRPr="00834810" w:rsidRDefault="00A11E66" w:rsidP="00382FDB">
            <w:pPr>
              <w:jc w:val="center"/>
              <w:rPr>
                <w:rFonts w:ascii="Lato" w:hAnsi="Lato" w:cs="Calibri"/>
                <w:b/>
                <w:bCs/>
                <w:color w:val="000000"/>
                <w:szCs w:val="20"/>
                <w:lang w:eastAsia="es-MX"/>
              </w:rPr>
            </w:pPr>
            <w:r w:rsidRPr="00834810">
              <w:rPr>
                <w:rFonts w:ascii="Lato" w:hAnsi="Lato" w:cs="Calibri"/>
                <w:b/>
                <w:bCs/>
                <w:color w:val="000000"/>
                <w:szCs w:val="20"/>
                <w:lang w:eastAsia="es-MX"/>
              </w:rPr>
              <w:t>Adquisiciones de Actividades de Inversión efectivamente pagadas</w:t>
            </w:r>
          </w:p>
        </w:tc>
      </w:tr>
      <w:tr w:rsidR="00A11E66"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000000" w:fill="DBDBDB"/>
            <w:noWrap/>
            <w:vAlign w:val="bottom"/>
            <w:hideMark/>
          </w:tcPr>
          <w:p w:rsidR="00A11E66" w:rsidRPr="00834810" w:rsidRDefault="00A11E66" w:rsidP="00382FDB">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332" w:type="dxa"/>
            <w:tcBorders>
              <w:top w:val="nil"/>
              <w:left w:val="nil"/>
              <w:bottom w:val="single" w:sz="4" w:space="0" w:color="auto"/>
              <w:right w:val="single" w:sz="4" w:space="0" w:color="auto"/>
            </w:tcBorders>
            <w:shd w:val="clear" w:color="000000" w:fill="DBDBDB"/>
            <w:noWrap/>
            <w:vAlign w:val="bottom"/>
            <w:hideMark/>
          </w:tcPr>
          <w:p w:rsidR="00A11E66" w:rsidRPr="00834810" w:rsidRDefault="00EF4EDE" w:rsidP="00382FDB">
            <w:pPr>
              <w:jc w:val="center"/>
              <w:rPr>
                <w:rFonts w:ascii="Lato" w:hAnsi="Lato" w:cs="Calibri"/>
                <w:b/>
                <w:bCs/>
                <w:color w:val="000000"/>
                <w:szCs w:val="20"/>
                <w:lang w:eastAsia="es-MX"/>
              </w:rPr>
            </w:pPr>
            <w:r w:rsidRPr="00834810">
              <w:rPr>
                <w:rFonts w:ascii="Lato" w:hAnsi="Lato" w:cs="Calibri"/>
                <w:b/>
                <w:bCs/>
                <w:color w:val="000000"/>
                <w:szCs w:val="20"/>
                <w:lang w:eastAsia="es-MX"/>
              </w:rPr>
              <w:t>2025</w:t>
            </w:r>
          </w:p>
        </w:tc>
        <w:tc>
          <w:tcPr>
            <w:tcW w:w="1292" w:type="dxa"/>
            <w:tcBorders>
              <w:top w:val="nil"/>
              <w:left w:val="nil"/>
              <w:bottom w:val="single" w:sz="4" w:space="0" w:color="auto"/>
              <w:right w:val="single" w:sz="4" w:space="0" w:color="auto"/>
            </w:tcBorders>
            <w:shd w:val="clear" w:color="000000" w:fill="DBDBDB"/>
            <w:noWrap/>
            <w:vAlign w:val="bottom"/>
            <w:hideMark/>
          </w:tcPr>
          <w:p w:rsidR="00A11E66" w:rsidRPr="00834810" w:rsidRDefault="00A11E66" w:rsidP="00382FDB">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EF4EDE" w:rsidRPr="00834810">
              <w:rPr>
                <w:rFonts w:ascii="Lato" w:hAnsi="Lato" w:cs="Calibri"/>
                <w:b/>
                <w:bCs/>
                <w:color w:val="000000"/>
                <w:szCs w:val="20"/>
                <w:lang w:eastAsia="es-MX"/>
              </w:rPr>
              <w:t>4</w:t>
            </w:r>
          </w:p>
        </w:tc>
      </w:tr>
      <w:tr w:rsidR="00A11E66"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A11E66" w:rsidRPr="00834810" w:rsidRDefault="00A11E66" w:rsidP="00382FDB">
            <w:pPr>
              <w:rPr>
                <w:rFonts w:ascii="Lato" w:hAnsi="Lato" w:cs="Calibri"/>
                <w:b/>
                <w:bCs/>
                <w:color w:val="000000"/>
                <w:szCs w:val="20"/>
                <w:lang w:eastAsia="es-MX"/>
              </w:rPr>
            </w:pPr>
            <w:r w:rsidRPr="00834810">
              <w:rPr>
                <w:rFonts w:ascii="Lato" w:hAnsi="Lato" w:cs="Calibri"/>
                <w:b/>
                <w:bCs/>
                <w:color w:val="000000"/>
                <w:szCs w:val="20"/>
                <w:lang w:eastAsia="es-MX"/>
              </w:rPr>
              <w:t>Bienes Inmuebles, Infraestructura y Construcciones en Proceso</w:t>
            </w:r>
          </w:p>
        </w:tc>
        <w:tc>
          <w:tcPr>
            <w:tcW w:w="1332" w:type="dxa"/>
            <w:tcBorders>
              <w:top w:val="nil"/>
              <w:left w:val="nil"/>
              <w:bottom w:val="single" w:sz="4" w:space="0" w:color="auto"/>
              <w:right w:val="single" w:sz="4" w:space="0" w:color="auto"/>
            </w:tcBorders>
            <w:shd w:val="clear" w:color="auto" w:fill="auto"/>
            <w:noWrap/>
            <w:vAlign w:val="bottom"/>
            <w:hideMark/>
          </w:tcPr>
          <w:p w:rsidR="00A11E66" w:rsidRPr="00834810" w:rsidRDefault="00452803" w:rsidP="00A62AF7">
            <w:pPr>
              <w:jc w:val="right"/>
              <w:rPr>
                <w:rFonts w:ascii="Lato" w:hAnsi="Lato" w:cs="Calibri"/>
                <w:b/>
                <w:bCs/>
                <w:color w:val="000000"/>
                <w:szCs w:val="20"/>
                <w:lang w:eastAsia="es-MX"/>
              </w:rPr>
            </w:pPr>
            <w:r w:rsidRPr="00834810">
              <w:rPr>
                <w:rFonts w:ascii="Lato" w:hAnsi="Lato" w:cs="Calibri"/>
                <w:b/>
                <w:bCs/>
                <w:color w:val="000000"/>
                <w:szCs w:val="20"/>
                <w:lang w:eastAsia="es-MX"/>
              </w:rPr>
              <w:t>0.00</w:t>
            </w:r>
          </w:p>
        </w:tc>
        <w:tc>
          <w:tcPr>
            <w:tcW w:w="1292" w:type="dxa"/>
            <w:tcBorders>
              <w:top w:val="nil"/>
              <w:left w:val="nil"/>
              <w:bottom w:val="single" w:sz="4" w:space="0" w:color="auto"/>
              <w:right w:val="single" w:sz="4" w:space="0" w:color="auto"/>
            </w:tcBorders>
            <w:shd w:val="clear" w:color="auto" w:fill="auto"/>
            <w:noWrap/>
            <w:vAlign w:val="bottom"/>
            <w:hideMark/>
          </w:tcPr>
          <w:p w:rsidR="00A11E66" w:rsidRPr="00834810" w:rsidRDefault="000C6980" w:rsidP="006D32A5">
            <w:pPr>
              <w:jc w:val="right"/>
              <w:rPr>
                <w:rFonts w:ascii="Lato" w:hAnsi="Lato" w:cs="Calibri"/>
                <w:b/>
                <w:bCs/>
                <w:color w:val="000000"/>
                <w:szCs w:val="20"/>
                <w:lang w:eastAsia="es-MX"/>
              </w:rPr>
            </w:pPr>
            <w:r w:rsidRPr="00834810">
              <w:rPr>
                <w:rFonts w:ascii="Lato" w:hAnsi="Lato" w:cs="Calibri"/>
                <w:b/>
                <w:color w:val="000000"/>
                <w:szCs w:val="20"/>
                <w:lang w:eastAsia="es-MX"/>
              </w:rPr>
              <w:t>0.00</w:t>
            </w:r>
          </w:p>
        </w:tc>
      </w:tr>
      <w:tr w:rsidR="00A11E66"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A11E66" w:rsidRPr="00834810" w:rsidRDefault="00A11E66" w:rsidP="00382FDB">
            <w:pPr>
              <w:rPr>
                <w:rFonts w:ascii="Lato" w:hAnsi="Lato" w:cs="Calibri"/>
                <w:color w:val="000000"/>
                <w:szCs w:val="20"/>
                <w:lang w:eastAsia="es-MX"/>
              </w:rPr>
            </w:pPr>
            <w:r w:rsidRPr="00834810">
              <w:rPr>
                <w:rFonts w:ascii="Lato" w:hAnsi="Lato" w:cs="Calibri"/>
                <w:color w:val="000000"/>
                <w:szCs w:val="20"/>
                <w:lang w:eastAsia="es-MX"/>
              </w:rPr>
              <w:t>Terrenos</w:t>
            </w:r>
          </w:p>
        </w:tc>
        <w:tc>
          <w:tcPr>
            <w:tcW w:w="1332" w:type="dxa"/>
            <w:tcBorders>
              <w:top w:val="nil"/>
              <w:left w:val="nil"/>
              <w:bottom w:val="single" w:sz="4" w:space="0" w:color="auto"/>
              <w:right w:val="single" w:sz="4" w:space="0" w:color="auto"/>
            </w:tcBorders>
            <w:shd w:val="clear" w:color="auto" w:fill="auto"/>
            <w:noWrap/>
            <w:vAlign w:val="bottom"/>
            <w:hideMark/>
          </w:tcPr>
          <w:p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c>
          <w:tcPr>
            <w:tcW w:w="1292" w:type="dxa"/>
            <w:tcBorders>
              <w:top w:val="nil"/>
              <w:left w:val="nil"/>
              <w:bottom w:val="single" w:sz="4" w:space="0" w:color="auto"/>
              <w:right w:val="single" w:sz="4" w:space="0" w:color="auto"/>
            </w:tcBorders>
            <w:shd w:val="clear" w:color="auto" w:fill="auto"/>
            <w:noWrap/>
            <w:vAlign w:val="bottom"/>
            <w:hideMark/>
          </w:tcPr>
          <w:p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r>
      <w:tr w:rsidR="00A11E66"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A11E66" w:rsidRPr="00834810" w:rsidRDefault="00A11E66" w:rsidP="00382FDB">
            <w:pPr>
              <w:rPr>
                <w:rFonts w:ascii="Lato" w:hAnsi="Lato" w:cs="Calibri"/>
                <w:color w:val="000000"/>
                <w:szCs w:val="20"/>
                <w:lang w:eastAsia="es-MX"/>
              </w:rPr>
            </w:pPr>
            <w:r w:rsidRPr="00834810">
              <w:rPr>
                <w:rFonts w:ascii="Lato" w:hAnsi="Lato" w:cs="Calibri"/>
                <w:color w:val="000000"/>
                <w:szCs w:val="20"/>
                <w:lang w:eastAsia="es-MX"/>
              </w:rPr>
              <w:t>Viviendas</w:t>
            </w:r>
          </w:p>
        </w:tc>
        <w:tc>
          <w:tcPr>
            <w:tcW w:w="1332" w:type="dxa"/>
            <w:tcBorders>
              <w:top w:val="nil"/>
              <w:left w:val="nil"/>
              <w:bottom w:val="single" w:sz="4" w:space="0" w:color="auto"/>
              <w:right w:val="single" w:sz="4" w:space="0" w:color="auto"/>
            </w:tcBorders>
            <w:shd w:val="clear" w:color="auto" w:fill="auto"/>
            <w:noWrap/>
            <w:vAlign w:val="bottom"/>
            <w:hideMark/>
          </w:tcPr>
          <w:p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c>
          <w:tcPr>
            <w:tcW w:w="1292" w:type="dxa"/>
            <w:tcBorders>
              <w:top w:val="nil"/>
              <w:left w:val="nil"/>
              <w:bottom w:val="single" w:sz="4" w:space="0" w:color="auto"/>
              <w:right w:val="single" w:sz="4" w:space="0" w:color="auto"/>
            </w:tcBorders>
            <w:shd w:val="clear" w:color="auto" w:fill="auto"/>
            <w:noWrap/>
            <w:vAlign w:val="bottom"/>
            <w:hideMark/>
          </w:tcPr>
          <w:p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r>
      <w:tr w:rsidR="00A11E66"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A11E66" w:rsidRPr="00834810" w:rsidRDefault="00A11E66" w:rsidP="00382FDB">
            <w:pPr>
              <w:rPr>
                <w:rFonts w:ascii="Lato" w:hAnsi="Lato" w:cs="Calibri"/>
                <w:color w:val="000000"/>
                <w:szCs w:val="20"/>
                <w:lang w:eastAsia="es-MX"/>
              </w:rPr>
            </w:pPr>
            <w:r w:rsidRPr="00834810">
              <w:rPr>
                <w:rFonts w:ascii="Lato" w:hAnsi="Lato" w:cs="Calibri"/>
                <w:color w:val="000000"/>
                <w:szCs w:val="20"/>
                <w:lang w:eastAsia="es-MX"/>
              </w:rPr>
              <w:t>Edificios no Habitacionales</w:t>
            </w:r>
          </w:p>
        </w:tc>
        <w:tc>
          <w:tcPr>
            <w:tcW w:w="1332" w:type="dxa"/>
            <w:tcBorders>
              <w:top w:val="nil"/>
              <w:left w:val="nil"/>
              <w:bottom w:val="single" w:sz="4" w:space="0" w:color="auto"/>
              <w:right w:val="single" w:sz="4" w:space="0" w:color="auto"/>
            </w:tcBorders>
            <w:shd w:val="clear" w:color="auto" w:fill="auto"/>
            <w:noWrap/>
            <w:vAlign w:val="bottom"/>
            <w:hideMark/>
          </w:tcPr>
          <w:p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c>
          <w:tcPr>
            <w:tcW w:w="1292" w:type="dxa"/>
            <w:tcBorders>
              <w:top w:val="nil"/>
              <w:left w:val="nil"/>
              <w:bottom w:val="single" w:sz="4" w:space="0" w:color="auto"/>
              <w:right w:val="single" w:sz="4" w:space="0" w:color="auto"/>
            </w:tcBorders>
            <w:shd w:val="clear" w:color="auto" w:fill="auto"/>
            <w:noWrap/>
            <w:vAlign w:val="bottom"/>
            <w:hideMark/>
          </w:tcPr>
          <w:p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r>
      <w:tr w:rsidR="00A11E66"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A11E66" w:rsidRPr="00834810" w:rsidRDefault="00A11E66" w:rsidP="00382FDB">
            <w:pPr>
              <w:rPr>
                <w:rFonts w:ascii="Lato" w:hAnsi="Lato" w:cs="Calibri"/>
                <w:color w:val="000000"/>
                <w:szCs w:val="20"/>
                <w:lang w:eastAsia="es-MX"/>
              </w:rPr>
            </w:pPr>
            <w:r w:rsidRPr="00834810">
              <w:rPr>
                <w:rFonts w:ascii="Lato" w:hAnsi="Lato" w:cs="Calibri"/>
                <w:color w:val="000000"/>
                <w:szCs w:val="20"/>
                <w:lang w:eastAsia="es-MX"/>
              </w:rPr>
              <w:t>Infraestructura</w:t>
            </w:r>
          </w:p>
        </w:tc>
        <w:tc>
          <w:tcPr>
            <w:tcW w:w="1332" w:type="dxa"/>
            <w:tcBorders>
              <w:top w:val="nil"/>
              <w:left w:val="nil"/>
              <w:bottom w:val="single" w:sz="4" w:space="0" w:color="auto"/>
              <w:right w:val="single" w:sz="4" w:space="0" w:color="auto"/>
            </w:tcBorders>
            <w:shd w:val="clear" w:color="auto" w:fill="auto"/>
            <w:noWrap/>
            <w:vAlign w:val="bottom"/>
            <w:hideMark/>
          </w:tcPr>
          <w:p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c>
          <w:tcPr>
            <w:tcW w:w="1292" w:type="dxa"/>
            <w:tcBorders>
              <w:top w:val="nil"/>
              <w:left w:val="nil"/>
              <w:bottom w:val="single" w:sz="4" w:space="0" w:color="auto"/>
              <w:right w:val="single" w:sz="4" w:space="0" w:color="auto"/>
            </w:tcBorders>
            <w:shd w:val="clear" w:color="auto" w:fill="auto"/>
            <w:noWrap/>
            <w:vAlign w:val="bottom"/>
            <w:hideMark/>
          </w:tcPr>
          <w:p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Construcciones en Proceso en Bienes de Dominio Público</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BC0AE7" w:rsidP="00452803">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Construcciones en Proceso en Bienes Propios</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Otros Bienes Inmuebles</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b/>
                <w:bCs/>
                <w:color w:val="000000"/>
                <w:szCs w:val="20"/>
                <w:lang w:eastAsia="es-MX"/>
              </w:rPr>
            </w:pPr>
            <w:r w:rsidRPr="00834810">
              <w:rPr>
                <w:rFonts w:ascii="Lato" w:hAnsi="Lato" w:cs="Calibri"/>
                <w:b/>
                <w:bCs/>
                <w:color w:val="000000"/>
                <w:szCs w:val="20"/>
                <w:lang w:eastAsia="es-MX"/>
              </w:rPr>
              <w:t>Bienes Muebles</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b/>
                <w:bCs/>
                <w:color w:val="000000"/>
                <w:szCs w:val="20"/>
                <w:lang w:eastAsia="es-MX"/>
              </w:rPr>
            </w:pPr>
            <w:r w:rsidRPr="00834810">
              <w:rPr>
                <w:rFonts w:ascii="Lato" w:hAnsi="Lato" w:cs="Calibri"/>
                <w:b/>
                <w:bCs/>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EF4EDE" w:rsidP="00452803">
            <w:pPr>
              <w:jc w:val="right"/>
              <w:rPr>
                <w:rFonts w:ascii="Lato" w:hAnsi="Lato" w:cs="Calibri"/>
                <w:b/>
                <w:bCs/>
                <w:color w:val="000000"/>
                <w:szCs w:val="20"/>
                <w:lang w:eastAsia="es-MX"/>
              </w:rPr>
            </w:pPr>
            <w:r w:rsidRPr="00834810">
              <w:rPr>
                <w:rFonts w:ascii="Lato" w:hAnsi="Lato" w:cs="Calibri"/>
                <w:b/>
                <w:bCs/>
                <w:color w:val="000000"/>
                <w:szCs w:val="20"/>
                <w:lang w:eastAsia="es-MX"/>
              </w:rPr>
              <w:t>960,000.00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Mobiliario y Equipo de Administración</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EF4EDE" w:rsidP="00452803">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w:t>
            </w:r>
            <w:r w:rsidR="00EF4EDE" w:rsidRPr="00834810">
              <w:rPr>
                <w:rFonts w:ascii="Lato" w:hAnsi="Lato" w:cs="Calibri"/>
                <w:color w:val="000000"/>
                <w:szCs w:val="20"/>
                <w:lang w:eastAsia="es-MX"/>
              </w:rPr>
              <w:t>960,000.00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Mobiliario y Equipo Educacional y Recreativo</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Equipo e Instrumental Médico y de Laboratorio</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Vehículos y Equipo de Transporte</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BC0AE7" w:rsidP="00452803">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0C6980" w:rsidP="00452803">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Equipo de Defensa y Seguridad</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Maquinaria, Otros Equipos y Herramientas</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Colecciones, Obras de Arte y Objetos Valiosos</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Activos Biológicos</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Otras Inversiones</w:t>
            </w:r>
          </w:p>
        </w:tc>
        <w:tc>
          <w:tcPr>
            <w:tcW w:w="133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292" w:type="dxa"/>
            <w:tcBorders>
              <w:top w:val="nil"/>
              <w:left w:val="nil"/>
              <w:bottom w:val="single" w:sz="4" w:space="0" w:color="auto"/>
              <w:right w:val="single" w:sz="4" w:space="0" w:color="auto"/>
            </w:tcBorders>
            <w:shd w:val="clear" w:color="auto" w:fill="auto"/>
            <w:noWrap/>
            <w:vAlign w:val="bottom"/>
            <w:hideMark/>
          </w:tcPr>
          <w:p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rsidTr="00452803">
        <w:trPr>
          <w:trHeight w:val="270"/>
          <w:jc w:val="center"/>
        </w:trPr>
        <w:tc>
          <w:tcPr>
            <w:tcW w:w="7284" w:type="dxa"/>
            <w:tcBorders>
              <w:top w:val="nil"/>
              <w:left w:val="single" w:sz="4" w:space="0" w:color="auto"/>
              <w:bottom w:val="single" w:sz="4" w:space="0" w:color="auto"/>
              <w:right w:val="single" w:sz="4" w:space="0" w:color="auto"/>
            </w:tcBorders>
            <w:shd w:val="clear" w:color="000000" w:fill="DBDBDB"/>
            <w:noWrap/>
            <w:vAlign w:val="bottom"/>
            <w:hideMark/>
          </w:tcPr>
          <w:p w:rsidR="00452803" w:rsidRPr="00834810" w:rsidRDefault="00452803" w:rsidP="00452803">
            <w:pPr>
              <w:rPr>
                <w:rFonts w:ascii="Lato" w:hAnsi="Lato" w:cs="Calibri"/>
                <w:b/>
                <w:bCs/>
                <w:color w:val="000000"/>
                <w:szCs w:val="20"/>
                <w:lang w:eastAsia="es-MX"/>
              </w:rPr>
            </w:pPr>
            <w:r w:rsidRPr="00834810">
              <w:rPr>
                <w:rFonts w:ascii="Lato" w:hAnsi="Lato" w:cs="Calibri"/>
                <w:b/>
                <w:bCs/>
                <w:color w:val="000000"/>
                <w:szCs w:val="20"/>
                <w:lang w:eastAsia="es-MX"/>
              </w:rPr>
              <w:t>Total</w:t>
            </w:r>
          </w:p>
        </w:tc>
        <w:tc>
          <w:tcPr>
            <w:tcW w:w="1332" w:type="dxa"/>
            <w:tcBorders>
              <w:top w:val="nil"/>
              <w:left w:val="nil"/>
              <w:bottom w:val="single" w:sz="4" w:space="0" w:color="auto"/>
              <w:right w:val="single" w:sz="4" w:space="0" w:color="auto"/>
            </w:tcBorders>
            <w:shd w:val="clear" w:color="000000" w:fill="DBDBDB"/>
            <w:noWrap/>
            <w:vAlign w:val="bottom"/>
            <w:hideMark/>
          </w:tcPr>
          <w:p w:rsidR="00452803" w:rsidRPr="00834810" w:rsidRDefault="00EF4EDE" w:rsidP="00452803">
            <w:pPr>
              <w:jc w:val="right"/>
              <w:rPr>
                <w:rFonts w:ascii="Lato" w:hAnsi="Lato" w:cs="Calibri"/>
                <w:b/>
                <w:color w:val="000000"/>
                <w:szCs w:val="20"/>
                <w:lang w:eastAsia="es-MX"/>
              </w:rPr>
            </w:pPr>
            <w:r w:rsidRPr="00834810">
              <w:rPr>
                <w:rFonts w:ascii="Lato" w:hAnsi="Lato" w:cs="Calibri"/>
                <w:b/>
                <w:color w:val="000000"/>
                <w:szCs w:val="20"/>
                <w:lang w:eastAsia="es-MX"/>
              </w:rPr>
              <w:t>0.0</w:t>
            </w:r>
          </w:p>
        </w:tc>
        <w:tc>
          <w:tcPr>
            <w:tcW w:w="1292" w:type="dxa"/>
            <w:tcBorders>
              <w:top w:val="nil"/>
              <w:left w:val="nil"/>
              <w:bottom w:val="single" w:sz="4" w:space="0" w:color="auto"/>
              <w:right w:val="single" w:sz="4" w:space="0" w:color="auto"/>
            </w:tcBorders>
            <w:shd w:val="clear" w:color="000000" w:fill="DBDBDB"/>
            <w:noWrap/>
            <w:vAlign w:val="bottom"/>
            <w:hideMark/>
          </w:tcPr>
          <w:p w:rsidR="00452803" w:rsidRPr="00834810" w:rsidRDefault="00EF4EDE" w:rsidP="00452803">
            <w:pPr>
              <w:jc w:val="right"/>
              <w:rPr>
                <w:rFonts w:ascii="Lato" w:hAnsi="Lato" w:cs="Calibri"/>
                <w:b/>
                <w:color w:val="000000"/>
                <w:szCs w:val="20"/>
                <w:lang w:eastAsia="es-MX"/>
              </w:rPr>
            </w:pPr>
            <w:r w:rsidRPr="00834810">
              <w:rPr>
                <w:rFonts w:ascii="Lato" w:hAnsi="Lato" w:cs="Calibri"/>
                <w:b/>
                <w:color w:val="000000"/>
                <w:szCs w:val="20"/>
                <w:lang w:eastAsia="es-MX"/>
              </w:rPr>
              <w:t>960,000.00</w:t>
            </w:r>
          </w:p>
        </w:tc>
      </w:tr>
    </w:tbl>
    <w:p w:rsidR="00A11E66" w:rsidRDefault="00A11E66" w:rsidP="00A11E66">
      <w:pPr>
        <w:pStyle w:val="Prrafodelista"/>
        <w:ind w:left="1560"/>
        <w:rPr>
          <w:rFonts w:ascii="Lato" w:hAnsi="Lato"/>
          <w:szCs w:val="20"/>
        </w:rPr>
      </w:pPr>
    </w:p>
    <w:p w:rsidR="0029517C" w:rsidRDefault="0029517C" w:rsidP="00A11E66">
      <w:pPr>
        <w:pStyle w:val="Prrafodelista"/>
        <w:ind w:left="1560"/>
        <w:rPr>
          <w:rFonts w:ascii="Lato" w:hAnsi="Lato"/>
          <w:szCs w:val="20"/>
        </w:rPr>
      </w:pPr>
    </w:p>
    <w:p w:rsidR="0029517C" w:rsidRPr="00834810" w:rsidRDefault="0029517C" w:rsidP="00A11E66">
      <w:pPr>
        <w:pStyle w:val="Prrafodelista"/>
        <w:ind w:left="1560"/>
        <w:rPr>
          <w:rFonts w:ascii="Lato" w:hAnsi="Lato"/>
          <w:szCs w:val="20"/>
        </w:rPr>
      </w:pPr>
    </w:p>
    <w:p w:rsidR="00A11E66" w:rsidRPr="00834810" w:rsidRDefault="00A11E66" w:rsidP="00A11E66">
      <w:pPr>
        <w:pStyle w:val="Prrafodelista"/>
        <w:ind w:left="1560"/>
        <w:rPr>
          <w:rFonts w:ascii="Lato" w:hAnsi="Lato"/>
          <w:szCs w:val="20"/>
        </w:rPr>
      </w:pPr>
    </w:p>
    <w:p w:rsidR="00A94F60" w:rsidRPr="00834810" w:rsidRDefault="00A11E66" w:rsidP="006C5266">
      <w:pPr>
        <w:pStyle w:val="Prrafodelista"/>
        <w:numPr>
          <w:ilvl w:val="6"/>
          <w:numId w:val="9"/>
        </w:numPr>
        <w:ind w:left="1560"/>
        <w:rPr>
          <w:rFonts w:ascii="Lato" w:hAnsi="Lato"/>
          <w:szCs w:val="20"/>
        </w:rPr>
      </w:pPr>
      <w:r w:rsidRPr="00834810">
        <w:rPr>
          <w:rFonts w:ascii="Lato" w:hAnsi="Lato"/>
          <w:szCs w:val="20"/>
        </w:rPr>
        <w:t>Conciliación del Flujo de Efectivo Neto de la Actividades de Operación y los saldos de Resultados del Ejercicio (Ahorro / Desahorro):</w:t>
      </w:r>
    </w:p>
    <w:p w:rsidR="00A11E66" w:rsidRPr="00834810" w:rsidRDefault="00A11E66" w:rsidP="00A11E66">
      <w:pPr>
        <w:rPr>
          <w:rFonts w:ascii="Lato" w:hAnsi="Lato"/>
          <w:szCs w:val="20"/>
        </w:rPr>
      </w:pPr>
    </w:p>
    <w:tbl>
      <w:tblPr>
        <w:tblW w:w="8780" w:type="dxa"/>
        <w:jc w:val="center"/>
        <w:tblCellMar>
          <w:left w:w="70" w:type="dxa"/>
          <w:right w:w="70" w:type="dxa"/>
        </w:tblCellMar>
        <w:tblLook w:val="04A0" w:firstRow="1" w:lastRow="0" w:firstColumn="1" w:lastColumn="0" w:noHBand="0" w:noVBand="1"/>
      </w:tblPr>
      <w:tblGrid>
        <w:gridCol w:w="6240"/>
        <w:gridCol w:w="1280"/>
        <w:gridCol w:w="1442"/>
      </w:tblGrid>
      <w:tr w:rsidR="0017785D" w:rsidRPr="00834810" w:rsidTr="0017785D">
        <w:trPr>
          <w:trHeight w:val="315"/>
          <w:jc w:val="center"/>
        </w:trPr>
        <w:tc>
          <w:tcPr>
            <w:tcW w:w="624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17785D" w:rsidRPr="00834810" w:rsidRDefault="0017785D" w:rsidP="0017785D">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rsidR="0017785D" w:rsidRPr="00834810" w:rsidRDefault="00EF4EDE" w:rsidP="0017785D">
            <w:pPr>
              <w:jc w:val="center"/>
              <w:rPr>
                <w:rFonts w:ascii="Lato" w:hAnsi="Lato" w:cs="Calibri"/>
                <w:b/>
                <w:bCs/>
                <w:color w:val="000000"/>
                <w:szCs w:val="20"/>
                <w:lang w:eastAsia="es-MX"/>
              </w:rPr>
            </w:pPr>
            <w:r w:rsidRPr="00834810">
              <w:rPr>
                <w:rFonts w:ascii="Lato" w:hAnsi="Lato" w:cs="Calibri"/>
                <w:b/>
                <w:bCs/>
                <w:color w:val="000000"/>
                <w:szCs w:val="20"/>
                <w:lang w:eastAsia="es-MX"/>
              </w:rPr>
              <w:t>2025</w:t>
            </w:r>
          </w:p>
        </w:tc>
        <w:tc>
          <w:tcPr>
            <w:tcW w:w="1260" w:type="dxa"/>
            <w:tcBorders>
              <w:top w:val="single" w:sz="8" w:space="0" w:color="auto"/>
              <w:left w:val="nil"/>
              <w:bottom w:val="single" w:sz="8" w:space="0" w:color="auto"/>
              <w:right w:val="single" w:sz="8" w:space="0" w:color="auto"/>
            </w:tcBorders>
            <w:shd w:val="clear" w:color="000000" w:fill="E7E6E6"/>
            <w:noWrap/>
            <w:vAlign w:val="center"/>
            <w:hideMark/>
          </w:tcPr>
          <w:p w:rsidR="0017785D" w:rsidRPr="00834810" w:rsidRDefault="0017785D" w:rsidP="0017785D">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EF4EDE" w:rsidRPr="00834810">
              <w:rPr>
                <w:rFonts w:ascii="Lato" w:hAnsi="Lato" w:cs="Calibri"/>
                <w:b/>
                <w:bCs/>
                <w:color w:val="000000"/>
                <w:szCs w:val="20"/>
                <w:lang w:eastAsia="es-MX"/>
              </w:rPr>
              <w:t>4</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b/>
                <w:bCs/>
                <w:color w:val="000000"/>
                <w:szCs w:val="20"/>
                <w:lang w:eastAsia="es-MX"/>
              </w:rPr>
            </w:pPr>
            <w:r w:rsidRPr="00834810">
              <w:rPr>
                <w:rFonts w:ascii="Lato" w:hAnsi="Lato" w:cs="Calibri"/>
                <w:b/>
                <w:bCs/>
                <w:color w:val="000000"/>
                <w:szCs w:val="20"/>
                <w:lang w:eastAsia="es-MX"/>
              </w:rPr>
              <w:t>Resultados del Ejercicio Ahorro/Desahorro</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497487" w:rsidP="0017785D">
            <w:pPr>
              <w:jc w:val="right"/>
              <w:rPr>
                <w:rFonts w:ascii="Lato" w:hAnsi="Lato" w:cs="Calibri"/>
                <w:b/>
                <w:bCs/>
                <w:color w:val="000000"/>
                <w:szCs w:val="20"/>
                <w:lang w:eastAsia="es-MX"/>
              </w:rPr>
            </w:pPr>
            <w:r>
              <w:rPr>
                <w:rFonts w:ascii="Lato" w:hAnsi="Lato" w:cs="Calibri"/>
                <w:b/>
                <w:bCs/>
                <w:color w:val="000000"/>
                <w:szCs w:val="20"/>
                <w:lang w:eastAsia="es-MX"/>
              </w:rPr>
              <w:t>22,726.49</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EF4EDE" w:rsidP="0017785D">
            <w:pPr>
              <w:jc w:val="right"/>
              <w:rPr>
                <w:rFonts w:ascii="Lato" w:hAnsi="Lato" w:cs="Calibri"/>
                <w:b/>
                <w:bCs/>
                <w:color w:val="000000"/>
                <w:szCs w:val="20"/>
                <w:lang w:eastAsia="es-MX"/>
              </w:rPr>
            </w:pPr>
            <w:r w:rsidRPr="00834810">
              <w:rPr>
                <w:rFonts w:ascii="Lato" w:hAnsi="Lato" w:cs="Calibri"/>
                <w:b/>
                <w:bCs/>
                <w:color w:val="000000"/>
                <w:szCs w:val="20"/>
                <w:lang w:eastAsia="es-MX"/>
              </w:rPr>
              <w:t>10,5</w:t>
            </w:r>
            <w:r w:rsidR="004D5076">
              <w:rPr>
                <w:rFonts w:ascii="Lato" w:hAnsi="Lato" w:cs="Calibri"/>
                <w:b/>
                <w:bCs/>
                <w:color w:val="000000"/>
                <w:szCs w:val="20"/>
                <w:lang w:eastAsia="es-MX"/>
              </w:rPr>
              <w:t>6</w:t>
            </w:r>
            <w:r w:rsidRPr="00834810">
              <w:rPr>
                <w:rFonts w:ascii="Lato" w:hAnsi="Lato" w:cs="Calibri"/>
                <w:b/>
                <w:bCs/>
                <w:color w:val="000000"/>
                <w:szCs w:val="20"/>
                <w:lang w:eastAsia="es-MX"/>
              </w:rPr>
              <w:t>5,440.29</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b/>
                <w:bCs/>
                <w:color w:val="000000"/>
                <w:szCs w:val="20"/>
                <w:lang w:eastAsia="es-MX"/>
              </w:rPr>
            </w:pPr>
            <w:r w:rsidRPr="00834810">
              <w:rPr>
                <w:rFonts w:ascii="Lato" w:hAnsi="Lato" w:cs="Calibri"/>
                <w:b/>
                <w:bCs/>
                <w:color w:val="000000"/>
                <w:szCs w:val="20"/>
                <w:lang w:eastAsia="es-MX"/>
              </w:rPr>
              <w:t>Movimientos de partidas o rubros que no afectan efectivo</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497487" w:rsidP="0017785D">
            <w:pPr>
              <w:jc w:val="right"/>
              <w:rPr>
                <w:rFonts w:ascii="Lato" w:hAnsi="Lato" w:cs="Calibri"/>
                <w:b/>
                <w:bCs/>
                <w:color w:val="000000"/>
                <w:szCs w:val="20"/>
                <w:lang w:eastAsia="es-MX"/>
              </w:rPr>
            </w:pPr>
            <w:r>
              <w:rPr>
                <w:rFonts w:ascii="Lato" w:hAnsi="Lato" w:cs="Calibri"/>
                <w:b/>
                <w:bCs/>
                <w:color w:val="000000"/>
                <w:szCs w:val="20"/>
                <w:lang w:eastAsia="es-MX"/>
              </w:rPr>
              <w:t>79,992.12</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b/>
                <w:bCs/>
                <w:color w:val="000000"/>
                <w:szCs w:val="20"/>
                <w:lang w:eastAsia="es-MX"/>
              </w:rPr>
            </w:pPr>
            <w:r w:rsidRPr="00834810">
              <w:rPr>
                <w:rFonts w:ascii="Lato" w:hAnsi="Lato" w:cs="Calibri"/>
                <w:b/>
                <w:bCs/>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Depreciación</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497487" w:rsidP="0017785D">
            <w:pPr>
              <w:jc w:val="right"/>
              <w:rPr>
                <w:rFonts w:ascii="Lato" w:hAnsi="Lato" w:cs="Calibri"/>
                <w:color w:val="000000"/>
                <w:szCs w:val="20"/>
                <w:lang w:eastAsia="es-MX"/>
              </w:rPr>
            </w:pPr>
            <w:r>
              <w:rPr>
                <w:rFonts w:ascii="Lato" w:hAnsi="Lato" w:cs="Calibri"/>
                <w:color w:val="000000"/>
                <w:szCs w:val="20"/>
                <w:lang w:eastAsia="es-MX"/>
              </w:rPr>
              <w:t>79,992.12</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 xml:space="preserve">Amortización </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Incremento en las provisiones</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Incremento en inversiones producido por reevaluación</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Ganancia/pérdida en venta de bienes muebles, inmuebles e intangibles</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Incremento en cuentas por cobrar</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Deudores diversos</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Inversión Pública</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Patrimonio</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Orígenes de operación</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auto" w:fill="auto"/>
            <w:noWrap/>
            <w:vAlign w:val="center"/>
            <w:hideMark/>
          </w:tcPr>
          <w:p w:rsidR="0017785D" w:rsidRPr="00834810" w:rsidRDefault="0017785D" w:rsidP="0017785D">
            <w:pPr>
              <w:rPr>
                <w:rFonts w:ascii="Lato" w:hAnsi="Lato" w:cs="Calibri"/>
                <w:color w:val="000000"/>
                <w:szCs w:val="20"/>
                <w:lang w:eastAsia="es-MX"/>
              </w:rPr>
            </w:pPr>
            <w:r w:rsidRPr="00834810">
              <w:rPr>
                <w:rFonts w:ascii="Lato" w:hAnsi="Lato" w:cs="Calibri"/>
                <w:color w:val="000000"/>
                <w:szCs w:val="20"/>
                <w:lang w:eastAsia="es-MX"/>
              </w:rPr>
              <w:t>Aplicaciones de operación</w:t>
            </w:r>
          </w:p>
        </w:tc>
        <w:tc>
          <w:tcPr>
            <w:tcW w:w="128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260" w:type="dxa"/>
            <w:tcBorders>
              <w:top w:val="nil"/>
              <w:left w:val="nil"/>
              <w:bottom w:val="single" w:sz="8" w:space="0" w:color="auto"/>
              <w:right w:val="single" w:sz="8" w:space="0" w:color="auto"/>
            </w:tcBorders>
            <w:shd w:val="clear" w:color="auto" w:fill="auto"/>
            <w:noWrap/>
            <w:vAlign w:val="center"/>
            <w:hideMark/>
          </w:tcPr>
          <w:p w:rsidR="0017785D" w:rsidRPr="00834810" w:rsidRDefault="0017785D" w:rsidP="0017785D">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17785D" w:rsidRPr="00834810" w:rsidTr="0017785D">
        <w:trPr>
          <w:trHeight w:val="315"/>
          <w:jc w:val="center"/>
        </w:trPr>
        <w:tc>
          <w:tcPr>
            <w:tcW w:w="6240" w:type="dxa"/>
            <w:tcBorders>
              <w:top w:val="nil"/>
              <w:left w:val="single" w:sz="8" w:space="0" w:color="auto"/>
              <w:bottom w:val="single" w:sz="8" w:space="0" w:color="auto"/>
              <w:right w:val="single" w:sz="8" w:space="0" w:color="auto"/>
            </w:tcBorders>
            <w:shd w:val="clear" w:color="000000" w:fill="E7E6E6"/>
            <w:noWrap/>
            <w:vAlign w:val="center"/>
            <w:hideMark/>
          </w:tcPr>
          <w:p w:rsidR="0017785D" w:rsidRPr="00834810" w:rsidRDefault="0017785D" w:rsidP="0017785D">
            <w:pPr>
              <w:rPr>
                <w:rFonts w:ascii="Lato" w:hAnsi="Lato" w:cs="Calibri"/>
                <w:b/>
                <w:bCs/>
                <w:color w:val="000000"/>
                <w:szCs w:val="20"/>
                <w:lang w:eastAsia="es-MX"/>
              </w:rPr>
            </w:pPr>
            <w:r w:rsidRPr="00834810">
              <w:rPr>
                <w:rFonts w:ascii="Lato" w:hAnsi="Lato" w:cs="Calibri"/>
                <w:b/>
                <w:bCs/>
                <w:color w:val="000000"/>
                <w:szCs w:val="20"/>
                <w:lang w:eastAsia="es-MX"/>
              </w:rPr>
              <w:t>Flujos de Efectivo Netos de las Actividades de Operación</w:t>
            </w:r>
          </w:p>
        </w:tc>
        <w:tc>
          <w:tcPr>
            <w:tcW w:w="1280" w:type="dxa"/>
            <w:tcBorders>
              <w:top w:val="nil"/>
              <w:left w:val="nil"/>
              <w:bottom w:val="single" w:sz="8" w:space="0" w:color="auto"/>
              <w:right w:val="single" w:sz="8" w:space="0" w:color="auto"/>
            </w:tcBorders>
            <w:shd w:val="clear" w:color="000000" w:fill="E7E6E6"/>
            <w:noWrap/>
            <w:vAlign w:val="center"/>
            <w:hideMark/>
          </w:tcPr>
          <w:p w:rsidR="0017785D" w:rsidRPr="00834810" w:rsidRDefault="00497487" w:rsidP="0017785D">
            <w:pPr>
              <w:jc w:val="right"/>
              <w:rPr>
                <w:rFonts w:ascii="Lato" w:hAnsi="Lato" w:cs="Calibri"/>
                <w:b/>
                <w:bCs/>
                <w:color w:val="000000"/>
                <w:szCs w:val="20"/>
                <w:lang w:eastAsia="es-MX"/>
              </w:rPr>
            </w:pPr>
            <w:r>
              <w:rPr>
                <w:rFonts w:ascii="Lato" w:hAnsi="Lato" w:cs="Calibri"/>
                <w:b/>
                <w:bCs/>
                <w:color w:val="000000"/>
                <w:szCs w:val="20"/>
                <w:lang w:eastAsia="es-MX"/>
              </w:rPr>
              <w:t>102,718.61</w:t>
            </w:r>
          </w:p>
        </w:tc>
        <w:tc>
          <w:tcPr>
            <w:tcW w:w="1260" w:type="dxa"/>
            <w:tcBorders>
              <w:top w:val="nil"/>
              <w:left w:val="nil"/>
              <w:bottom w:val="single" w:sz="8" w:space="0" w:color="auto"/>
              <w:right w:val="single" w:sz="8" w:space="0" w:color="auto"/>
            </w:tcBorders>
            <w:shd w:val="clear" w:color="000000" w:fill="E7E6E6"/>
            <w:noWrap/>
            <w:vAlign w:val="center"/>
            <w:hideMark/>
          </w:tcPr>
          <w:p w:rsidR="0017785D" w:rsidRPr="00834810" w:rsidRDefault="00EF4EDE" w:rsidP="0017785D">
            <w:pPr>
              <w:jc w:val="right"/>
              <w:rPr>
                <w:rFonts w:ascii="Lato" w:hAnsi="Lato" w:cs="Calibri"/>
                <w:b/>
                <w:bCs/>
                <w:color w:val="000000"/>
                <w:szCs w:val="20"/>
                <w:lang w:eastAsia="es-MX"/>
              </w:rPr>
            </w:pPr>
            <w:r w:rsidRPr="00834810">
              <w:rPr>
                <w:rFonts w:ascii="Lato" w:hAnsi="Lato" w:cs="Calibri"/>
                <w:b/>
                <w:bCs/>
                <w:color w:val="000000"/>
                <w:szCs w:val="20"/>
                <w:lang w:eastAsia="es-MX"/>
              </w:rPr>
              <w:t>10,5</w:t>
            </w:r>
            <w:r w:rsidR="004D5076">
              <w:rPr>
                <w:rFonts w:ascii="Lato" w:hAnsi="Lato" w:cs="Calibri"/>
                <w:b/>
                <w:bCs/>
                <w:color w:val="000000"/>
                <w:szCs w:val="20"/>
                <w:lang w:eastAsia="es-MX"/>
              </w:rPr>
              <w:t>6</w:t>
            </w:r>
            <w:r w:rsidRPr="00834810">
              <w:rPr>
                <w:rFonts w:ascii="Lato" w:hAnsi="Lato" w:cs="Calibri"/>
                <w:b/>
                <w:bCs/>
                <w:color w:val="000000"/>
                <w:szCs w:val="20"/>
                <w:lang w:eastAsia="es-MX"/>
              </w:rPr>
              <w:t>5,440.29</w:t>
            </w:r>
          </w:p>
        </w:tc>
      </w:tr>
    </w:tbl>
    <w:p w:rsidR="00A94F60" w:rsidRPr="00834810" w:rsidRDefault="00A94F60" w:rsidP="00A94F60">
      <w:pPr>
        <w:pStyle w:val="Prrafodelista"/>
        <w:ind w:left="5040"/>
        <w:rPr>
          <w:rFonts w:ascii="Lato" w:hAnsi="Lato"/>
          <w:szCs w:val="20"/>
        </w:rPr>
      </w:pPr>
    </w:p>
    <w:p w:rsidR="004D021D" w:rsidRPr="00834810" w:rsidRDefault="004D021D" w:rsidP="006C5266">
      <w:pPr>
        <w:pStyle w:val="Ttulo2"/>
        <w:numPr>
          <w:ilvl w:val="0"/>
          <w:numId w:val="10"/>
        </w:numPr>
        <w:rPr>
          <w:rFonts w:ascii="Lato" w:hAnsi="Lato"/>
          <w:szCs w:val="20"/>
        </w:rPr>
      </w:pPr>
      <w:r w:rsidRPr="00834810">
        <w:rPr>
          <w:rFonts w:ascii="Lato" w:hAnsi="Lato"/>
          <w:szCs w:val="20"/>
        </w:rPr>
        <w:t>CONCILIACIÓN ENTRE LOS INGRESOS PRESUPUESTARIOS Y CONTABLES, ASÍ COMO ENTRE LOS EGRESOS PRESUPUESTARIOS Y LOS GASTOS CONTABLES</w:t>
      </w:r>
    </w:p>
    <w:p w:rsidR="00A11E66" w:rsidRPr="00834810" w:rsidRDefault="00A11E66" w:rsidP="00A11E66">
      <w:pPr>
        <w:rPr>
          <w:rFonts w:ascii="Lato" w:hAnsi="Lato"/>
          <w:szCs w:val="20"/>
        </w:rPr>
      </w:pPr>
    </w:p>
    <w:p w:rsidR="00B13551" w:rsidRPr="00834810" w:rsidRDefault="00B13551" w:rsidP="00B13551">
      <w:pPr>
        <w:ind w:left="709"/>
        <w:jc w:val="both"/>
        <w:rPr>
          <w:rFonts w:ascii="Lato" w:hAnsi="Lato"/>
          <w:szCs w:val="20"/>
        </w:rPr>
      </w:pPr>
      <w:r w:rsidRPr="00834810">
        <w:rPr>
          <w:rFonts w:ascii="Lato" w:hAnsi="Lato"/>
          <w:szCs w:val="20"/>
        </w:rPr>
        <w:lastRenderedPageBreak/>
        <w:t>La conciliación se presenta, atendiendo a lo dispuesto por el acuerdo por el que se emite el formato de conciliación entre los ingresos presupuestarios y contables, así como entre los egresos presupuestarios y los gastos contables.</w:t>
      </w:r>
    </w:p>
    <w:p w:rsidR="00A11E66" w:rsidRPr="00834810" w:rsidRDefault="00A11E66" w:rsidP="00A11E66">
      <w:pPr>
        <w:rPr>
          <w:rFonts w:ascii="Lato" w:hAnsi="Lato"/>
          <w:szCs w:val="20"/>
        </w:rPr>
      </w:pPr>
    </w:p>
    <w:tbl>
      <w:tblPr>
        <w:tblW w:w="9067" w:type="dxa"/>
        <w:jc w:val="center"/>
        <w:tblCellMar>
          <w:left w:w="70" w:type="dxa"/>
          <w:right w:w="70" w:type="dxa"/>
        </w:tblCellMar>
        <w:tblLook w:val="04A0" w:firstRow="1" w:lastRow="0" w:firstColumn="1" w:lastColumn="0" w:noHBand="0" w:noVBand="1"/>
      </w:tblPr>
      <w:tblGrid>
        <w:gridCol w:w="7420"/>
        <w:gridCol w:w="1647"/>
      </w:tblGrid>
      <w:tr w:rsidR="00B13551" w:rsidRPr="00834810" w:rsidTr="008F4D34">
        <w:trPr>
          <w:trHeight w:val="270"/>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834810" w:rsidRDefault="008770B5"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Fondo Estatal para el Transporte</w:t>
            </w:r>
          </w:p>
        </w:tc>
      </w:tr>
      <w:tr w:rsidR="00B13551" w:rsidRPr="00834810" w:rsidTr="008F4D34">
        <w:trPr>
          <w:trHeight w:val="270"/>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834810" w:rsidRDefault="00B13551"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Conciliación entre los Ingresos Presupuestarios y Contables</w:t>
            </w:r>
          </w:p>
        </w:tc>
      </w:tr>
      <w:tr w:rsidR="00B13551" w:rsidRPr="00834810" w:rsidTr="008F4D34">
        <w:trPr>
          <w:trHeight w:val="270"/>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834810" w:rsidRDefault="00B13551" w:rsidP="008024FE">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Del 1 de </w:t>
            </w:r>
            <w:r w:rsidR="0029517C" w:rsidRPr="00834810">
              <w:rPr>
                <w:rFonts w:ascii="Lato" w:hAnsi="Lato" w:cs="Calibri"/>
                <w:b/>
                <w:bCs/>
                <w:color w:val="000000"/>
                <w:szCs w:val="20"/>
                <w:lang w:eastAsia="es-MX"/>
              </w:rPr>
              <w:t>enero</w:t>
            </w:r>
            <w:r w:rsidRPr="00834810">
              <w:rPr>
                <w:rFonts w:ascii="Lato" w:hAnsi="Lato" w:cs="Calibri"/>
                <w:b/>
                <w:bCs/>
                <w:color w:val="000000"/>
                <w:szCs w:val="20"/>
                <w:lang w:eastAsia="es-MX"/>
              </w:rPr>
              <w:t xml:space="preserve"> al </w:t>
            </w:r>
            <w:r w:rsidR="00A65445">
              <w:rPr>
                <w:rFonts w:ascii="Lato" w:hAnsi="Lato" w:cs="Calibri"/>
                <w:b/>
                <w:bCs/>
                <w:color w:val="000000"/>
                <w:szCs w:val="20"/>
                <w:lang w:eastAsia="es-MX"/>
              </w:rPr>
              <w:t>31</w:t>
            </w:r>
            <w:r w:rsidR="000D6AEA" w:rsidRPr="00834810">
              <w:rPr>
                <w:rFonts w:ascii="Lato" w:hAnsi="Lato" w:cs="Calibri"/>
                <w:b/>
                <w:bCs/>
                <w:color w:val="000000"/>
                <w:szCs w:val="20"/>
                <w:lang w:eastAsia="es-MX"/>
              </w:rPr>
              <w:t xml:space="preserve"> de </w:t>
            </w:r>
            <w:r w:rsidR="0029517C">
              <w:rPr>
                <w:rFonts w:ascii="Lato" w:hAnsi="Lato" w:cs="Calibri"/>
                <w:b/>
                <w:bCs/>
                <w:color w:val="000000"/>
                <w:szCs w:val="20"/>
                <w:lang w:eastAsia="es-MX"/>
              </w:rPr>
              <w:t>marzo</w:t>
            </w:r>
            <w:r w:rsidRPr="00834810">
              <w:rPr>
                <w:rFonts w:ascii="Lato" w:hAnsi="Lato" w:cs="Calibri"/>
                <w:b/>
                <w:bCs/>
                <w:color w:val="000000"/>
                <w:szCs w:val="20"/>
                <w:lang w:eastAsia="es-MX"/>
              </w:rPr>
              <w:t xml:space="preserve"> de 202</w:t>
            </w:r>
            <w:r w:rsidR="00EF4EDE" w:rsidRPr="00834810">
              <w:rPr>
                <w:rFonts w:ascii="Lato" w:hAnsi="Lato" w:cs="Calibri"/>
                <w:b/>
                <w:bCs/>
                <w:color w:val="000000"/>
                <w:szCs w:val="20"/>
                <w:lang w:eastAsia="es-MX"/>
              </w:rPr>
              <w:t>5</w:t>
            </w:r>
          </w:p>
        </w:tc>
      </w:tr>
      <w:tr w:rsidR="00B13551" w:rsidRPr="00834810" w:rsidTr="008F4D34">
        <w:trPr>
          <w:trHeight w:val="270"/>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834810" w:rsidRDefault="00B13551"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(Cifras en pesos)</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bottom"/>
            <w:hideMark/>
          </w:tcPr>
          <w:p w:rsidR="00B13551" w:rsidRPr="00834810" w:rsidRDefault="00B13551"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647" w:type="dxa"/>
            <w:tcBorders>
              <w:top w:val="nil"/>
              <w:left w:val="nil"/>
              <w:bottom w:val="single" w:sz="4" w:space="0" w:color="auto"/>
              <w:right w:val="single" w:sz="4" w:space="0" w:color="auto"/>
            </w:tcBorders>
            <w:shd w:val="clear" w:color="000000" w:fill="DBDBDB"/>
            <w:noWrap/>
            <w:vAlign w:val="bottom"/>
            <w:hideMark/>
          </w:tcPr>
          <w:p w:rsidR="00B13551" w:rsidRPr="00834810" w:rsidRDefault="00B13551"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EF4EDE" w:rsidRPr="00834810">
              <w:rPr>
                <w:rFonts w:ascii="Lato" w:hAnsi="Lato" w:cs="Calibri"/>
                <w:b/>
                <w:bCs/>
                <w:color w:val="000000"/>
                <w:szCs w:val="20"/>
                <w:lang w:eastAsia="es-MX"/>
              </w:rPr>
              <w:t>5</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center"/>
            <w:hideMark/>
          </w:tcPr>
          <w:p w:rsidR="00B13551" w:rsidRPr="00834810" w:rsidRDefault="00B13551" w:rsidP="00B13551">
            <w:pPr>
              <w:rPr>
                <w:rFonts w:ascii="Lato" w:hAnsi="Lato" w:cs="Calibri"/>
                <w:b/>
                <w:bCs/>
                <w:color w:val="000000"/>
                <w:szCs w:val="20"/>
                <w:lang w:eastAsia="es-MX"/>
              </w:rPr>
            </w:pPr>
            <w:r w:rsidRPr="00834810">
              <w:rPr>
                <w:rFonts w:ascii="Lato" w:hAnsi="Lato" w:cs="Calibri"/>
                <w:b/>
                <w:bCs/>
                <w:color w:val="000000"/>
                <w:szCs w:val="20"/>
                <w:lang w:eastAsia="es-MX"/>
              </w:rPr>
              <w:t>1. Total de Ingresos Presupuestarios</w:t>
            </w:r>
          </w:p>
        </w:tc>
        <w:tc>
          <w:tcPr>
            <w:tcW w:w="1647" w:type="dxa"/>
            <w:tcBorders>
              <w:top w:val="nil"/>
              <w:left w:val="nil"/>
              <w:bottom w:val="single" w:sz="4" w:space="0" w:color="auto"/>
              <w:right w:val="single" w:sz="4" w:space="0" w:color="auto"/>
            </w:tcBorders>
            <w:shd w:val="clear" w:color="000000" w:fill="DBDBDB"/>
            <w:noWrap/>
            <w:vAlign w:val="center"/>
            <w:hideMark/>
          </w:tcPr>
          <w:p w:rsidR="00B13551" w:rsidRPr="00834810" w:rsidRDefault="00A65445" w:rsidP="00D4508E">
            <w:pPr>
              <w:jc w:val="right"/>
              <w:rPr>
                <w:rFonts w:ascii="Lato" w:hAnsi="Lato" w:cs="Calibri"/>
                <w:b/>
                <w:bCs/>
                <w:color w:val="000000"/>
                <w:szCs w:val="20"/>
                <w:lang w:eastAsia="es-MX"/>
              </w:rPr>
            </w:pPr>
            <w:r>
              <w:rPr>
                <w:rFonts w:ascii="Lato" w:hAnsi="Lato" w:cs="Calibri"/>
                <w:b/>
                <w:bCs/>
                <w:color w:val="000000"/>
                <w:szCs w:val="20"/>
                <w:lang w:eastAsia="es-MX"/>
              </w:rPr>
              <w:t>102,718.61</w:t>
            </w:r>
          </w:p>
        </w:tc>
      </w:tr>
      <w:tr w:rsidR="00B13551" w:rsidRPr="00834810" w:rsidTr="008F4D34">
        <w:trPr>
          <w:trHeight w:val="60"/>
          <w:jc w:val="center"/>
        </w:trPr>
        <w:tc>
          <w:tcPr>
            <w:tcW w:w="7420" w:type="dxa"/>
            <w:tcBorders>
              <w:top w:val="nil"/>
              <w:left w:val="nil"/>
              <w:bottom w:val="nil"/>
              <w:right w:val="nil"/>
            </w:tcBorders>
            <w:shd w:val="clear" w:color="auto" w:fill="auto"/>
            <w:noWrap/>
            <w:vAlign w:val="bottom"/>
            <w:hideMark/>
          </w:tcPr>
          <w:p w:rsidR="00B13551" w:rsidRPr="00834810" w:rsidRDefault="00B13551" w:rsidP="00B13551">
            <w:pPr>
              <w:rPr>
                <w:rFonts w:ascii="Lato" w:hAnsi="Lato" w:cs="Calibri"/>
                <w:b/>
                <w:bCs/>
                <w:color w:val="000000"/>
                <w:szCs w:val="20"/>
                <w:lang w:eastAsia="es-MX"/>
              </w:rPr>
            </w:pPr>
          </w:p>
        </w:tc>
        <w:tc>
          <w:tcPr>
            <w:tcW w:w="1647" w:type="dxa"/>
            <w:tcBorders>
              <w:top w:val="nil"/>
              <w:left w:val="nil"/>
              <w:bottom w:val="nil"/>
              <w:right w:val="nil"/>
            </w:tcBorders>
            <w:shd w:val="clear" w:color="auto" w:fill="auto"/>
            <w:noWrap/>
            <w:vAlign w:val="bottom"/>
            <w:hideMark/>
          </w:tcPr>
          <w:p w:rsidR="00B13551" w:rsidRPr="00834810" w:rsidRDefault="00B13551" w:rsidP="00B13551">
            <w:pPr>
              <w:rPr>
                <w:rFonts w:ascii="Lato" w:hAnsi="Lato"/>
                <w:szCs w:val="20"/>
                <w:lang w:eastAsia="es-MX"/>
              </w:rPr>
            </w:pPr>
          </w:p>
        </w:tc>
      </w:tr>
      <w:tr w:rsidR="00B13551" w:rsidRPr="00834810" w:rsidTr="008F4D34">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b/>
                <w:bCs/>
                <w:color w:val="000000"/>
                <w:szCs w:val="20"/>
                <w:lang w:eastAsia="es-MX"/>
              </w:rPr>
            </w:pPr>
            <w:r w:rsidRPr="00834810">
              <w:rPr>
                <w:rFonts w:ascii="Lato" w:hAnsi="Lato" w:cs="Calibri"/>
                <w:b/>
                <w:bCs/>
                <w:color w:val="000000"/>
                <w:szCs w:val="20"/>
                <w:lang w:eastAsia="es-MX"/>
              </w:rPr>
              <w:t>2. Más ingresos contables no presupuestarios</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rsidR="00B13551" w:rsidRPr="00834810" w:rsidRDefault="00B13551" w:rsidP="00100B0F">
            <w:pPr>
              <w:jc w:val="right"/>
              <w:rPr>
                <w:rFonts w:ascii="Lato" w:hAnsi="Lato" w:cs="Calibri"/>
                <w:b/>
                <w:bCs/>
                <w:color w:val="000000"/>
                <w:szCs w:val="20"/>
                <w:lang w:eastAsia="es-MX"/>
              </w:rPr>
            </w:pPr>
            <w:r w:rsidRPr="00834810">
              <w:rPr>
                <w:rFonts w:ascii="Lato" w:hAnsi="Lato" w:cs="Calibri"/>
                <w:b/>
                <w:bCs/>
                <w:color w:val="000000"/>
                <w:szCs w:val="20"/>
                <w:lang w:eastAsia="es-MX"/>
              </w:rPr>
              <w:t> </w:t>
            </w:r>
            <w:r w:rsidR="00100B0F" w:rsidRPr="00834810">
              <w:rPr>
                <w:rFonts w:ascii="Lato" w:hAnsi="Lato" w:cs="Calibri"/>
                <w:b/>
                <w:bCs/>
                <w:color w:val="000000"/>
                <w:szCs w:val="20"/>
                <w:lang w:eastAsia="es-MX"/>
              </w:rPr>
              <w:t>0.00</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2.1 Ingresos Financieros</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8F4D34"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2.2 Incremento por Variación de Inventarios</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8F4D34"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540"/>
          <w:jc w:val="center"/>
        </w:trPr>
        <w:tc>
          <w:tcPr>
            <w:tcW w:w="7420" w:type="dxa"/>
            <w:tcBorders>
              <w:top w:val="nil"/>
              <w:left w:val="single" w:sz="4" w:space="0" w:color="auto"/>
              <w:bottom w:val="single" w:sz="4" w:space="0" w:color="auto"/>
              <w:right w:val="single" w:sz="4" w:space="0" w:color="auto"/>
            </w:tcBorders>
            <w:shd w:val="clear" w:color="auto" w:fill="auto"/>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2.3 Disminución del Exceso de Estimaciones por Pérdida o Deterioro u Obsolescencia</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8F4D34"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2.4 Disminución del Exceso de Provisiones</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8F4D34"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2.5 Otros ingresos y beneficios varios</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100B0F"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 xml:space="preserve">2.6 Otros ingresos contables no presupuestarios </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212754"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90"/>
          <w:jc w:val="center"/>
        </w:trPr>
        <w:tc>
          <w:tcPr>
            <w:tcW w:w="7420" w:type="dxa"/>
            <w:tcBorders>
              <w:top w:val="nil"/>
              <w:left w:val="nil"/>
              <w:bottom w:val="nil"/>
              <w:right w:val="nil"/>
            </w:tcBorders>
            <w:shd w:val="clear" w:color="auto" w:fill="auto"/>
            <w:noWrap/>
            <w:vAlign w:val="bottom"/>
            <w:hideMark/>
          </w:tcPr>
          <w:p w:rsidR="00B13551" w:rsidRPr="00834810" w:rsidRDefault="00B13551" w:rsidP="00B13551">
            <w:pPr>
              <w:jc w:val="right"/>
              <w:rPr>
                <w:rFonts w:ascii="Lato" w:hAnsi="Lato" w:cs="Calibri"/>
                <w:color w:val="000000"/>
                <w:szCs w:val="20"/>
                <w:lang w:eastAsia="es-MX"/>
              </w:rPr>
            </w:pPr>
          </w:p>
        </w:tc>
        <w:tc>
          <w:tcPr>
            <w:tcW w:w="1647" w:type="dxa"/>
            <w:tcBorders>
              <w:top w:val="nil"/>
              <w:left w:val="nil"/>
              <w:bottom w:val="nil"/>
              <w:right w:val="nil"/>
            </w:tcBorders>
            <w:shd w:val="clear" w:color="auto" w:fill="auto"/>
            <w:noWrap/>
            <w:vAlign w:val="bottom"/>
            <w:hideMark/>
          </w:tcPr>
          <w:p w:rsidR="00B13551" w:rsidRPr="00834810" w:rsidRDefault="00B13551" w:rsidP="00B13551">
            <w:pPr>
              <w:rPr>
                <w:rFonts w:ascii="Lato" w:hAnsi="Lato"/>
                <w:szCs w:val="20"/>
                <w:lang w:eastAsia="es-MX"/>
              </w:rPr>
            </w:pPr>
          </w:p>
        </w:tc>
      </w:tr>
      <w:tr w:rsidR="00B13551" w:rsidRPr="00834810" w:rsidTr="008F4D34">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b/>
                <w:bCs/>
                <w:color w:val="000000"/>
                <w:szCs w:val="20"/>
                <w:lang w:eastAsia="es-MX"/>
              </w:rPr>
            </w:pPr>
            <w:r w:rsidRPr="00834810">
              <w:rPr>
                <w:rFonts w:ascii="Lato" w:hAnsi="Lato" w:cs="Calibri"/>
                <w:b/>
                <w:bCs/>
                <w:color w:val="000000"/>
                <w:szCs w:val="20"/>
                <w:lang w:eastAsia="es-MX"/>
              </w:rPr>
              <w:t>3. Menos Ingresos Presupuestarios No Contables</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rsidR="00B13551" w:rsidRPr="00834810" w:rsidRDefault="00B13551" w:rsidP="008F4D34">
            <w:pPr>
              <w:jc w:val="right"/>
              <w:rPr>
                <w:rFonts w:ascii="Lato" w:hAnsi="Lato" w:cs="Calibri"/>
                <w:b/>
                <w:bCs/>
                <w:color w:val="000000"/>
                <w:szCs w:val="20"/>
                <w:lang w:eastAsia="es-MX"/>
              </w:rPr>
            </w:pPr>
            <w:r w:rsidRPr="00834810">
              <w:rPr>
                <w:rFonts w:ascii="Lato" w:hAnsi="Lato" w:cs="Calibri"/>
                <w:b/>
                <w:bCs/>
                <w:color w:val="000000"/>
                <w:szCs w:val="20"/>
                <w:lang w:eastAsia="es-MX"/>
              </w:rPr>
              <w:t> </w:t>
            </w:r>
            <w:r w:rsidR="008F4D34" w:rsidRPr="00834810">
              <w:rPr>
                <w:rFonts w:ascii="Lato" w:hAnsi="Lato" w:cs="Calibri"/>
                <w:b/>
                <w:color w:val="000000"/>
                <w:szCs w:val="20"/>
                <w:lang w:eastAsia="es-MX"/>
              </w:rPr>
              <w:t>0.00</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3.1 Aprovechamientos Patrimoniales</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8F4D34"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3.2 Ingresos Derivados de Financiamientos</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8F4D34"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3.3 Otros Ingresos Presupuestarios No Contables</w:t>
            </w:r>
          </w:p>
        </w:tc>
        <w:tc>
          <w:tcPr>
            <w:tcW w:w="1647" w:type="dxa"/>
            <w:tcBorders>
              <w:top w:val="nil"/>
              <w:left w:val="nil"/>
              <w:bottom w:val="single" w:sz="4" w:space="0" w:color="auto"/>
              <w:right w:val="single" w:sz="4" w:space="0" w:color="auto"/>
            </w:tcBorders>
            <w:shd w:val="clear" w:color="auto" w:fill="auto"/>
            <w:noWrap/>
            <w:vAlign w:val="center"/>
            <w:hideMark/>
          </w:tcPr>
          <w:p w:rsidR="00B13551" w:rsidRPr="00834810" w:rsidRDefault="008F4D34" w:rsidP="00B1355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B13551" w:rsidRPr="00834810" w:rsidTr="008F4D34">
        <w:trPr>
          <w:trHeight w:val="105"/>
          <w:jc w:val="center"/>
        </w:trPr>
        <w:tc>
          <w:tcPr>
            <w:tcW w:w="7420" w:type="dxa"/>
            <w:tcBorders>
              <w:top w:val="nil"/>
              <w:left w:val="nil"/>
              <w:bottom w:val="nil"/>
              <w:right w:val="nil"/>
            </w:tcBorders>
            <w:shd w:val="clear" w:color="auto" w:fill="auto"/>
            <w:noWrap/>
            <w:vAlign w:val="bottom"/>
            <w:hideMark/>
          </w:tcPr>
          <w:p w:rsidR="00B13551" w:rsidRPr="00834810" w:rsidRDefault="00B13551" w:rsidP="00B13551">
            <w:pPr>
              <w:jc w:val="right"/>
              <w:rPr>
                <w:rFonts w:ascii="Lato" w:hAnsi="Lato" w:cs="Calibri"/>
                <w:color w:val="000000"/>
                <w:szCs w:val="20"/>
                <w:lang w:eastAsia="es-MX"/>
              </w:rPr>
            </w:pPr>
          </w:p>
        </w:tc>
        <w:tc>
          <w:tcPr>
            <w:tcW w:w="1647" w:type="dxa"/>
            <w:tcBorders>
              <w:top w:val="nil"/>
              <w:left w:val="nil"/>
              <w:bottom w:val="nil"/>
              <w:right w:val="nil"/>
            </w:tcBorders>
            <w:shd w:val="clear" w:color="auto" w:fill="auto"/>
            <w:noWrap/>
            <w:vAlign w:val="bottom"/>
            <w:hideMark/>
          </w:tcPr>
          <w:p w:rsidR="00B13551" w:rsidRPr="00834810" w:rsidRDefault="00B13551" w:rsidP="00B13551">
            <w:pPr>
              <w:rPr>
                <w:rFonts w:ascii="Lato" w:hAnsi="Lato"/>
                <w:szCs w:val="20"/>
                <w:lang w:eastAsia="es-MX"/>
              </w:rPr>
            </w:pPr>
          </w:p>
        </w:tc>
      </w:tr>
      <w:tr w:rsidR="00B13551" w:rsidRPr="00834810" w:rsidTr="008F4D34">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rsidR="00B13551" w:rsidRPr="00834810" w:rsidRDefault="00B13551" w:rsidP="00B13551">
            <w:pPr>
              <w:rPr>
                <w:rFonts w:ascii="Lato" w:hAnsi="Lato" w:cs="Calibri"/>
                <w:b/>
                <w:bCs/>
                <w:color w:val="000000"/>
                <w:szCs w:val="20"/>
                <w:lang w:eastAsia="es-MX"/>
              </w:rPr>
            </w:pPr>
            <w:r w:rsidRPr="00834810">
              <w:rPr>
                <w:rFonts w:ascii="Lato" w:hAnsi="Lato" w:cs="Calibri"/>
                <w:b/>
                <w:bCs/>
                <w:color w:val="000000"/>
                <w:szCs w:val="20"/>
                <w:lang w:eastAsia="es-MX"/>
              </w:rPr>
              <w:t>4.Total Ingresos Contables (4 = 1+2-3)</w:t>
            </w:r>
          </w:p>
        </w:tc>
        <w:tc>
          <w:tcPr>
            <w:tcW w:w="1647" w:type="dxa"/>
            <w:tcBorders>
              <w:top w:val="single" w:sz="4" w:space="0" w:color="auto"/>
              <w:left w:val="nil"/>
              <w:bottom w:val="single" w:sz="4" w:space="0" w:color="auto"/>
              <w:right w:val="single" w:sz="4" w:space="0" w:color="auto"/>
            </w:tcBorders>
            <w:shd w:val="clear" w:color="000000" w:fill="DBDBDB"/>
            <w:noWrap/>
            <w:vAlign w:val="center"/>
            <w:hideMark/>
          </w:tcPr>
          <w:p w:rsidR="00B13551" w:rsidRPr="00834810" w:rsidRDefault="00A65445" w:rsidP="00D4508E">
            <w:pPr>
              <w:jc w:val="right"/>
              <w:rPr>
                <w:rFonts w:ascii="Lato" w:hAnsi="Lato" w:cs="Calibri"/>
                <w:b/>
                <w:bCs/>
                <w:color w:val="000000"/>
                <w:szCs w:val="20"/>
                <w:lang w:eastAsia="es-MX"/>
              </w:rPr>
            </w:pPr>
            <w:r>
              <w:rPr>
                <w:rFonts w:ascii="Lato" w:hAnsi="Lato" w:cs="Calibri"/>
                <w:b/>
                <w:bCs/>
                <w:color w:val="000000"/>
                <w:szCs w:val="20"/>
                <w:lang w:eastAsia="es-MX"/>
              </w:rPr>
              <w:t>102,718.61</w:t>
            </w:r>
          </w:p>
        </w:tc>
      </w:tr>
      <w:tr w:rsidR="0029517C" w:rsidRPr="00834810" w:rsidTr="008F4D34">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000000" w:fill="DBDBDB"/>
            <w:noWrap/>
            <w:vAlign w:val="center"/>
          </w:tcPr>
          <w:p w:rsidR="0029517C" w:rsidRPr="00834810" w:rsidRDefault="0029517C" w:rsidP="00B13551">
            <w:pPr>
              <w:rPr>
                <w:rFonts w:ascii="Lato" w:hAnsi="Lato" w:cs="Calibri"/>
                <w:b/>
                <w:bCs/>
                <w:color w:val="000000"/>
                <w:szCs w:val="20"/>
                <w:lang w:eastAsia="es-MX"/>
              </w:rPr>
            </w:pPr>
          </w:p>
        </w:tc>
        <w:tc>
          <w:tcPr>
            <w:tcW w:w="1647" w:type="dxa"/>
            <w:tcBorders>
              <w:top w:val="single" w:sz="4" w:space="0" w:color="auto"/>
              <w:left w:val="nil"/>
              <w:bottom w:val="single" w:sz="4" w:space="0" w:color="auto"/>
              <w:right w:val="single" w:sz="4" w:space="0" w:color="auto"/>
            </w:tcBorders>
            <w:shd w:val="clear" w:color="000000" w:fill="DBDBDB"/>
            <w:noWrap/>
            <w:vAlign w:val="center"/>
          </w:tcPr>
          <w:p w:rsidR="0029517C" w:rsidRDefault="0029517C" w:rsidP="00D4508E">
            <w:pPr>
              <w:jc w:val="right"/>
              <w:rPr>
                <w:rFonts w:ascii="Lato" w:hAnsi="Lato" w:cs="Calibri"/>
                <w:b/>
                <w:bCs/>
                <w:color w:val="000000"/>
                <w:szCs w:val="20"/>
                <w:lang w:eastAsia="es-MX"/>
              </w:rPr>
            </w:pPr>
          </w:p>
        </w:tc>
      </w:tr>
    </w:tbl>
    <w:p w:rsidR="00B13551" w:rsidRDefault="00B13551" w:rsidP="00A11E66">
      <w:pPr>
        <w:rPr>
          <w:rFonts w:ascii="Lato" w:hAnsi="Lato"/>
          <w:szCs w:val="20"/>
        </w:rPr>
      </w:pPr>
    </w:p>
    <w:p w:rsidR="0029517C" w:rsidRDefault="0029517C" w:rsidP="00A11E66">
      <w:pPr>
        <w:rPr>
          <w:rFonts w:ascii="Lato" w:hAnsi="Lato"/>
          <w:szCs w:val="20"/>
        </w:rPr>
      </w:pPr>
    </w:p>
    <w:p w:rsidR="0029517C" w:rsidRDefault="0029517C" w:rsidP="00A11E66">
      <w:pPr>
        <w:rPr>
          <w:rFonts w:ascii="Lato" w:hAnsi="Lato"/>
          <w:szCs w:val="20"/>
        </w:rPr>
      </w:pPr>
    </w:p>
    <w:p w:rsidR="0029517C" w:rsidRDefault="0029517C" w:rsidP="00A11E66">
      <w:pPr>
        <w:rPr>
          <w:rFonts w:ascii="Lato" w:hAnsi="Lato"/>
          <w:szCs w:val="20"/>
        </w:rPr>
      </w:pPr>
    </w:p>
    <w:p w:rsidR="0029517C" w:rsidRDefault="0029517C" w:rsidP="00A11E66">
      <w:pPr>
        <w:rPr>
          <w:rFonts w:ascii="Lato" w:hAnsi="Lato"/>
          <w:szCs w:val="20"/>
        </w:rPr>
      </w:pPr>
    </w:p>
    <w:p w:rsidR="0029517C" w:rsidRPr="00834810" w:rsidRDefault="0029517C" w:rsidP="00A11E66">
      <w:pPr>
        <w:rPr>
          <w:rFonts w:ascii="Lato" w:hAnsi="Lato"/>
          <w:szCs w:val="20"/>
        </w:rPr>
      </w:pPr>
    </w:p>
    <w:tbl>
      <w:tblPr>
        <w:tblW w:w="9580" w:type="dxa"/>
        <w:jc w:val="center"/>
        <w:tblCellMar>
          <w:left w:w="70" w:type="dxa"/>
          <w:right w:w="70" w:type="dxa"/>
        </w:tblCellMar>
        <w:tblLook w:val="04A0" w:firstRow="1" w:lastRow="0" w:firstColumn="1" w:lastColumn="0" w:noHBand="0" w:noVBand="1"/>
      </w:tblPr>
      <w:tblGrid>
        <w:gridCol w:w="7540"/>
        <w:gridCol w:w="2040"/>
      </w:tblGrid>
      <w:tr w:rsidR="00CC6412" w:rsidRPr="00834810" w:rsidTr="007F2C6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6412" w:rsidRPr="00834810" w:rsidRDefault="008770B5" w:rsidP="00CC6412">
            <w:pPr>
              <w:jc w:val="center"/>
              <w:rPr>
                <w:rFonts w:ascii="Lato" w:hAnsi="Lato" w:cs="Calibri"/>
                <w:b/>
                <w:bCs/>
                <w:color w:val="000000"/>
                <w:szCs w:val="20"/>
                <w:lang w:eastAsia="es-MX"/>
              </w:rPr>
            </w:pPr>
            <w:r w:rsidRPr="00834810">
              <w:rPr>
                <w:rFonts w:ascii="Lato" w:hAnsi="Lato" w:cs="Calibri"/>
                <w:b/>
                <w:bCs/>
                <w:color w:val="000000"/>
                <w:szCs w:val="20"/>
                <w:lang w:eastAsia="es-MX"/>
              </w:rPr>
              <w:t>Fondo Estatal para el Transporte</w:t>
            </w:r>
          </w:p>
        </w:tc>
      </w:tr>
      <w:tr w:rsidR="00CC6412" w:rsidRPr="00834810" w:rsidTr="007F2C6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6412" w:rsidRPr="00834810" w:rsidRDefault="00CC6412" w:rsidP="007F2C65">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Conciliación entre los Egresos Presupuestales y Contables </w:t>
            </w:r>
          </w:p>
        </w:tc>
      </w:tr>
      <w:tr w:rsidR="00CC6412" w:rsidRPr="00834810" w:rsidTr="007F2C6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6412" w:rsidRPr="00834810" w:rsidRDefault="00CC6412" w:rsidP="008024FE">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Correspondiente del 1 de </w:t>
            </w:r>
            <w:r w:rsidR="0029517C" w:rsidRPr="00834810">
              <w:rPr>
                <w:rFonts w:ascii="Lato" w:hAnsi="Lato" w:cs="Calibri"/>
                <w:b/>
                <w:bCs/>
                <w:color w:val="000000"/>
                <w:szCs w:val="20"/>
                <w:lang w:eastAsia="es-MX"/>
              </w:rPr>
              <w:t>enero</w:t>
            </w:r>
            <w:r w:rsidRPr="00834810">
              <w:rPr>
                <w:rFonts w:ascii="Lato" w:hAnsi="Lato" w:cs="Calibri"/>
                <w:b/>
                <w:bCs/>
                <w:color w:val="000000"/>
                <w:szCs w:val="20"/>
                <w:lang w:eastAsia="es-MX"/>
              </w:rPr>
              <w:t xml:space="preserve"> al </w:t>
            </w:r>
            <w:r w:rsidR="00A65445">
              <w:rPr>
                <w:rFonts w:ascii="Lato" w:hAnsi="Lato" w:cs="Calibri"/>
                <w:b/>
                <w:bCs/>
                <w:color w:val="000000"/>
                <w:szCs w:val="20"/>
                <w:lang w:eastAsia="es-MX"/>
              </w:rPr>
              <w:t>31</w:t>
            </w:r>
            <w:r w:rsidR="00773218" w:rsidRPr="00834810">
              <w:rPr>
                <w:rFonts w:ascii="Lato" w:hAnsi="Lato" w:cs="Calibri"/>
                <w:b/>
                <w:bCs/>
                <w:color w:val="000000"/>
                <w:szCs w:val="20"/>
                <w:lang w:eastAsia="es-MX"/>
              </w:rPr>
              <w:t xml:space="preserve"> de </w:t>
            </w:r>
            <w:r w:rsidR="0029517C">
              <w:rPr>
                <w:rFonts w:ascii="Lato" w:hAnsi="Lato" w:cs="Calibri"/>
                <w:b/>
                <w:bCs/>
                <w:color w:val="000000"/>
                <w:szCs w:val="20"/>
                <w:lang w:eastAsia="es-MX"/>
              </w:rPr>
              <w:t>marzo</w:t>
            </w:r>
            <w:r w:rsidRPr="00834810">
              <w:rPr>
                <w:rFonts w:ascii="Lato" w:hAnsi="Lato" w:cs="Calibri"/>
                <w:b/>
                <w:bCs/>
                <w:color w:val="000000"/>
                <w:szCs w:val="20"/>
                <w:lang w:eastAsia="es-MX"/>
              </w:rPr>
              <w:t xml:space="preserve"> del 202</w:t>
            </w:r>
            <w:r w:rsidR="00EF4EDE" w:rsidRPr="00834810">
              <w:rPr>
                <w:rFonts w:ascii="Lato" w:hAnsi="Lato" w:cs="Calibri"/>
                <w:b/>
                <w:bCs/>
                <w:color w:val="000000"/>
                <w:szCs w:val="20"/>
                <w:lang w:eastAsia="es-MX"/>
              </w:rPr>
              <w:t>5</w:t>
            </w:r>
          </w:p>
        </w:tc>
      </w:tr>
      <w:tr w:rsidR="00CC6412" w:rsidRPr="00834810" w:rsidTr="007F2C6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6412" w:rsidRPr="00834810" w:rsidRDefault="00CC6412" w:rsidP="007F2C65">
            <w:pPr>
              <w:jc w:val="center"/>
              <w:rPr>
                <w:rFonts w:ascii="Lato" w:hAnsi="Lato" w:cs="Calibri"/>
                <w:b/>
                <w:bCs/>
                <w:color w:val="000000"/>
                <w:szCs w:val="20"/>
                <w:lang w:eastAsia="es-MX"/>
              </w:rPr>
            </w:pPr>
            <w:r w:rsidRPr="00834810">
              <w:rPr>
                <w:rFonts w:ascii="Lato" w:hAnsi="Lato" w:cs="Calibri"/>
                <w:b/>
                <w:bCs/>
                <w:color w:val="000000"/>
                <w:szCs w:val="20"/>
                <w:lang w:eastAsia="es-MX"/>
              </w:rPr>
              <w:t>(Pesos)</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000000" w:fill="D0CECE"/>
            <w:vAlign w:val="center"/>
            <w:hideMark/>
          </w:tcPr>
          <w:p w:rsidR="00CC6412" w:rsidRPr="00834810" w:rsidRDefault="00CC6412" w:rsidP="007F2C65">
            <w:pPr>
              <w:rPr>
                <w:rFonts w:ascii="Lato" w:hAnsi="Lato" w:cs="Calibri"/>
                <w:b/>
                <w:bCs/>
                <w:color w:val="000000"/>
                <w:szCs w:val="20"/>
                <w:lang w:eastAsia="es-MX"/>
              </w:rPr>
            </w:pPr>
            <w:r w:rsidRPr="00834810">
              <w:rPr>
                <w:rFonts w:ascii="Lato" w:hAnsi="Lato" w:cs="Calibri"/>
                <w:b/>
                <w:bCs/>
                <w:color w:val="000000"/>
                <w:szCs w:val="20"/>
                <w:lang w:eastAsia="es-MX"/>
              </w:rPr>
              <w:t>1. Total de egresos (presupuestarios)</w:t>
            </w:r>
          </w:p>
        </w:tc>
        <w:tc>
          <w:tcPr>
            <w:tcW w:w="2040" w:type="dxa"/>
            <w:tcBorders>
              <w:top w:val="nil"/>
              <w:left w:val="nil"/>
              <w:bottom w:val="single" w:sz="4" w:space="0" w:color="auto"/>
              <w:right w:val="single" w:sz="4" w:space="0" w:color="auto"/>
            </w:tcBorders>
            <w:shd w:val="clear" w:color="000000" w:fill="D0CECE"/>
            <w:noWrap/>
            <w:vAlign w:val="center"/>
            <w:hideMark/>
          </w:tcPr>
          <w:p w:rsidR="00CC6412" w:rsidRPr="00834810" w:rsidRDefault="00EF4EDE" w:rsidP="007F2C65">
            <w:pPr>
              <w:jc w:val="right"/>
              <w:rPr>
                <w:rFonts w:ascii="Lato" w:hAnsi="Lato" w:cs="Calibri"/>
                <w:b/>
                <w:bCs/>
                <w:color w:val="000000"/>
                <w:szCs w:val="20"/>
                <w:lang w:eastAsia="es-MX"/>
              </w:rPr>
            </w:pPr>
            <w:r w:rsidRPr="00834810">
              <w:rPr>
                <w:rFonts w:ascii="Lato" w:hAnsi="Lato" w:cs="Calibri"/>
                <w:b/>
                <w:bCs/>
                <w:color w:val="000000"/>
                <w:szCs w:val="20"/>
                <w:lang w:eastAsia="es-MX"/>
              </w:rPr>
              <w:t>0.00</w:t>
            </w:r>
          </w:p>
        </w:tc>
      </w:tr>
      <w:tr w:rsidR="00CC6412" w:rsidRPr="00834810" w:rsidTr="007F2C65">
        <w:trPr>
          <w:trHeight w:val="120"/>
          <w:jc w:val="center"/>
        </w:trPr>
        <w:tc>
          <w:tcPr>
            <w:tcW w:w="7540" w:type="dxa"/>
            <w:tcBorders>
              <w:top w:val="nil"/>
              <w:left w:val="nil"/>
              <w:bottom w:val="nil"/>
              <w:right w:val="nil"/>
            </w:tcBorders>
            <w:shd w:val="clear" w:color="auto" w:fill="auto"/>
            <w:noWrap/>
            <w:vAlign w:val="bottom"/>
            <w:hideMark/>
          </w:tcPr>
          <w:p w:rsidR="00CC6412" w:rsidRPr="00834810" w:rsidRDefault="00CC6412" w:rsidP="007F2C65">
            <w:pPr>
              <w:jc w:val="right"/>
              <w:rPr>
                <w:rFonts w:ascii="Lato" w:hAnsi="Lato" w:cs="Calibri"/>
                <w:b/>
                <w:bCs/>
                <w:color w:val="000000"/>
                <w:szCs w:val="20"/>
                <w:lang w:eastAsia="es-MX"/>
              </w:rPr>
            </w:pPr>
          </w:p>
        </w:tc>
        <w:tc>
          <w:tcPr>
            <w:tcW w:w="2040" w:type="dxa"/>
            <w:tcBorders>
              <w:top w:val="nil"/>
              <w:left w:val="nil"/>
              <w:bottom w:val="nil"/>
              <w:right w:val="nil"/>
            </w:tcBorders>
            <w:shd w:val="clear" w:color="auto" w:fill="auto"/>
            <w:noWrap/>
            <w:vAlign w:val="bottom"/>
            <w:hideMark/>
          </w:tcPr>
          <w:p w:rsidR="00CC6412" w:rsidRPr="00834810" w:rsidRDefault="00CC6412" w:rsidP="007F2C65">
            <w:pPr>
              <w:rPr>
                <w:rFonts w:ascii="Lato" w:hAnsi="Lato"/>
                <w:szCs w:val="20"/>
                <w:lang w:eastAsia="es-MX"/>
              </w:rPr>
            </w:pPr>
          </w:p>
        </w:tc>
      </w:tr>
      <w:tr w:rsidR="00CC6412" w:rsidRPr="00834810" w:rsidTr="007F2C65">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rPr>
                <w:rFonts w:ascii="Lato" w:hAnsi="Lato" w:cs="Calibri"/>
                <w:b/>
                <w:bCs/>
                <w:color w:val="000000"/>
                <w:szCs w:val="20"/>
                <w:lang w:eastAsia="es-MX"/>
              </w:rPr>
            </w:pPr>
            <w:r w:rsidRPr="00834810">
              <w:rPr>
                <w:rFonts w:ascii="Lato" w:hAnsi="Lato" w:cs="Calibri"/>
                <w:b/>
                <w:bCs/>
                <w:color w:val="000000"/>
                <w:szCs w:val="20"/>
                <w:lang w:eastAsia="es-MX"/>
              </w:rPr>
              <w:t>2. Menos egresos presupuestarios no contables</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CC6412" w:rsidRPr="00834810" w:rsidRDefault="00EF4EDE" w:rsidP="007F2C65">
            <w:pPr>
              <w:jc w:val="right"/>
              <w:rPr>
                <w:rFonts w:ascii="Lato" w:hAnsi="Lato" w:cs="Calibri"/>
                <w:b/>
                <w:bCs/>
                <w:color w:val="000000"/>
                <w:szCs w:val="20"/>
                <w:lang w:eastAsia="es-MX"/>
              </w:rPr>
            </w:pPr>
            <w:r w:rsidRPr="00834810">
              <w:rPr>
                <w:rFonts w:ascii="Lato" w:hAnsi="Lato" w:cs="Calibri"/>
                <w:b/>
                <w:bCs/>
                <w:color w:val="000000"/>
                <w:szCs w:val="20"/>
                <w:lang w:eastAsia="es-MX"/>
              </w:rPr>
              <w:t>0.00</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2.1 Materias primas y materiales de producción y comercialización</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2.2 Materiales y suministros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2.3 Mobiliario y equipo de administración</w:t>
            </w:r>
          </w:p>
        </w:tc>
        <w:tc>
          <w:tcPr>
            <w:tcW w:w="2040" w:type="dxa"/>
            <w:tcBorders>
              <w:top w:val="nil"/>
              <w:left w:val="nil"/>
              <w:bottom w:val="single" w:sz="4" w:space="0" w:color="auto"/>
              <w:right w:val="single" w:sz="4" w:space="0" w:color="auto"/>
            </w:tcBorders>
            <w:shd w:val="clear" w:color="auto" w:fill="auto"/>
            <w:noWrap/>
            <w:vAlign w:val="bottom"/>
            <w:hideMark/>
          </w:tcPr>
          <w:p w:rsidR="00CC6412" w:rsidRPr="00834810" w:rsidRDefault="00EF4EDE" w:rsidP="007F2C65">
            <w:pPr>
              <w:jc w:val="right"/>
              <w:rPr>
                <w:rFonts w:ascii="Lato" w:hAnsi="Lato" w:cs="Calibri"/>
                <w:color w:val="000000"/>
                <w:szCs w:val="20"/>
                <w:lang w:eastAsia="es-MX"/>
              </w:rPr>
            </w:pPr>
            <w:r w:rsidRPr="00834810">
              <w:rPr>
                <w:rFonts w:ascii="Lato" w:hAnsi="Lato" w:cs="Calibri"/>
                <w:color w:val="000000"/>
                <w:szCs w:val="20"/>
                <w:lang w:eastAsia="es-MX"/>
              </w:rPr>
              <w:t>0.00</w:t>
            </w:r>
            <w:r w:rsidR="00CC6412" w:rsidRPr="00834810">
              <w:rPr>
                <w:rFonts w:ascii="Lato" w:hAnsi="Lato" w:cs="Calibri"/>
                <w:color w:val="000000"/>
                <w:szCs w:val="20"/>
                <w:lang w:eastAsia="es-MX"/>
              </w:rPr>
              <w:t>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2.4 Mobiliario y equipo educacional y recreativo</w:t>
            </w:r>
          </w:p>
        </w:tc>
        <w:tc>
          <w:tcPr>
            <w:tcW w:w="2040" w:type="dxa"/>
            <w:tcBorders>
              <w:top w:val="nil"/>
              <w:left w:val="nil"/>
              <w:bottom w:val="single" w:sz="4" w:space="0" w:color="auto"/>
              <w:right w:val="single" w:sz="4" w:space="0" w:color="auto"/>
            </w:tcBorders>
            <w:shd w:val="clear" w:color="auto" w:fill="auto"/>
            <w:noWrap/>
            <w:vAlign w:val="bottom"/>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2.5 Equipo e instrumental médico y de laboratorio</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2.6 Vehículos y equipo de transporte</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100B0F" w:rsidP="007F2C65">
            <w:pPr>
              <w:jc w:val="right"/>
              <w:rPr>
                <w:rFonts w:ascii="Lato" w:hAnsi="Lato" w:cs="Calibri"/>
                <w:color w:val="000000"/>
                <w:szCs w:val="20"/>
                <w:lang w:eastAsia="es-MX"/>
              </w:rPr>
            </w:pPr>
            <w:r w:rsidRPr="00834810">
              <w:rPr>
                <w:rFonts w:ascii="Lato" w:hAnsi="Lato" w:cs="Calibri"/>
                <w:color w:val="000000"/>
                <w:szCs w:val="20"/>
                <w:lang w:eastAsia="es-MX"/>
              </w:rPr>
              <w:t>0.00</w:t>
            </w:r>
            <w:r w:rsidR="00CC6412" w:rsidRPr="00834810">
              <w:rPr>
                <w:rFonts w:ascii="Lato" w:hAnsi="Lato" w:cs="Calibri"/>
                <w:color w:val="000000"/>
                <w:szCs w:val="20"/>
                <w:lang w:eastAsia="es-MX"/>
              </w:rPr>
              <w:t>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2.7 Equipo de defensa y seguridad</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2.8 Maquinaria, otros equipos y herramientas</w:t>
            </w:r>
          </w:p>
        </w:tc>
        <w:tc>
          <w:tcPr>
            <w:tcW w:w="2040" w:type="dxa"/>
            <w:tcBorders>
              <w:top w:val="nil"/>
              <w:left w:val="nil"/>
              <w:bottom w:val="single" w:sz="4" w:space="0" w:color="auto"/>
              <w:right w:val="single" w:sz="4" w:space="0" w:color="auto"/>
            </w:tcBorders>
            <w:shd w:val="clear" w:color="auto" w:fill="auto"/>
            <w:noWrap/>
            <w:vAlign w:val="bottom"/>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2.9 Activos biológicos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2.10 Bienes inmuebles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2.11 Activos intangibles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2.12 Obra pública en bienes de dominio público</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457089" w:rsidP="007F2C65">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2.13 Obra pública en bienes propios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2.14 Acciones y participaciones de capital</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lastRenderedPageBreak/>
              <w:t>2.15 Compra de títulos y valores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2.16 Concesión de préstamos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2.17 Inversiones en fideicomisos, mandatos y otros análogos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2.18 Provisiones para contingencias y otras erogaciones especiales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2.19 Amortización de la deuda publica</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2.20 Adeudos de ejercicios fiscales anteriores (ADEFAS)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2.21 Otros Egresos Presupuestales No Contables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105"/>
          <w:jc w:val="center"/>
        </w:trPr>
        <w:tc>
          <w:tcPr>
            <w:tcW w:w="7540" w:type="dxa"/>
            <w:tcBorders>
              <w:top w:val="nil"/>
              <w:left w:val="nil"/>
              <w:bottom w:val="nil"/>
              <w:right w:val="nil"/>
            </w:tcBorders>
            <w:shd w:val="clear" w:color="auto" w:fill="auto"/>
            <w:noWrap/>
            <w:vAlign w:val="bottom"/>
            <w:hideMark/>
          </w:tcPr>
          <w:p w:rsidR="00CC6412" w:rsidRPr="00834810" w:rsidRDefault="00CC6412" w:rsidP="007F2C65">
            <w:pPr>
              <w:rPr>
                <w:rFonts w:ascii="Lato" w:hAnsi="Lato" w:cs="Calibri"/>
                <w:color w:val="000000"/>
                <w:szCs w:val="20"/>
                <w:lang w:eastAsia="es-MX"/>
              </w:rPr>
            </w:pPr>
          </w:p>
        </w:tc>
        <w:tc>
          <w:tcPr>
            <w:tcW w:w="2040" w:type="dxa"/>
            <w:tcBorders>
              <w:top w:val="nil"/>
              <w:left w:val="nil"/>
              <w:bottom w:val="nil"/>
              <w:right w:val="nil"/>
            </w:tcBorders>
            <w:shd w:val="clear" w:color="auto" w:fill="auto"/>
            <w:noWrap/>
            <w:vAlign w:val="bottom"/>
            <w:hideMark/>
          </w:tcPr>
          <w:p w:rsidR="00CC6412" w:rsidRPr="00834810" w:rsidRDefault="00CC6412" w:rsidP="007F2C65">
            <w:pPr>
              <w:rPr>
                <w:rFonts w:ascii="Lato" w:hAnsi="Lato"/>
                <w:szCs w:val="20"/>
                <w:lang w:eastAsia="es-MX"/>
              </w:rPr>
            </w:pPr>
          </w:p>
        </w:tc>
      </w:tr>
      <w:tr w:rsidR="00CC6412" w:rsidRPr="00834810" w:rsidTr="007F2C65">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rPr>
                <w:rFonts w:ascii="Lato" w:hAnsi="Lato" w:cs="Calibri"/>
                <w:b/>
                <w:bCs/>
                <w:color w:val="000000"/>
                <w:szCs w:val="20"/>
                <w:lang w:eastAsia="es-MX"/>
              </w:rPr>
            </w:pPr>
            <w:r w:rsidRPr="00834810">
              <w:rPr>
                <w:rFonts w:ascii="Lato" w:hAnsi="Lato" w:cs="Calibri"/>
                <w:b/>
                <w:bCs/>
                <w:color w:val="000000"/>
                <w:szCs w:val="20"/>
                <w:lang w:eastAsia="es-MX"/>
              </w:rPr>
              <w:t>3. Más gastos contables no presupuestales</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CC6412" w:rsidRPr="00834810" w:rsidRDefault="008024FE" w:rsidP="007F2C65">
            <w:pPr>
              <w:jc w:val="right"/>
              <w:rPr>
                <w:rFonts w:ascii="Lato" w:hAnsi="Lato" w:cs="Calibri"/>
                <w:b/>
                <w:bCs/>
                <w:color w:val="000000"/>
                <w:szCs w:val="20"/>
                <w:lang w:eastAsia="es-MX"/>
              </w:rPr>
            </w:pPr>
            <w:r w:rsidRPr="00834810">
              <w:rPr>
                <w:rFonts w:ascii="Lato" w:hAnsi="Lato" w:cs="Calibri"/>
                <w:b/>
                <w:bCs/>
                <w:color w:val="000000"/>
                <w:szCs w:val="20"/>
                <w:lang w:eastAsia="es-MX"/>
              </w:rPr>
              <w:t>0.00</w:t>
            </w:r>
          </w:p>
        </w:tc>
      </w:tr>
      <w:tr w:rsidR="00CC6412" w:rsidRPr="00834810" w:rsidTr="007F2C65">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3.1 Estimaciones, depreciaciones, deterioros, obsolescencia y amortizaciones</w:t>
            </w:r>
          </w:p>
        </w:tc>
        <w:tc>
          <w:tcPr>
            <w:tcW w:w="2040" w:type="dxa"/>
            <w:tcBorders>
              <w:top w:val="nil"/>
              <w:left w:val="nil"/>
              <w:bottom w:val="single" w:sz="4" w:space="0" w:color="auto"/>
              <w:right w:val="single" w:sz="4" w:space="0" w:color="auto"/>
            </w:tcBorders>
            <w:shd w:val="clear" w:color="auto" w:fill="auto"/>
            <w:noWrap/>
            <w:vAlign w:val="bottom"/>
            <w:hideMark/>
          </w:tcPr>
          <w:p w:rsidR="00CC6412" w:rsidRPr="00834810" w:rsidRDefault="008024FE" w:rsidP="00F2420F">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3.2 Provisiones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3.3 Disminución de inventarios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3.4 Aumento por insuficiencia de estimaciones por pérdida o deterioro u obsolescencia</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3.5 Aumento por insuficiencia de provisiones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3.6 Otros Gastos</w:t>
            </w:r>
          </w:p>
        </w:tc>
        <w:tc>
          <w:tcPr>
            <w:tcW w:w="2040" w:type="dxa"/>
            <w:tcBorders>
              <w:top w:val="nil"/>
              <w:left w:val="nil"/>
              <w:bottom w:val="single" w:sz="4" w:space="0" w:color="auto"/>
              <w:right w:val="single" w:sz="4" w:space="0" w:color="auto"/>
            </w:tcBorders>
            <w:shd w:val="clear" w:color="auto" w:fill="auto"/>
            <w:noWrap/>
            <w:vAlign w:val="bottom"/>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Otros Gastos Contables No Presupuestales</w:t>
            </w:r>
          </w:p>
        </w:tc>
        <w:tc>
          <w:tcPr>
            <w:tcW w:w="2040" w:type="dxa"/>
            <w:tcBorders>
              <w:top w:val="nil"/>
              <w:left w:val="nil"/>
              <w:bottom w:val="single" w:sz="4" w:space="0" w:color="auto"/>
              <w:right w:val="single" w:sz="4" w:space="0" w:color="auto"/>
            </w:tcBorders>
            <w:shd w:val="clear" w:color="auto" w:fill="auto"/>
            <w:noWrap/>
            <w:vAlign w:val="center"/>
            <w:hideMark/>
          </w:tcPr>
          <w:p w:rsidR="00CC6412" w:rsidRPr="00834810" w:rsidRDefault="00CC6412" w:rsidP="007F2C65">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rsidTr="007F2C65">
        <w:trPr>
          <w:trHeight w:val="60"/>
          <w:jc w:val="center"/>
        </w:trPr>
        <w:tc>
          <w:tcPr>
            <w:tcW w:w="7540" w:type="dxa"/>
            <w:tcBorders>
              <w:top w:val="nil"/>
              <w:left w:val="nil"/>
              <w:bottom w:val="nil"/>
              <w:right w:val="nil"/>
            </w:tcBorders>
            <w:shd w:val="clear" w:color="auto" w:fill="auto"/>
            <w:vAlign w:val="center"/>
            <w:hideMark/>
          </w:tcPr>
          <w:p w:rsidR="00CC6412" w:rsidRPr="00834810" w:rsidRDefault="00CC6412" w:rsidP="007F2C65">
            <w:pPr>
              <w:rPr>
                <w:rFonts w:ascii="Lato" w:hAnsi="Lato" w:cs="Calibri"/>
                <w:color w:val="000000"/>
                <w:szCs w:val="20"/>
                <w:lang w:eastAsia="es-MX"/>
              </w:rPr>
            </w:pPr>
          </w:p>
        </w:tc>
        <w:tc>
          <w:tcPr>
            <w:tcW w:w="2040" w:type="dxa"/>
            <w:tcBorders>
              <w:top w:val="nil"/>
              <w:left w:val="nil"/>
              <w:bottom w:val="nil"/>
              <w:right w:val="nil"/>
            </w:tcBorders>
            <w:shd w:val="clear" w:color="auto" w:fill="auto"/>
            <w:noWrap/>
            <w:vAlign w:val="bottom"/>
            <w:hideMark/>
          </w:tcPr>
          <w:p w:rsidR="00CC6412" w:rsidRPr="00834810" w:rsidRDefault="00CC6412" w:rsidP="007F2C65">
            <w:pPr>
              <w:rPr>
                <w:rFonts w:ascii="Lato" w:hAnsi="Lato"/>
                <w:szCs w:val="20"/>
                <w:lang w:eastAsia="es-MX"/>
              </w:rPr>
            </w:pPr>
          </w:p>
        </w:tc>
      </w:tr>
      <w:tr w:rsidR="00CC6412" w:rsidRPr="00834810" w:rsidTr="007F2C65">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CC6412" w:rsidRPr="00834810" w:rsidRDefault="00CC6412" w:rsidP="007F2C65">
            <w:pPr>
              <w:rPr>
                <w:rFonts w:ascii="Lato" w:hAnsi="Lato" w:cs="Calibri"/>
                <w:b/>
                <w:bCs/>
                <w:color w:val="000000"/>
                <w:szCs w:val="20"/>
                <w:lang w:eastAsia="es-MX"/>
              </w:rPr>
            </w:pPr>
            <w:r w:rsidRPr="00834810">
              <w:rPr>
                <w:rFonts w:ascii="Lato" w:hAnsi="Lato" w:cs="Calibri"/>
                <w:b/>
                <w:bCs/>
                <w:color w:val="000000"/>
                <w:szCs w:val="20"/>
                <w:lang w:eastAsia="es-MX"/>
              </w:rPr>
              <w:t>4. Total de Gasto Contable (4 = 1 - 2 + 3)</w:t>
            </w:r>
          </w:p>
        </w:tc>
        <w:tc>
          <w:tcPr>
            <w:tcW w:w="2040" w:type="dxa"/>
            <w:tcBorders>
              <w:top w:val="single" w:sz="4" w:space="0" w:color="auto"/>
              <w:left w:val="nil"/>
              <w:bottom w:val="single" w:sz="4" w:space="0" w:color="auto"/>
              <w:right w:val="single" w:sz="4" w:space="0" w:color="auto"/>
            </w:tcBorders>
            <w:shd w:val="clear" w:color="000000" w:fill="D0CECE"/>
            <w:noWrap/>
            <w:vAlign w:val="center"/>
            <w:hideMark/>
          </w:tcPr>
          <w:p w:rsidR="00CC6412" w:rsidRPr="00834810" w:rsidRDefault="00EF4EDE" w:rsidP="007F2C65">
            <w:pPr>
              <w:jc w:val="right"/>
              <w:rPr>
                <w:rFonts w:ascii="Lato" w:hAnsi="Lato" w:cs="Calibri"/>
                <w:b/>
                <w:bCs/>
                <w:color w:val="000000"/>
                <w:szCs w:val="20"/>
                <w:lang w:eastAsia="es-MX"/>
              </w:rPr>
            </w:pPr>
            <w:r w:rsidRPr="00834810">
              <w:rPr>
                <w:rFonts w:ascii="Lato" w:hAnsi="Lato" w:cs="Calibri"/>
                <w:b/>
                <w:bCs/>
                <w:color w:val="000000"/>
                <w:szCs w:val="20"/>
                <w:lang w:eastAsia="es-MX"/>
              </w:rPr>
              <w:t>0.00</w:t>
            </w:r>
          </w:p>
        </w:tc>
      </w:tr>
    </w:tbl>
    <w:p w:rsidR="00B13551" w:rsidRPr="00834810" w:rsidRDefault="00B13551" w:rsidP="00A11E66">
      <w:pPr>
        <w:rPr>
          <w:rFonts w:ascii="Lato" w:hAnsi="Lato"/>
          <w:szCs w:val="20"/>
        </w:rPr>
      </w:pPr>
    </w:p>
    <w:p w:rsidR="00266243" w:rsidRPr="00834810" w:rsidRDefault="00266243" w:rsidP="006C5266">
      <w:pPr>
        <w:pStyle w:val="Ttulo1"/>
        <w:numPr>
          <w:ilvl w:val="0"/>
          <w:numId w:val="1"/>
        </w:numPr>
        <w:rPr>
          <w:rFonts w:ascii="Lato" w:hAnsi="Lato"/>
          <w:szCs w:val="20"/>
        </w:rPr>
      </w:pPr>
      <w:r w:rsidRPr="00834810">
        <w:rPr>
          <w:rFonts w:ascii="Lato" w:hAnsi="Lato"/>
          <w:szCs w:val="20"/>
        </w:rPr>
        <w:t>NOTAS DE MEMORIA (CUENTA DE ORDEN)</w:t>
      </w:r>
    </w:p>
    <w:p w:rsidR="00B13551" w:rsidRPr="00834810" w:rsidRDefault="00B13551" w:rsidP="00B13551">
      <w:pPr>
        <w:rPr>
          <w:rFonts w:ascii="Lato" w:hAnsi="Lato"/>
          <w:szCs w:val="20"/>
        </w:rPr>
      </w:pPr>
    </w:p>
    <w:p w:rsidR="00B13551" w:rsidRPr="00834810" w:rsidRDefault="00B13551" w:rsidP="00B13551">
      <w:pPr>
        <w:jc w:val="both"/>
        <w:rPr>
          <w:rFonts w:ascii="Lato" w:hAnsi="Lato"/>
          <w:szCs w:val="20"/>
        </w:rPr>
      </w:pPr>
      <w:r w:rsidRPr="00834810">
        <w:rPr>
          <w:rFonts w:ascii="Lato" w:hAnsi="Lato"/>
          <w:szCs w:val="20"/>
        </w:rPr>
        <w:t xml:space="preserve">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w:t>
      </w:r>
      <w:r w:rsidRPr="00834810">
        <w:rPr>
          <w:rFonts w:ascii="Lato" w:hAnsi="Lato"/>
          <w:szCs w:val="20"/>
        </w:rPr>
        <w:lastRenderedPageBreak/>
        <w:t xml:space="preserve">recordatorio, de control y en general sobre los aspectos administrativos, o bien, para consignar sus derechos o responsabilidades contingentes que puedan, o no, presentarse en el futuro. </w:t>
      </w:r>
    </w:p>
    <w:p w:rsidR="00B13551" w:rsidRDefault="00B13551" w:rsidP="00B13551">
      <w:pPr>
        <w:jc w:val="both"/>
        <w:rPr>
          <w:rFonts w:ascii="Lato" w:hAnsi="Lato"/>
          <w:szCs w:val="20"/>
        </w:rPr>
      </w:pPr>
    </w:p>
    <w:p w:rsidR="0029517C" w:rsidRDefault="0029517C" w:rsidP="00B13551">
      <w:pPr>
        <w:jc w:val="both"/>
        <w:rPr>
          <w:rFonts w:ascii="Lato" w:hAnsi="Lato"/>
          <w:szCs w:val="20"/>
        </w:rPr>
      </w:pPr>
    </w:p>
    <w:p w:rsidR="0029517C" w:rsidRDefault="0029517C" w:rsidP="00B13551">
      <w:pPr>
        <w:jc w:val="both"/>
        <w:rPr>
          <w:rFonts w:ascii="Lato" w:hAnsi="Lato"/>
          <w:szCs w:val="20"/>
        </w:rPr>
      </w:pPr>
    </w:p>
    <w:p w:rsidR="0029517C" w:rsidRPr="00834810" w:rsidRDefault="0029517C" w:rsidP="00B13551">
      <w:pPr>
        <w:jc w:val="both"/>
        <w:rPr>
          <w:rFonts w:ascii="Lato" w:hAnsi="Lato"/>
          <w:szCs w:val="20"/>
        </w:rPr>
      </w:pPr>
    </w:p>
    <w:p w:rsidR="00503923" w:rsidRPr="00834810" w:rsidRDefault="00B13551" w:rsidP="00B13551">
      <w:pPr>
        <w:jc w:val="both"/>
        <w:rPr>
          <w:rFonts w:ascii="Lato" w:hAnsi="Lato"/>
          <w:szCs w:val="20"/>
        </w:rPr>
      </w:pPr>
      <w:r w:rsidRPr="00834810">
        <w:rPr>
          <w:rFonts w:ascii="Lato" w:hAnsi="Lato"/>
          <w:szCs w:val="20"/>
        </w:rPr>
        <w:t>Las cuentas que se manejan para efectos de estas Notas son las siguientes:</w:t>
      </w:r>
    </w:p>
    <w:p w:rsidR="00B13551" w:rsidRPr="00834810" w:rsidRDefault="00B13551" w:rsidP="00B13551">
      <w:pPr>
        <w:jc w:val="both"/>
        <w:rPr>
          <w:rFonts w:ascii="Lato" w:hAnsi="Lato"/>
          <w:szCs w:val="20"/>
        </w:rPr>
      </w:pPr>
    </w:p>
    <w:p w:rsidR="00B13551" w:rsidRPr="00834810" w:rsidRDefault="00B13551" w:rsidP="00B13551">
      <w:pPr>
        <w:jc w:val="both"/>
        <w:rPr>
          <w:rFonts w:ascii="Lato" w:hAnsi="Lato"/>
          <w:b/>
          <w:bCs/>
          <w:szCs w:val="20"/>
        </w:rPr>
      </w:pPr>
      <w:r w:rsidRPr="00834810">
        <w:rPr>
          <w:rFonts w:ascii="Lato" w:hAnsi="Lato"/>
          <w:b/>
          <w:bCs/>
          <w:szCs w:val="20"/>
        </w:rPr>
        <w:t xml:space="preserve">Cuentas de Orden Contables: </w:t>
      </w:r>
    </w:p>
    <w:p w:rsidR="00B13551" w:rsidRPr="00834810" w:rsidRDefault="00B13551" w:rsidP="00B13551">
      <w:pPr>
        <w:jc w:val="both"/>
        <w:rPr>
          <w:rFonts w:ascii="Lato" w:hAnsi="Lato"/>
          <w:szCs w:val="20"/>
        </w:rPr>
      </w:pPr>
      <w:r w:rsidRPr="00834810">
        <w:rPr>
          <w:rFonts w:ascii="Lato" w:hAnsi="Lato"/>
          <w:szCs w:val="20"/>
        </w:rPr>
        <w:t>Valores – No aplica</w:t>
      </w:r>
    </w:p>
    <w:p w:rsidR="00B13551" w:rsidRPr="00834810" w:rsidRDefault="00B13551" w:rsidP="00B13551">
      <w:pPr>
        <w:jc w:val="both"/>
        <w:rPr>
          <w:rFonts w:ascii="Lato" w:hAnsi="Lato"/>
          <w:szCs w:val="20"/>
        </w:rPr>
      </w:pPr>
      <w:r w:rsidRPr="00834810">
        <w:rPr>
          <w:rFonts w:ascii="Lato" w:hAnsi="Lato"/>
          <w:szCs w:val="20"/>
        </w:rPr>
        <w:t>Emisión de Obligaciones – No aplica</w:t>
      </w:r>
    </w:p>
    <w:p w:rsidR="00B13551" w:rsidRPr="00834810" w:rsidRDefault="00B13551" w:rsidP="00B13551">
      <w:pPr>
        <w:jc w:val="both"/>
        <w:rPr>
          <w:rFonts w:ascii="Lato" w:hAnsi="Lato"/>
          <w:szCs w:val="20"/>
        </w:rPr>
      </w:pPr>
      <w:r w:rsidRPr="00834810">
        <w:rPr>
          <w:rFonts w:ascii="Lato" w:hAnsi="Lato"/>
          <w:szCs w:val="20"/>
        </w:rPr>
        <w:t>Avales y Garantías – No aplica</w:t>
      </w:r>
    </w:p>
    <w:p w:rsidR="00A62AF7" w:rsidRPr="00834810" w:rsidRDefault="00B13551" w:rsidP="00A62AF7">
      <w:pPr>
        <w:jc w:val="both"/>
        <w:rPr>
          <w:rFonts w:ascii="Lato" w:hAnsi="Lato"/>
          <w:szCs w:val="20"/>
        </w:rPr>
      </w:pPr>
      <w:r w:rsidRPr="00834810">
        <w:rPr>
          <w:rFonts w:ascii="Lato" w:hAnsi="Lato"/>
          <w:szCs w:val="20"/>
        </w:rPr>
        <w:t>Juicios –</w:t>
      </w:r>
      <w:r w:rsidR="00A62AF7" w:rsidRPr="00834810">
        <w:rPr>
          <w:rFonts w:ascii="Lato" w:hAnsi="Lato"/>
          <w:szCs w:val="20"/>
        </w:rPr>
        <w:t xml:space="preserve"> No aplica</w:t>
      </w:r>
    </w:p>
    <w:p w:rsidR="00B13551" w:rsidRPr="00834810" w:rsidRDefault="00B13551" w:rsidP="00B13551">
      <w:pPr>
        <w:jc w:val="both"/>
        <w:rPr>
          <w:rFonts w:ascii="Lato" w:hAnsi="Lato"/>
          <w:szCs w:val="20"/>
        </w:rPr>
      </w:pPr>
      <w:r w:rsidRPr="00834810">
        <w:rPr>
          <w:rFonts w:ascii="Lato" w:hAnsi="Lato"/>
          <w:szCs w:val="20"/>
        </w:rPr>
        <w:t>Bienes Concesionados o en Comodato – No aplica</w:t>
      </w:r>
    </w:p>
    <w:p w:rsidR="00B13551" w:rsidRPr="00834810" w:rsidRDefault="00B13551" w:rsidP="00B13551">
      <w:pPr>
        <w:jc w:val="both"/>
        <w:rPr>
          <w:rFonts w:ascii="Lato" w:hAnsi="Lato"/>
          <w:szCs w:val="20"/>
        </w:rPr>
      </w:pPr>
    </w:p>
    <w:p w:rsidR="004351BB" w:rsidRPr="00834810" w:rsidRDefault="004351BB" w:rsidP="00B13551">
      <w:pPr>
        <w:jc w:val="both"/>
        <w:rPr>
          <w:rFonts w:ascii="Lato" w:hAnsi="Lato"/>
          <w:b/>
          <w:bCs/>
          <w:szCs w:val="20"/>
        </w:rPr>
      </w:pPr>
      <w:r w:rsidRPr="00834810">
        <w:rPr>
          <w:rFonts w:ascii="Lato" w:hAnsi="Lato"/>
          <w:b/>
          <w:bCs/>
          <w:szCs w:val="20"/>
        </w:rPr>
        <w:t xml:space="preserve">Cuentas de Orden Presupuestario </w:t>
      </w:r>
    </w:p>
    <w:p w:rsidR="004351BB" w:rsidRPr="00834810" w:rsidRDefault="004351BB" w:rsidP="00B13551">
      <w:pPr>
        <w:jc w:val="both"/>
        <w:rPr>
          <w:rFonts w:ascii="Lato" w:hAnsi="Lato"/>
          <w:szCs w:val="20"/>
        </w:rPr>
      </w:pPr>
      <w:r w:rsidRPr="00834810">
        <w:rPr>
          <w:rFonts w:ascii="Lato" w:hAnsi="Lato"/>
          <w:szCs w:val="20"/>
        </w:rPr>
        <w:t xml:space="preserve">Cuentas de ingresos </w:t>
      </w:r>
    </w:p>
    <w:p w:rsidR="00B13551" w:rsidRPr="00834810" w:rsidRDefault="004351BB" w:rsidP="00B13551">
      <w:pPr>
        <w:jc w:val="both"/>
        <w:rPr>
          <w:rFonts w:ascii="Lato" w:hAnsi="Lato"/>
          <w:szCs w:val="20"/>
        </w:rPr>
      </w:pPr>
      <w:r w:rsidRPr="00834810">
        <w:rPr>
          <w:rFonts w:ascii="Lato" w:hAnsi="Lato"/>
          <w:szCs w:val="20"/>
        </w:rPr>
        <w:t>Cuentas de egresos</w:t>
      </w:r>
    </w:p>
    <w:p w:rsidR="004351BB" w:rsidRPr="00834810" w:rsidRDefault="004351BB" w:rsidP="00B13551">
      <w:pPr>
        <w:jc w:val="both"/>
        <w:rPr>
          <w:rFonts w:ascii="Lato" w:hAnsi="Lato"/>
          <w:szCs w:val="20"/>
        </w:rPr>
      </w:pPr>
    </w:p>
    <w:p w:rsidR="004351BB" w:rsidRPr="00834810" w:rsidRDefault="004351BB" w:rsidP="00B13551">
      <w:pPr>
        <w:jc w:val="both"/>
        <w:rPr>
          <w:rFonts w:ascii="Lato" w:hAnsi="Lato"/>
          <w:szCs w:val="20"/>
        </w:rPr>
      </w:pPr>
      <w:r w:rsidRPr="00834810">
        <w:rPr>
          <w:rFonts w:ascii="Lato" w:hAnsi="Lato"/>
          <w:szCs w:val="20"/>
        </w:rPr>
        <w:t>En las cuentas de orden presupuestarias, se informará el avance que se registra, previo al cierre presupuestario de cada periodo que se reporta.</w:t>
      </w:r>
    </w:p>
    <w:p w:rsidR="004351BB" w:rsidRPr="00834810" w:rsidRDefault="004351BB" w:rsidP="00B13551">
      <w:pPr>
        <w:jc w:val="both"/>
        <w:rPr>
          <w:rFonts w:ascii="Lato" w:hAnsi="Lato"/>
          <w:szCs w:val="20"/>
        </w:rPr>
      </w:pPr>
    </w:p>
    <w:tbl>
      <w:tblPr>
        <w:tblW w:w="6280" w:type="dxa"/>
        <w:jc w:val="center"/>
        <w:tblCellMar>
          <w:left w:w="70" w:type="dxa"/>
          <w:right w:w="70" w:type="dxa"/>
        </w:tblCellMar>
        <w:tblLook w:val="04A0" w:firstRow="1" w:lastRow="0" w:firstColumn="1" w:lastColumn="0" w:noHBand="0" w:noVBand="1"/>
      </w:tblPr>
      <w:tblGrid>
        <w:gridCol w:w="5595"/>
        <w:gridCol w:w="1161"/>
      </w:tblGrid>
      <w:tr w:rsidR="00ED0CCA" w:rsidRPr="00834810" w:rsidTr="00ED0CCA">
        <w:trPr>
          <w:trHeight w:val="27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Cuentas de Orden Presupuestarias de Ingresos</w:t>
            </w:r>
          </w:p>
        </w:tc>
      </w:tr>
      <w:tr w:rsidR="00ED0CCA" w:rsidRPr="00834810" w:rsidTr="00ED0CCA">
        <w:trPr>
          <w:trHeight w:val="270"/>
          <w:jc w:val="center"/>
        </w:trPr>
        <w:tc>
          <w:tcPr>
            <w:tcW w:w="5595" w:type="dxa"/>
            <w:tcBorders>
              <w:top w:val="nil"/>
              <w:left w:val="single" w:sz="4" w:space="0" w:color="auto"/>
              <w:bottom w:val="single" w:sz="4" w:space="0" w:color="auto"/>
              <w:right w:val="single" w:sz="4" w:space="0" w:color="auto"/>
            </w:tcBorders>
            <w:shd w:val="clear" w:color="000000" w:fill="DBDBDB"/>
            <w:noWrap/>
            <w:vAlign w:val="bottom"/>
            <w:hideMark/>
          </w:tcPr>
          <w:p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685" w:type="dxa"/>
            <w:tcBorders>
              <w:top w:val="nil"/>
              <w:left w:val="nil"/>
              <w:bottom w:val="single" w:sz="4" w:space="0" w:color="auto"/>
              <w:right w:val="single" w:sz="4" w:space="0" w:color="auto"/>
            </w:tcBorders>
            <w:shd w:val="clear" w:color="000000" w:fill="DBDBDB"/>
            <w:noWrap/>
            <w:vAlign w:val="bottom"/>
            <w:hideMark/>
          </w:tcPr>
          <w:p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EF4EDE" w:rsidRPr="00834810">
              <w:rPr>
                <w:rFonts w:ascii="Lato" w:hAnsi="Lato" w:cs="Calibri"/>
                <w:b/>
                <w:bCs/>
                <w:color w:val="000000"/>
                <w:szCs w:val="20"/>
                <w:lang w:eastAsia="es-MX"/>
              </w:rPr>
              <w:t>5</w:t>
            </w:r>
          </w:p>
        </w:tc>
      </w:tr>
      <w:tr w:rsidR="00ED0CCA" w:rsidRPr="00834810"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Ley de Ingresos Estimada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834810" w:rsidRDefault="00ED0CCA" w:rsidP="00212754">
            <w:pPr>
              <w:jc w:val="right"/>
              <w:rPr>
                <w:rFonts w:ascii="Lato" w:hAnsi="Lato" w:cs="Calibri"/>
                <w:color w:val="000000"/>
                <w:szCs w:val="20"/>
                <w:lang w:eastAsia="es-MX"/>
              </w:rPr>
            </w:pPr>
            <w:r w:rsidRPr="00834810">
              <w:rPr>
                <w:rFonts w:ascii="Lato" w:hAnsi="Lato" w:cs="Calibri"/>
                <w:color w:val="000000"/>
                <w:szCs w:val="20"/>
                <w:lang w:eastAsia="es-MX"/>
              </w:rPr>
              <w:t> </w:t>
            </w:r>
            <w:r w:rsidR="00A954C0" w:rsidRPr="00834810">
              <w:rPr>
                <w:rFonts w:ascii="Lato" w:hAnsi="Lato" w:cs="Calibri"/>
                <w:color w:val="000000"/>
                <w:szCs w:val="20"/>
                <w:lang w:eastAsia="es-MX"/>
              </w:rPr>
              <w:t>0.00</w:t>
            </w:r>
          </w:p>
        </w:tc>
      </w:tr>
      <w:tr w:rsidR="00ED0CCA" w:rsidRPr="00834810"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Ley de Ingresos por Ejecutar</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834810" w:rsidRDefault="00ED0CCA" w:rsidP="00212754">
            <w:pPr>
              <w:jc w:val="right"/>
              <w:rPr>
                <w:rFonts w:ascii="Lato" w:hAnsi="Lato" w:cs="Calibri"/>
                <w:color w:val="000000"/>
                <w:szCs w:val="20"/>
                <w:lang w:eastAsia="es-MX"/>
              </w:rPr>
            </w:pPr>
            <w:r w:rsidRPr="00834810">
              <w:rPr>
                <w:rFonts w:ascii="Lato" w:hAnsi="Lato" w:cs="Calibri"/>
                <w:color w:val="000000"/>
                <w:szCs w:val="20"/>
                <w:lang w:eastAsia="es-MX"/>
              </w:rPr>
              <w:t> </w:t>
            </w:r>
            <w:r w:rsidR="00EF6708" w:rsidRPr="00834810">
              <w:rPr>
                <w:rFonts w:ascii="Lato" w:hAnsi="Lato" w:cs="Calibri"/>
                <w:color w:val="000000"/>
                <w:szCs w:val="20"/>
                <w:lang w:eastAsia="es-MX"/>
              </w:rPr>
              <w:t>0.00</w:t>
            </w:r>
          </w:p>
        </w:tc>
      </w:tr>
      <w:tr w:rsidR="00ED0CCA" w:rsidRPr="00834810"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Modificaciones a la Ley de Ingresos Estimada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834810" w:rsidRDefault="00A65445" w:rsidP="00212754">
            <w:pPr>
              <w:jc w:val="right"/>
              <w:rPr>
                <w:rFonts w:ascii="Lato" w:hAnsi="Lato" w:cs="Calibri"/>
                <w:color w:val="000000"/>
                <w:szCs w:val="20"/>
                <w:lang w:eastAsia="es-MX"/>
              </w:rPr>
            </w:pPr>
            <w:r>
              <w:rPr>
                <w:rFonts w:ascii="Lato" w:hAnsi="Lato" w:cs="Calibri"/>
                <w:color w:val="000000"/>
                <w:szCs w:val="20"/>
                <w:lang w:eastAsia="es-MX"/>
              </w:rPr>
              <w:t>102,718.61</w:t>
            </w:r>
          </w:p>
        </w:tc>
      </w:tr>
      <w:tr w:rsidR="00ED0CCA" w:rsidRPr="00834810"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Ley de Ingresos Devengada</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834810" w:rsidRDefault="00A65445" w:rsidP="00212754">
            <w:pPr>
              <w:jc w:val="right"/>
              <w:rPr>
                <w:rFonts w:ascii="Lato" w:hAnsi="Lato" w:cs="Calibri"/>
                <w:color w:val="000000"/>
                <w:szCs w:val="20"/>
                <w:lang w:eastAsia="es-MX"/>
              </w:rPr>
            </w:pPr>
            <w:r>
              <w:rPr>
                <w:rFonts w:ascii="Lato" w:hAnsi="Lato" w:cs="Calibri"/>
                <w:color w:val="000000"/>
                <w:szCs w:val="20"/>
                <w:lang w:eastAsia="es-MX"/>
              </w:rPr>
              <w:t>102,718.61</w:t>
            </w:r>
          </w:p>
        </w:tc>
      </w:tr>
      <w:tr w:rsidR="00ED0CCA" w:rsidRPr="00834810"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Ley de Ingresos Recaudada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834810" w:rsidRDefault="00A65445" w:rsidP="00212754">
            <w:pPr>
              <w:jc w:val="right"/>
              <w:rPr>
                <w:rFonts w:ascii="Lato" w:hAnsi="Lato" w:cs="Calibri"/>
                <w:color w:val="000000"/>
                <w:szCs w:val="20"/>
                <w:lang w:eastAsia="es-MX"/>
              </w:rPr>
            </w:pPr>
            <w:r>
              <w:rPr>
                <w:rFonts w:ascii="Lato" w:hAnsi="Lato" w:cs="Calibri"/>
                <w:color w:val="000000"/>
                <w:szCs w:val="20"/>
                <w:lang w:eastAsia="es-MX"/>
              </w:rPr>
              <w:t>102,718.61</w:t>
            </w:r>
          </w:p>
        </w:tc>
      </w:tr>
    </w:tbl>
    <w:p w:rsidR="004351BB" w:rsidRPr="00834810" w:rsidRDefault="004351BB" w:rsidP="00B13551">
      <w:pPr>
        <w:jc w:val="both"/>
        <w:rPr>
          <w:rFonts w:ascii="Lato" w:hAnsi="Lato"/>
          <w:szCs w:val="20"/>
        </w:rPr>
      </w:pPr>
    </w:p>
    <w:tbl>
      <w:tblPr>
        <w:tblW w:w="6991" w:type="dxa"/>
        <w:jc w:val="center"/>
        <w:tblCellMar>
          <w:left w:w="70" w:type="dxa"/>
          <w:right w:w="70" w:type="dxa"/>
        </w:tblCellMar>
        <w:tblLook w:val="04A0" w:firstRow="1" w:lastRow="0" w:firstColumn="1" w:lastColumn="0" w:noHBand="0" w:noVBand="1"/>
      </w:tblPr>
      <w:tblGrid>
        <w:gridCol w:w="5682"/>
        <w:gridCol w:w="1309"/>
      </w:tblGrid>
      <w:tr w:rsidR="00ED0CCA" w:rsidRPr="00834810" w:rsidTr="004F3F81">
        <w:trPr>
          <w:trHeight w:val="270"/>
          <w:jc w:val="center"/>
        </w:trPr>
        <w:tc>
          <w:tcPr>
            <w:tcW w:w="699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Cuentas de Orden Presupuestarias de Egresos</w:t>
            </w:r>
          </w:p>
        </w:tc>
      </w:tr>
      <w:tr w:rsidR="00ED0CCA" w:rsidRPr="00834810" w:rsidTr="004F3F81">
        <w:trPr>
          <w:trHeight w:val="270"/>
          <w:jc w:val="center"/>
        </w:trPr>
        <w:tc>
          <w:tcPr>
            <w:tcW w:w="5682" w:type="dxa"/>
            <w:tcBorders>
              <w:top w:val="nil"/>
              <w:left w:val="single" w:sz="4" w:space="0" w:color="auto"/>
              <w:bottom w:val="single" w:sz="4" w:space="0" w:color="auto"/>
              <w:right w:val="single" w:sz="4" w:space="0" w:color="auto"/>
            </w:tcBorders>
            <w:shd w:val="clear" w:color="000000" w:fill="DBDBDB"/>
            <w:noWrap/>
            <w:vAlign w:val="bottom"/>
            <w:hideMark/>
          </w:tcPr>
          <w:p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lastRenderedPageBreak/>
              <w:t>Concepto</w:t>
            </w:r>
          </w:p>
        </w:tc>
        <w:tc>
          <w:tcPr>
            <w:tcW w:w="1309" w:type="dxa"/>
            <w:tcBorders>
              <w:top w:val="nil"/>
              <w:left w:val="nil"/>
              <w:bottom w:val="single" w:sz="4" w:space="0" w:color="auto"/>
              <w:right w:val="single" w:sz="4" w:space="0" w:color="auto"/>
            </w:tcBorders>
            <w:shd w:val="clear" w:color="000000" w:fill="DBDBDB"/>
            <w:noWrap/>
            <w:vAlign w:val="bottom"/>
            <w:hideMark/>
          </w:tcPr>
          <w:p w:rsidR="00ED0CCA" w:rsidRPr="00834810" w:rsidRDefault="00313577"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EF4EDE" w:rsidRPr="00834810">
              <w:rPr>
                <w:rFonts w:ascii="Lato" w:hAnsi="Lato" w:cs="Calibri"/>
                <w:b/>
                <w:bCs/>
                <w:color w:val="000000"/>
                <w:szCs w:val="20"/>
                <w:lang w:eastAsia="es-MX"/>
              </w:rPr>
              <w:t>5</w:t>
            </w:r>
          </w:p>
        </w:tc>
      </w:tr>
      <w:tr w:rsidR="00ED0CCA" w:rsidRPr="00834810" w:rsidTr="004F3F8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Presupuesto de Egresos Aprobado</w:t>
            </w:r>
          </w:p>
        </w:tc>
        <w:tc>
          <w:tcPr>
            <w:tcW w:w="1309" w:type="dxa"/>
            <w:tcBorders>
              <w:top w:val="nil"/>
              <w:left w:val="nil"/>
              <w:bottom w:val="single" w:sz="4" w:space="0" w:color="auto"/>
              <w:right w:val="single" w:sz="4" w:space="0" w:color="auto"/>
            </w:tcBorders>
            <w:shd w:val="clear" w:color="auto" w:fill="auto"/>
            <w:noWrap/>
            <w:vAlign w:val="bottom"/>
            <w:hideMark/>
          </w:tcPr>
          <w:p w:rsidR="00ED0CCA" w:rsidRPr="00834810" w:rsidRDefault="00773218" w:rsidP="00A954C0">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ED0CCA" w:rsidRPr="00834810" w:rsidTr="004F3F8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Presupuesto de Egresos por Ejercer</w:t>
            </w:r>
          </w:p>
        </w:tc>
        <w:tc>
          <w:tcPr>
            <w:tcW w:w="1309" w:type="dxa"/>
            <w:tcBorders>
              <w:top w:val="nil"/>
              <w:left w:val="nil"/>
              <w:bottom w:val="single" w:sz="4" w:space="0" w:color="auto"/>
              <w:right w:val="single" w:sz="4" w:space="0" w:color="auto"/>
            </w:tcBorders>
            <w:shd w:val="clear" w:color="auto" w:fill="auto"/>
            <w:noWrap/>
            <w:vAlign w:val="bottom"/>
            <w:hideMark/>
          </w:tcPr>
          <w:p w:rsidR="00ED0CCA" w:rsidRPr="00834810" w:rsidRDefault="00ED0CCA" w:rsidP="00A954C0">
            <w:pPr>
              <w:jc w:val="right"/>
              <w:rPr>
                <w:rFonts w:ascii="Lato" w:hAnsi="Lato" w:cs="Calibri"/>
                <w:color w:val="000000"/>
                <w:szCs w:val="20"/>
                <w:lang w:eastAsia="es-MX"/>
              </w:rPr>
            </w:pPr>
            <w:r w:rsidRPr="00834810">
              <w:rPr>
                <w:rFonts w:ascii="Lato" w:hAnsi="Lato" w:cs="Calibri"/>
                <w:color w:val="000000"/>
                <w:szCs w:val="20"/>
                <w:lang w:eastAsia="es-MX"/>
              </w:rPr>
              <w:t> </w:t>
            </w:r>
            <w:r w:rsidR="00EF4EDE" w:rsidRPr="00834810">
              <w:rPr>
                <w:rFonts w:ascii="Lato" w:hAnsi="Lato" w:cs="Calibri"/>
                <w:color w:val="000000"/>
                <w:szCs w:val="20"/>
                <w:lang w:eastAsia="es-MX"/>
              </w:rPr>
              <w:t>0.00</w:t>
            </w:r>
          </w:p>
        </w:tc>
      </w:tr>
      <w:tr w:rsidR="00ED0CCA" w:rsidRPr="00834810" w:rsidTr="004F3F8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Modificaciones al Presupuesto de Egresos Aprobado </w:t>
            </w:r>
          </w:p>
        </w:tc>
        <w:tc>
          <w:tcPr>
            <w:tcW w:w="1309" w:type="dxa"/>
            <w:tcBorders>
              <w:top w:val="nil"/>
              <w:left w:val="nil"/>
              <w:bottom w:val="single" w:sz="4" w:space="0" w:color="auto"/>
              <w:right w:val="single" w:sz="4" w:space="0" w:color="auto"/>
            </w:tcBorders>
            <w:shd w:val="clear" w:color="auto" w:fill="auto"/>
            <w:noWrap/>
            <w:vAlign w:val="bottom"/>
            <w:hideMark/>
          </w:tcPr>
          <w:p w:rsidR="00ED0CCA" w:rsidRPr="00834810" w:rsidRDefault="00EF4EDE" w:rsidP="00A954C0">
            <w:pPr>
              <w:jc w:val="right"/>
              <w:rPr>
                <w:rFonts w:ascii="Lato" w:hAnsi="Lato" w:cs="Calibri"/>
                <w:color w:val="000000"/>
                <w:szCs w:val="20"/>
                <w:lang w:eastAsia="es-MX"/>
              </w:rPr>
            </w:pPr>
            <w:r w:rsidRPr="00834810">
              <w:rPr>
                <w:rFonts w:ascii="Lato" w:hAnsi="Lato" w:cs="Calibri"/>
                <w:bCs/>
                <w:color w:val="000000"/>
                <w:szCs w:val="20"/>
                <w:lang w:eastAsia="es-MX"/>
              </w:rPr>
              <w:t>0.00</w:t>
            </w:r>
          </w:p>
        </w:tc>
      </w:tr>
      <w:tr w:rsidR="00ED0CCA" w:rsidRPr="00834810" w:rsidTr="004F3F8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Presupuesto de Egresos Comprometido</w:t>
            </w:r>
          </w:p>
        </w:tc>
        <w:tc>
          <w:tcPr>
            <w:tcW w:w="1309" w:type="dxa"/>
            <w:tcBorders>
              <w:top w:val="nil"/>
              <w:left w:val="nil"/>
              <w:bottom w:val="single" w:sz="4" w:space="0" w:color="auto"/>
              <w:right w:val="single" w:sz="4" w:space="0" w:color="auto"/>
            </w:tcBorders>
            <w:shd w:val="clear" w:color="auto" w:fill="auto"/>
            <w:noWrap/>
            <w:vAlign w:val="bottom"/>
            <w:hideMark/>
          </w:tcPr>
          <w:p w:rsidR="00ED0CCA" w:rsidRPr="00834810" w:rsidRDefault="00EF4EDE" w:rsidP="00A954C0">
            <w:pPr>
              <w:jc w:val="right"/>
              <w:rPr>
                <w:rFonts w:ascii="Lato" w:hAnsi="Lato" w:cs="Calibri"/>
                <w:color w:val="000000"/>
                <w:szCs w:val="20"/>
                <w:lang w:eastAsia="es-MX"/>
              </w:rPr>
            </w:pPr>
            <w:r w:rsidRPr="00834810">
              <w:rPr>
                <w:rFonts w:ascii="Lato" w:hAnsi="Lato" w:cs="Calibri"/>
                <w:bCs/>
                <w:color w:val="000000"/>
                <w:szCs w:val="20"/>
                <w:lang w:eastAsia="es-MX"/>
              </w:rPr>
              <w:t>0.00</w:t>
            </w:r>
          </w:p>
        </w:tc>
      </w:tr>
      <w:tr w:rsidR="00ED0CCA" w:rsidRPr="00834810" w:rsidTr="004F3F8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Presupuesto de Egresos Devengado </w:t>
            </w:r>
          </w:p>
        </w:tc>
        <w:tc>
          <w:tcPr>
            <w:tcW w:w="1309" w:type="dxa"/>
            <w:tcBorders>
              <w:top w:val="nil"/>
              <w:left w:val="nil"/>
              <w:bottom w:val="single" w:sz="4" w:space="0" w:color="auto"/>
              <w:right w:val="single" w:sz="4" w:space="0" w:color="auto"/>
            </w:tcBorders>
            <w:shd w:val="clear" w:color="auto" w:fill="auto"/>
            <w:noWrap/>
            <w:vAlign w:val="bottom"/>
            <w:hideMark/>
          </w:tcPr>
          <w:p w:rsidR="00ED0CCA" w:rsidRPr="00834810" w:rsidRDefault="00EF4EDE" w:rsidP="00A954C0">
            <w:pPr>
              <w:jc w:val="right"/>
              <w:rPr>
                <w:rFonts w:ascii="Lato" w:hAnsi="Lato" w:cs="Calibri"/>
                <w:color w:val="000000"/>
                <w:szCs w:val="20"/>
                <w:lang w:eastAsia="es-MX"/>
              </w:rPr>
            </w:pPr>
            <w:r w:rsidRPr="00834810">
              <w:rPr>
                <w:rFonts w:ascii="Lato" w:hAnsi="Lato" w:cs="Calibri"/>
                <w:bCs/>
                <w:color w:val="000000"/>
                <w:szCs w:val="20"/>
                <w:lang w:eastAsia="es-MX"/>
              </w:rPr>
              <w:t>0.00</w:t>
            </w:r>
          </w:p>
        </w:tc>
      </w:tr>
      <w:tr w:rsidR="00ED0CCA" w:rsidRPr="00834810" w:rsidTr="004F3F8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Presupuesto de Egresos Ejercido </w:t>
            </w:r>
          </w:p>
        </w:tc>
        <w:tc>
          <w:tcPr>
            <w:tcW w:w="1309" w:type="dxa"/>
            <w:tcBorders>
              <w:top w:val="nil"/>
              <w:left w:val="nil"/>
              <w:bottom w:val="single" w:sz="4" w:space="0" w:color="auto"/>
              <w:right w:val="single" w:sz="4" w:space="0" w:color="auto"/>
            </w:tcBorders>
            <w:shd w:val="clear" w:color="auto" w:fill="auto"/>
            <w:noWrap/>
            <w:vAlign w:val="bottom"/>
            <w:hideMark/>
          </w:tcPr>
          <w:p w:rsidR="00ED0CCA" w:rsidRPr="00834810" w:rsidRDefault="00EF4EDE" w:rsidP="00A954C0">
            <w:pPr>
              <w:jc w:val="right"/>
              <w:rPr>
                <w:rFonts w:ascii="Lato" w:hAnsi="Lato" w:cs="Calibri"/>
                <w:color w:val="000000"/>
                <w:szCs w:val="20"/>
                <w:lang w:eastAsia="es-MX"/>
              </w:rPr>
            </w:pPr>
            <w:r w:rsidRPr="00834810">
              <w:rPr>
                <w:rFonts w:ascii="Lato" w:hAnsi="Lato" w:cs="Calibri"/>
                <w:bCs/>
                <w:color w:val="000000"/>
                <w:szCs w:val="20"/>
                <w:lang w:eastAsia="es-MX"/>
              </w:rPr>
              <w:t>0.00</w:t>
            </w:r>
          </w:p>
        </w:tc>
      </w:tr>
      <w:tr w:rsidR="00ED0CCA" w:rsidRPr="00834810" w:rsidTr="004F3F8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Presupuesto de Egresos Pagado </w:t>
            </w:r>
          </w:p>
        </w:tc>
        <w:tc>
          <w:tcPr>
            <w:tcW w:w="1309" w:type="dxa"/>
            <w:tcBorders>
              <w:top w:val="nil"/>
              <w:left w:val="nil"/>
              <w:bottom w:val="single" w:sz="4" w:space="0" w:color="auto"/>
              <w:right w:val="single" w:sz="4" w:space="0" w:color="auto"/>
            </w:tcBorders>
            <w:shd w:val="clear" w:color="auto" w:fill="auto"/>
            <w:noWrap/>
            <w:vAlign w:val="bottom"/>
            <w:hideMark/>
          </w:tcPr>
          <w:p w:rsidR="00ED0CCA" w:rsidRPr="00834810" w:rsidRDefault="00EF4EDE" w:rsidP="00A954C0">
            <w:pPr>
              <w:jc w:val="right"/>
              <w:rPr>
                <w:rFonts w:ascii="Lato" w:hAnsi="Lato" w:cs="Calibri"/>
                <w:color w:val="000000"/>
                <w:szCs w:val="20"/>
                <w:lang w:eastAsia="es-MX"/>
              </w:rPr>
            </w:pPr>
            <w:r w:rsidRPr="00834810">
              <w:rPr>
                <w:rFonts w:ascii="Lato" w:hAnsi="Lato" w:cs="Calibri"/>
                <w:bCs/>
                <w:color w:val="000000"/>
                <w:szCs w:val="20"/>
                <w:lang w:eastAsia="es-MX"/>
              </w:rPr>
              <w:t>0.00</w:t>
            </w:r>
          </w:p>
        </w:tc>
      </w:tr>
    </w:tbl>
    <w:p w:rsidR="006826B4" w:rsidRDefault="006826B4" w:rsidP="004F3F81">
      <w:pPr>
        <w:ind w:left="709"/>
        <w:rPr>
          <w:rFonts w:ascii="Lato" w:hAnsi="Lato"/>
          <w:szCs w:val="20"/>
        </w:rPr>
      </w:pPr>
    </w:p>
    <w:p w:rsidR="006826B4" w:rsidRDefault="006826B4" w:rsidP="004F3F81">
      <w:pPr>
        <w:ind w:left="709"/>
        <w:rPr>
          <w:rFonts w:ascii="Lato" w:hAnsi="Lato"/>
          <w:szCs w:val="20"/>
        </w:rPr>
      </w:pPr>
    </w:p>
    <w:p w:rsidR="006826B4" w:rsidRDefault="006826B4" w:rsidP="004F3F81">
      <w:pPr>
        <w:ind w:left="709"/>
        <w:rPr>
          <w:rFonts w:ascii="Lato" w:hAnsi="Lato"/>
          <w:szCs w:val="20"/>
        </w:rPr>
      </w:pPr>
    </w:p>
    <w:p w:rsidR="006826B4" w:rsidRDefault="006826B4" w:rsidP="004F3F81">
      <w:pPr>
        <w:ind w:left="709"/>
        <w:rPr>
          <w:rFonts w:ascii="Lato" w:hAnsi="Lato"/>
          <w:szCs w:val="20"/>
        </w:rPr>
      </w:pPr>
    </w:p>
    <w:p w:rsidR="006826B4" w:rsidRDefault="006826B4" w:rsidP="004F3F81">
      <w:pPr>
        <w:ind w:left="709"/>
        <w:rPr>
          <w:rFonts w:ascii="Lato" w:hAnsi="Lato"/>
          <w:szCs w:val="20"/>
        </w:rPr>
      </w:pPr>
    </w:p>
    <w:p w:rsidR="006826B4" w:rsidRDefault="006826B4" w:rsidP="004F3F81">
      <w:pPr>
        <w:ind w:left="709"/>
        <w:rPr>
          <w:rFonts w:ascii="Lato" w:hAnsi="Lato"/>
          <w:szCs w:val="20"/>
        </w:rPr>
      </w:pPr>
    </w:p>
    <w:p w:rsidR="006826B4" w:rsidRDefault="006826B4" w:rsidP="004F3F81">
      <w:pPr>
        <w:ind w:left="709"/>
        <w:rPr>
          <w:rFonts w:ascii="Lato" w:hAnsi="Lato"/>
          <w:szCs w:val="20"/>
        </w:rPr>
      </w:pPr>
    </w:p>
    <w:p w:rsidR="004F3F81" w:rsidRPr="00834810" w:rsidRDefault="004F3F81" w:rsidP="004F3F81">
      <w:pPr>
        <w:ind w:left="709"/>
        <w:rPr>
          <w:rFonts w:ascii="Lato" w:hAnsi="Lato"/>
          <w:szCs w:val="20"/>
        </w:rPr>
      </w:pPr>
      <w:bookmarkStart w:id="2" w:name="_GoBack"/>
      <w:bookmarkEnd w:id="2"/>
      <w:r w:rsidRPr="00834810">
        <w:rPr>
          <w:rFonts w:ascii="Lato" w:hAnsi="Lato"/>
          <w:szCs w:val="20"/>
        </w:rPr>
        <w:t>Bajo protesta de decir verdad declaramos que los Estados Financieros y sus notas, son razonablemente correctos y son responsabilidad del emisor</w:t>
      </w:r>
    </w:p>
    <w:p w:rsidR="004351BB" w:rsidRPr="00C736A7" w:rsidRDefault="004351BB" w:rsidP="00B13551">
      <w:pPr>
        <w:jc w:val="both"/>
        <w:rPr>
          <w:szCs w:val="20"/>
        </w:rPr>
      </w:pPr>
    </w:p>
    <w:sectPr w:rsidR="004351BB" w:rsidRPr="00C736A7" w:rsidSect="0029517C">
      <w:headerReference w:type="default" r:id="rId7"/>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110" w:rsidRDefault="008B6110" w:rsidP="00266243">
      <w:r>
        <w:separator/>
      </w:r>
    </w:p>
  </w:endnote>
  <w:endnote w:type="continuationSeparator" w:id="0">
    <w:p w:rsidR="008B6110" w:rsidRDefault="008B6110" w:rsidP="0026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110" w:rsidRDefault="008B6110" w:rsidP="00266243">
      <w:r>
        <w:separator/>
      </w:r>
    </w:p>
  </w:footnote>
  <w:footnote w:type="continuationSeparator" w:id="0">
    <w:p w:rsidR="008B6110" w:rsidRDefault="008B6110" w:rsidP="002662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CB9" w:rsidRPr="00834810" w:rsidRDefault="00336CB9" w:rsidP="00266243">
    <w:pPr>
      <w:jc w:val="center"/>
      <w:rPr>
        <w:rFonts w:ascii="Lato" w:eastAsia="Barlow" w:hAnsi="Lato" w:cs="Barlow"/>
        <w:b/>
        <w:szCs w:val="20"/>
      </w:rPr>
    </w:pPr>
  </w:p>
  <w:p w:rsidR="00336CB9" w:rsidRDefault="00336CB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E6"/>
    <w:multiLevelType w:val="hybridMultilevel"/>
    <w:tmpl w:val="B11E5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F028F"/>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357FB"/>
    <w:multiLevelType w:val="multilevel"/>
    <w:tmpl w:val="03623F1E"/>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3" w15:restartNumberingAfterBreak="0">
    <w:nsid w:val="282435DB"/>
    <w:multiLevelType w:val="hybridMultilevel"/>
    <w:tmpl w:val="A1CC91C4"/>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912FA9"/>
    <w:multiLevelType w:val="hybridMultilevel"/>
    <w:tmpl w:val="DBA27DAE"/>
    <w:lvl w:ilvl="0" w:tplc="13806E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19718B8"/>
    <w:multiLevelType w:val="hybridMultilevel"/>
    <w:tmpl w:val="8F647CEC"/>
    <w:lvl w:ilvl="0" w:tplc="24120D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CB64D6"/>
    <w:multiLevelType w:val="multilevel"/>
    <w:tmpl w:val="59D0F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145367"/>
    <w:multiLevelType w:val="hybridMultilevel"/>
    <w:tmpl w:val="9B0C8948"/>
    <w:lvl w:ilvl="0" w:tplc="FF68D99A">
      <w:start w:val="12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65CC8"/>
    <w:multiLevelType w:val="multilevel"/>
    <w:tmpl w:val="5770B5C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2"/>
      <w:numFmt w:val="decimal"/>
      <w:lvlText w:val="%1.%2.%3.%4.%5"/>
      <w:lvlJc w:val="left"/>
      <w:pPr>
        <w:ind w:left="862" w:hanging="72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452B46"/>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DD13FA"/>
    <w:multiLevelType w:val="hybridMultilevel"/>
    <w:tmpl w:val="51823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062E34"/>
    <w:multiLevelType w:val="hybridMultilevel"/>
    <w:tmpl w:val="8EB093BE"/>
    <w:lvl w:ilvl="0" w:tplc="9732D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C96010"/>
    <w:multiLevelType w:val="hybridMultilevel"/>
    <w:tmpl w:val="A17C8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0"/>
  </w:num>
  <w:num w:numId="5">
    <w:abstractNumId w:val="10"/>
  </w:num>
  <w:num w:numId="6">
    <w:abstractNumId w:val="2"/>
  </w:num>
  <w:num w:numId="7">
    <w:abstractNumId w:val="1"/>
  </w:num>
  <w:num w:numId="8">
    <w:abstractNumId w:val="9"/>
  </w:num>
  <w:num w:numId="9">
    <w:abstractNumId w:val="6"/>
  </w:num>
  <w:num w:numId="10">
    <w:abstractNumId w:val="11"/>
  </w:num>
  <w:num w:numId="11">
    <w:abstractNumId w:val="7"/>
  </w:num>
  <w:num w:numId="12">
    <w:abstractNumId w:val="8"/>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23"/>
    <w:rsid w:val="00006C96"/>
    <w:rsid w:val="00007E49"/>
    <w:rsid w:val="00014454"/>
    <w:rsid w:val="00015D8F"/>
    <w:rsid w:val="00023C13"/>
    <w:rsid w:val="00024599"/>
    <w:rsid w:val="00030369"/>
    <w:rsid w:val="00032E9B"/>
    <w:rsid w:val="0003543F"/>
    <w:rsid w:val="00046E5D"/>
    <w:rsid w:val="000600AC"/>
    <w:rsid w:val="00061C4B"/>
    <w:rsid w:val="000A3CEB"/>
    <w:rsid w:val="000B476F"/>
    <w:rsid w:val="000C6980"/>
    <w:rsid w:val="000D23E4"/>
    <w:rsid w:val="000D6AEA"/>
    <w:rsid w:val="000D7996"/>
    <w:rsid w:val="000F4D25"/>
    <w:rsid w:val="000F7590"/>
    <w:rsid w:val="00100B0F"/>
    <w:rsid w:val="0011200D"/>
    <w:rsid w:val="001158A8"/>
    <w:rsid w:val="00131615"/>
    <w:rsid w:val="00136312"/>
    <w:rsid w:val="00144185"/>
    <w:rsid w:val="0015252F"/>
    <w:rsid w:val="0016470B"/>
    <w:rsid w:val="00166CB5"/>
    <w:rsid w:val="0017785D"/>
    <w:rsid w:val="00191759"/>
    <w:rsid w:val="00191B1A"/>
    <w:rsid w:val="00191D33"/>
    <w:rsid w:val="001A4850"/>
    <w:rsid w:val="001A6013"/>
    <w:rsid w:val="001A79BD"/>
    <w:rsid w:val="001B349E"/>
    <w:rsid w:val="001B4BC6"/>
    <w:rsid w:val="001B6623"/>
    <w:rsid w:val="001B6812"/>
    <w:rsid w:val="001C4F80"/>
    <w:rsid w:val="001D0E98"/>
    <w:rsid w:val="001F1A6A"/>
    <w:rsid w:val="0020196E"/>
    <w:rsid w:val="00202093"/>
    <w:rsid w:val="002034F0"/>
    <w:rsid w:val="00206C9B"/>
    <w:rsid w:val="0021039B"/>
    <w:rsid w:val="00212754"/>
    <w:rsid w:val="00222B81"/>
    <w:rsid w:val="002231FB"/>
    <w:rsid w:val="00224CF4"/>
    <w:rsid w:val="00227D3F"/>
    <w:rsid w:val="0023173A"/>
    <w:rsid w:val="00231B47"/>
    <w:rsid w:val="002362DC"/>
    <w:rsid w:val="002369F7"/>
    <w:rsid w:val="00266243"/>
    <w:rsid w:val="00267204"/>
    <w:rsid w:val="0029517C"/>
    <w:rsid w:val="0029773B"/>
    <w:rsid w:val="002A391A"/>
    <w:rsid w:val="002E18AC"/>
    <w:rsid w:val="002F6E04"/>
    <w:rsid w:val="002F75C0"/>
    <w:rsid w:val="00302B04"/>
    <w:rsid w:val="00313577"/>
    <w:rsid w:val="003169EC"/>
    <w:rsid w:val="003243FA"/>
    <w:rsid w:val="00326B57"/>
    <w:rsid w:val="00336CB9"/>
    <w:rsid w:val="00344D70"/>
    <w:rsid w:val="00350BFC"/>
    <w:rsid w:val="00382FDB"/>
    <w:rsid w:val="003A2FE6"/>
    <w:rsid w:val="003B6466"/>
    <w:rsid w:val="00402F82"/>
    <w:rsid w:val="00404373"/>
    <w:rsid w:val="00426277"/>
    <w:rsid w:val="00432306"/>
    <w:rsid w:val="004351BB"/>
    <w:rsid w:val="00446E41"/>
    <w:rsid w:val="00452803"/>
    <w:rsid w:val="00457089"/>
    <w:rsid w:val="00471896"/>
    <w:rsid w:val="00477DF0"/>
    <w:rsid w:val="00487648"/>
    <w:rsid w:val="00490357"/>
    <w:rsid w:val="00491B23"/>
    <w:rsid w:val="00494783"/>
    <w:rsid w:val="00495424"/>
    <w:rsid w:val="00497487"/>
    <w:rsid w:val="004C1537"/>
    <w:rsid w:val="004C7800"/>
    <w:rsid w:val="004D021D"/>
    <w:rsid w:val="004D5076"/>
    <w:rsid w:val="004D6061"/>
    <w:rsid w:val="004E01EA"/>
    <w:rsid w:val="004E756D"/>
    <w:rsid w:val="004F2983"/>
    <w:rsid w:val="004F3F81"/>
    <w:rsid w:val="004F5FB7"/>
    <w:rsid w:val="00503923"/>
    <w:rsid w:val="0051202F"/>
    <w:rsid w:val="005315C1"/>
    <w:rsid w:val="00553A4B"/>
    <w:rsid w:val="00562509"/>
    <w:rsid w:val="0056305B"/>
    <w:rsid w:val="00565AD5"/>
    <w:rsid w:val="005902C7"/>
    <w:rsid w:val="005961D0"/>
    <w:rsid w:val="005B3888"/>
    <w:rsid w:val="005C38EF"/>
    <w:rsid w:val="005C3E02"/>
    <w:rsid w:val="005D1315"/>
    <w:rsid w:val="005D1590"/>
    <w:rsid w:val="005E1D28"/>
    <w:rsid w:val="005E38B0"/>
    <w:rsid w:val="005E4412"/>
    <w:rsid w:val="005F2120"/>
    <w:rsid w:val="005F343E"/>
    <w:rsid w:val="006148A7"/>
    <w:rsid w:val="00615BE3"/>
    <w:rsid w:val="00667B47"/>
    <w:rsid w:val="006826B4"/>
    <w:rsid w:val="006925A5"/>
    <w:rsid w:val="00697C39"/>
    <w:rsid w:val="006A27DB"/>
    <w:rsid w:val="006B40EA"/>
    <w:rsid w:val="006C0789"/>
    <w:rsid w:val="006C1A06"/>
    <w:rsid w:val="006C25E6"/>
    <w:rsid w:val="006C5266"/>
    <w:rsid w:val="006D32A5"/>
    <w:rsid w:val="006D6113"/>
    <w:rsid w:val="006D692B"/>
    <w:rsid w:val="006E0A53"/>
    <w:rsid w:val="006E1A11"/>
    <w:rsid w:val="00702C26"/>
    <w:rsid w:val="007320D1"/>
    <w:rsid w:val="00735049"/>
    <w:rsid w:val="0073754F"/>
    <w:rsid w:val="00741577"/>
    <w:rsid w:val="00742F5B"/>
    <w:rsid w:val="007533F3"/>
    <w:rsid w:val="007563FE"/>
    <w:rsid w:val="00762061"/>
    <w:rsid w:val="007712D9"/>
    <w:rsid w:val="00773218"/>
    <w:rsid w:val="007A03C8"/>
    <w:rsid w:val="007A18A5"/>
    <w:rsid w:val="007A2888"/>
    <w:rsid w:val="007B57B3"/>
    <w:rsid w:val="007C423A"/>
    <w:rsid w:val="007F2C65"/>
    <w:rsid w:val="008024FE"/>
    <w:rsid w:val="008047D5"/>
    <w:rsid w:val="0081111D"/>
    <w:rsid w:val="00832F8E"/>
    <w:rsid w:val="00834810"/>
    <w:rsid w:val="008373C7"/>
    <w:rsid w:val="00871DEB"/>
    <w:rsid w:val="008770B5"/>
    <w:rsid w:val="00896356"/>
    <w:rsid w:val="008A7C01"/>
    <w:rsid w:val="008B6110"/>
    <w:rsid w:val="008C26A9"/>
    <w:rsid w:val="008E0B7F"/>
    <w:rsid w:val="008E4D70"/>
    <w:rsid w:val="008F4D34"/>
    <w:rsid w:val="00901650"/>
    <w:rsid w:val="00911682"/>
    <w:rsid w:val="009129A2"/>
    <w:rsid w:val="00913471"/>
    <w:rsid w:val="009136FA"/>
    <w:rsid w:val="0092482A"/>
    <w:rsid w:val="0094026E"/>
    <w:rsid w:val="00957A6D"/>
    <w:rsid w:val="00971201"/>
    <w:rsid w:val="00974B8F"/>
    <w:rsid w:val="00976F2C"/>
    <w:rsid w:val="009815C0"/>
    <w:rsid w:val="00981926"/>
    <w:rsid w:val="00996E5C"/>
    <w:rsid w:val="00997E79"/>
    <w:rsid w:val="009A0B90"/>
    <w:rsid w:val="009A169B"/>
    <w:rsid w:val="009A4F66"/>
    <w:rsid w:val="009B2484"/>
    <w:rsid w:val="009B4571"/>
    <w:rsid w:val="009C1101"/>
    <w:rsid w:val="009C5A2D"/>
    <w:rsid w:val="009D165A"/>
    <w:rsid w:val="009D7DA1"/>
    <w:rsid w:val="009E0B19"/>
    <w:rsid w:val="009E1CFC"/>
    <w:rsid w:val="009E52A0"/>
    <w:rsid w:val="009E73B3"/>
    <w:rsid w:val="00A06829"/>
    <w:rsid w:val="00A10814"/>
    <w:rsid w:val="00A1177B"/>
    <w:rsid w:val="00A11E66"/>
    <w:rsid w:val="00A135CA"/>
    <w:rsid w:val="00A16F55"/>
    <w:rsid w:val="00A200F7"/>
    <w:rsid w:val="00A2126D"/>
    <w:rsid w:val="00A261DA"/>
    <w:rsid w:val="00A44176"/>
    <w:rsid w:val="00A50478"/>
    <w:rsid w:val="00A62AF7"/>
    <w:rsid w:val="00A65445"/>
    <w:rsid w:val="00A66775"/>
    <w:rsid w:val="00A67605"/>
    <w:rsid w:val="00A727A9"/>
    <w:rsid w:val="00A8137E"/>
    <w:rsid w:val="00A86ACF"/>
    <w:rsid w:val="00A94F60"/>
    <w:rsid w:val="00A954C0"/>
    <w:rsid w:val="00AA431B"/>
    <w:rsid w:val="00AB458D"/>
    <w:rsid w:val="00AB56A3"/>
    <w:rsid w:val="00AC2193"/>
    <w:rsid w:val="00AD2DBB"/>
    <w:rsid w:val="00AD7D9E"/>
    <w:rsid w:val="00AF51CD"/>
    <w:rsid w:val="00B0265A"/>
    <w:rsid w:val="00B0340D"/>
    <w:rsid w:val="00B13537"/>
    <w:rsid w:val="00B13551"/>
    <w:rsid w:val="00B2026B"/>
    <w:rsid w:val="00B25C5D"/>
    <w:rsid w:val="00B4240C"/>
    <w:rsid w:val="00B44B92"/>
    <w:rsid w:val="00B452BD"/>
    <w:rsid w:val="00B53078"/>
    <w:rsid w:val="00B67E7E"/>
    <w:rsid w:val="00B75B7E"/>
    <w:rsid w:val="00B86528"/>
    <w:rsid w:val="00BA4D9D"/>
    <w:rsid w:val="00BB0755"/>
    <w:rsid w:val="00BC0AE7"/>
    <w:rsid w:val="00BC0B28"/>
    <w:rsid w:val="00BC44E4"/>
    <w:rsid w:val="00BE1BAB"/>
    <w:rsid w:val="00BE44A0"/>
    <w:rsid w:val="00BF6A06"/>
    <w:rsid w:val="00C05A06"/>
    <w:rsid w:val="00C23334"/>
    <w:rsid w:val="00C516ED"/>
    <w:rsid w:val="00C63910"/>
    <w:rsid w:val="00C70F64"/>
    <w:rsid w:val="00C736A7"/>
    <w:rsid w:val="00C85EBC"/>
    <w:rsid w:val="00C946C2"/>
    <w:rsid w:val="00C9535D"/>
    <w:rsid w:val="00CA5E44"/>
    <w:rsid w:val="00CB7961"/>
    <w:rsid w:val="00CC53BE"/>
    <w:rsid w:val="00CC6412"/>
    <w:rsid w:val="00CC7FAC"/>
    <w:rsid w:val="00CE1695"/>
    <w:rsid w:val="00D00B66"/>
    <w:rsid w:val="00D03369"/>
    <w:rsid w:val="00D11213"/>
    <w:rsid w:val="00D26C41"/>
    <w:rsid w:val="00D41424"/>
    <w:rsid w:val="00D4508E"/>
    <w:rsid w:val="00D5408C"/>
    <w:rsid w:val="00D54F94"/>
    <w:rsid w:val="00D70030"/>
    <w:rsid w:val="00D83043"/>
    <w:rsid w:val="00DC5357"/>
    <w:rsid w:val="00DC661E"/>
    <w:rsid w:val="00DF39F4"/>
    <w:rsid w:val="00DF4DE3"/>
    <w:rsid w:val="00DF65AB"/>
    <w:rsid w:val="00E13443"/>
    <w:rsid w:val="00E13979"/>
    <w:rsid w:val="00E40EF9"/>
    <w:rsid w:val="00E5166B"/>
    <w:rsid w:val="00E56A8A"/>
    <w:rsid w:val="00E757D6"/>
    <w:rsid w:val="00E76FFE"/>
    <w:rsid w:val="00E83551"/>
    <w:rsid w:val="00E90C15"/>
    <w:rsid w:val="00EA3829"/>
    <w:rsid w:val="00EC2937"/>
    <w:rsid w:val="00EC39DD"/>
    <w:rsid w:val="00EC4786"/>
    <w:rsid w:val="00EC523B"/>
    <w:rsid w:val="00ED0CCA"/>
    <w:rsid w:val="00ED5C76"/>
    <w:rsid w:val="00EE4C88"/>
    <w:rsid w:val="00EF4EDE"/>
    <w:rsid w:val="00EF6708"/>
    <w:rsid w:val="00F00DE9"/>
    <w:rsid w:val="00F12550"/>
    <w:rsid w:val="00F2420F"/>
    <w:rsid w:val="00F24715"/>
    <w:rsid w:val="00F33163"/>
    <w:rsid w:val="00F3780D"/>
    <w:rsid w:val="00F53F9B"/>
    <w:rsid w:val="00F55B3A"/>
    <w:rsid w:val="00F561BA"/>
    <w:rsid w:val="00F62A1C"/>
    <w:rsid w:val="00F66D8B"/>
    <w:rsid w:val="00F66E4D"/>
    <w:rsid w:val="00F72480"/>
    <w:rsid w:val="00F7642F"/>
    <w:rsid w:val="00F83336"/>
    <w:rsid w:val="00F859B2"/>
    <w:rsid w:val="00F92C6E"/>
    <w:rsid w:val="00FA09E8"/>
    <w:rsid w:val="00FA39FA"/>
    <w:rsid w:val="00FB09E0"/>
    <w:rsid w:val="00FC54F5"/>
    <w:rsid w:val="00FC7C93"/>
    <w:rsid w:val="00FD0A36"/>
    <w:rsid w:val="00FD5D3A"/>
    <w:rsid w:val="00FF4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608E"/>
  <w15:chartTrackingRefBased/>
  <w15:docId w15:val="{3DDB977D-E72D-471B-BB05-A10F4525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F81"/>
    <w:pPr>
      <w:spacing w:after="0" w:line="240" w:lineRule="auto"/>
    </w:pPr>
    <w:rPr>
      <w:rFonts w:ascii="Barlow" w:eastAsia="Times New Roman" w:hAnsi="Barlow" w:cs="Times New Roman"/>
      <w:sz w:val="20"/>
      <w:szCs w:val="24"/>
      <w:lang w:eastAsia="es-ES"/>
    </w:rPr>
  </w:style>
  <w:style w:type="paragraph" w:styleId="Ttulo1">
    <w:name w:val="heading 1"/>
    <w:basedOn w:val="Normal"/>
    <w:next w:val="Normal"/>
    <w:link w:val="Ttulo1Car"/>
    <w:uiPriority w:val="9"/>
    <w:qFormat/>
    <w:rsid w:val="00266243"/>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D1315"/>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5D1315"/>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66243"/>
    <w:pPr>
      <w:tabs>
        <w:tab w:val="center" w:pos="4419"/>
        <w:tab w:val="right" w:pos="8838"/>
      </w:tabs>
    </w:pPr>
  </w:style>
  <w:style w:type="character" w:customStyle="1" w:styleId="EncabezadoCar">
    <w:name w:val="Encabezado Car"/>
    <w:basedOn w:val="Fuentedeprrafopredeter"/>
    <w:link w:val="Encabezado"/>
    <w:rsid w:val="0026624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6243"/>
    <w:pPr>
      <w:tabs>
        <w:tab w:val="center" w:pos="4419"/>
        <w:tab w:val="right" w:pos="8838"/>
      </w:tabs>
    </w:pPr>
  </w:style>
  <w:style w:type="character" w:customStyle="1" w:styleId="PiedepginaCar">
    <w:name w:val="Pie de página Car"/>
    <w:basedOn w:val="Fuentedeprrafopredeter"/>
    <w:link w:val="Piedepgina"/>
    <w:uiPriority w:val="99"/>
    <w:rsid w:val="0026624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66243"/>
    <w:pPr>
      <w:ind w:left="720"/>
      <w:contextualSpacing/>
    </w:pPr>
  </w:style>
  <w:style w:type="character" w:customStyle="1" w:styleId="Ttulo1Car">
    <w:name w:val="Título 1 Car"/>
    <w:basedOn w:val="Fuentedeprrafopredeter"/>
    <w:link w:val="Ttulo1"/>
    <w:uiPriority w:val="9"/>
    <w:rsid w:val="00266243"/>
    <w:rPr>
      <w:rFonts w:ascii="Barlow" w:eastAsiaTheme="majorEastAsia" w:hAnsi="Barlow" w:cstheme="majorBidi"/>
      <w:b/>
      <w:sz w:val="20"/>
      <w:szCs w:val="32"/>
      <w:lang w:eastAsia="es-ES"/>
    </w:rPr>
  </w:style>
  <w:style w:type="character" w:customStyle="1" w:styleId="Ttulo2Car">
    <w:name w:val="Título 2 Car"/>
    <w:basedOn w:val="Fuentedeprrafopredeter"/>
    <w:link w:val="Ttulo2"/>
    <w:uiPriority w:val="9"/>
    <w:rsid w:val="005D1315"/>
    <w:rPr>
      <w:rFonts w:ascii="Barlow" w:eastAsiaTheme="majorEastAsia" w:hAnsi="Barlow" w:cstheme="majorBidi"/>
      <w:b/>
      <w:sz w:val="20"/>
      <w:szCs w:val="26"/>
      <w:lang w:eastAsia="es-ES"/>
    </w:rPr>
  </w:style>
  <w:style w:type="character" w:customStyle="1" w:styleId="Ttulo3Car">
    <w:name w:val="Título 3 Car"/>
    <w:basedOn w:val="Fuentedeprrafopredeter"/>
    <w:link w:val="Ttulo3"/>
    <w:uiPriority w:val="9"/>
    <w:rsid w:val="005D1315"/>
    <w:rPr>
      <w:rFonts w:ascii="Barlow" w:eastAsiaTheme="majorEastAsia" w:hAnsi="Barlow" w:cstheme="majorBidi"/>
      <w:b/>
      <w:sz w:val="20"/>
      <w:szCs w:val="24"/>
      <w:lang w:eastAsia="es-ES"/>
    </w:rPr>
  </w:style>
  <w:style w:type="paragraph" w:styleId="Textoindependiente">
    <w:name w:val="Body Text"/>
    <w:basedOn w:val="Normal"/>
    <w:link w:val="TextoindependienteCar"/>
    <w:uiPriority w:val="99"/>
    <w:unhideWhenUsed/>
    <w:rsid w:val="00D83043"/>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rsid w:val="00D83043"/>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nhideWhenUsed/>
    <w:rsid w:val="000F7590"/>
    <w:pPr>
      <w:spacing w:after="120" w:line="480" w:lineRule="auto"/>
    </w:pPr>
  </w:style>
  <w:style w:type="character" w:customStyle="1" w:styleId="Textoindependiente2Car">
    <w:name w:val="Texto independiente 2 Car"/>
    <w:basedOn w:val="Fuentedeprrafopredeter"/>
    <w:link w:val="Textoindependiente2"/>
    <w:rsid w:val="000F7590"/>
    <w:rPr>
      <w:rFonts w:ascii="Barlow" w:eastAsia="Times New Roman" w:hAnsi="Barlow" w:cs="Times New Roman"/>
      <w:sz w:val="20"/>
      <w:szCs w:val="24"/>
      <w:lang w:eastAsia="es-ES"/>
    </w:rPr>
  </w:style>
  <w:style w:type="table" w:customStyle="1" w:styleId="TableNormal">
    <w:name w:val="Table Normal"/>
    <w:rsid w:val="000F7590"/>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85">
      <w:bodyDiv w:val="1"/>
      <w:marLeft w:val="0"/>
      <w:marRight w:val="0"/>
      <w:marTop w:val="0"/>
      <w:marBottom w:val="0"/>
      <w:divBdr>
        <w:top w:val="none" w:sz="0" w:space="0" w:color="auto"/>
        <w:left w:val="none" w:sz="0" w:space="0" w:color="auto"/>
        <w:bottom w:val="none" w:sz="0" w:space="0" w:color="auto"/>
        <w:right w:val="none" w:sz="0" w:space="0" w:color="auto"/>
      </w:divBdr>
    </w:div>
    <w:div w:id="97141255">
      <w:bodyDiv w:val="1"/>
      <w:marLeft w:val="0"/>
      <w:marRight w:val="0"/>
      <w:marTop w:val="0"/>
      <w:marBottom w:val="0"/>
      <w:divBdr>
        <w:top w:val="none" w:sz="0" w:space="0" w:color="auto"/>
        <w:left w:val="none" w:sz="0" w:space="0" w:color="auto"/>
        <w:bottom w:val="none" w:sz="0" w:space="0" w:color="auto"/>
        <w:right w:val="none" w:sz="0" w:space="0" w:color="auto"/>
      </w:divBdr>
    </w:div>
    <w:div w:id="154422981">
      <w:bodyDiv w:val="1"/>
      <w:marLeft w:val="0"/>
      <w:marRight w:val="0"/>
      <w:marTop w:val="0"/>
      <w:marBottom w:val="0"/>
      <w:divBdr>
        <w:top w:val="none" w:sz="0" w:space="0" w:color="auto"/>
        <w:left w:val="none" w:sz="0" w:space="0" w:color="auto"/>
        <w:bottom w:val="none" w:sz="0" w:space="0" w:color="auto"/>
        <w:right w:val="none" w:sz="0" w:space="0" w:color="auto"/>
      </w:divBdr>
    </w:div>
    <w:div w:id="164712708">
      <w:bodyDiv w:val="1"/>
      <w:marLeft w:val="0"/>
      <w:marRight w:val="0"/>
      <w:marTop w:val="0"/>
      <w:marBottom w:val="0"/>
      <w:divBdr>
        <w:top w:val="none" w:sz="0" w:space="0" w:color="auto"/>
        <w:left w:val="none" w:sz="0" w:space="0" w:color="auto"/>
        <w:bottom w:val="none" w:sz="0" w:space="0" w:color="auto"/>
        <w:right w:val="none" w:sz="0" w:space="0" w:color="auto"/>
      </w:divBdr>
    </w:div>
    <w:div w:id="260725587">
      <w:bodyDiv w:val="1"/>
      <w:marLeft w:val="0"/>
      <w:marRight w:val="0"/>
      <w:marTop w:val="0"/>
      <w:marBottom w:val="0"/>
      <w:divBdr>
        <w:top w:val="none" w:sz="0" w:space="0" w:color="auto"/>
        <w:left w:val="none" w:sz="0" w:space="0" w:color="auto"/>
        <w:bottom w:val="none" w:sz="0" w:space="0" w:color="auto"/>
        <w:right w:val="none" w:sz="0" w:space="0" w:color="auto"/>
      </w:divBdr>
    </w:div>
    <w:div w:id="279074305">
      <w:bodyDiv w:val="1"/>
      <w:marLeft w:val="0"/>
      <w:marRight w:val="0"/>
      <w:marTop w:val="0"/>
      <w:marBottom w:val="0"/>
      <w:divBdr>
        <w:top w:val="none" w:sz="0" w:space="0" w:color="auto"/>
        <w:left w:val="none" w:sz="0" w:space="0" w:color="auto"/>
        <w:bottom w:val="none" w:sz="0" w:space="0" w:color="auto"/>
        <w:right w:val="none" w:sz="0" w:space="0" w:color="auto"/>
      </w:divBdr>
    </w:div>
    <w:div w:id="296381055">
      <w:bodyDiv w:val="1"/>
      <w:marLeft w:val="0"/>
      <w:marRight w:val="0"/>
      <w:marTop w:val="0"/>
      <w:marBottom w:val="0"/>
      <w:divBdr>
        <w:top w:val="none" w:sz="0" w:space="0" w:color="auto"/>
        <w:left w:val="none" w:sz="0" w:space="0" w:color="auto"/>
        <w:bottom w:val="none" w:sz="0" w:space="0" w:color="auto"/>
        <w:right w:val="none" w:sz="0" w:space="0" w:color="auto"/>
      </w:divBdr>
    </w:div>
    <w:div w:id="346098780">
      <w:bodyDiv w:val="1"/>
      <w:marLeft w:val="0"/>
      <w:marRight w:val="0"/>
      <w:marTop w:val="0"/>
      <w:marBottom w:val="0"/>
      <w:divBdr>
        <w:top w:val="none" w:sz="0" w:space="0" w:color="auto"/>
        <w:left w:val="none" w:sz="0" w:space="0" w:color="auto"/>
        <w:bottom w:val="none" w:sz="0" w:space="0" w:color="auto"/>
        <w:right w:val="none" w:sz="0" w:space="0" w:color="auto"/>
      </w:divBdr>
    </w:div>
    <w:div w:id="471410133">
      <w:bodyDiv w:val="1"/>
      <w:marLeft w:val="0"/>
      <w:marRight w:val="0"/>
      <w:marTop w:val="0"/>
      <w:marBottom w:val="0"/>
      <w:divBdr>
        <w:top w:val="none" w:sz="0" w:space="0" w:color="auto"/>
        <w:left w:val="none" w:sz="0" w:space="0" w:color="auto"/>
        <w:bottom w:val="none" w:sz="0" w:space="0" w:color="auto"/>
        <w:right w:val="none" w:sz="0" w:space="0" w:color="auto"/>
      </w:divBdr>
    </w:div>
    <w:div w:id="578752850">
      <w:bodyDiv w:val="1"/>
      <w:marLeft w:val="0"/>
      <w:marRight w:val="0"/>
      <w:marTop w:val="0"/>
      <w:marBottom w:val="0"/>
      <w:divBdr>
        <w:top w:val="none" w:sz="0" w:space="0" w:color="auto"/>
        <w:left w:val="none" w:sz="0" w:space="0" w:color="auto"/>
        <w:bottom w:val="none" w:sz="0" w:space="0" w:color="auto"/>
        <w:right w:val="none" w:sz="0" w:space="0" w:color="auto"/>
      </w:divBdr>
    </w:div>
    <w:div w:id="684745377">
      <w:bodyDiv w:val="1"/>
      <w:marLeft w:val="0"/>
      <w:marRight w:val="0"/>
      <w:marTop w:val="0"/>
      <w:marBottom w:val="0"/>
      <w:divBdr>
        <w:top w:val="none" w:sz="0" w:space="0" w:color="auto"/>
        <w:left w:val="none" w:sz="0" w:space="0" w:color="auto"/>
        <w:bottom w:val="none" w:sz="0" w:space="0" w:color="auto"/>
        <w:right w:val="none" w:sz="0" w:space="0" w:color="auto"/>
      </w:divBdr>
    </w:div>
    <w:div w:id="689184776">
      <w:bodyDiv w:val="1"/>
      <w:marLeft w:val="0"/>
      <w:marRight w:val="0"/>
      <w:marTop w:val="0"/>
      <w:marBottom w:val="0"/>
      <w:divBdr>
        <w:top w:val="none" w:sz="0" w:space="0" w:color="auto"/>
        <w:left w:val="none" w:sz="0" w:space="0" w:color="auto"/>
        <w:bottom w:val="none" w:sz="0" w:space="0" w:color="auto"/>
        <w:right w:val="none" w:sz="0" w:space="0" w:color="auto"/>
      </w:divBdr>
    </w:div>
    <w:div w:id="785929530">
      <w:bodyDiv w:val="1"/>
      <w:marLeft w:val="0"/>
      <w:marRight w:val="0"/>
      <w:marTop w:val="0"/>
      <w:marBottom w:val="0"/>
      <w:divBdr>
        <w:top w:val="none" w:sz="0" w:space="0" w:color="auto"/>
        <w:left w:val="none" w:sz="0" w:space="0" w:color="auto"/>
        <w:bottom w:val="none" w:sz="0" w:space="0" w:color="auto"/>
        <w:right w:val="none" w:sz="0" w:space="0" w:color="auto"/>
      </w:divBdr>
    </w:div>
    <w:div w:id="1018771477">
      <w:bodyDiv w:val="1"/>
      <w:marLeft w:val="0"/>
      <w:marRight w:val="0"/>
      <w:marTop w:val="0"/>
      <w:marBottom w:val="0"/>
      <w:divBdr>
        <w:top w:val="none" w:sz="0" w:space="0" w:color="auto"/>
        <w:left w:val="none" w:sz="0" w:space="0" w:color="auto"/>
        <w:bottom w:val="none" w:sz="0" w:space="0" w:color="auto"/>
        <w:right w:val="none" w:sz="0" w:space="0" w:color="auto"/>
      </w:divBdr>
    </w:div>
    <w:div w:id="1063018032">
      <w:bodyDiv w:val="1"/>
      <w:marLeft w:val="0"/>
      <w:marRight w:val="0"/>
      <w:marTop w:val="0"/>
      <w:marBottom w:val="0"/>
      <w:divBdr>
        <w:top w:val="none" w:sz="0" w:space="0" w:color="auto"/>
        <w:left w:val="none" w:sz="0" w:space="0" w:color="auto"/>
        <w:bottom w:val="none" w:sz="0" w:space="0" w:color="auto"/>
        <w:right w:val="none" w:sz="0" w:space="0" w:color="auto"/>
      </w:divBdr>
    </w:div>
    <w:div w:id="1075904824">
      <w:bodyDiv w:val="1"/>
      <w:marLeft w:val="0"/>
      <w:marRight w:val="0"/>
      <w:marTop w:val="0"/>
      <w:marBottom w:val="0"/>
      <w:divBdr>
        <w:top w:val="none" w:sz="0" w:space="0" w:color="auto"/>
        <w:left w:val="none" w:sz="0" w:space="0" w:color="auto"/>
        <w:bottom w:val="none" w:sz="0" w:space="0" w:color="auto"/>
        <w:right w:val="none" w:sz="0" w:space="0" w:color="auto"/>
      </w:divBdr>
    </w:div>
    <w:div w:id="1133408153">
      <w:bodyDiv w:val="1"/>
      <w:marLeft w:val="0"/>
      <w:marRight w:val="0"/>
      <w:marTop w:val="0"/>
      <w:marBottom w:val="0"/>
      <w:divBdr>
        <w:top w:val="none" w:sz="0" w:space="0" w:color="auto"/>
        <w:left w:val="none" w:sz="0" w:space="0" w:color="auto"/>
        <w:bottom w:val="none" w:sz="0" w:space="0" w:color="auto"/>
        <w:right w:val="none" w:sz="0" w:space="0" w:color="auto"/>
      </w:divBdr>
    </w:div>
    <w:div w:id="1207833111">
      <w:bodyDiv w:val="1"/>
      <w:marLeft w:val="0"/>
      <w:marRight w:val="0"/>
      <w:marTop w:val="0"/>
      <w:marBottom w:val="0"/>
      <w:divBdr>
        <w:top w:val="none" w:sz="0" w:space="0" w:color="auto"/>
        <w:left w:val="none" w:sz="0" w:space="0" w:color="auto"/>
        <w:bottom w:val="none" w:sz="0" w:space="0" w:color="auto"/>
        <w:right w:val="none" w:sz="0" w:space="0" w:color="auto"/>
      </w:divBdr>
    </w:div>
    <w:div w:id="1260212085">
      <w:bodyDiv w:val="1"/>
      <w:marLeft w:val="0"/>
      <w:marRight w:val="0"/>
      <w:marTop w:val="0"/>
      <w:marBottom w:val="0"/>
      <w:divBdr>
        <w:top w:val="none" w:sz="0" w:space="0" w:color="auto"/>
        <w:left w:val="none" w:sz="0" w:space="0" w:color="auto"/>
        <w:bottom w:val="none" w:sz="0" w:space="0" w:color="auto"/>
        <w:right w:val="none" w:sz="0" w:space="0" w:color="auto"/>
      </w:divBdr>
    </w:div>
    <w:div w:id="1260598320">
      <w:bodyDiv w:val="1"/>
      <w:marLeft w:val="0"/>
      <w:marRight w:val="0"/>
      <w:marTop w:val="0"/>
      <w:marBottom w:val="0"/>
      <w:divBdr>
        <w:top w:val="none" w:sz="0" w:space="0" w:color="auto"/>
        <w:left w:val="none" w:sz="0" w:space="0" w:color="auto"/>
        <w:bottom w:val="none" w:sz="0" w:space="0" w:color="auto"/>
        <w:right w:val="none" w:sz="0" w:space="0" w:color="auto"/>
      </w:divBdr>
    </w:div>
    <w:div w:id="1268154082">
      <w:bodyDiv w:val="1"/>
      <w:marLeft w:val="0"/>
      <w:marRight w:val="0"/>
      <w:marTop w:val="0"/>
      <w:marBottom w:val="0"/>
      <w:divBdr>
        <w:top w:val="none" w:sz="0" w:space="0" w:color="auto"/>
        <w:left w:val="none" w:sz="0" w:space="0" w:color="auto"/>
        <w:bottom w:val="none" w:sz="0" w:space="0" w:color="auto"/>
        <w:right w:val="none" w:sz="0" w:space="0" w:color="auto"/>
      </w:divBdr>
    </w:div>
    <w:div w:id="1271815621">
      <w:bodyDiv w:val="1"/>
      <w:marLeft w:val="0"/>
      <w:marRight w:val="0"/>
      <w:marTop w:val="0"/>
      <w:marBottom w:val="0"/>
      <w:divBdr>
        <w:top w:val="none" w:sz="0" w:space="0" w:color="auto"/>
        <w:left w:val="none" w:sz="0" w:space="0" w:color="auto"/>
        <w:bottom w:val="none" w:sz="0" w:space="0" w:color="auto"/>
        <w:right w:val="none" w:sz="0" w:space="0" w:color="auto"/>
      </w:divBdr>
    </w:div>
    <w:div w:id="1321350653">
      <w:bodyDiv w:val="1"/>
      <w:marLeft w:val="0"/>
      <w:marRight w:val="0"/>
      <w:marTop w:val="0"/>
      <w:marBottom w:val="0"/>
      <w:divBdr>
        <w:top w:val="none" w:sz="0" w:space="0" w:color="auto"/>
        <w:left w:val="none" w:sz="0" w:space="0" w:color="auto"/>
        <w:bottom w:val="none" w:sz="0" w:space="0" w:color="auto"/>
        <w:right w:val="none" w:sz="0" w:space="0" w:color="auto"/>
      </w:divBdr>
    </w:div>
    <w:div w:id="1366635682">
      <w:bodyDiv w:val="1"/>
      <w:marLeft w:val="0"/>
      <w:marRight w:val="0"/>
      <w:marTop w:val="0"/>
      <w:marBottom w:val="0"/>
      <w:divBdr>
        <w:top w:val="none" w:sz="0" w:space="0" w:color="auto"/>
        <w:left w:val="none" w:sz="0" w:space="0" w:color="auto"/>
        <w:bottom w:val="none" w:sz="0" w:space="0" w:color="auto"/>
        <w:right w:val="none" w:sz="0" w:space="0" w:color="auto"/>
      </w:divBdr>
    </w:div>
    <w:div w:id="1567762663">
      <w:bodyDiv w:val="1"/>
      <w:marLeft w:val="0"/>
      <w:marRight w:val="0"/>
      <w:marTop w:val="0"/>
      <w:marBottom w:val="0"/>
      <w:divBdr>
        <w:top w:val="none" w:sz="0" w:space="0" w:color="auto"/>
        <w:left w:val="none" w:sz="0" w:space="0" w:color="auto"/>
        <w:bottom w:val="none" w:sz="0" w:space="0" w:color="auto"/>
        <w:right w:val="none" w:sz="0" w:space="0" w:color="auto"/>
      </w:divBdr>
    </w:div>
    <w:div w:id="1584342140">
      <w:bodyDiv w:val="1"/>
      <w:marLeft w:val="0"/>
      <w:marRight w:val="0"/>
      <w:marTop w:val="0"/>
      <w:marBottom w:val="0"/>
      <w:divBdr>
        <w:top w:val="none" w:sz="0" w:space="0" w:color="auto"/>
        <w:left w:val="none" w:sz="0" w:space="0" w:color="auto"/>
        <w:bottom w:val="none" w:sz="0" w:space="0" w:color="auto"/>
        <w:right w:val="none" w:sz="0" w:space="0" w:color="auto"/>
      </w:divBdr>
    </w:div>
    <w:div w:id="1690370274">
      <w:bodyDiv w:val="1"/>
      <w:marLeft w:val="0"/>
      <w:marRight w:val="0"/>
      <w:marTop w:val="0"/>
      <w:marBottom w:val="0"/>
      <w:divBdr>
        <w:top w:val="none" w:sz="0" w:space="0" w:color="auto"/>
        <w:left w:val="none" w:sz="0" w:space="0" w:color="auto"/>
        <w:bottom w:val="none" w:sz="0" w:space="0" w:color="auto"/>
        <w:right w:val="none" w:sz="0" w:space="0" w:color="auto"/>
      </w:divBdr>
    </w:div>
    <w:div w:id="1768455775">
      <w:bodyDiv w:val="1"/>
      <w:marLeft w:val="0"/>
      <w:marRight w:val="0"/>
      <w:marTop w:val="0"/>
      <w:marBottom w:val="0"/>
      <w:divBdr>
        <w:top w:val="none" w:sz="0" w:space="0" w:color="auto"/>
        <w:left w:val="none" w:sz="0" w:space="0" w:color="auto"/>
        <w:bottom w:val="none" w:sz="0" w:space="0" w:color="auto"/>
        <w:right w:val="none" w:sz="0" w:space="0" w:color="auto"/>
      </w:divBdr>
    </w:div>
    <w:div w:id="1782912306">
      <w:bodyDiv w:val="1"/>
      <w:marLeft w:val="0"/>
      <w:marRight w:val="0"/>
      <w:marTop w:val="0"/>
      <w:marBottom w:val="0"/>
      <w:divBdr>
        <w:top w:val="none" w:sz="0" w:space="0" w:color="auto"/>
        <w:left w:val="none" w:sz="0" w:space="0" w:color="auto"/>
        <w:bottom w:val="none" w:sz="0" w:space="0" w:color="auto"/>
        <w:right w:val="none" w:sz="0" w:space="0" w:color="auto"/>
      </w:divBdr>
    </w:div>
    <w:div w:id="1843887176">
      <w:bodyDiv w:val="1"/>
      <w:marLeft w:val="0"/>
      <w:marRight w:val="0"/>
      <w:marTop w:val="0"/>
      <w:marBottom w:val="0"/>
      <w:divBdr>
        <w:top w:val="none" w:sz="0" w:space="0" w:color="auto"/>
        <w:left w:val="none" w:sz="0" w:space="0" w:color="auto"/>
        <w:bottom w:val="none" w:sz="0" w:space="0" w:color="auto"/>
        <w:right w:val="none" w:sz="0" w:space="0" w:color="auto"/>
      </w:divBdr>
    </w:div>
    <w:div w:id="1868521476">
      <w:bodyDiv w:val="1"/>
      <w:marLeft w:val="0"/>
      <w:marRight w:val="0"/>
      <w:marTop w:val="0"/>
      <w:marBottom w:val="0"/>
      <w:divBdr>
        <w:top w:val="none" w:sz="0" w:space="0" w:color="auto"/>
        <w:left w:val="none" w:sz="0" w:space="0" w:color="auto"/>
        <w:bottom w:val="none" w:sz="0" w:space="0" w:color="auto"/>
        <w:right w:val="none" w:sz="0" w:space="0" w:color="auto"/>
      </w:divBdr>
    </w:div>
    <w:div w:id="20335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3545</Words>
  <Characters>19500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Escalante Castro</dc:creator>
  <cp:keywords/>
  <dc:description/>
  <cp:lastModifiedBy>Jennifer Estefany Millan Flores</cp:lastModifiedBy>
  <cp:revision>3</cp:revision>
  <dcterms:created xsi:type="dcterms:W3CDTF">2025-04-25T17:39:00Z</dcterms:created>
  <dcterms:modified xsi:type="dcterms:W3CDTF">2025-04-25T17:40:00Z</dcterms:modified>
</cp:coreProperties>
</file>