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23EBF" w14:textId="77777777" w:rsidR="003E52D9" w:rsidRDefault="003E52D9"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Notas a los Estados Financieros</w:t>
      </w:r>
    </w:p>
    <w:p w14:paraId="38550DC7" w14:textId="2793919F" w:rsidR="003102BA" w:rsidRDefault="00D2266F" w:rsidP="003102BA">
      <w:pPr>
        <w:autoSpaceDE w:val="0"/>
        <w:autoSpaceDN w:val="0"/>
        <w:adjustRightInd w:val="0"/>
        <w:spacing w:line="360" w:lineRule="auto"/>
        <w:jc w:val="center"/>
        <w:rPr>
          <w:rFonts w:ascii="Barlow" w:hAnsi="Barlow"/>
          <w:b/>
          <w:sz w:val="20"/>
          <w:szCs w:val="20"/>
        </w:rPr>
      </w:pPr>
      <w:r>
        <w:rPr>
          <w:rFonts w:ascii="Barlow" w:hAnsi="Barlow"/>
          <w:b/>
          <w:sz w:val="20"/>
          <w:szCs w:val="20"/>
        </w:rPr>
        <w:t xml:space="preserve">Al </w:t>
      </w:r>
      <w:r w:rsidR="00EE1B6C">
        <w:rPr>
          <w:rFonts w:ascii="Barlow" w:hAnsi="Barlow"/>
          <w:b/>
          <w:sz w:val="20"/>
          <w:szCs w:val="20"/>
        </w:rPr>
        <w:t>31 de marzo de 2025</w:t>
      </w:r>
    </w:p>
    <w:p w14:paraId="4B6260D4" w14:textId="77777777" w:rsidR="003E52D9" w:rsidRDefault="003E52D9" w:rsidP="003E52D9">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14:paraId="3CE4B10F" w14:textId="0513EE5C" w:rsidR="00C4137E" w:rsidRPr="003E52D9" w:rsidRDefault="00C912E5" w:rsidP="003E52D9">
      <w:pPr>
        <w:autoSpaceDE w:val="0"/>
        <w:autoSpaceDN w:val="0"/>
        <w:adjustRightInd w:val="0"/>
        <w:spacing w:line="360" w:lineRule="auto"/>
        <w:rPr>
          <w:rFonts w:ascii="Barlow" w:hAnsi="Barlow" w:cstheme="minorHAnsi"/>
          <w:sz w:val="20"/>
          <w:szCs w:val="20"/>
        </w:rPr>
      </w:pPr>
      <w:r>
        <w:rPr>
          <w:rFonts w:ascii="Barlow" w:hAnsi="Barlow"/>
          <w:b/>
          <w:sz w:val="20"/>
          <w:szCs w:val="20"/>
        </w:rPr>
        <w:t xml:space="preserve">Ente Público: FIDEICOMISO </w:t>
      </w:r>
      <w:r w:rsidRPr="00C912E5">
        <w:rPr>
          <w:rFonts w:ascii="Barlow" w:hAnsi="Barlow"/>
          <w:b/>
          <w:sz w:val="20"/>
          <w:szCs w:val="20"/>
        </w:rPr>
        <w:t>FONDO DE SEGURI</w:t>
      </w:r>
      <w:r w:rsidR="00A302A5">
        <w:rPr>
          <w:rFonts w:ascii="Barlow" w:hAnsi="Barlow"/>
          <w:b/>
          <w:sz w:val="20"/>
          <w:szCs w:val="20"/>
        </w:rPr>
        <w:t>DAD PÚBLICA DEL ESTADO DE YUCATÁ</w:t>
      </w:r>
      <w:r w:rsidRPr="00C912E5">
        <w:rPr>
          <w:rFonts w:ascii="Barlow" w:hAnsi="Barlow"/>
          <w:b/>
          <w:sz w:val="20"/>
          <w:szCs w:val="20"/>
        </w:rPr>
        <w:t>N</w:t>
      </w:r>
    </w:p>
    <w:p w14:paraId="2C696431" w14:textId="1C314194" w:rsidR="008273DF" w:rsidRPr="003E52D9" w:rsidRDefault="00C4137E"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Con el </w:t>
      </w:r>
      <w:r w:rsidR="00291770" w:rsidRPr="003E52D9">
        <w:rPr>
          <w:rFonts w:ascii="Barlow" w:hAnsi="Barlow" w:cstheme="minorHAnsi"/>
          <w:sz w:val="20"/>
          <w:szCs w:val="20"/>
        </w:rPr>
        <w:t>propósito</w:t>
      </w:r>
      <w:r w:rsidRPr="003E52D9">
        <w:rPr>
          <w:rFonts w:ascii="Barlow" w:hAnsi="Barlow" w:cstheme="minorHAnsi"/>
          <w:sz w:val="20"/>
          <w:szCs w:val="20"/>
        </w:rPr>
        <w:t xml:space="preserve"> de dar cumplimiento a los </w:t>
      </w:r>
      <w:r w:rsidR="00291770" w:rsidRPr="003E52D9">
        <w:rPr>
          <w:rFonts w:ascii="Barlow" w:hAnsi="Barlow" w:cstheme="minorHAnsi"/>
          <w:sz w:val="20"/>
          <w:szCs w:val="20"/>
        </w:rPr>
        <w:t>artículos</w:t>
      </w:r>
      <w:r w:rsidR="005A2D1D" w:rsidRPr="003E52D9">
        <w:rPr>
          <w:rFonts w:ascii="Barlow" w:hAnsi="Barlow" w:cstheme="minorHAnsi"/>
          <w:sz w:val="20"/>
          <w:szCs w:val="20"/>
        </w:rPr>
        <w:t xml:space="preserve"> 4</w:t>
      </w:r>
      <w:r w:rsidR="00361866" w:rsidRPr="003E52D9">
        <w:rPr>
          <w:rFonts w:ascii="Barlow" w:hAnsi="Barlow" w:cstheme="minorHAnsi"/>
          <w:sz w:val="20"/>
          <w:szCs w:val="20"/>
        </w:rPr>
        <w:t>6 y</w:t>
      </w:r>
      <w:r w:rsidR="005A2D1D" w:rsidRPr="003E52D9">
        <w:rPr>
          <w:rFonts w:ascii="Barlow" w:hAnsi="Barlow" w:cstheme="minorHAnsi"/>
          <w:sz w:val="20"/>
          <w:szCs w:val="20"/>
        </w:rPr>
        <w:t xml:space="preserve"> 49</w:t>
      </w:r>
      <w:r w:rsidR="00F91142" w:rsidRPr="003E52D9">
        <w:rPr>
          <w:rFonts w:ascii="Barlow" w:hAnsi="Barlow" w:cstheme="minorHAnsi"/>
          <w:sz w:val="20"/>
          <w:szCs w:val="20"/>
        </w:rPr>
        <w:t xml:space="preserve"> </w:t>
      </w:r>
      <w:r w:rsidR="005A2D1D" w:rsidRPr="003E52D9">
        <w:rPr>
          <w:rFonts w:ascii="Barlow" w:hAnsi="Barlow" w:cstheme="minorHAnsi"/>
          <w:sz w:val="20"/>
          <w:szCs w:val="20"/>
        </w:rPr>
        <w:t>de la Ley General de Contabilidad Gubernamental, artículo 31 fracciones XXVI y XXXII del Código de Administración Pública de Yucatán y al artículo 59 fracciones XXV y XXVII del Reglamento del Código de la Administración Pública de Yucatán</w:t>
      </w:r>
      <w:r w:rsidRPr="003E52D9">
        <w:rPr>
          <w:rFonts w:ascii="Barlow" w:hAnsi="Barlow" w:cstheme="minorHAnsi"/>
          <w:sz w:val="20"/>
          <w:szCs w:val="20"/>
        </w:rPr>
        <w:t xml:space="preserve">, el </w:t>
      </w:r>
      <w:r w:rsidR="000320C2" w:rsidRPr="003E52D9">
        <w:rPr>
          <w:rFonts w:ascii="Barlow" w:hAnsi="Barlow" w:cstheme="minorHAnsi"/>
          <w:sz w:val="20"/>
          <w:szCs w:val="20"/>
        </w:rPr>
        <w:t xml:space="preserve">Fondo de Seguridad Pública </w:t>
      </w:r>
      <w:r w:rsidRPr="003E52D9">
        <w:rPr>
          <w:rFonts w:ascii="Barlow" w:hAnsi="Barlow" w:cstheme="minorHAnsi"/>
          <w:sz w:val="20"/>
          <w:szCs w:val="20"/>
        </w:rPr>
        <w:t>del Estado de Yucatán, ha preparado los Estados Financieros incluyendo</w:t>
      </w:r>
      <w:r w:rsidR="00672BB0" w:rsidRPr="003E52D9">
        <w:rPr>
          <w:rFonts w:ascii="Barlow" w:hAnsi="Barlow" w:cstheme="minorHAnsi"/>
          <w:sz w:val="20"/>
          <w:szCs w:val="20"/>
        </w:rPr>
        <w:t xml:space="preserve"> </w:t>
      </w:r>
      <w:r w:rsidR="00CE3092" w:rsidRPr="003E52D9">
        <w:rPr>
          <w:rFonts w:ascii="Barlow" w:hAnsi="Barlow" w:cstheme="minorHAnsi"/>
          <w:sz w:val="20"/>
          <w:szCs w:val="20"/>
        </w:rPr>
        <w:t xml:space="preserve">las operaciones efectuadas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Pr="003E52D9">
        <w:rPr>
          <w:rFonts w:ascii="Barlow" w:hAnsi="Barlow" w:cstheme="minorHAnsi"/>
          <w:sz w:val="20"/>
          <w:szCs w:val="20"/>
        </w:rPr>
        <w:t>.</w:t>
      </w:r>
    </w:p>
    <w:p w14:paraId="4E8A5B7F" w14:textId="77777777" w:rsidR="009D77C0" w:rsidRDefault="009D77C0" w:rsidP="009D77C0">
      <w:pPr>
        <w:autoSpaceDE w:val="0"/>
        <w:autoSpaceDN w:val="0"/>
        <w:adjustRightInd w:val="0"/>
        <w:jc w:val="both"/>
        <w:rPr>
          <w:rFonts w:ascii="Barlow" w:hAnsi="Barlow" w:cstheme="minorHAnsi"/>
          <w:b/>
          <w:sz w:val="20"/>
          <w:szCs w:val="20"/>
        </w:rPr>
      </w:pPr>
      <w:bookmarkStart w:id="0" w:name="_GoBack"/>
      <w:bookmarkEnd w:id="0"/>
    </w:p>
    <w:p w14:paraId="6D54EE22" w14:textId="6CABBCE7" w:rsidR="00F13E54" w:rsidRPr="00EF4F94" w:rsidRDefault="00F13E54" w:rsidP="00F13E54">
      <w:pPr>
        <w:autoSpaceDE w:val="0"/>
        <w:autoSpaceDN w:val="0"/>
        <w:adjustRightInd w:val="0"/>
        <w:jc w:val="both"/>
        <w:rPr>
          <w:rFonts w:ascii="Barlow" w:hAnsi="Barlow" w:cstheme="minorHAnsi"/>
          <w:sz w:val="20"/>
          <w:szCs w:val="20"/>
        </w:rPr>
      </w:pPr>
      <w:r w:rsidRPr="00EF4F94">
        <w:rPr>
          <w:rFonts w:ascii="Barlow" w:hAnsi="Barlow" w:cstheme="minorHAnsi"/>
          <w:sz w:val="20"/>
          <w:szCs w:val="20"/>
        </w:rPr>
        <w:t xml:space="preserve">Los Estados Financieros del Fondo de </w:t>
      </w:r>
      <w:r w:rsidR="003814C1">
        <w:rPr>
          <w:rFonts w:ascii="Barlow" w:hAnsi="Barlow" w:cstheme="minorHAnsi"/>
          <w:sz w:val="20"/>
          <w:szCs w:val="20"/>
        </w:rPr>
        <w:t>S</w:t>
      </w:r>
      <w:r w:rsidRPr="00EF4F94">
        <w:rPr>
          <w:rFonts w:ascii="Barlow" w:hAnsi="Barlow" w:cstheme="minorHAnsi"/>
          <w:sz w:val="20"/>
          <w:szCs w:val="20"/>
        </w:rPr>
        <w:t>eguridad Pública</w:t>
      </w:r>
      <w:r w:rsidR="003814C1">
        <w:rPr>
          <w:rFonts w:ascii="Barlow" w:hAnsi="Barlow" w:cstheme="minorHAnsi"/>
          <w:sz w:val="20"/>
          <w:szCs w:val="20"/>
        </w:rPr>
        <w:t xml:space="preserve"> del Estado de Yucatán</w:t>
      </w:r>
      <w:r w:rsidRPr="00EF4F94">
        <w:rPr>
          <w:rFonts w:ascii="Barlow" w:hAnsi="Barlow" w:cstheme="minorHAnsi"/>
          <w:sz w:val="20"/>
          <w:szCs w:val="20"/>
        </w:rPr>
        <w:t>, proveen de información financiera a los principales usuarios de la misma, la ciudadanía, a los administradores de la</w:t>
      </w:r>
      <w:r w:rsidR="00723BCC">
        <w:rPr>
          <w:rFonts w:ascii="Barlow" w:hAnsi="Barlow" w:cstheme="minorHAnsi"/>
          <w:sz w:val="20"/>
          <w:szCs w:val="20"/>
        </w:rPr>
        <w:t>s</w:t>
      </w:r>
      <w:r w:rsidRPr="00EF4F94">
        <w:rPr>
          <w:rFonts w:ascii="Barlow" w:hAnsi="Barlow" w:cstheme="minorHAnsi"/>
          <w:sz w:val="20"/>
          <w:szCs w:val="20"/>
        </w:rPr>
        <w:t xml:space="preserve"> Secretarías que integran el Poder Ejecutivo del Gobierno del Estado, al H. Congreso del Estado de Yucatán, a las Entidades Fiscalizadoras, a las Instituciones Bancarias y a las Calificadoras, entre otros.</w:t>
      </w:r>
    </w:p>
    <w:p w14:paraId="6E408449" w14:textId="77777777" w:rsidR="00F13E54" w:rsidRPr="00EF4F94" w:rsidRDefault="00F13E54" w:rsidP="00F13E54">
      <w:pPr>
        <w:autoSpaceDE w:val="0"/>
        <w:autoSpaceDN w:val="0"/>
        <w:adjustRightInd w:val="0"/>
        <w:ind w:firstLine="360"/>
        <w:jc w:val="both"/>
        <w:rPr>
          <w:rFonts w:ascii="Barlow" w:hAnsi="Barlow" w:cstheme="minorHAnsi"/>
          <w:sz w:val="20"/>
          <w:szCs w:val="20"/>
        </w:rPr>
      </w:pPr>
    </w:p>
    <w:p w14:paraId="3C1FE120" w14:textId="77777777" w:rsidR="00F13E54" w:rsidRPr="00EF4F94" w:rsidRDefault="00F13E54" w:rsidP="00F13E54">
      <w:pPr>
        <w:autoSpaceDE w:val="0"/>
        <w:autoSpaceDN w:val="0"/>
        <w:adjustRightInd w:val="0"/>
        <w:jc w:val="both"/>
        <w:rPr>
          <w:rFonts w:ascii="Barlow" w:hAnsi="Barlow" w:cstheme="minorHAnsi"/>
          <w:sz w:val="20"/>
          <w:szCs w:val="20"/>
        </w:rPr>
      </w:pPr>
      <w:r w:rsidRPr="00EF4F94">
        <w:rPr>
          <w:rFonts w:ascii="Barlow" w:hAnsi="Barlow" w:cstheme="minorHAnsi"/>
          <w:sz w:val="20"/>
          <w:szCs w:val="20"/>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 particularidades.</w:t>
      </w:r>
    </w:p>
    <w:p w14:paraId="2E0C652A" w14:textId="77777777" w:rsidR="00F13E54" w:rsidRDefault="00F13E54" w:rsidP="00F13E54">
      <w:pPr>
        <w:autoSpaceDE w:val="0"/>
        <w:autoSpaceDN w:val="0"/>
        <w:adjustRightInd w:val="0"/>
        <w:jc w:val="both"/>
        <w:rPr>
          <w:rFonts w:ascii="Barlow" w:hAnsi="Barlow" w:cstheme="minorHAnsi"/>
          <w:sz w:val="20"/>
          <w:szCs w:val="20"/>
        </w:rPr>
      </w:pPr>
      <w:r w:rsidRPr="00EF4F94">
        <w:rPr>
          <w:rFonts w:ascii="Barlow" w:hAnsi="Barlow" w:cstheme="minorHAnsi"/>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2CE504E8" w14:textId="7EFBBE0B" w:rsidR="009D77C0" w:rsidRDefault="009D77C0" w:rsidP="009D77C0">
      <w:pPr>
        <w:autoSpaceDE w:val="0"/>
        <w:autoSpaceDN w:val="0"/>
        <w:adjustRightInd w:val="0"/>
        <w:jc w:val="both"/>
        <w:rPr>
          <w:rFonts w:ascii="Barlow" w:hAnsi="Barlow" w:cstheme="minorHAnsi"/>
          <w:b/>
          <w:sz w:val="20"/>
          <w:szCs w:val="20"/>
        </w:rPr>
      </w:pPr>
    </w:p>
    <w:p w14:paraId="396191D4" w14:textId="77777777" w:rsidR="00397FC3" w:rsidRDefault="00397FC3" w:rsidP="009D77C0">
      <w:pPr>
        <w:autoSpaceDE w:val="0"/>
        <w:autoSpaceDN w:val="0"/>
        <w:adjustRightInd w:val="0"/>
        <w:jc w:val="both"/>
        <w:rPr>
          <w:rFonts w:ascii="Barlow" w:hAnsi="Barlow" w:cstheme="minorHAnsi"/>
          <w:b/>
          <w:sz w:val="20"/>
          <w:szCs w:val="20"/>
        </w:rPr>
      </w:pPr>
    </w:p>
    <w:p w14:paraId="5BEBB513" w14:textId="77777777" w:rsidR="00397FC3" w:rsidRDefault="00397FC3" w:rsidP="009D77C0">
      <w:pPr>
        <w:autoSpaceDE w:val="0"/>
        <w:autoSpaceDN w:val="0"/>
        <w:adjustRightInd w:val="0"/>
        <w:jc w:val="both"/>
        <w:rPr>
          <w:rFonts w:ascii="Barlow" w:hAnsi="Barlow" w:cstheme="minorHAnsi"/>
          <w:b/>
          <w:sz w:val="20"/>
          <w:szCs w:val="20"/>
        </w:rPr>
      </w:pPr>
    </w:p>
    <w:p w14:paraId="696B289E" w14:textId="77777777" w:rsidR="00397FC3" w:rsidRDefault="00397FC3" w:rsidP="009D77C0">
      <w:pPr>
        <w:autoSpaceDE w:val="0"/>
        <w:autoSpaceDN w:val="0"/>
        <w:adjustRightInd w:val="0"/>
        <w:jc w:val="both"/>
        <w:rPr>
          <w:rFonts w:ascii="Barlow" w:hAnsi="Barlow" w:cstheme="minorHAnsi"/>
          <w:b/>
          <w:sz w:val="20"/>
          <w:szCs w:val="20"/>
        </w:rPr>
      </w:pPr>
    </w:p>
    <w:p w14:paraId="4F021CCD" w14:textId="77777777" w:rsidR="00397FC3" w:rsidRDefault="00397FC3" w:rsidP="009D77C0">
      <w:pPr>
        <w:autoSpaceDE w:val="0"/>
        <w:autoSpaceDN w:val="0"/>
        <w:adjustRightInd w:val="0"/>
        <w:jc w:val="both"/>
        <w:rPr>
          <w:rFonts w:ascii="Barlow" w:hAnsi="Barlow" w:cstheme="minorHAnsi"/>
          <w:b/>
          <w:sz w:val="20"/>
          <w:szCs w:val="20"/>
        </w:rPr>
      </w:pPr>
    </w:p>
    <w:p w14:paraId="1F17C86E" w14:textId="77777777" w:rsidR="00397FC3" w:rsidRDefault="00397FC3" w:rsidP="009D77C0">
      <w:pPr>
        <w:autoSpaceDE w:val="0"/>
        <w:autoSpaceDN w:val="0"/>
        <w:adjustRightInd w:val="0"/>
        <w:jc w:val="both"/>
        <w:rPr>
          <w:rFonts w:ascii="Barlow" w:hAnsi="Barlow" w:cstheme="minorHAnsi"/>
          <w:b/>
          <w:sz w:val="20"/>
          <w:szCs w:val="20"/>
        </w:rPr>
      </w:pPr>
    </w:p>
    <w:p w14:paraId="6E70E346" w14:textId="3F488F72" w:rsidR="00397FC3" w:rsidRDefault="00397FC3" w:rsidP="009D77C0">
      <w:pPr>
        <w:autoSpaceDE w:val="0"/>
        <w:autoSpaceDN w:val="0"/>
        <w:adjustRightInd w:val="0"/>
        <w:jc w:val="both"/>
        <w:rPr>
          <w:rFonts w:ascii="Barlow" w:hAnsi="Barlow" w:cstheme="minorHAnsi"/>
          <w:b/>
          <w:sz w:val="20"/>
          <w:szCs w:val="20"/>
        </w:rPr>
      </w:pPr>
    </w:p>
    <w:p w14:paraId="5DB3E240" w14:textId="77777777" w:rsidR="00FD08F0" w:rsidRDefault="00FD08F0" w:rsidP="009D77C0">
      <w:pPr>
        <w:autoSpaceDE w:val="0"/>
        <w:autoSpaceDN w:val="0"/>
        <w:adjustRightInd w:val="0"/>
        <w:jc w:val="both"/>
        <w:rPr>
          <w:rFonts w:ascii="Barlow" w:hAnsi="Barlow" w:cstheme="minorHAnsi"/>
          <w:b/>
          <w:sz w:val="20"/>
          <w:szCs w:val="20"/>
        </w:rPr>
      </w:pPr>
    </w:p>
    <w:p w14:paraId="7BCBE0EC" w14:textId="77777777" w:rsidR="00397FC3" w:rsidRDefault="00397FC3" w:rsidP="009D77C0">
      <w:pPr>
        <w:autoSpaceDE w:val="0"/>
        <w:autoSpaceDN w:val="0"/>
        <w:adjustRightInd w:val="0"/>
        <w:jc w:val="both"/>
        <w:rPr>
          <w:rFonts w:ascii="Barlow" w:hAnsi="Barlow" w:cstheme="minorHAnsi"/>
          <w:b/>
          <w:sz w:val="20"/>
          <w:szCs w:val="20"/>
        </w:rPr>
      </w:pPr>
    </w:p>
    <w:p w14:paraId="5780BE89" w14:textId="003A272F" w:rsidR="00397FC3" w:rsidRDefault="00397FC3" w:rsidP="009D77C0">
      <w:pPr>
        <w:autoSpaceDE w:val="0"/>
        <w:autoSpaceDN w:val="0"/>
        <w:adjustRightInd w:val="0"/>
        <w:jc w:val="both"/>
        <w:rPr>
          <w:rFonts w:ascii="Barlow" w:hAnsi="Barlow" w:cstheme="minorHAnsi"/>
          <w:b/>
          <w:sz w:val="20"/>
          <w:szCs w:val="20"/>
        </w:rPr>
      </w:pPr>
    </w:p>
    <w:p w14:paraId="51FDF098" w14:textId="77777777" w:rsidR="00FD08F0" w:rsidRDefault="00FD08F0" w:rsidP="009D77C0">
      <w:pPr>
        <w:autoSpaceDE w:val="0"/>
        <w:autoSpaceDN w:val="0"/>
        <w:adjustRightInd w:val="0"/>
        <w:jc w:val="both"/>
        <w:rPr>
          <w:rFonts w:ascii="Barlow" w:hAnsi="Barlow" w:cstheme="minorHAnsi"/>
          <w:b/>
          <w:sz w:val="20"/>
          <w:szCs w:val="20"/>
        </w:rPr>
      </w:pPr>
    </w:p>
    <w:p w14:paraId="011A70E7" w14:textId="77777777" w:rsidR="00397FC3" w:rsidRDefault="00397FC3" w:rsidP="009D77C0">
      <w:pPr>
        <w:autoSpaceDE w:val="0"/>
        <w:autoSpaceDN w:val="0"/>
        <w:adjustRightInd w:val="0"/>
        <w:jc w:val="both"/>
        <w:rPr>
          <w:rFonts w:ascii="Barlow" w:hAnsi="Barlow" w:cstheme="minorHAnsi"/>
          <w:b/>
          <w:sz w:val="20"/>
          <w:szCs w:val="20"/>
        </w:rPr>
      </w:pPr>
    </w:p>
    <w:p w14:paraId="6E6A0D4E" w14:textId="77777777" w:rsidR="00397FC3" w:rsidRDefault="00397FC3" w:rsidP="009D77C0">
      <w:pPr>
        <w:autoSpaceDE w:val="0"/>
        <w:autoSpaceDN w:val="0"/>
        <w:adjustRightInd w:val="0"/>
        <w:jc w:val="both"/>
        <w:rPr>
          <w:rFonts w:ascii="Barlow" w:hAnsi="Barlow" w:cstheme="minorHAnsi"/>
          <w:b/>
          <w:sz w:val="20"/>
          <w:szCs w:val="20"/>
        </w:rPr>
      </w:pPr>
    </w:p>
    <w:p w14:paraId="758D5CCC" w14:textId="77777777" w:rsidR="00397FC3" w:rsidRDefault="00397FC3" w:rsidP="009D77C0">
      <w:pPr>
        <w:autoSpaceDE w:val="0"/>
        <w:autoSpaceDN w:val="0"/>
        <w:adjustRightInd w:val="0"/>
        <w:jc w:val="both"/>
        <w:rPr>
          <w:rFonts w:ascii="Barlow" w:hAnsi="Barlow" w:cstheme="minorHAnsi"/>
          <w:b/>
          <w:sz w:val="20"/>
          <w:szCs w:val="20"/>
        </w:rPr>
      </w:pPr>
    </w:p>
    <w:p w14:paraId="68FA1617" w14:textId="77777777" w:rsidR="009D77C0" w:rsidRPr="005652E6" w:rsidRDefault="009D77C0" w:rsidP="009D77C0">
      <w:pPr>
        <w:pStyle w:val="Prrafodelista"/>
        <w:numPr>
          <w:ilvl w:val="0"/>
          <w:numId w:val="7"/>
        </w:numPr>
        <w:spacing w:after="200"/>
        <w:jc w:val="center"/>
        <w:rPr>
          <w:rFonts w:ascii="Barlow" w:hAnsi="Barlow" w:cstheme="minorHAnsi"/>
          <w:b/>
          <w:sz w:val="20"/>
          <w:szCs w:val="20"/>
        </w:rPr>
      </w:pPr>
      <w:r>
        <w:rPr>
          <w:rFonts w:ascii="Barlow" w:hAnsi="Barlow" w:cstheme="minorHAnsi"/>
          <w:b/>
          <w:sz w:val="20"/>
          <w:szCs w:val="20"/>
        </w:rPr>
        <w:lastRenderedPageBreak/>
        <w:t>NOTAS DE GESTIÓN ADMINISTRATIVA</w:t>
      </w:r>
    </w:p>
    <w:p w14:paraId="565E4338" w14:textId="21E6ED4D" w:rsidR="00687BDF" w:rsidRPr="003E52D9" w:rsidRDefault="00687BDF" w:rsidP="00687BDF">
      <w:pPr>
        <w:autoSpaceDE w:val="0"/>
        <w:autoSpaceDN w:val="0"/>
        <w:adjustRightInd w:val="0"/>
        <w:jc w:val="both"/>
        <w:rPr>
          <w:rFonts w:ascii="Barlow" w:hAnsi="Barlow" w:cstheme="minorHAnsi"/>
          <w:b/>
          <w:sz w:val="20"/>
          <w:szCs w:val="20"/>
        </w:rPr>
      </w:pPr>
      <w:r>
        <w:rPr>
          <w:rFonts w:ascii="Barlow" w:hAnsi="Barlow" w:cstheme="minorHAnsi"/>
          <w:b/>
          <w:sz w:val="20"/>
          <w:szCs w:val="20"/>
        </w:rPr>
        <w:t>1</w:t>
      </w:r>
      <w:r w:rsidRPr="003E52D9">
        <w:rPr>
          <w:rFonts w:ascii="Barlow" w:hAnsi="Barlow" w:cstheme="minorHAnsi"/>
          <w:b/>
          <w:sz w:val="20"/>
          <w:szCs w:val="20"/>
        </w:rPr>
        <w:t>.- Autorización e Historia</w:t>
      </w:r>
    </w:p>
    <w:p w14:paraId="79459FE5" w14:textId="77777777" w:rsidR="00687BDF" w:rsidRPr="003E52D9" w:rsidRDefault="00687BDF" w:rsidP="00687BDF">
      <w:pPr>
        <w:autoSpaceDE w:val="0"/>
        <w:autoSpaceDN w:val="0"/>
        <w:adjustRightInd w:val="0"/>
        <w:jc w:val="both"/>
        <w:rPr>
          <w:rFonts w:ascii="Barlow" w:hAnsi="Barlow" w:cstheme="minorHAnsi"/>
          <w:b/>
          <w:sz w:val="20"/>
          <w:szCs w:val="20"/>
        </w:rPr>
      </w:pPr>
    </w:p>
    <w:p w14:paraId="7F140B40" w14:textId="0336EFA4" w:rsidR="00687BDF" w:rsidRDefault="00687BDF" w:rsidP="00687BDF">
      <w:pPr>
        <w:numPr>
          <w:ilvl w:val="0"/>
          <w:numId w:val="2"/>
        </w:numPr>
        <w:autoSpaceDE w:val="0"/>
        <w:autoSpaceDN w:val="0"/>
        <w:adjustRightInd w:val="0"/>
        <w:jc w:val="both"/>
        <w:rPr>
          <w:rFonts w:ascii="Barlow" w:hAnsi="Barlow" w:cstheme="minorHAnsi"/>
          <w:b/>
          <w:sz w:val="20"/>
          <w:szCs w:val="20"/>
        </w:rPr>
      </w:pPr>
      <w:r w:rsidRPr="00424140">
        <w:rPr>
          <w:rFonts w:ascii="Barlow" w:hAnsi="Barlow" w:cstheme="minorHAnsi"/>
          <w:b/>
          <w:sz w:val="20"/>
          <w:szCs w:val="20"/>
        </w:rPr>
        <w:t xml:space="preserve">Fecha de creación del ente. </w:t>
      </w:r>
    </w:p>
    <w:p w14:paraId="6D94085E" w14:textId="77777777" w:rsidR="00D52C18" w:rsidRPr="00424140" w:rsidRDefault="00D52C18" w:rsidP="00D52C18">
      <w:pPr>
        <w:autoSpaceDE w:val="0"/>
        <w:autoSpaceDN w:val="0"/>
        <w:adjustRightInd w:val="0"/>
        <w:ind w:left="720"/>
        <w:jc w:val="both"/>
        <w:rPr>
          <w:rFonts w:ascii="Barlow" w:hAnsi="Barlow" w:cstheme="minorHAnsi"/>
          <w:b/>
          <w:sz w:val="20"/>
          <w:szCs w:val="20"/>
        </w:rPr>
      </w:pPr>
    </w:p>
    <w:p w14:paraId="52473BC0" w14:textId="13934351" w:rsidR="005211AD" w:rsidRDefault="005211AD" w:rsidP="00687BDF">
      <w:pPr>
        <w:autoSpaceDE w:val="0"/>
        <w:autoSpaceDN w:val="0"/>
        <w:adjustRightInd w:val="0"/>
        <w:jc w:val="both"/>
        <w:rPr>
          <w:rFonts w:ascii="Barlow" w:hAnsi="Barlow" w:cstheme="minorHAnsi"/>
          <w:sz w:val="20"/>
          <w:szCs w:val="20"/>
        </w:rPr>
      </w:pPr>
      <w:r w:rsidRPr="005211AD">
        <w:rPr>
          <w:rFonts w:ascii="Barlow" w:hAnsi="Barlow" w:cstheme="minorHAnsi"/>
          <w:sz w:val="20"/>
          <w:szCs w:val="20"/>
        </w:rPr>
        <w:t>En el Marco del Sistema Nacional de Seguridad Pública, el Gobierno Federal por conducto de la Secretaría de Gobernación, las entidades federativas y el Distrito Federal suscribieron con fecha 4 de noviembre de 1996, el Convenio General de Colaboración en materia de seguridad pública, para coordinar políticas, estrategias y acciones legales y administrativas necesarias para el eficaz funcionamiento del Sistema Nacional de Seguridad Pública.</w:t>
      </w:r>
    </w:p>
    <w:p w14:paraId="44362937" w14:textId="47FEC861" w:rsidR="005211AD" w:rsidRDefault="005211AD" w:rsidP="00687BDF">
      <w:pPr>
        <w:autoSpaceDE w:val="0"/>
        <w:autoSpaceDN w:val="0"/>
        <w:adjustRightInd w:val="0"/>
        <w:jc w:val="both"/>
        <w:rPr>
          <w:rFonts w:ascii="Barlow" w:hAnsi="Barlow" w:cstheme="minorHAnsi"/>
          <w:sz w:val="20"/>
          <w:szCs w:val="20"/>
        </w:rPr>
      </w:pPr>
      <w:r w:rsidRPr="005211AD">
        <w:rPr>
          <w:rFonts w:ascii="Barlow" w:hAnsi="Barlow" w:cstheme="minorHAnsi"/>
          <w:sz w:val="20"/>
          <w:szCs w:val="20"/>
        </w:rPr>
        <w:t>Con fecha 8 de agosto de 1998,</w:t>
      </w:r>
      <w:r>
        <w:rPr>
          <w:rFonts w:ascii="Barlow" w:hAnsi="Barlow" w:cstheme="minorHAnsi"/>
          <w:sz w:val="20"/>
          <w:szCs w:val="20"/>
        </w:rPr>
        <w:t xml:space="preserve"> el Gobierno Federal y El Estado de Yucatán</w:t>
      </w:r>
      <w:r w:rsidRPr="005211AD">
        <w:rPr>
          <w:rFonts w:ascii="Barlow" w:hAnsi="Barlow" w:cstheme="minorHAnsi"/>
          <w:sz w:val="20"/>
          <w:szCs w:val="20"/>
        </w:rPr>
        <w:t>, suscribieron el Convenio de Coordinación para la realización de acciones en Materia de Seguridad Pública de ese año, en el cual se acordó la constitución del Fideicomiso denominado Fondo de Seguridad Pública del Estado de Yucatán (FOSEG), el cual quedó formalizado el 4 de septiembre de 1998 con el Banco de Crédito Rural Peninsular S.N.C., en el que se depositaron los recursos conjuntos aportados por el Gobierno Federal y por la entidad federativa, para el financiamiento de las acciones en materia de Seguridad Pública establecidas en el mismo instrumento y sus anexos técnicos.</w:t>
      </w:r>
    </w:p>
    <w:p w14:paraId="27C96852" w14:textId="77777777" w:rsidR="005211AD" w:rsidRDefault="005211AD" w:rsidP="00687BDF">
      <w:pPr>
        <w:autoSpaceDE w:val="0"/>
        <w:autoSpaceDN w:val="0"/>
        <w:adjustRightInd w:val="0"/>
        <w:jc w:val="both"/>
        <w:rPr>
          <w:rFonts w:ascii="Barlow" w:hAnsi="Barlow" w:cstheme="minorHAnsi"/>
          <w:sz w:val="20"/>
          <w:szCs w:val="20"/>
        </w:rPr>
      </w:pPr>
    </w:p>
    <w:p w14:paraId="4D64784D" w14:textId="6FF56C02" w:rsidR="005211AD" w:rsidRPr="005211AD" w:rsidRDefault="005211AD" w:rsidP="005211AD">
      <w:pPr>
        <w:shd w:val="clear" w:color="auto" w:fill="FFFFFF"/>
        <w:jc w:val="both"/>
        <w:rPr>
          <w:rFonts w:ascii="Barlow" w:hAnsi="Barlow" w:cstheme="minorHAnsi"/>
          <w:sz w:val="20"/>
          <w:szCs w:val="20"/>
        </w:rPr>
      </w:pPr>
      <w:r w:rsidRPr="005211AD">
        <w:rPr>
          <w:rFonts w:ascii="Barlow" w:hAnsi="Barlow" w:cstheme="minorHAnsi"/>
          <w:sz w:val="20"/>
          <w:szCs w:val="20"/>
        </w:rPr>
        <w:t>A partir de 1999</w:t>
      </w:r>
      <w:r>
        <w:rPr>
          <w:rFonts w:ascii="Barlow" w:hAnsi="Barlow" w:cstheme="minorHAnsi"/>
          <w:sz w:val="20"/>
          <w:szCs w:val="20"/>
        </w:rPr>
        <w:t xml:space="preserve"> y hasta el año 2007</w:t>
      </w:r>
      <w:r w:rsidRPr="005211AD">
        <w:rPr>
          <w:rFonts w:ascii="Barlow" w:hAnsi="Barlow" w:cstheme="minorHAnsi"/>
          <w:sz w:val="20"/>
          <w:szCs w:val="20"/>
        </w:rPr>
        <w:t>, el Gobierno Federal y E</w:t>
      </w:r>
      <w:r>
        <w:rPr>
          <w:rFonts w:ascii="Barlow" w:hAnsi="Barlow" w:cstheme="minorHAnsi"/>
          <w:sz w:val="20"/>
          <w:szCs w:val="20"/>
        </w:rPr>
        <w:t>l</w:t>
      </w:r>
      <w:r w:rsidRPr="005211AD">
        <w:rPr>
          <w:rFonts w:ascii="Barlow" w:hAnsi="Barlow" w:cstheme="minorHAnsi"/>
          <w:sz w:val="20"/>
          <w:szCs w:val="20"/>
        </w:rPr>
        <w:t xml:space="preserve"> E</w:t>
      </w:r>
      <w:r>
        <w:rPr>
          <w:rFonts w:ascii="Barlow" w:hAnsi="Barlow" w:cstheme="minorHAnsi"/>
          <w:sz w:val="20"/>
          <w:szCs w:val="20"/>
        </w:rPr>
        <w:t>stado de Yucatán</w:t>
      </w:r>
      <w:r w:rsidRPr="005211AD">
        <w:rPr>
          <w:rFonts w:ascii="Barlow" w:hAnsi="Barlow" w:cstheme="minorHAnsi"/>
          <w:sz w:val="20"/>
          <w:szCs w:val="20"/>
        </w:rPr>
        <w:t xml:space="preserve"> </w:t>
      </w:r>
      <w:r>
        <w:rPr>
          <w:rFonts w:ascii="Barlow" w:hAnsi="Barlow" w:cstheme="minorHAnsi"/>
          <w:sz w:val="20"/>
          <w:szCs w:val="20"/>
        </w:rPr>
        <w:t xml:space="preserve">estuvieron </w:t>
      </w:r>
      <w:r w:rsidRPr="005211AD">
        <w:rPr>
          <w:rFonts w:ascii="Barlow" w:hAnsi="Barlow" w:cstheme="minorHAnsi"/>
          <w:sz w:val="20"/>
          <w:szCs w:val="20"/>
        </w:rPr>
        <w:t xml:space="preserve"> formaliza</w:t>
      </w:r>
      <w:r w:rsidR="00DF4686">
        <w:rPr>
          <w:rFonts w:ascii="Barlow" w:hAnsi="Barlow" w:cstheme="minorHAnsi"/>
          <w:sz w:val="20"/>
          <w:szCs w:val="20"/>
        </w:rPr>
        <w:t>n</w:t>
      </w:r>
      <w:r w:rsidRPr="005211AD">
        <w:rPr>
          <w:rFonts w:ascii="Barlow" w:hAnsi="Barlow" w:cstheme="minorHAnsi"/>
          <w:sz w:val="20"/>
          <w:szCs w:val="20"/>
        </w:rPr>
        <w:t>do anualmente un Convenio de Coordinación para la realización de acciones en materia de seguridad pública, en los que se pact</w:t>
      </w:r>
      <w:r w:rsidR="00DF4686">
        <w:rPr>
          <w:rFonts w:ascii="Barlow" w:hAnsi="Barlow" w:cstheme="minorHAnsi"/>
          <w:sz w:val="20"/>
          <w:szCs w:val="20"/>
        </w:rPr>
        <w:t>ó</w:t>
      </w:r>
      <w:r w:rsidRPr="005211AD">
        <w:rPr>
          <w:rFonts w:ascii="Barlow" w:hAnsi="Barlow" w:cstheme="minorHAnsi"/>
          <w:sz w:val="20"/>
          <w:szCs w:val="20"/>
        </w:rPr>
        <w:t xml:space="preserve"> que la administración de los recursos provenientes del Fondo de Aportaciones para la Seguridad Pública de los Estados y del Distrito Federal, así como los aportados por E</w:t>
      </w:r>
      <w:r>
        <w:rPr>
          <w:rFonts w:ascii="Barlow" w:hAnsi="Barlow" w:cstheme="minorHAnsi"/>
          <w:sz w:val="20"/>
          <w:szCs w:val="20"/>
        </w:rPr>
        <w:t>l</w:t>
      </w:r>
      <w:r w:rsidRPr="005211AD">
        <w:rPr>
          <w:rFonts w:ascii="Barlow" w:hAnsi="Barlow" w:cstheme="minorHAnsi"/>
          <w:sz w:val="20"/>
          <w:szCs w:val="20"/>
        </w:rPr>
        <w:t xml:space="preserve"> E</w:t>
      </w:r>
      <w:r>
        <w:rPr>
          <w:rFonts w:ascii="Barlow" w:hAnsi="Barlow" w:cstheme="minorHAnsi"/>
          <w:sz w:val="20"/>
          <w:szCs w:val="20"/>
        </w:rPr>
        <w:t>stado de Yucatán</w:t>
      </w:r>
      <w:r w:rsidR="00BD289F">
        <w:rPr>
          <w:rFonts w:ascii="Barlow" w:hAnsi="Barlow" w:cstheme="minorHAnsi"/>
          <w:sz w:val="20"/>
          <w:szCs w:val="20"/>
        </w:rPr>
        <w:t>, se efectuara</w:t>
      </w:r>
      <w:r w:rsidRPr="005211AD">
        <w:rPr>
          <w:rFonts w:ascii="Barlow" w:hAnsi="Barlow" w:cstheme="minorHAnsi"/>
          <w:sz w:val="20"/>
          <w:szCs w:val="20"/>
        </w:rPr>
        <w:t xml:space="preserve"> a través del Fideicomiso Fondo de Seguridad Pública del Estado de Yucatán a que se refiere el párrafo anterior.</w:t>
      </w:r>
    </w:p>
    <w:p w14:paraId="4BB883FE" w14:textId="77777777" w:rsidR="005211AD" w:rsidRDefault="005211AD" w:rsidP="00687BDF">
      <w:pPr>
        <w:autoSpaceDE w:val="0"/>
        <w:autoSpaceDN w:val="0"/>
        <w:adjustRightInd w:val="0"/>
        <w:jc w:val="both"/>
        <w:rPr>
          <w:rFonts w:ascii="Barlow" w:hAnsi="Barlow" w:cstheme="minorHAnsi"/>
          <w:sz w:val="20"/>
          <w:szCs w:val="20"/>
        </w:rPr>
      </w:pPr>
    </w:p>
    <w:p w14:paraId="0C8FD79B" w14:textId="111CD7D9" w:rsidR="005211AD" w:rsidRDefault="005211AD" w:rsidP="00687BDF">
      <w:pPr>
        <w:autoSpaceDE w:val="0"/>
        <w:autoSpaceDN w:val="0"/>
        <w:adjustRightInd w:val="0"/>
        <w:jc w:val="both"/>
        <w:rPr>
          <w:rFonts w:ascii="Barlow" w:hAnsi="Barlow" w:cstheme="minorHAnsi"/>
          <w:sz w:val="20"/>
          <w:szCs w:val="20"/>
        </w:rPr>
      </w:pPr>
      <w:r w:rsidRPr="005211AD">
        <w:rPr>
          <w:rFonts w:ascii="Barlow" w:hAnsi="Barlow" w:cstheme="minorHAnsi"/>
          <w:sz w:val="20"/>
          <w:szCs w:val="20"/>
        </w:rPr>
        <w:t>Con motivo de la desaparición del Sistema Banrural derivado de la publicación en el Diario Oficial de la Federación, de la Ley Orgánica de la Financiera Rural, el 26 de diciembre de 2002, el Consejo Nacional de Seguridad Pública en su XIII Sesión del 24 de enero de 2003, acordó el cambio de Institución Fiduciaria, por lo que con fech</w:t>
      </w:r>
      <w:r>
        <w:rPr>
          <w:rFonts w:ascii="Barlow" w:hAnsi="Barlow" w:cstheme="minorHAnsi"/>
          <w:sz w:val="20"/>
          <w:szCs w:val="20"/>
        </w:rPr>
        <w:t>a 15 de julio de 2003, El Estado de Yucatán</w:t>
      </w:r>
      <w:r w:rsidRPr="005211AD">
        <w:rPr>
          <w:rFonts w:ascii="Barlow" w:hAnsi="Barlow" w:cstheme="minorHAnsi"/>
          <w:sz w:val="20"/>
          <w:szCs w:val="20"/>
        </w:rPr>
        <w:t xml:space="preserve"> y Nacional Financiera, S.N.C., suscribieron el contrato para la Constitución del Fideicomiso Fondo de Seguridad Pública del Estado de Yucatán (FOSEG), al cual fueron transferidos los recursos del Fideicomiso a cargo de la institución fiduciaria que se extinguió, con el fin de que se continúen administrando los mismos; así como los que se sigan aportando para la realización de acciones en materia de seguridad pública.</w:t>
      </w:r>
    </w:p>
    <w:p w14:paraId="1A916957" w14:textId="5782E959" w:rsidR="00D52C18" w:rsidRDefault="00D52C18" w:rsidP="00687BDF">
      <w:pPr>
        <w:autoSpaceDE w:val="0"/>
        <w:autoSpaceDN w:val="0"/>
        <w:adjustRightInd w:val="0"/>
        <w:jc w:val="both"/>
        <w:rPr>
          <w:rFonts w:ascii="Barlow" w:hAnsi="Barlow" w:cstheme="minorHAnsi"/>
          <w:sz w:val="20"/>
          <w:szCs w:val="20"/>
        </w:rPr>
      </w:pPr>
    </w:p>
    <w:p w14:paraId="172C1086" w14:textId="77777777" w:rsidR="007D7165" w:rsidRPr="00EF4F94" w:rsidRDefault="00F13E54" w:rsidP="00F13E54">
      <w:pPr>
        <w:pStyle w:val="Prrafodelista"/>
        <w:numPr>
          <w:ilvl w:val="0"/>
          <w:numId w:val="2"/>
        </w:numPr>
        <w:autoSpaceDE w:val="0"/>
        <w:autoSpaceDN w:val="0"/>
        <w:adjustRightInd w:val="0"/>
        <w:jc w:val="both"/>
        <w:rPr>
          <w:rFonts w:ascii="Barlow" w:hAnsi="Barlow" w:cstheme="minorHAnsi"/>
          <w:b/>
          <w:sz w:val="20"/>
          <w:szCs w:val="20"/>
        </w:rPr>
      </w:pPr>
      <w:r w:rsidRPr="00EF4F94">
        <w:rPr>
          <w:rFonts w:ascii="Barlow" w:hAnsi="Barlow" w:cstheme="minorHAnsi"/>
          <w:b/>
          <w:sz w:val="20"/>
          <w:szCs w:val="20"/>
        </w:rPr>
        <w:t>Principales cambios en su estructura.</w:t>
      </w:r>
    </w:p>
    <w:p w14:paraId="0C0F26DF" w14:textId="1603D73D" w:rsidR="00F13E54" w:rsidRDefault="007D7165" w:rsidP="007D7165">
      <w:pPr>
        <w:autoSpaceDE w:val="0"/>
        <w:autoSpaceDN w:val="0"/>
        <w:adjustRightInd w:val="0"/>
        <w:jc w:val="both"/>
        <w:rPr>
          <w:rFonts w:ascii="Barlow" w:hAnsi="Barlow" w:cstheme="minorHAnsi"/>
          <w:b/>
          <w:sz w:val="20"/>
          <w:szCs w:val="20"/>
          <w:highlight w:val="yellow"/>
        </w:rPr>
      </w:pPr>
      <w:r w:rsidRPr="003E52D9">
        <w:rPr>
          <w:rFonts w:ascii="Barlow" w:hAnsi="Barlow" w:cstheme="minorHAnsi"/>
          <w:sz w:val="20"/>
          <w:szCs w:val="20"/>
        </w:rPr>
        <w:t>El Fondo de Seguridad Pública</w:t>
      </w:r>
      <w:r w:rsidR="00DF240E">
        <w:rPr>
          <w:rFonts w:ascii="Barlow" w:hAnsi="Barlow" w:cstheme="minorHAnsi"/>
          <w:sz w:val="20"/>
          <w:szCs w:val="20"/>
        </w:rPr>
        <w:t xml:space="preserve"> del Estado de Yucatán</w:t>
      </w:r>
      <w:r w:rsidRPr="003E52D9">
        <w:rPr>
          <w:rFonts w:ascii="Barlow" w:hAnsi="Barlow" w:cstheme="minorHAnsi"/>
          <w:sz w:val="20"/>
          <w:szCs w:val="20"/>
        </w:rPr>
        <w:t xml:space="preserve"> </w:t>
      </w:r>
      <w:r w:rsidR="00DF240E">
        <w:rPr>
          <w:rFonts w:ascii="Barlow" w:hAnsi="Barlow" w:cstheme="minorHAnsi"/>
          <w:sz w:val="20"/>
          <w:szCs w:val="20"/>
        </w:rPr>
        <w:t>se encuentra en proceso de extinción.</w:t>
      </w:r>
      <w:r w:rsidR="00F13E54" w:rsidRPr="007D7165">
        <w:rPr>
          <w:rFonts w:ascii="Barlow" w:hAnsi="Barlow" w:cstheme="minorHAnsi"/>
          <w:b/>
          <w:sz w:val="20"/>
          <w:szCs w:val="20"/>
          <w:highlight w:val="yellow"/>
        </w:rPr>
        <w:t xml:space="preserve"> </w:t>
      </w:r>
    </w:p>
    <w:p w14:paraId="6A2ED1FA" w14:textId="77777777" w:rsidR="00FD08F0" w:rsidRDefault="00FD08F0" w:rsidP="007D7165">
      <w:pPr>
        <w:autoSpaceDE w:val="0"/>
        <w:autoSpaceDN w:val="0"/>
        <w:adjustRightInd w:val="0"/>
        <w:jc w:val="both"/>
        <w:rPr>
          <w:rFonts w:ascii="Barlow" w:hAnsi="Barlow" w:cstheme="minorHAnsi"/>
          <w:b/>
          <w:sz w:val="20"/>
          <w:szCs w:val="20"/>
          <w:highlight w:val="yellow"/>
        </w:rPr>
      </w:pPr>
    </w:p>
    <w:p w14:paraId="1D11EB03" w14:textId="77777777"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2.- Panorama Económico y Financiero</w:t>
      </w:r>
    </w:p>
    <w:p w14:paraId="537193E0" w14:textId="77777777" w:rsidR="009D77C0" w:rsidRPr="003E52D9" w:rsidRDefault="009D77C0" w:rsidP="009D77C0">
      <w:pPr>
        <w:autoSpaceDE w:val="0"/>
        <w:autoSpaceDN w:val="0"/>
        <w:adjustRightInd w:val="0"/>
        <w:ind w:left="709"/>
        <w:jc w:val="both"/>
        <w:rPr>
          <w:rFonts w:ascii="Barlow" w:hAnsi="Barlow" w:cstheme="minorHAnsi"/>
          <w:b/>
          <w:sz w:val="20"/>
          <w:szCs w:val="20"/>
        </w:rPr>
      </w:pPr>
    </w:p>
    <w:p w14:paraId="4742E4A5" w14:textId="284E3314" w:rsidR="009D77C0" w:rsidRPr="003E52D9" w:rsidRDefault="00DF240E" w:rsidP="009D77C0">
      <w:pPr>
        <w:autoSpaceDE w:val="0"/>
        <w:autoSpaceDN w:val="0"/>
        <w:jc w:val="both"/>
        <w:rPr>
          <w:rFonts w:ascii="Barlow" w:hAnsi="Barlow" w:cstheme="minorHAnsi"/>
          <w:sz w:val="20"/>
          <w:szCs w:val="20"/>
        </w:rPr>
      </w:pPr>
      <w:bookmarkStart w:id="1" w:name="_Hlk8996546"/>
      <w:r>
        <w:rPr>
          <w:rFonts w:ascii="Barlow" w:hAnsi="Barlow" w:cstheme="minorHAnsi"/>
          <w:sz w:val="20"/>
          <w:szCs w:val="20"/>
        </w:rPr>
        <w:t>El Fondo de Seguridad Pública del Estado de Yucatán actualmente se encuentra en proceso de extinción y por lo tanto no recibe ningún tipo de recurso.</w:t>
      </w:r>
    </w:p>
    <w:p w14:paraId="52DF4F22" w14:textId="77777777" w:rsidR="00397FC3" w:rsidRDefault="00397FC3" w:rsidP="009D77C0">
      <w:pPr>
        <w:ind w:left="426"/>
        <w:jc w:val="both"/>
        <w:rPr>
          <w:rFonts w:ascii="Barlow" w:eastAsia="Calibri" w:hAnsi="Barlow" w:cstheme="minorHAnsi"/>
          <w:b/>
          <w:sz w:val="20"/>
          <w:szCs w:val="20"/>
          <w:lang w:eastAsia="en-US"/>
        </w:rPr>
      </w:pPr>
    </w:p>
    <w:bookmarkEnd w:id="1"/>
    <w:p w14:paraId="592105D2" w14:textId="74822DDF" w:rsidR="009D77C0" w:rsidRPr="003E52D9" w:rsidRDefault="00687BDF"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3</w:t>
      </w:r>
      <w:r w:rsidR="009D77C0" w:rsidRPr="003E52D9">
        <w:rPr>
          <w:rFonts w:ascii="Barlow" w:hAnsi="Barlow" w:cstheme="minorHAnsi"/>
          <w:b/>
          <w:sz w:val="20"/>
          <w:szCs w:val="20"/>
        </w:rPr>
        <w:t>.- Organización y Objeto Social</w:t>
      </w:r>
    </w:p>
    <w:p w14:paraId="62E91DE2" w14:textId="77777777" w:rsidR="009D77C0" w:rsidRPr="003E52D9" w:rsidRDefault="009D77C0" w:rsidP="009D77C0">
      <w:pPr>
        <w:autoSpaceDE w:val="0"/>
        <w:autoSpaceDN w:val="0"/>
        <w:adjustRightInd w:val="0"/>
        <w:jc w:val="both"/>
        <w:rPr>
          <w:rFonts w:ascii="Barlow" w:hAnsi="Barlow" w:cstheme="minorHAnsi"/>
          <w:b/>
          <w:sz w:val="20"/>
          <w:szCs w:val="20"/>
        </w:rPr>
      </w:pPr>
    </w:p>
    <w:p w14:paraId="242C43B7" w14:textId="77777777" w:rsidR="009D77C0" w:rsidRPr="003E52D9" w:rsidRDefault="009D77C0" w:rsidP="009D77C0">
      <w:pPr>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Objeto social.</w:t>
      </w:r>
    </w:p>
    <w:p w14:paraId="353E184D" w14:textId="42A4B520" w:rsidR="00482B06" w:rsidRDefault="00482B06" w:rsidP="00482B06">
      <w:pPr>
        <w:tabs>
          <w:tab w:val="left" w:pos="1065"/>
        </w:tabs>
        <w:autoSpaceDE w:val="0"/>
        <w:autoSpaceDN w:val="0"/>
        <w:adjustRightInd w:val="0"/>
        <w:jc w:val="both"/>
        <w:rPr>
          <w:rFonts w:ascii="Barlow" w:hAnsi="Barlow" w:cstheme="minorHAnsi"/>
          <w:sz w:val="20"/>
          <w:szCs w:val="20"/>
        </w:rPr>
      </w:pPr>
      <w:r>
        <w:rPr>
          <w:rFonts w:ascii="Barlow" w:hAnsi="Barlow" w:cstheme="minorHAnsi"/>
          <w:sz w:val="20"/>
          <w:szCs w:val="20"/>
        </w:rPr>
        <w:t>C</w:t>
      </w:r>
      <w:r w:rsidRPr="00482B06">
        <w:rPr>
          <w:rFonts w:ascii="Barlow" w:hAnsi="Barlow" w:cstheme="minorHAnsi"/>
          <w:sz w:val="20"/>
          <w:szCs w:val="20"/>
        </w:rPr>
        <w:t xml:space="preserve">oordinar políticas, lineamientos y acciones entre </w:t>
      </w:r>
      <w:r>
        <w:rPr>
          <w:rFonts w:ascii="Barlow" w:hAnsi="Barlow" w:cstheme="minorHAnsi"/>
          <w:sz w:val="20"/>
          <w:szCs w:val="20"/>
        </w:rPr>
        <w:t>el Estado y el Gobierno Federal</w:t>
      </w:r>
      <w:r w:rsidRPr="00482B06">
        <w:rPr>
          <w:rFonts w:ascii="Barlow" w:hAnsi="Barlow" w:cstheme="minorHAnsi"/>
          <w:sz w:val="20"/>
          <w:szCs w:val="20"/>
        </w:rPr>
        <w:t>, para el desarrollo y ejecución de acciones en el Marco del Sistema Nacional de Seguridad Pública, conforme a los acuerdos y resoluciones del Consejo Nacional de Seguridad Pública, aplicando al efecto los recursos convenidos del Fondo de Aportaciones para la Seguridad Pública de los Estados y del Distrito Federal</w:t>
      </w:r>
      <w:r>
        <w:rPr>
          <w:rFonts w:ascii="Barlow" w:hAnsi="Barlow" w:cstheme="minorHAnsi"/>
          <w:sz w:val="20"/>
          <w:szCs w:val="20"/>
        </w:rPr>
        <w:t>.</w:t>
      </w:r>
    </w:p>
    <w:p w14:paraId="3D364E70" w14:textId="77777777" w:rsidR="00482B06" w:rsidRDefault="00482B06" w:rsidP="009D77C0">
      <w:pPr>
        <w:tabs>
          <w:tab w:val="left" w:pos="1065"/>
        </w:tabs>
        <w:autoSpaceDE w:val="0"/>
        <w:autoSpaceDN w:val="0"/>
        <w:adjustRightInd w:val="0"/>
        <w:jc w:val="both"/>
        <w:rPr>
          <w:rFonts w:ascii="Barlow" w:hAnsi="Barlow" w:cstheme="minorHAnsi"/>
          <w:sz w:val="20"/>
          <w:szCs w:val="20"/>
        </w:rPr>
      </w:pPr>
    </w:p>
    <w:p w14:paraId="4FF7276B" w14:textId="77777777" w:rsidR="009D77C0" w:rsidRPr="003E52D9" w:rsidRDefault="009D77C0" w:rsidP="009D77C0">
      <w:pPr>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Principal actividad</w:t>
      </w:r>
    </w:p>
    <w:p w14:paraId="7DD2494C" w14:textId="4E2B1296" w:rsidR="00482B06" w:rsidRDefault="00482B06" w:rsidP="00482B06">
      <w:pPr>
        <w:tabs>
          <w:tab w:val="left" w:pos="1065"/>
        </w:tabs>
        <w:autoSpaceDE w:val="0"/>
        <w:autoSpaceDN w:val="0"/>
        <w:adjustRightInd w:val="0"/>
        <w:jc w:val="both"/>
        <w:rPr>
          <w:rFonts w:ascii="Barlow" w:hAnsi="Barlow" w:cstheme="minorHAnsi"/>
          <w:sz w:val="20"/>
          <w:szCs w:val="20"/>
        </w:rPr>
      </w:pPr>
      <w:r>
        <w:rPr>
          <w:rFonts w:ascii="Barlow" w:hAnsi="Barlow" w:cstheme="minorHAnsi"/>
          <w:sz w:val="20"/>
          <w:szCs w:val="20"/>
        </w:rPr>
        <w:t>No aplica debido a que la fecha el Fondo de Segurida</w:t>
      </w:r>
      <w:r w:rsidR="005228DC">
        <w:rPr>
          <w:rFonts w:ascii="Barlow" w:hAnsi="Barlow" w:cstheme="minorHAnsi"/>
          <w:sz w:val="20"/>
          <w:szCs w:val="20"/>
        </w:rPr>
        <w:t>d</w:t>
      </w:r>
      <w:r>
        <w:rPr>
          <w:rFonts w:ascii="Barlow" w:hAnsi="Barlow" w:cstheme="minorHAnsi"/>
          <w:sz w:val="20"/>
          <w:szCs w:val="20"/>
        </w:rPr>
        <w:t xml:space="preserve"> Pública del Estado de Yucatán se encuentra en proceso de extinción.</w:t>
      </w:r>
    </w:p>
    <w:p w14:paraId="1B9FA15E" w14:textId="0752E598" w:rsidR="009D77C0" w:rsidRPr="003E52D9" w:rsidRDefault="009D77C0" w:rsidP="00482B06">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 </w:t>
      </w:r>
    </w:p>
    <w:p w14:paraId="27D6DF93" w14:textId="2104D478" w:rsidR="009D77C0" w:rsidRPr="003E52D9" w:rsidRDefault="00EF4F94" w:rsidP="009D77C0">
      <w:pPr>
        <w:numPr>
          <w:ilvl w:val="0"/>
          <w:numId w:val="3"/>
        </w:numPr>
        <w:tabs>
          <w:tab w:val="left" w:pos="1065"/>
        </w:tabs>
        <w:autoSpaceDE w:val="0"/>
        <w:autoSpaceDN w:val="0"/>
        <w:adjustRightInd w:val="0"/>
        <w:jc w:val="both"/>
        <w:rPr>
          <w:rFonts w:ascii="Barlow" w:hAnsi="Barlow" w:cstheme="minorHAnsi"/>
          <w:b/>
          <w:sz w:val="20"/>
          <w:szCs w:val="20"/>
        </w:rPr>
      </w:pPr>
      <w:r>
        <w:rPr>
          <w:rFonts w:ascii="Barlow" w:hAnsi="Barlow" w:cstheme="minorHAnsi"/>
          <w:b/>
          <w:sz w:val="20"/>
          <w:szCs w:val="20"/>
        </w:rPr>
        <w:t>Ejercicio Fiscal</w:t>
      </w:r>
    </w:p>
    <w:p w14:paraId="6A55ABAF" w14:textId="6FC40814" w:rsidR="009D77C0" w:rsidRDefault="00AF61A9" w:rsidP="009D77C0">
      <w:pPr>
        <w:autoSpaceDE w:val="0"/>
        <w:autoSpaceDN w:val="0"/>
        <w:adjustRightInd w:val="0"/>
        <w:jc w:val="both"/>
        <w:rPr>
          <w:rFonts w:ascii="Barlow" w:hAnsi="Barlow" w:cstheme="minorHAnsi"/>
          <w:sz w:val="20"/>
          <w:szCs w:val="20"/>
        </w:rPr>
      </w:pPr>
      <w:r w:rsidRPr="00AF61A9">
        <w:rPr>
          <w:rFonts w:ascii="Barlow" w:hAnsi="Barlow" w:cstheme="minorHAnsi"/>
          <w:sz w:val="20"/>
          <w:szCs w:val="20"/>
        </w:rPr>
        <w:t>El</w:t>
      </w:r>
      <w:r>
        <w:rPr>
          <w:rFonts w:ascii="Barlow" w:hAnsi="Barlow" w:cstheme="minorHAnsi"/>
          <w:sz w:val="20"/>
          <w:szCs w:val="20"/>
        </w:rPr>
        <w:t xml:space="preserve"> ejercicio f</w:t>
      </w:r>
      <w:r w:rsidR="00A31DFE">
        <w:rPr>
          <w:rFonts w:ascii="Barlow" w:hAnsi="Barlow" w:cstheme="minorHAnsi"/>
          <w:sz w:val="20"/>
          <w:szCs w:val="20"/>
        </w:rPr>
        <w:t xml:space="preserve">iscal del Fondo de </w:t>
      </w:r>
      <w:r>
        <w:rPr>
          <w:rFonts w:ascii="Barlow" w:hAnsi="Barlow" w:cstheme="minorHAnsi"/>
          <w:sz w:val="20"/>
          <w:szCs w:val="20"/>
        </w:rPr>
        <w:t>Seguridad Pública</w:t>
      </w:r>
      <w:r w:rsidR="00A31DFE">
        <w:rPr>
          <w:rFonts w:ascii="Barlow" w:hAnsi="Barlow" w:cstheme="minorHAnsi"/>
          <w:sz w:val="20"/>
          <w:szCs w:val="20"/>
        </w:rPr>
        <w:t xml:space="preserve"> del Estado de Yucatán</w:t>
      </w:r>
      <w:r>
        <w:rPr>
          <w:rFonts w:ascii="Barlow" w:hAnsi="Barlow" w:cstheme="minorHAnsi"/>
          <w:sz w:val="20"/>
          <w:szCs w:val="20"/>
        </w:rPr>
        <w:t xml:space="preserve"> es el que comprende del 1 de enero al 31 de diciembre de cada año</w:t>
      </w:r>
      <w:r w:rsidR="00EF4F94">
        <w:rPr>
          <w:rFonts w:ascii="Barlow" w:hAnsi="Barlow" w:cstheme="minorHAnsi"/>
          <w:sz w:val="20"/>
          <w:szCs w:val="20"/>
        </w:rPr>
        <w:t>, y l</w:t>
      </w:r>
      <w:r w:rsidR="009D77C0" w:rsidRPr="00EF4F94">
        <w:rPr>
          <w:rFonts w:ascii="Barlow" w:hAnsi="Barlow" w:cstheme="minorHAnsi"/>
          <w:sz w:val="20"/>
          <w:szCs w:val="20"/>
        </w:rPr>
        <w:t xml:space="preserve">as cifras contenidas en los Estados Financieros y que se mencionan en estas notas se presentan al </w:t>
      </w:r>
      <w:bookmarkStart w:id="2" w:name="m17"/>
      <w:bookmarkEnd w:id="2"/>
      <w:r w:rsidR="00EE1B6C">
        <w:rPr>
          <w:rFonts w:ascii="Barlow" w:hAnsi="Barlow" w:cstheme="minorHAnsi"/>
          <w:sz w:val="20"/>
          <w:szCs w:val="20"/>
        </w:rPr>
        <w:t>31</w:t>
      </w:r>
      <w:r w:rsidR="00550D70">
        <w:rPr>
          <w:rFonts w:ascii="Barlow" w:hAnsi="Barlow" w:cstheme="minorHAnsi"/>
          <w:sz w:val="20"/>
          <w:szCs w:val="20"/>
        </w:rPr>
        <w:t xml:space="preserve"> de </w:t>
      </w:r>
      <w:r w:rsidR="00EE1B6C">
        <w:rPr>
          <w:rFonts w:ascii="Barlow" w:hAnsi="Barlow" w:cstheme="minorHAnsi"/>
          <w:sz w:val="20"/>
          <w:szCs w:val="20"/>
        </w:rPr>
        <w:t>ma</w:t>
      </w:r>
      <w:r w:rsidR="00AB180F">
        <w:rPr>
          <w:rFonts w:ascii="Barlow" w:hAnsi="Barlow" w:cstheme="minorHAnsi"/>
          <w:sz w:val="20"/>
          <w:szCs w:val="20"/>
        </w:rPr>
        <w:t>r</w:t>
      </w:r>
      <w:r w:rsidR="00EE1B6C">
        <w:rPr>
          <w:rFonts w:ascii="Barlow" w:hAnsi="Barlow" w:cstheme="minorHAnsi"/>
          <w:sz w:val="20"/>
          <w:szCs w:val="20"/>
        </w:rPr>
        <w:t>z</w:t>
      </w:r>
      <w:r w:rsidR="00AB180F">
        <w:rPr>
          <w:rFonts w:ascii="Barlow" w:hAnsi="Barlow" w:cstheme="minorHAnsi"/>
          <w:sz w:val="20"/>
          <w:szCs w:val="20"/>
        </w:rPr>
        <w:t>o</w:t>
      </w:r>
      <w:r w:rsidR="00485CDE">
        <w:rPr>
          <w:rFonts w:ascii="Barlow" w:hAnsi="Barlow" w:cstheme="minorHAnsi"/>
          <w:sz w:val="20"/>
          <w:szCs w:val="20"/>
        </w:rPr>
        <w:t xml:space="preserve"> </w:t>
      </w:r>
      <w:r w:rsidR="009D77C0" w:rsidRPr="00EF4F94">
        <w:rPr>
          <w:rFonts w:ascii="Barlow" w:hAnsi="Barlow" w:cstheme="minorHAnsi"/>
          <w:sz w:val="20"/>
          <w:szCs w:val="20"/>
        </w:rPr>
        <w:t>del Ejercicio Fiscal 202</w:t>
      </w:r>
      <w:r w:rsidR="00AB180F">
        <w:rPr>
          <w:rFonts w:ascii="Barlow" w:hAnsi="Barlow" w:cstheme="minorHAnsi"/>
          <w:sz w:val="20"/>
          <w:szCs w:val="20"/>
        </w:rPr>
        <w:t>5</w:t>
      </w:r>
      <w:r w:rsidR="00E02B40">
        <w:rPr>
          <w:rFonts w:ascii="Barlow" w:hAnsi="Barlow" w:cstheme="minorHAnsi"/>
          <w:sz w:val="20"/>
          <w:szCs w:val="20"/>
        </w:rPr>
        <w:t>.</w:t>
      </w:r>
    </w:p>
    <w:p w14:paraId="400D02A4" w14:textId="77777777" w:rsidR="005228DC" w:rsidRDefault="005228DC" w:rsidP="009D77C0">
      <w:pPr>
        <w:autoSpaceDE w:val="0"/>
        <w:autoSpaceDN w:val="0"/>
        <w:adjustRightInd w:val="0"/>
        <w:jc w:val="both"/>
        <w:rPr>
          <w:rFonts w:ascii="Barlow" w:hAnsi="Barlow" w:cstheme="minorHAnsi"/>
          <w:sz w:val="20"/>
          <w:szCs w:val="20"/>
        </w:rPr>
      </w:pPr>
    </w:p>
    <w:p w14:paraId="18F8C348" w14:textId="77777777"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Régimen Jurídico</w:t>
      </w:r>
    </w:p>
    <w:p w14:paraId="333DF197" w14:textId="103C5946"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Seguridad Pública está regulado por:</w:t>
      </w:r>
    </w:p>
    <w:p w14:paraId="6A69EDC4" w14:textId="77777777" w:rsidR="009D77C0" w:rsidRPr="002F6128"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2F6128">
        <w:rPr>
          <w:rFonts w:ascii="Barlow" w:eastAsia="Calibri" w:hAnsi="Barlow" w:cstheme="minorHAnsi"/>
          <w:sz w:val="20"/>
          <w:szCs w:val="20"/>
        </w:rPr>
        <w:t>La Constitución de los Estados Unidos Mexicanos</w:t>
      </w:r>
    </w:p>
    <w:p w14:paraId="7CD37614" w14:textId="77777777" w:rsidR="009D77C0" w:rsidRPr="002F6128"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2F6128">
        <w:rPr>
          <w:rFonts w:ascii="Barlow" w:eastAsia="Calibri" w:hAnsi="Barlow" w:cstheme="minorHAnsi"/>
          <w:sz w:val="20"/>
          <w:szCs w:val="20"/>
        </w:rPr>
        <w:t>La Constitución Política del Estado de Yucatán.</w:t>
      </w:r>
    </w:p>
    <w:p w14:paraId="5765E376"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de Coordinación Fiscal</w:t>
      </w:r>
    </w:p>
    <w:p w14:paraId="4037C935"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General de Contabilidad Gubernamental</w:t>
      </w:r>
    </w:p>
    <w:p w14:paraId="372EC322"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del Presupuesto y Contabilidad Gubernamental del Estado de Yucatán y su reglamento.</w:t>
      </w:r>
    </w:p>
    <w:p w14:paraId="1800B0C4"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Responsabilidades de los Servidores Públicos del Estado de Yucatán.</w:t>
      </w:r>
    </w:p>
    <w:p w14:paraId="6D8A18A1"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Federal de Responsabilidades de los Servidores Públicos</w:t>
      </w:r>
    </w:p>
    <w:p w14:paraId="65DFD8FD"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Adquisiciones, Arrendamientos y Prestación de Servicios relacionados con Bienes Muebles.</w:t>
      </w:r>
    </w:p>
    <w:p w14:paraId="57944F87"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La Ley de Fiscalización de la Cuenta Pública del Estado de Yucatán y su reglamento.</w:t>
      </w:r>
    </w:p>
    <w:p w14:paraId="6FBBE447" w14:textId="77777777" w:rsidR="009D77C0" w:rsidRPr="003E52D9" w:rsidRDefault="009D77C0" w:rsidP="009D77C0">
      <w:pPr>
        <w:pStyle w:val="Prrafodelista"/>
        <w:numPr>
          <w:ilvl w:val="0"/>
          <w:numId w:val="6"/>
        </w:numPr>
        <w:tabs>
          <w:tab w:val="left" w:pos="1065"/>
        </w:tabs>
        <w:autoSpaceDE w:val="0"/>
        <w:autoSpaceDN w:val="0"/>
        <w:adjustRightInd w:val="0"/>
        <w:jc w:val="both"/>
        <w:rPr>
          <w:rFonts w:ascii="Barlow" w:eastAsia="Calibri" w:hAnsi="Barlow" w:cstheme="minorHAnsi"/>
          <w:sz w:val="20"/>
          <w:szCs w:val="20"/>
        </w:rPr>
      </w:pPr>
      <w:r w:rsidRPr="003E52D9">
        <w:rPr>
          <w:rFonts w:ascii="Barlow" w:eastAsia="Calibri" w:hAnsi="Barlow" w:cstheme="minorHAnsi"/>
          <w:sz w:val="20"/>
          <w:szCs w:val="20"/>
        </w:rPr>
        <w:t>Ley de Disciplina Financiera de las Entidades Federativas y Municipios</w:t>
      </w:r>
    </w:p>
    <w:p w14:paraId="00B31BF6" w14:textId="77777777" w:rsidR="009D77C0" w:rsidRDefault="009D77C0" w:rsidP="009D77C0">
      <w:pPr>
        <w:pStyle w:val="Prrafodelista"/>
        <w:tabs>
          <w:tab w:val="left" w:pos="1065"/>
        </w:tabs>
        <w:autoSpaceDE w:val="0"/>
        <w:autoSpaceDN w:val="0"/>
        <w:adjustRightInd w:val="0"/>
        <w:jc w:val="both"/>
        <w:rPr>
          <w:rFonts w:ascii="Barlow" w:hAnsi="Barlow" w:cstheme="minorHAnsi"/>
          <w:sz w:val="20"/>
          <w:szCs w:val="20"/>
        </w:rPr>
      </w:pPr>
    </w:p>
    <w:p w14:paraId="72444FBB" w14:textId="77777777"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Consideraciones fiscales</w:t>
      </w:r>
    </w:p>
    <w:p w14:paraId="254B6297" w14:textId="12D11693" w:rsidR="009D77C0" w:rsidRPr="003E52D9" w:rsidRDefault="009D77C0" w:rsidP="009D77C0">
      <w:pPr>
        <w:tabs>
          <w:tab w:val="left" w:pos="1065"/>
        </w:tabs>
        <w:autoSpaceDE w:val="0"/>
        <w:autoSpaceDN w:val="0"/>
        <w:adjustRightInd w:val="0"/>
        <w:jc w:val="both"/>
        <w:rPr>
          <w:rFonts w:ascii="Barlow" w:hAnsi="Barlow" w:cstheme="minorHAnsi"/>
          <w:sz w:val="20"/>
          <w:szCs w:val="20"/>
        </w:rPr>
      </w:pPr>
      <w:r w:rsidRPr="003E52D9">
        <w:rPr>
          <w:rFonts w:ascii="Barlow" w:hAnsi="Barlow" w:cstheme="minorHAnsi"/>
          <w:sz w:val="20"/>
          <w:szCs w:val="20"/>
        </w:rPr>
        <w:t>La Secretaría de Administración y Finanzas de Yucatán es la encargada de cumplir con las obligaciones fiscales por cuenta del Fondo de Seguridad Pública, debido a que carece de personalidad jurídica propia y de registro ante la Secretaría de Hacienda y Crédito Público.</w:t>
      </w:r>
    </w:p>
    <w:p w14:paraId="58120B2D" w14:textId="77777777" w:rsidR="009D77C0" w:rsidRPr="003E52D9" w:rsidRDefault="009D77C0" w:rsidP="009D77C0">
      <w:pPr>
        <w:pStyle w:val="Prrafodelista"/>
        <w:tabs>
          <w:tab w:val="left" w:pos="1065"/>
        </w:tabs>
        <w:autoSpaceDE w:val="0"/>
        <w:autoSpaceDN w:val="0"/>
        <w:adjustRightInd w:val="0"/>
        <w:jc w:val="both"/>
        <w:rPr>
          <w:rFonts w:ascii="Barlow" w:hAnsi="Barlow" w:cstheme="minorHAnsi"/>
          <w:b/>
          <w:sz w:val="20"/>
          <w:szCs w:val="20"/>
        </w:rPr>
      </w:pPr>
    </w:p>
    <w:p w14:paraId="4743B2C3" w14:textId="77777777"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lastRenderedPageBreak/>
        <w:t>Estructura organizacional básica.</w:t>
      </w:r>
    </w:p>
    <w:p w14:paraId="728CE953" w14:textId="3E8C74D1" w:rsidR="009D77C0" w:rsidRPr="003E52D9" w:rsidRDefault="00397FC3" w:rsidP="009D77C0">
      <w:pPr>
        <w:tabs>
          <w:tab w:val="left" w:pos="1065"/>
        </w:tabs>
        <w:autoSpaceDE w:val="0"/>
        <w:autoSpaceDN w:val="0"/>
        <w:adjustRightInd w:val="0"/>
        <w:jc w:val="both"/>
        <w:rPr>
          <w:rFonts w:ascii="Barlow" w:hAnsi="Barlow" w:cstheme="minorHAnsi"/>
          <w:sz w:val="20"/>
          <w:szCs w:val="20"/>
        </w:rPr>
      </w:pPr>
      <w:r>
        <w:rPr>
          <w:rFonts w:ascii="Barlow" w:hAnsi="Barlow" w:cstheme="minorHAnsi"/>
          <w:sz w:val="20"/>
          <w:szCs w:val="20"/>
        </w:rPr>
        <w:t xml:space="preserve">Sin información que revelar debido a que el Fondo de </w:t>
      </w:r>
      <w:r w:rsidR="009D77C0" w:rsidRPr="003E52D9">
        <w:rPr>
          <w:rFonts w:ascii="Barlow" w:hAnsi="Barlow" w:cstheme="minorHAnsi"/>
          <w:sz w:val="20"/>
          <w:szCs w:val="20"/>
        </w:rPr>
        <w:t xml:space="preserve">Seguridad Pública del Estado de Yucatán </w:t>
      </w:r>
      <w:r>
        <w:rPr>
          <w:rFonts w:ascii="Barlow" w:hAnsi="Barlow" w:cstheme="minorHAnsi"/>
          <w:sz w:val="20"/>
          <w:szCs w:val="20"/>
        </w:rPr>
        <w:t>se encuentra en proceso de extinción.</w:t>
      </w:r>
    </w:p>
    <w:p w14:paraId="22DFFA28" w14:textId="77777777" w:rsidR="009D77C0" w:rsidRPr="003E52D9" w:rsidRDefault="009D77C0" w:rsidP="009D77C0">
      <w:pPr>
        <w:tabs>
          <w:tab w:val="left" w:pos="1065"/>
        </w:tabs>
        <w:autoSpaceDE w:val="0"/>
        <w:autoSpaceDN w:val="0"/>
        <w:adjustRightInd w:val="0"/>
        <w:jc w:val="both"/>
        <w:rPr>
          <w:rFonts w:ascii="Barlow" w:hAnsi="Barlow" w:cstheme="minorHAnsi"/>
          <w:sz w:val="20"/>
          <w:szCs w:val="20"/>
        </w:rPr>
      </w:pPr>
    </w:p>
    <w:p w14:paraId="058CA4AE" w14:textId="6EE9BA60" w:rsidR="009D77C0" w:rsidRDefault="009D77C0" w:rsidP="009D77C0">
      <w:pPr>
        <w:pStyle w:val="Prrafodelista"/>
        <w:numPr>
          <w:ilvl w:val="0"/>
          <w:numId w:val="3"/>
        </w:numPr>
        <w:tabs>
          <w:tab w:val="left" w:pos="1065"/>
        </w:tabs>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Fideicomisos</w:t>
      </w:r>
      <w:r w:rsidR="00784295">
        <w:rPr>
          <w:rFonts w:ascii="Barlow" w:hAnsi="Barlow" w:cstheme="minorHAnsi"/>
          <w:b/>
          <w:sz w:val="20"/>
          <w:szCs w:val="20"/>
        </w:rPr>
        <w:t xml:space="preserve"> </w:t>
      </w:r>
      <w:r w:rsidRPr="003E52D9">
        <w:rPr>
          <w:rFonts w:ascii="Barlow" w:hAnsi="Barlow" w:cstheme="minorHAnsi"/>
          <w:b/>
          <w:sz w:val="20"/>
          <w:szCs w:val="20"/>
        </w:rPr>
        <w:t>de los cuales es fideicomitente o fideicomisario</w:t>
      </w:r>
      <w:r w:rsidR="00784295">
        <w:rPr>
          <w:rFonts w:ascii="Barlow" w:hAnsi="Barlow" w:cstheme="minorHAnsi"/>
          <w:b/>
          <w:sz w:val="20"/>
          <w:szCs w:val="20"/>
        </w:rPr>
        <w:t>, y contratos análogos, incluyendo mandatos de los cuales es parte.</w:t>
      </w:r>
      <w:r w:rsidRPr="003E52D9">
        <w:rPr>
          <w:rFonts w:ascii="Barlow" w:hAnsi="Barlow" w:cstheme="minorHAnsi"/>
          <w:b/>
          <w:sz w:val="20"/>
          <w:szCs w:val="20"/>
        </w:rPr>
        <w:t xml:space="preserve"> </w:t>
      </w:r>
    </w:p>
    <w:p w14:paraId="764E55AA" w14:textId="7386241B" w:rsidR="00AF61A9" w:rsidRPr="00AF61A9" w:rsidRDefault="005F0D38" w:rsidP="00AF61A9">
      <w:pPr>
        <w:tabs>
          <w:tab w:val="left" w:pos="1065"/>
        </w:tabs>
        <w:autoSpaceDE w:val="0"/>
        <w:autoSpaceDN w:val="0"/>
        <w:adjustRightInd w:val="0"/>
        <w:jc w:val="both"/>
        <w:rPr>
          <w:rFonts w:ascii="Barlow" w:hAnsi="Barlow" w:cstheme="minorHAnsi"/>
          <w:sz w:val="20"/>
          <w:szCs w:val="20"/>
        </w:rPr>
      </w:pPr>
      <w:r>
        <w:rPr>
          <w:rFonts w:ascii="Barlow" w:hAnsi="Barlow" w:cstheme="minorHAnsi"/>
          <w:sz w:val="20"/>
          <w:szCs w:val="20"/>
        </w:rPr>
        <w:t>Sin información que revelar.</w:t>
      </w:r>
    </w:p>
    <w:p w14:paraId="4589B2B6" w14:textId="77777777" w:rsidR="00651D0A" w:rsidRDefault="00651D0A" w:rsidP="009D77C0">
      <w:pPr>
        <w:autoSpaceDE w:val="0"/>
        <w:autoSpaceDN w:val="0"/>
        <w:adjustRightInd w:val="0"/>
        <w:jc w:val="both"/>
        <w:rPr>
          <w:rFonts w:ascii="Barlow" w:hAnsi="Barlow" w:cstheme="minorHAnsi"/>
          <w:b/>
          <w:sz w:val="20"/>
          <w:szCs w:val="20"/>
        </w:rPr>
      </w:pPr>
    </w:p>
    <w:p w14:paraId="3CABF81F" w14:textId="3FFD5F69" w:rsidR="009D77C0" w:rsidRPr="003E52D9" w:rsidRDefault="00D65420"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4</w:t>
      </w:r>
      <w:r w:rsidR="009D77C0" w:rsidRPr="003E52D9">
        <w:rPr>
          <w:rFonts w:ascii="Barlow" w:hAnsi="Barlow" w:cstheme="minorHAnsi"/>
          <w:b/>
          <w:sz w:val="20"/>
          <w:szCs w:val="20"/>
        </w:rPr>
        <w:t>.-</w:t>
      </w:r>
      <w:r w:rsidR="009D77C0" w:rsidRPr="003E52D9">
        <w:rPr>
          <w:rFonts w:ascii="Barlow" w:hAnsi="Barlow" w:cstheme="minorHAnsi"/>
          <w:sz w:val="20"/>
          <w:szCs w:val="20"/>
        </w:rPr>
        <w:t xml:space="preserve"> </w:t>
      </w:r>
      <w:r w:rsidR="009D77C0" w:rsidRPr="003E52D9">
        <w:rPr>
          <w:rFonts w:ascii="Barlow" w:hAnsi="Barlow" w:cstheme="minorHAnsi"/>
          <w:b/>
          <w:sz w:val="20"/>
          <w:szCs w:val="20"/>
        </w:rPr>
        <w:t xml:space="preserve">Bases </w:t>
      </w:r>
      <w:r w:rsidR="00CD00D9">
        <w:rPr>
          <w:rFonts w:ascii="Barlow" w:hAnsi="Barlow" w:cstheme="minorHAnsi"/>
          <w:b/>
          <w:sz w:val="20"/>
          <w:szCs w:val="20"/>
        </w:rPr>
        <w:t xml:space="preserve">de </w:t>
      </w:r>
      <w:r w:rsidR="009D77C0" w:rsidRPr="003E52D9">
        <w:rPr>
          <w:rFonts w:ascii="Barlow" w:hAnsi="Barlow" w:cstheme="minorHAnsi"/>
          <w:b/>
          <w:sz w:val="20"/>
          <w:szCs w:val="20"/>
        </w:rPr>
        <w:t>Preparación de</w:t>
      </w:r>
      <w:r w:rsidR="00CD00D9">
        <w:rPr>
          <w:rFonts w:ascii="Barlow" w:hAnsi="Barlow" w:cstheme="minorHAnsi"/>
          <w:b/>
          <w:sz w:val="20"/>
          <w:szCs w:val="20"/>
        </w:rPr>
        <w:t xml:space="preserve"> los</w:t>
      </w:r>
      <w:r w:rsidR="009D77C0" w:rsidRPr="003E52D9">
        <w:rPr>
          <w:rFonts w:ascii="Barlow" w:hAnsi="Barlow" w:cstheme="minorHAnsi"/>
          <w:b/>
          <w:sz w:val="20"/>
          <w:szCs w:val="20"/>
        </w:rPr>
        <w:t xml:space="preserve"> Estados Financieros.</w:t>
      </w:r>
    </w:p>
    <w:p w14:paraId="2C5A8F16" w14:textId="77777777" w:rsidR="009D77C0" w:rsidRPr="003E52D9" w:rsidRDefault="009D77C0" w:rsidP="009D77C0">
      <w:pPr>
        <w:autoSpaceDE w:val="0"/>
        <w:autoSpaceDN w:val="0"/>
        <w:adjustRightInd w:val="0"/>
        <w:jc w:val="both"/>
        <w:rPr>
          <w:rFonts w:ascii="Barlow" w:hAnsi="Barlow" w:cstheme="minorHAnsi"/>
          <w:sz w:val="20"/>
          <w:szCs w:val="20"/>
        </w:rPr>
      </w:pPr>
    </w:p>
    <w:p w14:paraId="292FFFF5" w14:textId="77F6AA13" w:rsidR="009D77C0" w:rsidRDefault="009D77C0" w:rsidP="009D77C0">
      <w:pPr>
        <w:numPr>
          <w:ilvl w:val="0"/>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En la preparación de los Estados Financieros del Fondo de Seguridad Pública</w:t>
      </w:r>
      <w:r w:rsidR="00A31DFE">
        <w:rPr>
          <w:rFonts w:ascii="Barlow" w:hAnsi="Barlow" w:cstheme="minorHAnsi"/>
          <w:sz w:val="20"/>
          <w:szCs w:val="20"/>
        </w:rPr>
        <w:t xml:space="preserve"> del Estado de Yucatán</w:t>
      </w:r>
      <w:r w:rsidRPr="003E52D9">
        <w:rPr>
          <w:rFonts w:ascii="Barlow" w:hAnsi="Barlow" w:cstheme="minorHAnsi"/>
          <w:sz w:val="20"/>
          <w:szCs w:val="20"/>
        </w:rPr>
        <w:t>, se observó con lo establecido en la Ley General de Contabilidad Gubernamental, la Ley de Presupuesto y Contabilidad Gubernamental del Estado de Yucatán y demás disposiciones emitidas para tal efecto por el Consejo Nacional de Armonización Contable (CONAC) y realiza sus registros con base acumulativa para facilitar el registro, transparencia, la rendición de cuentas y la fiscalización de los activos, pasivos, patrimonio, ingresos y gastos y, en general, contribuir a medir la eficacia, economía y eficiencia del gasto e ingresos.</w:t>
      </w:r>
    </w:p>
    <w:p w14:paraId="2D6A46A0" w14:textId="77777777" w:rsidR="00397FC3" w:rsidRDefault="00397FC3" w:rsidP="00397FC3">
      <w:pPr>
        <w:autoSpaceDE w:val="0"/>
        <w:autoSpaceDN w:val="0"/>
        <w:adjustRightInd w:val="0"/>
        <w:ind w:left="720"/>
        <w:jc w:val="both"/>
        <w:rPr>
          <w:rFonts w:ascii="Barlow" w:hAnsi="Barlow" w:cstheme="minorHAnsi"/>
          <w:sz w:val="20"/>
          <w:szCs w:val="20"/>
        </w:rPr>
      </w:pPr>
    </w:p>
    <w:p w14:paraId="317B1FFD" w14:textId="62CC781B" w:rsidR="009D77C0" w:rsidRDefault="009D77C0" w:rsidP="009D77C0">
      <w:pPr>
        <w:numPr>
          <w:ilvl w:val="0"/>
          <w:numId w:val="4"/>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La base de medición utilizada en el registro de las operaciones para la elaboración d</w:t>
      </w:r>
      <w:r w:rsidR="002562DC">
        <w:rPr>
          <w:rFonts w:ascii="Barlow" w:hAnsi="Barlow" w:cstheme="minorHAnsi"/>
          <w:sz w:val="20"/>
          <w:szCs w:val="20"/>
        </w:rPr>
        <w:t>e los Estados Financieros es a c</w:t>
      </w:r>
      <w:r w:rsidRPr="003E52D9">
        <w:rPr>
          <w:rFonts w:ascii="Barlow" w:hAnsi="Barlow" w:cstheme="minorHAnsi"/>
          <w:sz w:val="20"/>
          <w:szCs w:val="20"/>
        </w:rPr>
        <w:t>osto histórico.</w:t>
      </w:r>
    </w:p>
    <w:p w14:paraId="2C924A77" w14:textId="77777777" w:rsidR="007E063F" w:rsidRPr="003E52D9" w:rsidRDefault="007E063F" w:rsidP="007E063F">
      <w:pPr>
        <w:autoSpaceDE w:val="0"/>
        <w:autoSpaceDN w:val="0"/>
        <w:adjustRightInd w:val="0"/>
        <w:ind w:left="720"/>
        <w:jc w:val="both"/>
        <w:rPr>
          <w:rFonts w:ascii="Barlow" w:hAnsi="Barlow" w:cstheme="minorHAnsi"/>
          <w:sz w:val="20"/>
          <w:szCs w:val="20"/>
        </w:rPr>
      </w:pPr>
    </w:p>
    <w:p w14:paraId="641B1C71" w14:textId="4FBEE603" w:rsidR="009D77C0" w:rsidRDefault="009D77C0" w:rsidP="00DA0411">
      <w:pPr>
        <w:numPr>
          <w:ilvl w:val="0"/>
          <w:numId w:val="4"/>
        </w:numPr>
        <w:autoSpaceDE w:val="0"/>
        <w:autoSpaceDN w:val="0"/>
        <w:adjustRightInd w:val="0"/>
        <w:jc w:val="both"/>
        <w:rPr>
          <w:rFonts w:ascii="Barlow" w:hAnsi="Barlow" w:cstheme="minorHAnsi"/>
          <w:sz w:val="20"/>
          <w:szCs w:val="20"/>
        </w:rPr>
      </w:pPr>
      <w:r w:rsidRPr="00EF4F94">
        <w:rPr>
          <w:rFonts w:ascii="Barlow" w:hAnsi="Barlow" w:cstheme="minorHAnsi"/>
          <w:sz w:val="20"/>
          <w:szCs w:val="20"/>
        </w:rPr>
        <w:t>Postulados básicos de la Contabilidad gubernamental aprobados por la CONAC y Publicados en el Diario Ofic</w:t>
      </w:r>
      <w:r w:rsidR="007E063F" w:rsidRPr="00EF4F94">
        <w:rPr>
          <w:rFonts w:ascii="Barlow" w:hAnsi="Barlow" w:cstheme="minorHAnsi"/>
          <w:sz w:val="20"/>
          <w:szCs w:val="20"/>
        </w:rPr>
        <w:t>ial del Estado para su di</w:t>
      </w:r>
      <w:r w:rsidR="00EF4F94">
        <w:rPr>
          <w:rFonts w:ascii="Barlow" w:hAnsi="Barlow" w:cstheme="minorHAnsi"/>
          <w:sz w:val="20"/>
          <w:szCs w:val="20"/>
        </w:rPr>
        <w:t>fusión.</w:t>
      </w:r>
    </w:p>
    <w:p w14:paraId="44DE6B1B" w14:textId="77777777" w:rsidR="00397FC3" w:rsidRDefault="00397FC3" w:rsidP="00EF4F94">
      <w:pPr>
        <w:pStyle w:val="Prrafodelista"/>
        <w:rPr>
          <w:rFonts w:ascii="Barlow" w:hAnsi="Barlow" w:cstheme="minorHAnsi"/>
          <w:sz w:val="20"/>
          <w:szCs w:val="20"/>
        </w:rPr>
      </w:pPr>
    </w:p>
    <w:p w14:paraId="7F1EF915"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Sustancia Económica</w:t>
      </w:r>
    </w:p>
    <w:p w14:paraId="5AC48D77" w14:textId="1960CC45" w:rsidR="007E063F" w:rsidRDefault="007E063F" w:rsidP="007E063F">
      <w:pPr>
        <w:autoSpaceDE w:val="0"/>
        <w:autoSpaceDN w:val="0"/>
        <w:adjustRightInd w:val="0"/>
        <w:ind w:left="1440"/>
        <w:jc w:val="both"/>
        <w:rPr>
          <w:rFonts w:ascii="Barlow" w:hAnsi="Barlow" w:cstheme="minorHAnsi"/>
          <w:sz w:val="20"/>
          <w:szCs w:val="20"/>
        </w:rPr>
      </w:pPr>
      <w:r w:rsidRPr="007E063F">
        <w:rPr>
          <w:rFonts w:ascii="Barlow" w:hAnsi="Barlow" w:cstheme="minorHAnsi"/>
          <w:sz w:val="20"/>
          <w:szCs w:val="20"/>
        </w:rPr>
        <w:t>Es el reconocimiento contable de las transacciones, transformaciones internas y otros eventos, que afectan económicamente al ente público y delimitan la operación del Sistema de Contabilidad Gubernamental</w:t>
      </w:r>
    </w:p>
    <w:p w14:paraId="52C3CF89" w14:textId="77777777" w:rsidR="007E063F" w:rsidRPr="007E063F" w:rsidRDefault="007E063F" w:rsidP="007E063F">
      <w:pPr>
        <w:autoSpaceDE w:val="0"/>
        <w:autoSpaceDN w:val="0"/>
        <w:adjustRightInd w:val="0"/>
        <w:ind w:left="1440"/>
        <w:jc w:val="both"/>
        <w:rPr>
          <w:rFonts w:ascii="Barlow" w:hAnsi="Barlow" w:cstheme="minorHAnsi"/>
          <w:b/>
          <w:sz w:val="20"/>
          <w:szCs w:val="20"/>
        </w:rPr>
      </w:pPr>
    </w:p>
    <w:p w14:paraId="62469942"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Entes Públicos</w:t>
      </w:r>
    </w:p>
    <w:p w14:paraId="467BD1C2" w14:textId="0C15AB4E" w:rsidR="003467F7" w:rsidRDefault="003467F7" w:rsidP="003467F7">
      <w:pPr>
        <w:autoSpaceDE w:val="0"/>
        <w:autoSpaceDN w:val="0"/>
        <w:adjustRightInd w:val="0"/>
        <w:ind w:left="1440"/>
        <w:jc w:val="both"/>
        <w:rPr>
          <w:rFonts w:ascii="Barlow" w:hAnsi="Barlow" w:cstheme="minorHAnsi"/>
          <w:sz w:val="20"/>
          <w:szCs w:val="20"/>
        </w:rPr>
      </w:pPr>
      <w:r w:rsidRPr="00EF4F94">
        <w:rPr>
          <w:rFonts w:ascii="Barlow" w:hAnsi="Barlow" w:cstheme="minorHAnsi"/>
          <w:sz w:val="20"/>
          <w:szCs w:val="20"/>
        </w:rPr>
        <w:t>El Fondo de Seguridad Pública</w:t>
      </w:r>
      <w:r w:rsidR="00A31DFE">
        <w:rPr>
          <w:rFonts w:ascii="Barlow" w:hAnsi="Barlow" w:cstheme="minorHAnsi"/>
          <w:sz w:val="20"/>
          <w:szCs w:val="20"/>
        </w:rPr>
        <w:t xml:space="preserve"> de Seguridad Pública</w:t>
      </w:r>
      <w:r w:rsidR="00397FC3">
        <w:rPr>
          <w:rFonts w:ascii="Barlow" w:hAnsi="Barlow" w:cstheme="minorHAnsi"/>
          <w:sz w:val="20"/>
          <w:szCs w:val="20"/>
        </w:rPr>
        <w:t xml:space="preserve"> del Estado de Yucatán</w:t>
      </w:r>
      <w:r w:rsidRPr="00EF4F94">
        <w:rPr>
          <w:rFonts w:ascii="Barlow" w:hAnsi="Barlow" w:cstheme="minorHAnsi"/>
          <w:sz w:val="20"/>
          <w:szCs w:val="20"/>
        </w:rPr>
        <w:t xml:space="preserve"> es establecido por un marco normativo específico, el cual determina sus objetivos, su ámbito de acción y sus limitaciones</w:t>
      </w:r>
      <w:r w:rsidR="00EF4F94" w:rsidRPr="00EF4F94">
        <w:rPr>
          <w:rFonts w:ascii="Barlow" w:hAnsi="Barlow" w:cstheme="minorHAnsi"/>
          <w:sz w:val="20"/>
          <w:szCs w:val="20"/>
        </w:rPr>
        <w:t>.</w:t>
      </w:r>
    </w:p>
    <w:p w14:paraId="52F32962" w14:textId="77777777" w:rsidR="0040708F" w:rsidRPr="003467F7" w:rsidRDefault="0040708F" w:rsidP="003467F7">
      <w:pPr>
        <w:autoSpaceDE w:val="0"/>
        <w:autoSpaceDN w:val="0"/>
        <w:adjustRightInd w:val="0"/>
        <w:ind w:left="1440"/>
        <w:jc w:val="both"/>
        <w:rPr>
          <w:rFonts w:ascii="Barlow" w:hAnsi="Barlow" w:cstheme="minorHAnsi"/>
          <w:sz w:val="20"/>
          <w:szCs w:val="20"/>
        </w:rPr>
      </w:pPr>
    </w:p>
    <w:p w14:paraId="497251EB"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Existencia Permanente</w:t>
      </w:r>
    </w:p>
    <w:p w14:paraId="04D2C6DD" w14:textId="0203EE90" w:rsidR="003467F7" w:rsidRDefault="00397FC3" w:rsidP="003467F7">
      <w:pPr>
        <w:autoSpaceDE w:val="0"/>
        <w:autoSpaceDN w:val="0"/>
        <w:adjustRightInd w:val="0"/>
        <w:ind w:left="1440"/>
        <w:jc w:val="both"/>
        <w:rPr>
          <w:rFonts w:ascii="Barlow" w:hAnsi="Barlow" w:cstheme="minorHAnsi"/>
          <w:sz w:val="20"/>
          <w:szCs w:val="20"/>
        </w:rPr>
      </w:pPr>
      <w:r w:rsidRPr="00D54564">
        <w:rPr>
          <w:rFonts w:ascii="Barlow" w:hAnsi="Barlow" w:cstheme="minorHAnsi"/>
          <w:sz w:val="20"/>
          <w:szCs w:val="20"/>
        </w:rPr>
        <w:t>El</w:t>
      </w:r>
      <w:r w:rsidR="003467F7" w:rsidRPr="00D54564">
        <w:rPr>
          <w:rFonts w:ascii="Barlow" w:hAnsi="Barlow" w:cstheme="minorHAnsi"/>
          <w:sz w:val="20"/>
          <w:szCs w:val="20"/>
        </w:rPr>
        <w:t xml:space="preserve"> Fondo de </w:t>
      </w:r>
      <w:r w:rsidR="00A31DFE" w:rsidRPr="00D54564">
        <w:rPr>
          <w:rFonts w:ascii="Barlow" w:hAnsi="Barlow" w:cstheme="minorHAnsi"/>
          <w:sz w:val="20"/>
          <w:szCs w:val="20"/>
        </w:rPr>
        <w:t>S</w:t>
      </w:r>
      <w:r w:rsidR="003467F7" w:rsidRPr="00D54564">
        <w:rPr>
          <w:rFonts w:ascii="Barlow" w:hAnsi="Barlow" w:cstheme="minorHAnsi"/>
          <w:sz w:val="20"/>
          <w:szCs w:val="20"/>
        </w:rPr>
        <w:t>eguridad Pública</w:t>
      </w:r>
      <w:r w:rsidR="00A31DFE" w:rsidRPr="00D54564">
        <w:rPr>
          <w:rFonts w:ascii="Barlow" w:hAnsi="Barlow" w:cstheme="minorHAnsi"/>
          <w:sz w:val="20"/>
          <w:szCs w:val="20"/>
        </w:rPr>
        <w:t xml:space="preserve"> del Estado de Yucatán</w:t>
      </w:r>
      <w:r w:rsidRPr="00D54564">
        <w:rPr>
          <w:rFonts w:ascii="Barlow" w:hAnsi="Barlow" w:cstheme="minorHAnsi"/>
          <w:sz w:val="20"/>
          <w:szCs w:val="20"/>
        </w:rPr>
        <w:t xml:space="preserve"> se encuentra en proceso de extinción.</w:t>
      </w:r>
    </w:p>
    <w:p w14:paraId="36597F24" w14:textId="77777777" w:rsidR="00397FC3" w:rsidRPr="003467F7" w:rsidRDefault="00397FC3" w:rsidP="003467F7">
      <w:pPr>
        <w:autoSpaceDE w:val="0"/>
        <w:autoSpaceDN w:val="0"/>
        <w:adjustRightInd w:val="0"/>
        <w:ind w:left="1440"/>
        <w:jc w:val="both"/>
        <w:rPr>
          <w:rFonts w:ascii="Barlow" w:hAnsi="Barlow" w:cstheme="minorHAnsi"/>
          <w:sz w:val="20"/>
          <w:szCs w:val="20"/>
        </w:rPr>
      </w:pPr>
    </w:p>
    <w:p w14:paraId="41BD6F26"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Revelación Suficiente</w:t>
      </w:r>
    </w:p>
    <w:p w14:paraId="1CABA4A5" w14:textId="01AA382A" w:rsidR="003467F7" w:rsidRPr="003467F7" w:rsidRDefault="003467F7" w:rsidP="003467F7">
      <w:pPr>
        <w:autoSpaceDE w:val="0"/>
        <w:autoSpaceDN w:val="0"/>
        <w:adjustRightInd w:val="0"/>
        <w:ind w:left="1440"/>
        <w:jc w:val="both"/>
        <w:rPr>
          <w:rFonts w:ascii="Barlow" w:hAnsi="Barlow" w:cstheme="minorHAnsi"/>
          <w:sz w:val="20"/>
          <w:szCs w:val="20"/>
        </w:rPr>
      </w:pPr>
      <w:r w:rsidRPr="003467F7">
        <w:rPr>
          <w:rFonts w:ascii="Barlow" w:hAnsi="Barlow" w:cstheme="minorHAnsi"/>
          <w:sz w:val="20"/>
          <w:szCs w:val="20"/>
        </w:rPr>
        <w:t xml:space="preserve">Los estados y la información financiera presentan de forma amplia y claramente la situación financiera del </w:t>
      </w:r>
      <w:r>
        <w:rPr>
          <w:rFonts w:ascii="Barlow" w:hAnsi="Barlow" w:cstheme="minorHAnsi"/>
          <w:sz w:val="20"/>
          <w:szCs w:val="20"/>
        </w:rPr>
        <w:t>Fondo de Seguridad Pública</w:t>
      </w:r>
      <w:r w:rsidR="00A31DFE">
        <w:rPr>
          <w:rFonts w:ascii="Barlow" w:hAnsi="Barlow" w:cstheme="minorHAnsi"/>
          <w:sz w:val="20"/>
          <w:szCs w:val="20"/>
        </w:rPr>
        <w:t xml:space="preserve"> del Estado de Yucatán</w:t>
      </w:r>
      <w:r>
        <w:rPr>
          <w:rFonts w:ascii="Barlow" w:hAnsi="Barlow" w:cstheme="minorHAnsi"/>
          <w:sz w:val="20"/>
          <w:szCs w:val="20"/>
        </w:rPr>
        <w:t>.</w:t>
      </w:r>
    </w:p>
    <w:p w14:paraId="1B5DE949"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lastRenderedPageBreak/>
        <w:t>Importancia Relativa</w:t>
      </w:r>
    </w:p>
    <w:p w14:paraId="5CC4CA84" w14:textId="31010B47" w:rsidR="003467F7" w:rsidRPr="003467F7" w:rsidRDefault="003467F7" w:rsidP="003467F7">
      <w:pPr>
        <w:autoSpaceDE w:val="0"/>
        <w:autoSpaceDN w:val="0"/>
        <w:adjustRightInd w:val="0"/>
        <w:ind w:left="1440"/>
        <w:jc w:val="both"/>
        <w:rPr>
          <w:rFonts w:ascii="Barlow" w:hAnsi="Barlow" w:cstheme="minorHAnsi"/>
          <w:sz w:val="20"/>
          <w:szCs w:val="20"/>
        </w:rPr>
      </w:pPr>
      <w:r w:rsidRPr="003467F7">
        <w:rPr>
          <w:rFonts w:ascii="Barlow" w:hAnsi="Barlow" w:cstheme="minorHAnsi"/>
          <w:sz w:val="20"/>
          <w:szCs w:val="20"/>
        </w:rPr>
        <w:t xml:space="preserve">La información muestra los aspectos importantes del </w:t>
      </w:r>
      <w:r>
        <w:rPr>
          <w:rFonts w:ascii="Barlow" w:hAnsi="Barlow" w:cstheme="minorHAnsi"/>
          <w:sz w:val="20"/>
          <w:szCs w:val="20"/>
        </w:rPr>
        <w:t>Fondo de Seguridad Pública</w:t>
      </w:r>
      <w:r w:rsidR="00A31DFE">
        <w:rPr>
          <w:rFonts w:ascii="Barlow" w:hAnsi="Barlow" w:cstheme="minorHAnsi"/>
          <w:sz w:val="20"/>
          <w:szCs w:val="20"/>
        </w:rPr>
        <w:t xml:space="preserve"> del Estado de Yucatán</w:t>
      </w:r>
      <w:r w:rsidRPr="003467F7">
        <w:rPr>
          <w:rFonts w:ascii="Barlow" w:hAnsi="Barlow" w:cstheme="minorHAnsi"/>
          <w:sz w:val="20"/>
          <w:szCs w:val="20"/>
        </w:rPr>
        <w:t xml:space="preserve"> que fueron reconocidos contablemente.</w:t>
      </w:r>
    </w:p>
    <w:p w14:paraId="26D838CF" w14:textId="77777777" w:rsidR="003467F7" w:rsidRPr="003E52D9" w:rsidRDefault="003467F7" w:rsidP="003467F7">
      <w:pPr>
        <w:autoSpaceDE w:val="0"/>
        <w:autoSpaceDN w:val="0"/>
        <w:adjustRightInd w:val="0"/>
        <w:ind w:left="1440"/>
        <w:jc w:val="both"/>
        <w:rPr>
          <w:rFonts w:ascii="Barlow" w:hAnsi="Barlow" w:cstheme="minorHAnsi"/>
          <w:sz w:val="20"/>
          <w:szCs w:val="20"/>
        </w:rPr>
      </w:pPr>
    </w:p>
    <w:p w14:paraId="7CCB5F3F"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Registro e Integración Presupuestaria</w:t>
      </w:r>
    </w:p>
    <w:p w14:paraId="43A5BADC" w14:textId="23392806" w:rsidR="003467F7" w:rsidRPr="002D1448" w:rsidRDefault="003467F7" w:rsidP="003467F7">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La información presupues</w:t>
      </w:r>
      <w:r w:rsidR="00A31DFE">
        <w:rPr>
          <w:rFonts w:ascii="Barlow" w:hAnsi="Barlow" w:cstheme="minorHAnsi"/>
          <w:sz w:val="20"/>
          <w:szCs w:val="20"/>
        </w:rPr>
        <w:t xml:space="preserve">taria del Fondo de </w:t>
      </w:r>
      <w:r w:rsidRPr="002D1448">
        <w:rPr>
          <w:rFonts w:ascii="Barlow" w:hAnsi="Barlow" w:cstheme="minorHAnsi"/>
          <w:sz w:val="20"/>
          <w:szCs w:val="20"/>
        </w:rPr>
        <w:t>Seguridad Pública</w:t>
      </w:r>
      <w:r w:rsidR="00A31DFE">
        <w:rPr>
          <w:rFonts w:ascii="Barlow" w:hAnsi="Barlow" w:cstheme="minorHAnsi"/>
          <w:sz w:val="20"/>
          <w:szCs w:val="20"/>
        </w:rPr>
        <w:t xml:space="preserve"> del Estado de Yucatán</w:t>
      </w:r>
      <w:r w:rsidRPr="002D1448">
        <w:rPr>
          <w:rFonts w:ascii="Barlow" w:hAnsi="Barlow" w:cstheme="minorHAnsi"/>
          <w:sz w:val="20"/>
          <w:szCs w:val="20"/>
        </w:rPr>
        <w:t xml:space="preserve"> se integra automáticamente con los registros contables</w:t>
      </w:r>
      <w:r w:rsidR="00EF4F94">
        <w:rPr>
          <w:rFonts w:ascii="Barlow" w:hAnsi="Barlow" w:cstheme="minorHAnsi"/>
          <w:sz w:val="20"/>
          <w:szCs w:val="20"/>
        </w:rPr>
        <w:t>.</w:t>
      </w:r>
    </w:p>
    <w:p w14:paraId="3B835981" w14:textId="77777777" w:rsidR="003467F7" w:rsidRPr="002D1448" w:rsidRDefault="003467F7" w:rsidP="003467F7">
      <w:pPr>
        <w:autoSpaceDE w:val="0"/>
        <w:autoSpaceDN w:val="0"/>
        <w:adjustRightInd w:val="0"/>
        <w:ind w:left="1440"/>
        <w:jc w:val="both"/>
        <w:rPr>
          <w:rFonts w:ascii="Barlow" w:hAnsi="Barlow" w:cstheme="minorHAnsi"/>
          <w:sz w:val="20"/>
          <w:szCs w:val="20"/>
        </w:rPr>
      </w:pPr>
    </w:p>
    <w:p w14:paraId="2111E9E7"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Consolidación de la Información Financiera</w:t>
      </w:r>
    </w:p>
    <w:p w14:paraId="2738517C" w14:textId="793ABCD5" w:rsidR="00A02BBD" w:rsidRPr="002D1448" w:rsidRDefault="005F0D38" w:rsidP="00A02BBD">
      <w:pPr>
        <w:autoSpaceDE w:val="0"/>
        <w:autoSpaceDN w:val="0"/>
        <w:adjustRightInd w:val="0"/>
        <w:ind w:left="1416"/>
        <w:jc w:val="both"/>
        <w:rPr>
          <w:rFonts w:ascii="Barlow" w:hAnsi="Barlow" w:cstheme="minorHAnsi"/>
          <w:sz w:val="20"/>
          <w:szCs w:val="20"/>
        </w:rPr>
      </w:pPr>
      <w:r>
        <w:rPr>
          <w:rFonts w:ascii="Barlow" w:hAnsi="Barlow" w:cstheme="minorHAnsi"/>
          <w:sz w:val="20"/>
          <w:szCs w:val="20"/>
        </w:rPr>
        <w:t>Sin información que revelar.</w:t>
      </w:r>
    </w:p>
    <w:p w14:paraId="36766C71" w14:textId="77777777" w:rsidR="00A02BBD" w:rsidRPr="002D1448" w:rsidRDefault="00A02BBD" w:rsidP="00A02BBD">
      <w:pPr>
        <w:autoSpaceDE w:val="0"/>
        <w:autoSpaceDN w:val="0"/>
        <w:adjustRightInd w:val="0"/>
        <w:ind w:left="1416"/>
        <w:jc w:val="both"/>
        <w:rPr>
          <w:rFonts w:ascii="Barlow" w:hAnsi="Barlow" w:cstheme="minorHAnsi"/>
          <w:sz w:val="20"/>
          <w:szCs w:val="20"/>
        </w:rPr>
      </w:pPr>
    </w:p>
    <w:p w14:paraId="4746F9B1"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Devengo Contable</w:t>
      </w:r>
    </w:p>
    <w:p w14:paraId="144C9F8B" w14:textId="0E57B2EE" w:rsidR="00A02BBD" w:rsidRPr="002D1448" w:rsidRDefault="00A02BBD" w:rsidP="00A02BBD">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Los registros contables del Fondo de Seguridad Pública</w:t>
      </w:r>
      <w:r w:rsidR="00A31DFE">
        <w:rPr>
          <w:rFonts w:ascii="Barlow" w:hAnsi="Barlow" w:cstheme="minorHAnsi"/>
          <w:sz w:val="20"/>
          <w:szCs w:val="20"/>
        </w:rPr>
        <w:t xml:space="preserve"> del Estado de Yucatán</w:t>
      </w:r>
      <w:r w:rsidRPr="002D1448">
        <w:rPr>
          <w:rFonts w:ascii="Barlow" w:hAnsi="Barlow" w:cstheme="minorHAnsi"/>
          <w:sz w:val="20"/>
          <w:szCs w:val="20"/>
        </w:rPr>
        <w:t xml:space="preserve"> se llevan con base acumulativa. El momento contable del ingreso devengado se realiza cuando existe jurídicamente el derecho de cobro y el momento contable del gasto devengado se registra cuando se reconoce una obligación de pago a favor de terceros por la recepción de conformidad de bienes, servicios y obra pública contratados</w:t>
      </w:r>
      <w:r w:rsidR="00EF4F94">
        <w:rPr>
          <w:rFonts w:ascii="Barlow" w:hAnsi="Barlow" w:cstheme="minorHAnsi"/>
          <w:sz w:val="20"/>
          <w:szCs w:val="20"/>
        </w:rPr>
        <w:t>.</w:t>
      </w:r>
    </w:p>
    <w:p w14:paraId="348B80FB" w14:textId="77777777" w:rsidR="00A02BBD" w:rsidRPr="002D1448" w:rsidRDefault="00A02BBD" w:rsidP="00A02BBD">
      <w:pPr>
        <w:autoSpaceDE w:val="0"/>
        <w:autoSpaceDN w:val="0"/>
        <w:adjustRightInd w:val="0"/>
        <w:ind w:left="1440"/>
        <w:jc w:val="both"/>
        <w:rPr>
          <w:rFonts w:ascii="Barlow" w:hAnsi="Barlow" w:cstheme="minorHAnsi"/>
          <w:sz w:val="20"/>
          <w:szCs w:val="20"/>
        </w:rPr>
      </w:pPr>
    </w:p>
    <w:p w14:paraId="08E5CCAD"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Valuación</w:t>
      </w:r>
    </w:p>
    <w:p w14:paraId="49456272" w14:textId="58E55357" w:rsidR="00A02BBD" w:rsidRPr="002D1448" w:rsidRDefault="00A02BBD" w:rsidP="00A02BBD">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 xml:space="preserve">Todos los eventos que afecten económicamente al </w:t>
      </w:r>
      <w:r w:rsidR="002D1448" w:rsidRPr="002D1448">
        <w:rPr>
          <w:rFonts w:ascii="Barlow" w:hAnsi="Barlow" w:cstheme="minorHAnsi"/>
          <w:sz w:val="20"/>
          <w:szCs w:val="20"/>
        </w:rPr>
        <w:t>Fondo de Seguridad Pública</w:t>
      </w:r>
      <w:r w:rsidR="00A31DFE">
        <w:rPr>
          <w:rFonts w:ascii="Barlow" w:hAnsi="Barlow" w:cstheme="minorHAnsi"/>
          <w:sz w:val="20"/>
          <w:szCs w:val="20"/>
        </w:rPr>
        <w:t xml:space="preserve"> del Estado de Yucatán</w:t>
      </w:r>
      <w:r w:rsidRPr="002D1448">
        <w:rPr>
          <w:rFonts w:ascii="Barlow" w:hAnsi="Barlow" w:cstheme="minorHAnsi"/>
          <w:sz w:val="20"/>
          <w:szCs w:val="20"/>
        </w:rPr>
        <w:t xml:space="preserve"> se cuantifica</w:t>
      </w:r>
      <w:r w:rsidR="002D1448" w:rsidRPr="002D1448">
        <w:rPr>
          <w:rFonts w:ascii="Barlow" w:hAnsi="Barlow" w:cstheme="minorHAnsi"/>
          <w:sz w:val="20"/>
          <w:szCs w:val="20"/>
        </w:rPr>
        <w:t>n</w:t>
      </w:r>
      <w:r w:rsidRPr="002D1448">
        <w:rPr>
          <w:rFonts w:ascii="Barlow" w:hAnsi="Barlow" w:cstheme="minorHAnsi"/>
          <w:sz w:val="20"/>
          <w:szCs w:val="20"/>
        </w:rPr>
        <w:t xml:space="preserve"> en términos m</w:t>
      </w:r>
      <w:r w:rsidR="002D1448" w:rsidRPr="002D1448">
        <w:rPr>
          <w:rFonts w:ascii="Barlow" w:hAnsi="Barlow" w:cstheme="minorHAnsi"/>
          <w:sz w:val="20"/>
          <w:szCs w:val="20"/>
        </w:rPr>
        <w:t>onetarios y se registran</w:t>
      </w:r>
      <w:r w:rsidR="00EF4F94">
        <w:rPr>
          <w:rFonts w:ascii="Barlow" w:hAnsi="Barlow" w:cstheme="minorHAnsi"/>
          <w:sz w:val="20"/>
          <w:szCs w:val="20"/>
        </w:rPr>
        <w:t xml:space="preserve"> al costo histórico.</w:t>
      </w:r>
    </w:p>
    <w:p w14:paraId="05DE9CD0" w14:textId="77777777" w:rsidR="00A02BBD" w:rsidRPr="002D1448" w:rsidRDefault="00A02BBD" w:rsidP="00A02BBD">
      <w:pPr>
        <w:autoSpaceDE w:val="0"/>
        <w:autoSpaceDN w:val="0"/>
        <w:adjustRightInd w:val="0"/>
        <w:ind w:left="1440"/>
        <w:jc w:val="both"/>
        <w:rPr>
          <w:rFonts w:ascii="Barlow" w:hAnsi="Barlow" w:cstheme="minorHAnsi"/>
          <w:sz w:val="20"/>
          <w:szCs w:val="20"/>
        </w:rPr>
      </w:pPr>
    </w:p>
    <w:p w14:paraId="72E9C65C" w14:textId="77777777"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Dualidad Económica</w:t>
      </w:r>
    </w:p>
    <w:p w14:paraId="0AE56BC3" w14:textId="436B6565" w:rsidR="002D1448" w:rsidRDefault="002D1448" w:rsidP="002D1448">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 xml:space="preserve">El </w:t>
      </w:r>
      <w:r>
        <w:rPr>
          <w:rFonts w:ascii="Barlow" w:hAnsi="Barlow" w:cstheme="minorHAnsi"/>
          <w:sz w:val="20"/>
          <w:szCs w:val="20"/>
        </w:rPr>
        <w:t>Fondo de Seguridad Pública</w:t>
      </w:r>
      <w:r w:rsidR="00A31DFE">
        <w:rPr>
          <w:rFonts w:ascii="Barlow" w:hAnsi="Barlow" w:cstheme="minorHAnsi"/>
          <w:sz w:val="20"/>
          <w:szCs w:val="20"/>
        </w:rPr>
        <w:t xml:space="preserve"> del Estado de Yucatán</w:t>
      </w:r>
      <w:r w:rsidRPr="002D1448">
        <w:rPr>
          <w:rFonts w:ascii="Barlow" w:hAnsi="Barlow" w:cstheme="minorHAnsi"/>
          <w:sz w:val="20"/>
          <w:szCs w:val="20"/>
        </w:rPr>
        <w:t xml:space="preserve"> reconoce en la contabilidad, la representación de las transacciones y algún otro evento que afecte su situación financiera, su composición por los recursos asignados para el logro de sus fines y por sus fuentes, conforme a los derechos y obligaciones.</w:t>
      </w:r>
    </w:p>
    <w:p w14:paraId="4543D486" w14:textId="563CF909" w:rsidR="0040708F" w:rsidRDefault="0040708F" w:rsidP="002D1448">
      <w:pPr>
        <w:autoSpaceDE w:val="0"/>
        <w:autoSpaceDN w:val="0"/>
        <w:adjustRightInd w:val="0"/>
        <w:ind w:left="1440"/>
        <w:jc w:val="both"/>
        <w:rPr>
          <w:rFonts w:ascii="Barlow" w:hAnsi="Barlow" w:cstheme="minorHAnsi"/>
          <w:sz w:val="20"/>
          <w:szCs w:val="20"/>
        </w:rPr>
      </w:pPr>
    </w:p>
    <w:p w14:paraId="0D6BBC7F" w14:textId="3C9662EA" w:rsidR="009D77C0" w:rsidRPr="002D1448" w:rsidRDefault="009D77C0" w:rsidP="009D77C0">
      <w:pPr>
        <w:numPr>
          <w:ilvl w:val="1"/>
          <w:numId w:val="4"/>
        </w:numPr>
        <w:autoSpaceDE w:val="0"/>
        <w:autoSpaceDN w:val="0"/>
        <w:adjustRightInd w:val="0"/>
        <w:jc w:val="both"/>
        <w:rPr>
          <w:rFonts w:ascii="Barlow" w:hAnsi="Barlow" w:cstheme="minorHAnsi"/>
          <w:sz w:val="20"/>
          <w:szCs w:val="20"/>
        </w:rPr>
      </w:pPr>
      <w:r w:rsidRPr="002D1448">
        <w:rPr>
          <w:rFonts w:ascii="Barlow" w:hAnsi="Barlow" w:cstheme="minorHAnsi"/>
          <w:sz w:val="20"/>
          <w:szCs w:val="20"/>
        </w:rPr>
        <w:t>Consistencia</w:t>
      </w:r>
    </w:p>
    <w:p w14:paraId="705D733C" w14:textId="2B2DEBB0" w:rsidR="00C53F1B" w:rsidRDefault="002D1448" w:rsidP="00C53F1B">
      <w:pPr>
        <w:autoSpaceDE w:val="0"/>
        <w:autoSpaceDN w:val="0"/>
        <w:adjustRightInd w:val="0"/>
        <w:ind w:left="1440"/>
        <w:jc w:val="both"/>
        <w:rPr>
          <w:rFonts w:ascii="Barlow" w:hAnsi="Barlow" w:cstheme="minorHAnsi"/>
          <w:sz w:val="20"/>
          <w:szCs w:val="20"/>
        </w:rPr>
      </w:pPr>
      <w:r w:rsidRPr="002D1448">
        <w:rPr>
          <w:rFonts w:ascii="Barlow" w:hAnsi="Barlow" w:cstheme="minorHAnsi"/>
          <w:sz w:val="20"/>
          <w:szCs w:val="20"/>
        </w:rPr>
        <w:t>Ante la existe</w:t>
      </w:r>
      <w:r>
        <w:rPr>
          <w:rFonts w:ascii="Barlow" w:hAnsi="Barlow" w:cstheme="minorHAnsi"/>
          <w:sz w:val="20"/>
          <w:szCs w:val="20"/>
        </w:rPr>
        <w:t>ncia de operaciones similares</w:t>
      </w:r>
      <w:r w:rsidRPr="002D1448">
        <w:rPr>
          <w:rFonts w:ascii="Barlow" w:hAnsi="Barlow" w:cstheme="minorHAnsi"/>
          <w:sz w:val="20"/>
          <w:szCs w:val="20"/>
        </w:rPr>
        <w:t xml:space="preserve"> el </w:t>
      </w:r>
      <w:r>
        <w:rPr>
          <w:rFonts w:ascii="Barlow" w:hAnsi="Barlow" w:cstheme="minorHAnsi"/>
          <w:sz w:val="20"/>
          <w:szCs w:val="20"/>
        </w:rPr>
        <w:t>Fondo de Seguridad Pública</w:t>
      </w:r>
      <w:r w:rsidR="00A31DFE">
        <w:rPr>
          <w:rFonts w:ascii="Barlow" w:hAnsi="Barlow" w:cstheme="minorHAnsi"/>
          <w:sz w:val="20"/>
          <w:szCs w:val="20"/>
        </w:rPr>
        <w:t xml:space="preserve"> del Estado de Yucatán</w:t>
      </w:r>
      <w:r w:rsidRPr="002D1448">
        <w:rPr>
          <w:rFonts w:ascii="Barlow" w:hAnsi="Barlow" w:cstheme="minorHAnsi"/>
          <w:sz w:val="20"/>
          <w:szCs w:val="20"/>
        </w:rPr>
        <w:t xml:space="preserve">, </w:t>
      </w:r>
      <w:r>
        <w:rPr>
          <w:rFonts w:ascii="Barlow" w:hAnsi="Barlow" w:cstheme="minorHAnsi"/>
          <w:sz w:val="20"/>
          <w:szCs w:val="20"/>
        </w:rPr>
        <w:t>otorga</w:t>
      </w:r>
      <w:r w:rsidRPr="002D1448">
        <w:rPr>
          <w:rFonts w:ascii="Barlow" w:hAnsi="Barlow" w:cstheme="minorHAnsi"/>
          <w:sz w:val="20"/>
          <w:szCs w:val="20"/>
        </w:rPr>
        <w:t xml:space="preserve"> </w:t>
      </w:r>
      <w:r>
        <w:rPr>
          <w:rFonts w:ascii="Barlow" w:hAnsi="Barlow" w:cstheme="minorHAnsi"/>
          <w:sz w:val="20"/>
          <w:szCs w:val="20"/>
        </w:rPr>
        <w:t>el</w:t>
      </w:r>
      <w:r w:rsidRPr="002D1448">
        <w:rPr>
          <w:rFonts w:ascii="Barlow" w:hAnsi="Barlow" w:cstheme="minorHAnsi"/>
          <w:sz w:val="20"/>
          <w:szCs w:val="20"/>
        </w:rPr>
        <w:t xml:space="preserve"> mismo tr</w:t>
      </w:r>
      <w:r>
        <w:rPr>
          <w:rFonts w:ascii="Barlow" w:hAnsi="Barlow" w:cstheme="minorHAnsi"/>
          <w:sz w:val="20"/>
          <w:szCs w:val="20"/>
        </w:rPr>
        <w:t>atamiento contable, el cual</w:t>
      </w:r>
      <w:r w:rsidRPr="002D1448">
        <w:rPr>
          <w:rFonts w:ascii="Barlow" w:hAnsi="Barlow" w:cstheme="minorHAnsi"/>
          <w:sz w:val="20"/>
          <w:szCs w:val="20"/>
        </w:rPr>
        <w:t xml:space="preserve"> permanece a través del tiempo, en tanto no cambie la esencia económica de las operaciones.</w:t>
      </w:r>
    </w:p>
    <w:p w14:paraId="21EA29DD" w14:textId="77777777" w:rsidR="002D1448" w:rsidRPr="003E52D9" w:rsidRDefault="002D1448" w:rsidP="00C53F1B">
      <w:pPr>
        <w:autoSpaceDE w:val="0"/>
        <w:autoSpaceDN w:val="0"/>
        <w:adjustRightInd w:val="0"/>
        <w:ind w:left="1440"/>
        <w:jc w:val="both"/>
        <w:rPr>
          <w:rFonts w:ascii="Barlow" w:hAnsi="Barlow" w:cstheme="minorHAnsi"/>
          <w:sz w:val="20"/>
          <w:szCs w:val="20"/>
        </w:rPr>
      </w:pPr>
    </w:p>
    <w:p w14:paraId="28040090" w14:textId="0AAE31BF" w:rsidR="00C53F1B" w:rsidRPr="00D54564" w:rsidRDefault="00C53F1B" w:rsidP="00C53F1B">
      <w:pPr>
        <w:numPr>
          <w:ilvl w:val="0"/>
          <w:numId w:val="4"/>
        </w:numPr>
        <w:autoSpaceDE w:val="0"/>
        <w:autoSpaceDN w:val="0"/>
        <w:adjustRightInd w:val="0"/>
        <w:jc w:val="both"/>
        <w:rPr>
          <w:rFonts w:ascii="Barlow" w:hAnsi="Barlow" w:cstheme="minorHAnsi"/>
          <w:sz w:val="20"/>
          <w:szCs w:val="20"/>
        </w:rPr>
      </w:pPr>
      <w:r w:rsidRPr="00D54564">
        <w:rPr>
          <w:rFonts w:ascii="Barlow" w:hAnsi="Barlow" w:cstheme="minorHAnsi"/>
          <w:sz w:val="20"/>
          <w:szCs w:val="20"/>
        </w:rPr>
        <w:t>Normatividad supletoria:</w:t>
      </w:r>
      <w:r w:rsidR="00BC4BFC" w:rsidRPr="00D54564">
        <w:rPr>
          <w:rFonts w:ascii="Barlow" w:hAnsi="Barlow" w:cstheme="minorHAnsi"/>
          <w:sz w:val="20"/>
          <w:szCs w:val="20"/>
        </w:rPr>
        <w:t xml:space="preserve"> </w:t>
      </w:r>
    </w:p>
    <w:p w14:paraId="4711311C" w14:textId="69216AA2" w:rsidR="00BC4BFC" w:rsidRDefault="00BC4BFC" w:rsidP="00BC4BFC">
      <w:pPr>
        <w:autoSpaceDE w:val="0"/>
        <w:autoSpaceDN w:val="0"/>
        <w:adjustRightInd w:val="0"/>
        <w:jc w:val="both"/>
        <w:rPr>
          <w:rFonts w:ascii="Barlow" w:hAnsi="Barlow" w:cstheme="minorHAnsi"/>
          <w:sz w:val="20"/>
          <w:szCs w:val="20"/>
          <w:highlight w:val="yellow"/>
        </w:rPr>
      </w:pPr>
    </w:p>
    <w:p w14:paraId="617D8DF6" w14:textId="22AB6352" w:rsidR="00D54564" w:rsidRPr="00D54564" w:rsidRDefault="00D54564" w:rsidP="00D54564">
      <w:pPr>
        <w:autoSpaceDE w:val="0"/>
        <w:autoSpaceDN w:val="0"/>
        <w:adjustRightInd w:val="0"/>
        <w:ind w:left="709"/>
        <w:jc w:val="both"/>
        <w:rPr>
          <w:rFonts w:ascii="Barlow" w:hAnsi="Barlow" w:cstheme="minorHAnsi"/>
          <w:sz w:val="20"/>
          <w:szCs w:val="20"/>
        </w:rPr>
      </w:pPr>
      <w:r w:rsidRPr="00D54564">
        <w:rPr>
          <w:rFonts w:ascii="Barlow" w:hAnsi="Barlow" w:cstheme="minorHAnsi"/>
          <w:sz w:val="20"/>
          <w:szCs w:val="20"/>
        </w:rPr>
        <w:t>Sin información que revelar debido a que el Fondo de Seguridad Pública del Estado de Yucatán se encuentra en proceso de extinción.</w:t>
      </w:r>
    </w:p>
    <w:p w14:paraId="14914BF8" w14:textId="77777777" w:rsidR="00BC4BFC" w:rsidRPr="00C53F1B" w:rsidRDefault="00BC4BFC" w:rsidP="00BC4BFC">
      <w:pPr>
        <w:autoSpaceDE w:val="0"/>
        <w:autoSpaceDN w:val="0"/>
        <w:adjustRightInd w:val="0"/>
        <w:jc w:val="both"/>
        <w:rPr>
          <w:rFonts w:ascii="Barlow" w:hAnsi="Barlow" w:cstheme="minorHAnsi"/>
          <w:sz w:val="20"/>
          <w:szCs w:val="20"/>
          <w:highlight w:val="yellow"/>
        </w:rPr>
      </w:pPr>
    </w:p>
    <w:p w14:paraId="3779E7F0" w14:textId="77777777" w:rsidR="001C07EE" w:rsidRDefault="002E1A3A" w:rsidP="00C53F1B">
      <w:pPr>
        <w:numPr>
          <w:ilvl w:val="0"/>
          <w:numId w:val="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lastRenderedPageBreak/>
        <w:t xml:space="preserve">Entidad que por primera vez que está Implementando la </w:t>
      </w:r>
      <w:r w:rsidR="00C53F1B" w:rsidRPr="002E1A3A">
        <w:rPr>
          <w:rFonts w:ascii="Barlow" w:hAnsi="Barlow" w:cstheme="minorHAnsi"/>
          <w:sz w:val="20"/>
          <w:szCs w:val="20"/>
        </w:rPr>
        <w:t>Base de devengado de a</w:t>
      </w:r>
      <w:r w:rsidR="002D1448" w:rsidRPr="002E1A3A">
        <w:rPr>
          <w:rFonts w:ascii="Barlow" w:hAnsi="Barlow" w:cstheme="minorHAnsi"/>
          <w:sz w:val="20"/>
          <w:szCs w:val="20"/>
        </w:rPr>
        <w:t>cuerdo a la Ley de Contabilidad.</w:t>
      </w:r>
      <w:r w:rsidRPr="002E1A3A">
        <w:rPr>
          <w:rFonts w:ascii="Barlow" w:hAnsi="Barlow" w:cstheme="minorHAnsi"/>
          <w:sz w:val="20"/>
          <w:szCs w:val="20"/>
        </w:rPr>
        <w:t xml:space="preserve"> </w:t>
      </w:r>
    </w:p>
    <w:p w14:paraId="2205AABC" w14:textId="77777777" w:rsidR="001C07EE" w:rsidRDefault="001C07EE" w:rsidP="001C07EE">
      <w:pPr>
        <w:autoSpaceDE w:val="0"/>
        <w:autoSpaceDN w:val="0"/>
        <w:adjustRightInd w:val="0"/>
        <w:ind w:left="720"/>
        <w:jc w:val="both"/>
        <w:rPr>
          <w:rFonts w:ascii="Barlow" w:hAnsi="Barlow" w:cstheme="minorHAnsi"/>
          <w:sz w:val="20"/>
          <w:szCs w:val="20"/>
        </w:rPr>
      </w:pPr>
    </w:p>
    <w:p w14:paraId="3A99DC06" w14:textId="5AC3BBBA" w:rsidR="00C53F1B" w:rsidRPr="002E1A3A" w:rsidRDefault="005F0D38" w:rsidP="001C07EE">
      <w:pPr>
        <w:autoSpaceDE w:val="0"/>
        <w:autoSpaceDN w:val="0"/>
        <w:adjustRightInd w:val="0"/>
        <w:ind w:left="720"/>
        <w:jc w:val="both"/>
        <w:rPr>
          <w:rFonts w:ascii="Barlow" w:hAnsi="Barlow" w:cstheme="minorHAnsi"/>
          <w:sz w:val="20"/>
          <w:szCs w:val="20"/>
        </w:rPr>
      </w:pPr>
      <w:r>
        <w:rPr>
          <w:rFonts w:ascii="Barlow" w:hAnsi="Barlow" w:cstheme="minorHAnsi"/>
          <w:sz w:val="20"/>
          <w:szCs w:val="20"/>
        </w:rPr>
        <w:t>Sin información que revelar.</w:t>
      </w:r>
    </w:p>
    <w:p w14:paraId="792B1E63" w14:textId="671CD47D" w:rsidR="009D77C0" w:rsidRDefault="009D77C0" w:rsidP="009D77C0">
      <w:pPr>
        <w:autoSpaceDE w:val="0"/>
        <w:autoSpaceDN w:val="0"/>
        <w:adjustRightInd w:val="0"/>
        <w:jc w:val="both"/>
        <w:rPr>
          <w:rFonts w:ascii="Barlow" w:hAnsi="Barlow" w:cstheme="minorHAnsi"/>
          <w:sz w:val="20"/>
          <w:szCs w:val="20"/>
        </w:rPr>
      </w:pPr>
    </w:p>
    <w:p w14:paraId="0639BC65" w14:textId="4E73B1CF" w:rsidR="009D77C0" w:rsidRDefault="00D65420"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5</w:t>
      </w:r>
      <w:r w:rsidR="009D77C0" w:rsidRPr="003E52D9">
        <w:rPr>
          <w:rFonts w:ascii="Barlow" w:hAnsi="Barlow" w:cstheme="minorHAnsi"/>
          <w:b/>
          <w:sz w:val="20"/>
          <w:szCs w:val="20"/>
        </w:rPr>
        <w:t>.- Políticas de Contabilidad Significativas.</w:t>
      </w:r>
    </w:p>
    <w:p w14:paraId="47791EED" w14:textId="77777777" w:rsidR="001C07EE" w:rsidRDefault="001C07EE" w:rsidP="009D77C0">
      <w:pPr>
        <w:autoSpaceDE w:val="0"/>
        <w:autoSpaceDN w:val="0"/>
        <w:adjustRightInd w:val="0"/>
        <w:jc w:val="both"/>
        <w:rPr>
          <w:rFonts w:ascii="Barlow" w:hAnsi="Barlow" w:cstheme="minorHAnsi"/>
          <w:b/>
          <w:sz w:val="20"/>
          <w:szCs w:val="20"/>
        </w:rPr>
      </w:pPr>
    </w:p>
    <w:p w14:paraId="5F03070C" w14:textId="6F2FF335"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Estados Financieros del Fondo de Seguridad Pública</w:t>
      </w:r>
      <w:r w:rsidR="00A31DFE">
        <w:rPr>
          <w:rFonts w:ascii="Barlow" w:hAnsi="Barlow" w:cstheme="minorHAnsi"/>
          <w:sz w:val="20"/>
          <w:szCs w:val="20"/>
        </w:rPr>
        <w:t xml:space="preserve"> del Estado de Yucatán</w:t>
      </w:r>
      <w:r w:rsidRPr="003E52D9">
        <w:rPr>
          <w:rFonts w:ascii="Barlow" w:hAnsi="Barlow" w:cstheme="minorHAnsi"/>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14:paraId="123244FC" w14:textId="60952D02" w:rsidR="009D77C0" w:rsidRPr="003E52D9" w:rsidRDefault="00910BA3" w:rsidP="009D77C0">
      <w:pPr>
        <w:numPr>
          <w:ilvl w:val="0"/>
          <w:numId w:val="5"/>
        </w:numPr>
        <w:autoSpaceDE w:val="0"/>
        <w:autoSpaceDN w:val="0"/>
        <w:adjustRightInd w:val="0"/>
        <w:jc w:val="both"/>
        <w:rPr>
          <w:rFonts w:ascii="Barlow" w:hAnsi="Barlow" w:cstheme="minorHAnsi"/>
          <w:sz w:val="20"/>
          <w:szCs w:val="20"/>
        </w:rPr>
      </w:pPr>
      <w:r>
        <w:rPr>
          <w:rFonts w:ascii="Barlow" w:hAnsi="Barlow" w:cstheme="minorHAnsi"/>
          <w:sz w:val="20"/>
          <w:szCs w:val="20"/>
        </w:rPr>
        <w:t>El Fondo de Se</w:t>
      </w:r>
      <w:r w:rsidR="009D77C0" w:rsidRPr="003E52D9">
        <w:rPr>
          <w:rFonts w:ascii="Barlow" w:hAnsi="Barlow" w:cstheme="minorHAnsi"/>
          <w:sz w:val="20"/>
          <w:szCs w:val="20"/>
        </w:rPr>
        <w:t>guridad Pública</w:t>
      </w:r>
      <w:r>
        <w:rPr>
          <w:rFonts w:ascii="Barlow" w:hAnsi="Barlow" w:cstheme="minorHAnsi"/>
          <w:sz w:val="20"/>
          <w:szCs w:val="20"/>
        </w:rPr>
        <w:t xml:space="preserve"> del Estado de Yucatán</w:t>
      </w:r>
      <w:r w:rsidR="009D77C0" w:rsidRPr="003E52D9">
        <w:rPr>
          <w:rFonts w:ascii="Barlow" w:hAnsi="Barlow" w:cstheme="minorHAnsi"/>
          <w:sz w:val="20"/>
          <w:szCs w:val="20"/>
        </w:rPr>
        <w:t>, no realizó operaciones en el extranjero.</w:t>
      </w:r>
    </w:p>
    <w:p w14:paraId="2D8D210F" w14:textId="2AF1C9F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El Fondo de </w:t>
      </w:r>
      <w:r w:rsidR="00910BA3">
        <w:rPr>
          <w:rFonts w:ascii="Barlow" w:hAnsi="Barlow" w:cstheme="minorHAnsi"/>
          <w:sz w:val="20"/>
          <w:szCs w:val="20"/>
        </w:rPr>
        <w:t>S</w:t>
      </w:r>
      <w:r w:rsidRPr="003E52D9">
        <w:rPr>
          <w:rFonts w:ascii="Barlow" w:hAnsi="Barlow" w:cstheme="minorHAnsi"/>
          <w:sz w:val="20"/>
          <w:szCs w:val="20"/>
        </w:rPr>
        <w:t>eguridad Pública del Estado de Yucatán no cuenta con inversión en acciones de Compañías subsidiarias no consolidadas y asociadas.</w:t>
      </w:r>
    </w:p>
    <w:p w14:paraId="1A3A080E" w14:textId="0EE5DF48" w:rsidR="009D77C0" w:rsidRPr="003E52D9" w:rsidRDefault="0040708F" w:rsidP="009D77C0">
      <w:pPr>
        <w:numPr>
          <w:ilvl w:val="0"/>
          <w:numId w:val="5"/>
        </w:numPr>
        <w:autoSpaceDE w:val="0"/>
        <w:autoSpaceDN w:val="0"/>
        <w:adjustRightInd w:val="0"/>
        <w:jc w:val="both"/>
        <w:rPr>
          <w:rFonts w:ascii="Barlow" w:hAnsi="Barlow" w:cstheme="minorHAnsi"/>
          <w:sz w:val="20"/>
          <w:szCs w:val="20"/>
        </w:rPr>
      </w:pPr>
      <w:r>
        <w:rPr>
          <w:rFonts w:ascii="Barlow" w:hAnsi="Barlow" w:cstheme="minorHAnsi"/>
          <w:sz w:val="20"/>
          <w:szCs w:val="20"/>
        </w:rPr>
        <w:t xml:space="preserve">A la fecha </w:t>
      </w:r>
      <w:r w:rsidR="009D77C0" w:rsidRPr="003E52D9">
        <w:rPr>
          <w:rFonts w:ascii="Barlow" w:hAnsi="Barlow" w:cstheme="minorHAnsi"/>
          <w:sz w:val="20"/>
          <w:szCs w:val="20"/>
        </w:rPr>
        <w:t>E</w:t>
      </w:r>
      <w:r w:rsidR="00910BA3">
        <w:rPr>
          <w:rFonts w:ascii="Barlow" w:hAnsi="Barlow" w:cstheme="minorHAnsi"/>
          <w:sz w:val="20"/>
          <w:szCs w:val="20"/>
        </w:rPr>
        <w:t xml:space="preserve">l Fondo de </w:t>
      </w:r>
      <w:r w:rsidR="009D77C0" w:rsidRPr="003E52D9">
        <w:rPr>
          <w:rFonts w:ascii="Barlow" w:hAnsi="Barlow" w:cstheme="minorHAnsi"/>
          <w:sz w:val="20"/>
          <w:szCs w:val="20"/>
        </w:rPr>
        <w:t xml:space="preserve">Seguridad Pública del Estado de Yucatán no cuenta con ningún tipo de </w:t>
      </w:r>
      <w:r w:rsidR="00833D98">
        <w:rPr>
          <w:rFonts w:ascii="Barlow" w:hAnsi="Barlow" w:cstheme="minorHAnsi"/>
          <w:sz w:val="20"/>
          <w:szCs w:val="20"/>
        </w:rPr>
        <w:t>inventario</w:t>
      </w:r>
      <w:r w:rsidR="009D77C0" w:rsidRPr="003E52D9">
        <w:rPr>
          <w:rFonts w:ascii="Barlow" w:hAnsi="Barlow" w:cstheme="minorHAnsi"/>
          <w:sz w:val="20"/>
          <w:szCs w:val="20"/>
        </w:rPr>
        <w:t>.</w:t>
      </w:r>
    </w:p>
    <w:p w14:paraId="3F53BF20" w14:textId="384C392C"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E</w:t>
      </w:r>
      <w:r w:rsidR="00910BA3">
        <w:rPr>
          <w:rFonts w:ascii="Barlow" w:hAnsi="Barlow" w:cstheme="minorHAnsi"/>
          <w:sz w:val="20"/>
          <w:szCs w:val="20"/>
        </w:rPr>
        <w:t xml:space="preserve">l Fondo de </w:t>
      </w:r>
      <w:r w:rsidRPr="003E52D9">
        <w:rPr>
          <w:rFonts w:ascii="Barlow" w:hAnsi="Barlow" w:cstheme="minorHAnsi"/>
          <w:sz w:val="20"/>
          <w:szCs w:val="20"/>
        </w:rPr>
        <w:t>Seguridad Pública del Estado de Yucatán no reali</w:t>
      </w:r>
      <w:r w:rsidR="0091151C">
        <w:rPr>
          <w:rFonts w:ascii="Barlow" w:hAnsi="Barlow" w:cstheme="minorHAnsi"/>
          <w:sz w:val="20"/>
          <w:szCs w:val="20"/>
        </w:rPr>
        <w:t>za cálculo de reserva actuarial, ni la comparación del valor presente de los ingresos, en virtud de no tener ingresos propios ya que los ingresos provienen de ministraciones.</w:t>
      </w:r>
    </w:p>
    <w:p w14:paraId="0AD817C1"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Estados financieros no presentan registros de provisiones.</w:t>
      </w:r>
    </w:p>
    <w:p w14:paraId="1F13F486" w14:textId="77777777"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Los Estados financieros no presentan registros de reservas.</w:t>
      </w:r>
    </w:p>
    <w:p w14:paraId="5B986F00" w14:textId="4B7550EE" w:rsidR="009D77C0" w:rsidRPr="003E52D9"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No se</w:t>
      </w:r>
      <w:r w:rsidR="0040708F">
        <w:rPr>
          <w:rFonts w:ascii="Barlow" w:hAnsi="Barlow" w:cstheme="minorHAnsi"/>
          <w:sz w:val="20"/>
          <w:szCs w:val="20"/>
        </w:rPr>
        <w:t xml:space="preserve"> han</w:t>
      </w:r>
      <w:r w:rsidRPr="003E52D9">
        <w:rPr>
          <w:rFonts w:ascii="Barlow" w:hAnsi="Barlow" w:cstheme="minorHAnsi"/>
          <w:sz w:val="20"/>
          <w:szCs w:val="20"/>
        </w:rPr>
        <w:t xml:space="preserve"> realizaron cambios </w:t>
      </w:r>
      <w:r w:rsidR="00833D98">
        <w:rPr>
          <w:rFonts w:ascii="Barlow" w:hAnsi="Barlow" w:cstheme="minorHAnsi"/>
          <w:sz w:val="20"/>
          <w:szCs w:val="20"/>
        </w:rPr>
        <w:t xml:space="preserve">en políticas </w:t>
      </w:r>
      <w:r w:rsidRPr="003E52D9">
        <w:rPr>
          <w:rFonts w:ascii="Barlow" w:hAnsi="Barlow" w:cstheme="minorHAnsi"/>
          <w:sz w:val="20"/>
          <w:szCs w:val="20"/>
        </w:rPr>
        <w:t>contables</w:t>
      </w:r>
      <w:r w:rsidR="00833D98">
        <w:rPr>
          <w:rFonts w:ascii="Barlow" w:hAnsi="Barlow" w:cstheme="minorHAnsi"/>
          <w:sz w:val="20"/>
          <w:szCs w:val="20"/>
        </w:rPr>
        <w:t xml:space="preserve"> ni corrección de errores</w:t>
      </w:r>
      <w:r w:rsidRPr="003E52D9">
        <w:rPr>
          <w:rFonts w:ascii="Barlow" w:hAnsi="Barlow" w:cstheme="minorHAnsi"/>
          <w:sz w:val="20"/>
          <w:szCs w:val="20"/>
        </w:rPr>
        <w:t xml:space="preserve"> durante el p</w:t>
      </w:r>
      <w:r w:rsidR="0040708F">
        <w:rPr>
          <w:rFonts w:ascii="Barlow" w:hAnsi="Barlow" w:cstheme="minorHAnsi"/>
          <w:sz w:val="20"/>
          <w:szCs w:val="20"/>
        </w:rPr>
        <w:t>resente ejercicio</w:t>
      </w:r>
      <w:r w:rsidRPr="003E52D9">
        <w:rPr>
          <w:rFonts w:ascii="Barlow" w:hAnsi="Barlow" w:cstheme="minorHAnsi"/>
          <w:sz w:val="20"/>
          <w:szCs w:val="20"/>
        </w:rPr>
        <w:t>.</w:t>
      </w:r>
    </w:p>
    <w:p w14:paraId="3DE5E5E9" w14:textId="486B9C26" w:rsidR="00E552BE" w:rsidRDefault="009D77C0" w:rsidP="009D77C0">
      <w:pPr>
        <w:numPr>
          <w:ilvl w:val="0"/>
          <w:numId w:val="5"/>
        </w:numPr>
        <w:autoSpaceDE w:val="0"/>
        <w:autoSpaceDN w:val="0"/>
        <w:adjustRightInd w:val="0"/>
        <w:jc w:val="both"/>
        <w:rPr>
          <w:rFonts w:ascii="Barlow" w:hAnsi="Barlow" w:cstheme="minorHAnsi"/>
          <w:sz w:val="20"/>
          <w:szCs w:val="20"/>
        </w:rPr>
      </w:pPr>
      <w:r w:rsidRPr="003E52D9">
        <w:rPr>
          <w:rFonts w:ascii="Barlow" w:hAnsi="Barlow" w:cstheme="minorHAnsi"/>
          <w:sz w:val="20"/>
          <w:szCs w:val="20"/>
        </w:rPr>
        <w:t>Respec</w:t>
      </w:r>
      <w:r w:rsidR="00833D98">
        <w:rPr>
          <w:rFonts w:ascii="Barlow" w:hAnsi="Barlow" w:cstheme="minorHAnsi"/>
          <w:sz w:val="20"/>
          <w:szCs w:val="20"/>
        </w:rPr>
        <w:t xml:space="preserve">to a las </w:t>
      </w:r>
      <w:r w:rsidRPr="003E52D9">
        <w:rPr>
          <w:rFonts w:ascii="Barlow" w:hAnsi="Barlow" w:cstheme="minorHAnsi"/>
          <w:sz w:val="20"/>
          <w:szCs w:val="20"/>
        </w:rPr>
        <w:t>reclasificaciones</w:t>
      </w:r>
      <w:r w:rsidR="00E552BE">
        <w:rPr>
          <w:rFonts w:ascii="Barlow" w:hAnsi="Barlow" w:cstheme="minorHAnsi"/>
          <w:sz w:val="20"/>
          <w:szCs w:val="20"/>
        </w:rPr>
        <w:t xml:space="preserve">, </w:t>
      </w:r>
      <w:r w:rsidR="00E552BE" w:rsidRPr="003E52D9">
        <w:rPr>
          <w:rFonts w:ascii="Barlow" w:hAnsi="Barlow" w:cstheme="minorHAnsi"/>
          <w:sz w:val="20"/>
          <w:szCs w:val="20"/>
        </w:rPr>
        <w:t>si existieran, estos se ven reflejados en la cuenta</w:t>
      </w:r>
      <w:r w:rsidR="003D5B75">
        <w:rPr>
          <w:rFonts w:ascii="Barlow" w:hAnsi="Barlow" w:cstheme="minorHAnsi"/>
          <w:sz w:val="20"/>
          <w:szCs w:val="20"/>
        </w:rPr>
        <w:t xml:space="preserve"> p</w:t>
      </w:r>
      <w:r w:rsidR="00E552BE" w:rsidRPr="003E52D9">
        <w:rPr>
          <w:rFonts w:ascii="Barlow" w:hAnsi="Barlow" w:cstheme="minorHAnsi"/>
          <w:sz w:val="20"/>
          <w:szCs w:val="20"/>
        </w:rPr>
        <w:t>ública.</w:t>
      </w:r>
    </w:p>
    <w:p w14:paraId="01E7474B" w14:textId="6EAE8B62" w:rsidR="009D77C0" w:rsidRDefault="00E552BE" w:rsidP="009D77C0">
      <w:pPr>
        <w:numPr>
          <w:ilvl w:val="0"/>
          <w:numId w:val="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D</w:t>
      </w:r>
      <w:r w:rsidR="009D77C0" w:rsidRPr="002E1A3A">
        <w:rPr>
          <w:rFonts w:ascii="Barlow" w:hAnsi="Barlow" w:cstheme="minorHAnsi"/>
          <w:sz w:val="20"/>
          <w:szCs w:val="20"/>
        </w:rPr>
        <w:t xml:space="preserve">epuración y cancelación de saldos, si existieran, estos se ven reflejados en la cuenta </w:t>
      </w:r>
      <w:r w:rsidR="006826C9" w:rsidRPr="002E1A3A">
        <w:rPr>
          <w:rFonts w:ascii="Barlow" w:hAnsi="Barlow" w:cstheme="minorHAnsi"/>
          <w:sz w:val="20"/>
          <w:szCs w:val="20"/>
        </w:rPr>
        <w:t>p</w:t>
      </w:r>
      <w:r w:rsidR="009D77C0" w:rsidRPr="002E1A3A">
        <w:rPr>
          <w:rFonts w:ascii="Barlow" w:hAnsi="Barlow" w:cstheme="minorHAnsi"/>
          <w:sz w:val="20"/>
          <w:szCs w:val="20"/>
        </w:rPr>
        <w:t>ública.</w:t>
      </w:r>
    </w:p>
    <w:p w14:paraId="39260F09" w14:textId="77777777" w:rsidR="0040708F" w:rsidRPr="002E1A3A" w:rsidRDefault="0040708F" w:rsidP="0040708F">
      <w:pPr>
        <w:autoSpaceDE w:val="0"/>
        <w:autoSpaceDN w:val="0"/>
        <w:adjustRightInd w:val="0"/>
        <w:ind w:left="720"/>
        <w:jc w:val="both"/>
        <w:rPr>
          <w:rFonts w:ascii="Barlow" w:hAnsi="Barlow" w:cstheme="minorHAnsi"/>
          <w:sz w:val="20"/>
          <w:szCs w:val="20"/>
        </w:rPr>
      </w:pPr>
    </w:p>
    <w:p w14:paraId="36F28017" w14:textId="79E3A579" w:rsidR="009D77C0" w:rsidRDefault="00D65420"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6</w:t>
      </w:r>
      <w:r w:rsidR="009D77C0" w:rsidRPr="003E52D9">
        <w:rPr>
          <w:rFonts w:ascii="Barlow" w:hAnsi="Barlow" w:cstheme="minorHAnsi"/>
          <w:b/>
          <w:sz w:val="20"/>
          <w:szCs w:val="20"/>
        </w:rPr>
        <w:t>.- Posición en Moneda Extranjera y Protección por Riesgo Cambiario.</w:t>
      </w:r>
    </w:p>
    <w:p w14:paraId="2D500D17" w14:textId="73130830" w:rsidR="00FC56EE" w:rsidRDefault="00FC56EE" w:rsidP="009D77C0">
      <w:pPr>
        <w:autoSpaceDE w:val="0"/>
        <w:autoSpaceDN w:val="0"/>
        <w:adjustRightInd w:val="0"/>
        <w:jc w:val="both"/>
        <w:rPr>
          <w:rFonts w:ascii="Barlow" w:hAnsi="Barlow" w:cstheme="minorHAnsi"/>
          <w:b/>
          <w:sz w:val="20"/>
          <w:szCs w:val="20"/>
        </w:rPr>
      </w:pPr>
    </w:p>
    <w:p w14:paraId="057D5536" w14:textId="605495B4" w:rsidR="00AA14F8" w:rsidRPr="002E1A3A" w:rsidRDefault="00AA14F8"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El Fondo de Seguridad Pública del Estado de Yucatán</w:t>
      </w:r>
      <w:r w:rsidR="00C64420" w:rsidRPr="002E1A3A">
        <w:rPr>
          <w:rFonts w:ascii="Barlow" w:hAnsi="Barlow" w:cstheme="minorHAnsi"/>
          <w:sz w:val="20"/>
          <w:szCs w:val="20"/>
        </w:rPr>
        <w:t>,</w:t>
      </w:r>
      <w:r w:rsidRPr="002E1A3A">
        <w:rPr>
          <w:rFonts w:ascii="Barlow" w:hAnsi="Barlow" w:cstheme="minorHAnsi"/>
          <w:sz w:val="20"/>
          <w:szCs w:val="20"/>
        </w:rPr>
        <w:t xml:space="preserve"> no cuenta con ningún activo en moneda extranjera.</w:t>
      </w:r>
    </w:p>
    <w:p w14:paraId="08BF43C5" w14:textId="23B6312C" w:rsidR="00AA14F8" w:rsidRPr="002E1A3A" w:rsidRDefault="00AA14F8"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w:t>
      </w:r>
      <w:r w:rsidR="00910BA3">
        <w:rPr>
          <w:rFonts w:ascii="Barlow" w:hAnsi="Barlow" w:cstheme="minorHAnsi"/>
          <w:sz w:val="20"/>
          <w:szCs w:val="20"/>
        </w:rPr>
        <w:t xml:space="preserve">l Fondo de </w:t>
      </w:r>
      <w:r w:rsidRPr="002E1A3A">
        <w:rPr>
          <w:rFonts w:ascii="Barlow" w:hAnsi="Barlow" w:cstheme="minorHAnsi"/>
          <w:sz w:val="20"/>
          <w:szCs w:val="20"/>
        </w:rPr>
        <w:t>Seguridad Pública del Estado de Yucatán</w:t>
      </w:r>
      <w:r w:rsidR="00C64420" w:rsidRPr="002E1A3A">
        <w:rPr>
          <w:rFonts w:ascii="Barlow" w:hAnsi="Barlow" w:cstheme="minorHAnsi"/>
          <w:sz w:val="20"/>
          <w:szCs w:val="20"/>
        </w:rPr>
        <w:t>,</w:t>
      </w:r>
      <w:r w:rsidRPr="002E1A3A">
        <w:rPr>
          <w:rFonts w:ascii="Barlow" w:hAnsi="Barlow" w:cstheme="minorHAnsi"/>
          <w:sz w:val="20"/>
          <w:szCs w:val="20"/>
        </w:rPr>
        <w:t xml:space="preserve"> no cuenta con ningún pasivo en moneda extranjera.</w:t>
      </w:r>
    </w:p>
    <w:p w14:paraId="2E7FE637" w14:textId="6DFFC48C" w:rsidR="00C64420" w:rsidRPr="002E1A3A" w:rsidRDefault="00C64420"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w:t>
      </w:r>
      <w:r w:rsidR="00910BA3">
        <w:rPr>
          <w:rFonts w:ascii="Barlow" w:hAnsi="Barlow" w:cstheme="minorHAnsi"/>
          <w:sz w:val="20"/>
          <w:szCs w:val="20"/>
        </w:rPr>
        <w:t xml:space="preserve">l Fondo de </w:t>
      </w:r>
      <w:r w:rsidRPr="002E1A3A">
        <w:rPr>
          <w:rFonts w:ascii="Barlow" w:hAnsi="Barlow" w:cstheme="minorHAnsi"/>
          <w:sz w:val="20"/>
          <w:szCs w:val="20"/>
        </w:rPr>
        <w:t>Seguridad Pública del Estado de Yucatán, no cuenta con recursos en moneda extranjera.</w:t>
      </w:r>
    </w:p>
    <w:p w14:paraId="20C08966" w14:textId="244F30FF" w:rsidR="00C64420" w:rsidRPr="002E1A3A" w:rsidRDefault="00C64420"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 xml:space="preserve">Tipo de cambio, el Fondo de </w:t>
      </w:r>
      <w:r w:rsidR="00910BA3">
        <w:rPr>
          <w:rFonts w:ascii="Barlow" w:hAnsi="Barlow" w:cstheme="minorHAnsi"/>
          <w:sz w:val="20"/>
          <w:szCs w:val="20"/>
        </w:rPr>
        <w:t>S</w:t>
      </w:r>
      <w:r w:rsidRPr="002E1A3A">
        <w:rPr>
          <w:rFonts w:ascii="Barlow" w:hAnsi="Barlow" w:cstheme="minorHAnsi"/>
          <w:sz w:val="20"/>
          <w:szCs w:val="20"/>
        </w:rPr>
        <w:t>eguridad Pública del Estado de Yucatán, no cuenta con recursos en moneda extranjera para valu</w:t>
      </w:r>
      <w:r w:rsidR="005F0D38">
        <w:rPr>
          <w:rFonts w:ascii="Barlow" w:hAnsi="Barlow" w:cstheme="minorHAnsi"/>
          <w:sz w:val="20"/>
          <w:szCs w:val="20"/>
        </w:rPr>
        <w:t>ar al tipo de cambio vigente al</w:t>
      </w:r>
      <w:r w:rsidRPr="002E1A3A">
        <w:rPr>
          <w:rFonts w:ascii="Barlow" w:hAnsi="Barlow" w:cstheme="minorHAnsi"/>
          <w:sz w:val="20"/>
          <w:szCs w:val="20"/>
        </w:rPr>
        <w:t xml:space="preserve"> </w:t>
      </w:r>
      <w:r w:rsidR="00EE1B6C">
        <w:rPr>
          <w:rFonts w:ascii="Barlow" w:hAnsi="Barlow" w:cstheme="minorHAnsi"/>
          <w:sz w:val="20"/>
          <w:szCs w:val="20"/>
        </w:rPr>
        <w:t>31 de marzo de 2025</w:t>
      </w:r>
      <w:r w:rsidRPr="002E1A3A">
        <w:rPr>
          <w:rFonts w:ascii="Barlow" w:hAnsi="Barlow" w:cstheme="minorHAnsi"/>
          <w:sz w:val="20"/>
          <w:szCs w:val="20"/>
        </w:rPr>
        <w:t>.</w:t>
      </w:r>
    </w:p>
    <w:p w14:paraId="22FF2413" w14:textId="57F0CDC7" w:rsidR="00BF4FDC" w:rsidRPr="002E1A3A" w:rsidRDefault="00BF4FDC" w:rsidP="000D5D69">
      <w:pPr>
        <w:pStyle w:val="Prrafodelista"/>
        <w:numPr>
          <w:ilvl w:val="0"/>
          <w:numId w:val="13"/>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E</w:t>
      </w:r>
      <w:r w:rsidR="00910BA3">
        <w:rPr>
          <w:rFonts w:ascii="Barlow" w:hAnsi="Barlow" w:cstheme="minorHAnsi"/>
          <w:sz w:val="20"/>
          <w:szCs w:val="20"/>
        </w:rPr>
        <w:t xml:space="preserve">l Fondo de </w:t>
      </w:r>
      <w:r w:rsidRPr="002E1A3A">
        <w:rPr>
          <w:rFonts w:ascii="Barlow" w:hAnsi="Barlow" w:cstheme="minorHAnsi"/>
          <w:sz w:val="20"/>
          <w:szCs w:val="20"/>
        </w:rPr>
        <w:t xml:space="preserve">Seguridad Pública del Estado de Yucatán, al no tener recursos en moneda extranjera y poder valuar al tipo de cambio vigente al </w:t>
      </w:r>
      <w:r w:rsidR="00EE1B6C">
        <w:rPr>
          <w:rFonts w:ascii="Barlow" w:hAnsi="Barlow" w:cstheme="minorHAnsi"/>
          <w:sz w:val="20"/>
          <w:szCs w:val="20"/>
        </w:rPr>
        <w:t>31 de marzo de 2025</w:t>
      </w:r>
      <w:r w:rsidRPr="002E1A3A">
        <w:rPr>
          <w:rFonts w:ascii="Barlow" w:hAnsi="Barlow" w:cstheme="minorHAnsi"/>
          <w:sz w:val="20"/>
          <w:szCs w:val="20"/>
        </w:rPr>
        <w:t>, no tiene un equivalente en moneda nacional.</w:t>
      </w:r>
    </w:p>
    <w:p w14:paraId="09E39A75" w14:textId="77777777" w:rsidR="009D77C0" w:rsidRDefault="009D77C0" w:rsidP="009D77C0">
      <w:pPr>
        <w:autoSpaceDE w:val="0"/>
        <w:autoSpaceDN w:val="0"/>
        <w:adjustRightInd w:val="0"/>
        <w:jc w:val="both"/>
        <w:rPr>
          <w:rFonts w:ascii="Barlow" w:hAnsi="Barlow" w:cstheme="minorHAnsi"/>
          <w:b/>
          <w:sz w:val="20"/>
          <w:szCs w:val="20"/>
        </w:rPr>
      </w:pPr>
    </w:p>
    <w:p w14:paraId="10E7B182" w14:textId="77777777" w:rsidR="00FD08F0" w:rsidRDefault="00FD08F0" w:rsidP="009D77C0">
      <w:pPr>
        <w:autoSpaceDE w:val="0"/>
        <w:autoSpaceDN w:val="0"/>
        <w:adjustRightInd w:val="0"/>
        <w:jc w:val="both"/>
        <w:rPr>
          <w:rFonts w:ascii="Barlow" w:hAnsi="Barlow" w:cstheme="minorHAnsi"/>
          <w:b/>
          <w:sz w:val="20"/>
          <w:szCs w:val="20"/>
        </w:rPr>
      </w:pPr>
    </w:p>
    <w:p w14:paraId="7BA93E03" w14:textId="5E0C1753" w:rsidR="009D77C0" w:rsidRPr="003E52D9" w:rsidRDefault="007C3F9B"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lastRenderedPageBreak/>
        <w:t>7</w:t>
      </w:r>
      <w:r w:rsidR="009D77C0" w:rsidRPr="003E52D9">
        <w:rPr>
          <w:rFonts w:ascii="Barlow" w:hAnsi="Barlow" w:cstheme="minorHAnsi"/>
          <w:b/>
          <w:sz w:val="20"/>
          <w:szCs w:val="20"/>
        </w:rPr>
        <w:t>.- Reporte Analítico del Activo.</w:t>
      </w:r>
    </w:p>
    <w:p w14:paraId="26BCEC2E" w14:textId="77777777" w:rsidR="009D77C0" w:rsidRPr="003E52D9" w:rsidRDefault="009D77C0" w:rsidP="009D77C0">
      <w:pPr>
        <w:autoSpaceDE w:val="0"/>
        <w:autoSpaceDN w:val="0"/>
        <w:adjustRightInd w:val="0"/>
        <w:jc w:val="both"/>
        <w:rPr>
          <w:rFonts w:ascii="Barlow" w:hAnsi="Barlow" w:cstheme="minorHAnsi"/>
          <w:b/>
          <w:sz w:val="20"/>
          <w:szCs w:val="20"/>
        </w:rPr>
      </w:pPr>
    </w:p>
    <w:p w14:paraId="38BD7A8D" w14:textId="77777777" w:rsidR="009D77C0"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2C934725" w14:textId="77777777" w:rsidR="00D54564" w:rsidRPr="003E52D9" w:rsidRDefault="00D54564" w:rsidP="009D77C0">
      <w:pPr>
        <w:autoSpaceDE w:val="0"/>
        <w:autoSpaceDN w:val="0"/>
        <w:adjustRightInd w:val="0"/>
        <w:jc w:val="both"/>
        <w:rPr>
          <w:rFonts w:ascii="Barlow" w:hAnsi="Barlow" w:cstheme="minorHAnsi"/>
          <w:sz w:val="20"/>
          <w:szCs w:val="20"/>
        </w:rPr>
      </w:pPr>
    </w:p>
    <w:p w14:paraId="581344E5" w14:textId="3D3C3651" w:rsidR="009D77C0" w:rsidRDefault="009D77C0" w:rsidP="009D77C0">
      <w:pPr>
        <w:autoSpaceDE w:val="0"/>
        <w:autoSpaceDN w:val="0"/>
        <w:adjustRightInd w:val="0"/>
        <w:jc w:val="both"/>
        <w:rPr>
          <w:rFonts w:ascii="Barlow" w:hAnsi="Barlow" w:cstheme="minorHAnsi"/>
          <w:sz w:val="20"/>
          <w:szCs w:val="20"/>
        </w:rPr>
      </w:pPr>
      <w:r w:rsidRPr="00D54564">
        <w:rPr>
          <w:rFonts w:ascii="Barlow" w:hAnsi="Barlow" w:cstheme="minorHAnsi"/>
          <w:sz w:val="20"/>
          <w:szCs w:val="20"/>
        </w:rPr>
        <w:t xml:space="preserve">Por tal motivo cabe aclarar que de acuerdo </w:t>
      </w:r>
      <w:r w:rsidR="00D54564" w:rsidRPr="00D54564">
        <w:rPr>
          <w:rFonts w:ascii="Barlow" w:hAnsi="Barlow" w:cstheme="minorHAnsi"/>
          <w:sz w:val="20"/>
          <w:szCs w:val="20"/>
        </w:rPr>
        <w:t>a la naturaleza y atribuciones del Fondo de Seguridad Pública del Estado de Yucatán</w:t>
      </w:r>
      <w:r w:rsidRPr="00D54564">
        <w:rPr>
          <w:rFonts w:ascii="Barlow" w:hAnsi="Barlow" w:cstheme="minorHAnsi"/>
          <w:sz w:val="20"/>
          <w:szCs w:val="20"/>
        </w:rPr>
        <w:t xml:space="preserve"> el Inventario de Bienes Muebles e Inmuebles y lo referente a la depreciación y vida útil, es de competencia de</w:t>
      </w:r>
      <w:r w:rsidR="00D54564" w:rsidRPr="00D54564">
        <w:rPr>
          <w:rFonts w:ascii="Barlow" w:hAnsi="Barlow" w:cstheme="minorHAnsi"/>
          <w:sz w:val="20"/>
          <w:szCs w:val="20"/>
        </w:rPr>
        <w:t xml:space="preserve"> los Beneficiarios del Fondo (</w:t>
      </w:r>
      <w:r w:rsidR="00E40D88" w:rsidRPr="00D54564">
        <w:rPr>
          <w:rFonts w:ascii="Barlow" w:hAnsi="Barlow" w:cstheme="minorHAnsi"/>
          <w:sz w:val="20"/>
          <w:szCs w:val="20"/>
        </w:rPr>
        <w:t>instancias ejecutoras).</w:t>
      </w:r>
      <w:r w:rsidR="00E40D88">
        <w:rPr>
          <w:rFonts w:ascii="Barlow" w:hAnsi="Barlow" w:cstheme="minorHAnsi"/>
          <w:sz w:val="20"/>
          <w:szCs w:val="20"/>
        </w:rPr>
        <w:t xml:space="preserve"> </w:t>
      </w:r>
    </w:p>
    <w:p w14:paraId="54492507" w14:textId="151E4F71" w:rsidR="00453458" w:rsidRDefault="00453458" w:rsidP="009D77C0">
      <w:pPr>
        <w:autoSpaceDE w:val="0"/>
        <w:autoSpaceDN w:val="0"/>
        <w:adjustRightInd w:val="0"/>
        <w:jc w:val="both"/>
        <w:rPr>
          <w:rFonts w:ascii="Barlow" w:hAnsi="Barlow" w:cstheme="minorHAnsi"/>
          <w:sz w:val="20"/>
          <w:szCs w:val="20"/>
        </w:rPr>
      </w:pPr>
    </w:p>
    <w:p w14:paraId="46DA69FB" w14:textId="35A8586D" w:rsidR="00453458" w:rsidRDefault="00453458" w:rsidP="009D77C0">
      <w:pPr>
        <w:autoSpaceDE w:val="0"/>
        <w:autoSpaceDN w:val="0"/>
        <w:adjustRightInd w:val="0"/>
        <w:jc w:val="both"/>
        <w:rPr>
          <w:rFonts w:ascii="Barlow" w:hAnsi="Barlow" w:cstheme="minorHAnsi"/>
          <w:sz w:val="20"/>
          <w:szCs w:val="20"/>
        </w:rPr>
      </w:pPr>
      <w:r>
        <w:rPr>
          <w:rFonts w:ascii="Barlow" w:hAnsi="Barlow" w:cstheme="minorHAnsi"/>
          <w:sz w:val="20"/>
          <w:szCs w:val="20"/>
        </w:rPr>
        <w:t>De acuerdo al párrafo anterior, los siguientes incisos co</w:t>
      </w:r>
      <w:r w:rsidR="00E776EC">
        <w:rPr>
          <w:rFonts w:ascii="Barlow" w:hAnsi="Barlow" w:cstheme="minorHAnsi"/>
          <w:sz w:val="20"/>
          <w:szCs w:val="20"/>
        </w:rPr>
        <w:t xml:space="preserve">mpeten </w:t>
      </w:r>
      <w:r>
        <w:rPr>
          <w:rFonts w:ascii="Barlow" w:hAnsi="Barlow" w:cstheme="minorHAnsi"/>
          <w:sz w:val="20"/>
          <w:szCs w:val="20"/>
        </w:rPr>
        <w:t xml:space="preserve">a los </w:t>
      </w:r>
      <w:r w:rsidRPr="003E52D9">
        <w:rPr>
          <w:rFonts w:ascii="Barlow" w:hAnsi="Barlow" w:cstheme="minorHAnsi"/>
          <w:sz w:val="20"/>
          <w:szCs w:val="20"/>
        </w:rPr>
        <w:t xml:space="preserve">Beneficiarios del Fondo de Seguridad Pública del Estado de </w:t>
      </w:r>
      <w:r>
        <w:rPr>
          <w:rFonts w:ascii="Barlow" w:hAnsi="Barlow" w:cstheme="minorHAnsi"/>
          <w:sz w:val="20"/>
          <w:szCs w:val="20"/>
        </w:rPr>
        <w:t>Yucatán (instancias ejecutoras).</w:t>
      </w:r>
    </w:p>
    <w:p w14:paraId="48320575" w14:textId="1D18A5A7" w:rsidR="000D5D69" w:rsidRPr="002E1A3A" w:rsidRDefault="000D5D69"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Vida útil, porcentaje de depreciación y amortización en los diferentes tipos de</w:t>
      </w:r>
      <w:r w:rsidR="007A27BB" w:rsidRPr="002E1A3A">
        <w:rPr>
          <w:rFonts w:ascii="Barlow" w:hAnsi="Barlow" w:cstheme="minorHAnsi"/>
          <w:sz w:val="20"/>
          <w:szCs w:val="20"/>
        </w:rPr>
        <w:t xml:space="preserve"> activos, o el importe de las pérdidas por deterioro reconocidas.</w:t>
      </w:r>
    </w:p>
    <w:p w14:paraId="5597B34F" w14:textId="28E95389"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Cambios en el porcentaje de depreciación y amortización y en el valor de los activos ocasionado por deterioro.</w:t>
      </w:r>
    </w:p>
    <w:p w14:paraId="1A366BEA" w14:textId="1F880226"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Importe de los gastos capitalizados en el ejercicio, tanto financieros como de investigación y desarrollo.</w:t>
      </w:r>
    </w:p>
    <w:p w14:paraId="3FC727AC" w14:textId="5A01D772"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Riesgos por tipo de cambio o tipo de interés de las inversiones financieras.</w:t>
      </w:r>
    </w:p>
    <w:p w14:paraId="13B322C2" w14:textId="563ACDC5"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Valor en el ej</w:t>
      </w:r>
      <w:r w:rsidR="00213381">
        <w:rPr>
          <w:rFonts w:ascii="Barlow" w:hAnsi="Barlow" w:cstheme="minorHAnsi"/>
          <w:sz w:val="20"/>
          <w:szCs w:val="20"/>
        </w:rPr>
        <w:t>ercicio de los bienes construido</w:t>
      </w:r>
      <w:r w:rsidRPr="002E1A3A">
        <w:rPr>
          <w:rFonts w:ascii="Barlow" w:hAnsi="Barlow" w:cstheme="minorHAnsi"/>
          <w:sz w:val="20"/>
          <w:szCs w:val="20"/>
        </w:rPr>
        <w:t>s por la entidad.</w:t>
      </w:r>
    </w:p>
    <w:p w14:paraId="21CE17A4" w14:textId="10187612"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Otras circunstancias de carácter significativo que afecten el activo, tales como bienes en garantía, señalados en embargos, litigios, títulos de inversiones entregados en garantías, baja significativa del valor de inversiones financieras etc.</w:t>
      </w:r>
    </w:p>
    <w:p w14:paraId="157659E6" w14:textId="55BFC99B"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Desmantelamiento de activos, procedimientos, implicaciones, efectos contables.</w:t>
      </w:r>
    </w:p>
    <w:p w14:paraId="39A62297" w14:textId="397D27DA" w:rsidR="007A27BB" w:rsidRPr="002E1A3A" w:rsidRDefault="007A27BB" w:rsidP="000D5D69">
      <w:pPr>
        <w:pStyle w:val="Prrafodelista"/>
        <w:numPr>
          <w:ilvl w:val="0"/>
          <w:numId w:val="14"/>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Administración de activos; planeación con el objetivo de que el ente los utilice de manera más efectiva.</w:t>
      </w:r>
    </w:p>
    <w:p w14:paraId="445DF070" w14:textId="1B345F9C" w:rsidR="007A27BB" w:rsidRPr="002E1A3A" w:rsidRDefault="007A27BB" w:rsidP="007A27BB">
      <w:pPr>
        <w:autoSpaceDE w:val="0"/>
        <w:autoSpaceDN w:val="0"/>
        <w:adjustRightInd w:val="0"/>
        <w:jc w:val="both"/>
        <w:rPr>
          <w:rFonts w:ascii="Barlow" w:hAnsi="Barlow" w:cstheme="minorHAnsi"/>
          <w:sz w:val="20"/>
          <w:szCs w:val="20"/>
        </w:rPr>
      </w:pPr>
    </w:p>
    <w:p w14:paraId="79DFF660" w14:textId="17F41EF6" w:rsidR="007A27BB" w:rsidRPr="002E1A3A" w:rsidRDefault="00122129" w:rsidP="007A27BB">
      <w:pPr>
        <w:autoSpaceDE w:val="0"/>
        <w:autoSpaceDN w:val="0"/>
        <w:adjustRightInd w:val="0"/>
        <w:jc w:val="both"/>
        <w:rPr>
          <w:rFonts w:ascii="Barlow" w:hAnsi="Barlow" w:cstheme="minorHAnsi"/>
          <w:sz w:val="20"/>
          <w:szCs w:val="20"/>
        </w:rPr>
      </w:pPr>
      <w:r w:rsidRPr="002E1A3A">
        <w:rPr>
          <w:rFonts w:ascii="Barlow" w:hAnsi="Barlow" w:cstheme="minorHAnsi"/>
          <w:sz w:val="20"/>
          <w:szCs w:val="20"/>
        </w:rPr>
        <w:t>R</w:t>
      </w:r>
      <w:r w:rsidR="00C8254D" w:rsidRPr="002E1A3A">
        <w:rPr>
          <w:rFonts w:ascii="Barlow" w:hAnsi="Barlow" w:cstheme="minorHAnsi"/>
          <w:sz w:val="20"/>
          <w:szCs w:val="20"/>
        </w:rPr>
        <w:t>especto a</w:t>
      </w:r>
      <w:r w:rsidR="007A27BB" w:rsidRPr="002E1A3A">
        <w:rPr>
          <w:rFonts w:ascii="Barlow" w:hAnsi="Barlow" w:cstheme="minorHAnsi"/>
          <w:sz w:val="20"/>
          <w:szCs w:val="20"/>
        </w:rPr>
        <w:t xml:space="preserve"> las principales variaciones en el activo</w:t>
      </w:r>
      <w:r w:rsidR="00C8254D" w:rsidRPr="002E1A3A">
        <w:rPr>
          <w:rFonts w:ascii="Barlow" w:hAnsi="Barlow" w:cstheme="minorHAnsi"/>
          <w:sz w:val="20"/>
          <w:szCs w:val="20"/>
        </w:rPr>
        <w:t xml:space="preserve"> del Fondo de Seguridad Pública del Estado de Yucatán</w:t>
      </w:r>
      <w:r w:rsidR="007A27BB" w:rsidRPr="002E1A3A">
        <w:rPr>
          <w:rFonts w:ascii="Barlow" w:hAnsi="Barlow" w:cstheme="minorHAnsi"/>
          <w:sz w:val="20"/>
          <w:szCs w:val="20"/>
        </w:rPr>
        <w:t xml:space="preserve">, </w:t>
      </w:r>
      <w:r w:rsidRPr="002E1A3A">
        <w:rPr>
          <w:rFonts w:ascii="Barlow" w:hAnsi="Barlow" w:cstheme="minorHAnsi"/>
          <w:sz w:val="20"/>
          <w:szCs w:val="20"/>
        </w:rPr>
        <w:t xml:space="preserve">no se elaboran </w:t>
      </w:r>
      <w:r w:rsidR="007A27BB" w:rsidRPr="002E1A3A">
        <w:rPr>
          <w:rFonts w:ascii="Barlow" w:hAnsi="Barlow" w:cstheme="minorHAnsi"/>
          <w:sz w:val="20"/>
          <w:szCs w:val="20"/>
        </w:rPr>
        <w:t>cuadros comparativos</w:t>
      </w:r>
      <w:r w:rsidRPr="002E1A3A">
        <w:rPr>
          <w:rFonts w:ascii="Barlow" w:hAnsi="Barlow" w:cstheme="minorHAnsi"/>
          <w:sz w:val="20"/>
          <w:szCs w:val="20"/>
        </w:rPr>
        <w:t>, derivado a que</w:t>
      </w:r>
      <w:r w:rsidR="002E1A3A">
        <w:rPr>
          <w:rFonts w:ascii="Barlow" w:hAnsi="Barlow" w:cstheme="minorHAnsi"/>
          <w:sz w:val="20"/>
          <w:szCs w:val="20"/>
        </w:rPr>
        <w:t xml:space="preserve">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Pr="002E1A3A">
        <w:rPr>
          <w:rFonts w:ascii="Barlow" w:hAnsi="Barlow" w:cstheme="minorHAnsi"/>
          <w:sz w:val="20"/>
          <w:szCs w:val="20"/>
        </w:rPr>
        <w:t xml:space="preserve"> no se tienen saldos y/o movimientos en los siguientes incisos:</w:t>
      </w:r>
    </w:p>
    <w:p w14:paraId="0E3C68AE" w14:textId="77777777" w:rsidR="00122129" w:rsidRPr="002E1A3A" w:rsidRDefault="00122129" w:rsidP="007A27BB">
      <w:pPr>
        <w:autoSpaceDE w:val="0"/>
        <w:autoSpaceDN w:val="0"/>
        <w:adjustRightInd w:val="0"/>
        <w:jc w:val="both"/>
        <w:rPr>
          <w:rFonts w:ascii="Barlow" w:hAnsi="Barlow" w:cstheme="minorHAnsi"/>
          <w:sz w:val="20"/>
          <w:szCs w:val="20"/>
        </w:rPr>
      </w:pPr>
    </w:p>
    <w:p w14:paraId="6AE2D931" w14:textId="03D6015C" w:rsidR="007A27BB" w:rsidRPr="002E1A3A" w:rsidRDefault="007A27BB"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Inversiones en valores.</w:t>
      </w:r>
    </w:p>
    <w:p w14:paraId="319BA81F" w14:textId="77777777" w:rsidR="007A27BB" w:rsidRPr="002E1A3A" w:rsidRDefault="007A27BB"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Patrimonio de Organismos Descentralizados de Control Presupuestario Indirecto.</w:t>
      </w:r>
    </w:p>
    <w:p w14:paraId="24F052A6" w14:textId="77777777" w:rsidR="00F42728" w:rsidRPr="002E1A3A" w:rsidRDefault="00F42728"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Inversiones en empresas de participación mayoritaria.</w:t>
      </w:r>
    </w:p>
    <w:p w14:paraId="6545173F" w14:textId="77777777" w:rsidR="00F42728" w:rsidRPr="002E1A3A" w:rsidRDefault="00F42728"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Inversiones en empresas de participación minoritaria.</w:t>
      </w:r>
    </w:p>
    <w:p w14:paraId="43FEE549" w14:textId="4E55EE2D" w:rsidR="007A27BB" w:rsidRPr="002E1A3A" w:rsidRDefault="00F42728" w:rsidP="007A27BB">
      <w:pPr>
        <w:pStyle w:val="Prrafodelista"/>
        <w:numPr>
          <w:ilvl w:val="0"/>
          <w:numId w:val="15"/>
        </w:numPr>
        <w:autoSpaceDE w:val="0"/>
        <w:autoSpaceDN w:val="0"/>
        <w:adjustRightInd w:val="0"/>
        <w:jc w:val="both"/>
        <w:rPr>
          <w:rFonts w:ascii="Barlow" w:hAnsi="Barlow" w:cstheme="minorHAnsi"/>
          <w:sz w:val="20"/>
          <w:szCs w:val="20"/>
        </w:rPr>
      </w:pPr>
      <w:r w:rsidRPr="002E1A3A">
        <w:rPr>
          <w:rFonts w:ascii="Barlow" w:hAnsi="Barlow" w:cstheme="minorHAnsi"/>
          <w:sz w:val="20"/>
          <w:szCs w:val="20"/>
        </w:rPr>
        <w:t>Patrimonio de Organismos Descentralizados de Control Presupuestario Directo, según corresponda.</w:t>
      </w:r>
      <w:r w:rsidR="007A27BB" w:rsidRPr="002E1A3A">
        <w:rPr>
          <w:rFonts w:ascii="Barlow" w:hAnsi="Barlow" w:cstheme="minorHAnsi"/>
          <w:sz w:val="20"/>
          <w:szCs w:val="20"/>
        </w:rPr>
        <w:t xml:space="preserve">  </w:t>
      </w:r>
    </w:p>
    <w:p w14:paraId="7646DE94" w14:textId="77777777" w:rsidR="009D77C0" w:rsidRPr="003E52D9" w:rsidRDefault="009D77C0" w:rsidP="009D77C0">
      <w:pPr>
        <w:autoSpaceDE w:val="0"/>
        <w:autoSpaceDN w:val="0"/>
        <w:adjustRightInd w:val="0"/>
        <w:jc w:val="both"/>
        <w:rPr>
          <w:rFonts w:ascii="Barlow" w:hAnsi="Barlow" w:cstheme="minorHAnsi"/>
          <w:b/>
          <w:sz w:val="20"/>
          <w:szCs w:val="20"/>
        </w:rPr>
      </w:pPr>
    </w:p>
    <w:p w14:paraId="17D5C85B" w14:textId="7A7580F6" w:rsidR="009D77C0" w:rsidRPr="00D54564" w:rsidRDefault="00005D4F" w:rsidP="009D77C0">
      <w:pPr>
        <w:autoSpaceDE w:val="0"/>
        <w:autoSpaceDN w:val="0"/>
        <w:adjustRightInd w:val="0"/>
        <w:jc w:val="both"/>
        <w:rPr>
          <w:rFonts w:ascii="Barlow" w:hAnsi="Barlow" w:cstheme="minorHAnsi"/>
          <w:b/>
          <w:sz w:val="20"/>
          <w:szCs w:val="20"/>
        </w:rPr>
      </w:pPr>
      <w:r w:rsidRPr="00D54564">
        <w:rPr>
          <w:rFonts w:ascii="Barlow" w:hAnsi="Barlow" w:cstheme="minorHAnsi"/>
          <w:b/>
          <w:sz w:val="20"/>
          <w:szCs w:val="20"/>
        </w:rPr>
        <w:lastRenderedPageBreak/>
        <w:t>8</w:t>
      </w:r>
      <w:r w:rsidR="009D77C0" w:rsidRPr="00D54564">
        <w:rPr>
          <w:rFonts w:ascii="Barlow" w:hAnsi="Barlow" w:cstheme="minorHAnsi"/>
          <w:b/>
          <w:sz w:val="20"/>
          <w:szCs w:val="20"/>
        </w:rPr>
        <w:t>.- Fideicomisos, Mandatos y Análogos</w:t>
      </w:r>
    </w:p>
    <w:p w14:paraId="08E144D9" w14:textId="451AE677" w:rsidR="00563060" w:rsidRPr="00D54564" w:rsidRDefault="00563060" w:rsidP="009D77C0">
      <w:pPr>
        <w:autoSpaceDE w:val="0"/>
        <w:autoSpaceDN w:val="0"/>
        <w:adjustRightInd w:val="0"/>
        <w:jc w:val="both"/>
        <w:rPr>
          <w:rFonts w:ascii="Barlow" w:hAnsi="Barlow" w:cstheme="minorHAnsi"/>
          <w:b/>
          <w:sz w:val="20"/>
          <w:szCs w:val="20"/>
        </w:rPr>
      </w:pPr>
    </w:p>
    <w:p w14:paraId="2389DCAA" w14:textId="63D59DEC" w:rsidR="00644BEC" w:rsidRPr="00D54564" w:rsidRDefault="00563060" w:rsidP="00A61393">
      <w:pPr>
        <w:autoSpaceDE w:val="0"/>
        <w:autoSpaceDN w:val="0"/>
        <w:adjustRightInd w:val="0"/>
        <w:jc w:val="both"/>
        <w:rPr>
          <w:rFonts w:ascii="Barlow" w:hAnsi="Barlow" w:cstheme="minorHAnsi"/>
          <w:sz w:val="20"/>
          <w:szCs w:val="20"/>
        </w:rPr>
      </w:pPr>
      <w:r w:rsidRPr="00D54564">
        <w:rPr>
          <w:rFonts w:ascii="Barlow" w:hAnsi="Barlow" w:cstheme="minorHAnsi"/>
          <w:sz w:val="20"/>
          <w:szCs w:val="20"/>
        </w:rPr>
        <w:t xml:space="preserve">Con el propósito de dar cumplimiento a lo dispuesto por el artículo 19, fracción V de la Ley General de Contabilidad Gubernamental, se manifiesta que en el caso del Fondo de Seguridad Pública del Estado de Yucatán no cuenta con </w:t>
      </w:r>
      <w:r w:rsidR="00A61393" w:rsidRPr="00D54564">
        <w:rPr>
          <w:rFonts w:ascii="Barlow" w:hAnsi="Barlow" w:cstheme="minorHAnsi"/>
          <w:sz w:val="20"/>
          <w:szCs w:val="20"/>
        </w:rPr>
        <w:t xml:space="preserve">ningún tipo de </w:t>
      </w:r>
      <w:r w:rsidRPr="00D54564">
        <w:rPr>
          <w:rFonts w:ascii="Barlow" w:hAnsi="Barlow" w:cstheme="minorHAnsi"/>
          <w:sz w:val="20"/>
          <w:szCs w:val="20"/>
        </w:rPr>
        <w:t>Fi</w:t>
      </w:r>
      <w:r w:rsidR="00A61393" w:rsidRPr="00D54564">
        <w:rPr>
          <w:rFonts w:ascii="Barlow" w:hAnsi="Barlow" w:cstheme="minorHAnsi"/>
          <w:sz w:val="20"/>
          <w:szCs w:val="20"/>
        </w:rPr>
        <w:t>deicomisos, Mandatos y Análogos.</w:t>
      </w:r>
      <w:r w:rsidR="00644BEC" w:rsidRPr="00D54564">
        <w:rPr>
          <w:rFonts w:ascii="Barlow" w:hAnsi="Barlow" w:cstheme="minorHAnsi"/>
          <w:sz w:val="20"/>
          <w:szCs w:val="20"/>
        </w:rPr>
        <w:t xml:space="preserve"> </w:t>
      </w:r>
    </w:p>
    <w:p w14:paraId="4A347B07" w14:textId="77777777" w:rsidR="002E1A3A" w:rsidRDefault="002E1A3A" w:rsidP="009D77C0">
      <w:pPr>
        <w:autoSpaceDE w:val="0"/>
        <w:autoSpaceDN w:val="0"/>
        <w:adjustRightInd w:val="0"/>
        <w:jc w:val="both"/>
        <w:rPr>
          <w:rFonts w:ascii="Barlow" w:hAnsi="Barlow" w:cstheme="minorHAnsi"/>
          <w:b/>
          <w:sz w:val="20"/>
          <w:szCs w:val="20"/>
        </w:rPr>
      </w:pPr>
    </w:p>
    <w:p w14:paraId="072DA2E3" w14:textId="03240BF6" w:rsidR="009D77C0" w:rsidRDefault="00005D4F" w:rsidP="009D77C0">
      <w:pPr>
        <w:autoSpaceDE w:val="0"/>
        <w:autoSpaceDN w:val="0"/>
        <w:adjustRightInd w:val="0"/>
        <w:jc w:val="both"/>
        <w:rPr>
          <w:rFonts w:ascii="Barlow" w:hAnsi="Barlow" w:cstheme="minorHAnsi"/>
          <w:b/>
          <w:sz w:val="20"/>
          <w:szCs w:val="20"/>
        </w:rPr>
      </w:pPr>
      <w:r>
        <w:rPr>
          <w:rFonts w:ascii="Barlow" w:hAnsi="Barlow" w:cstheme="minorHAnsi"/>
          <w:b/>
          <w:sz w:val="20"/>
          <w:szCs w:val="20"/>
        </w:rPr>
        <w:t>9</w:t>
      </w:r>
      <w:r w:rsidR="009D77C0" w:rsidRPr="003E52D9">
        <w:rPr>
          <w:rFonts w:ascii="Barlow" w:hAnsi="Barlow" w:cstheme="minorHAnsi"/>
          <w:b/>
          <w:sz w:val="20"/>
          <w:szCs w:val="20"/>
        </w:rPr>
        <w:t>.- Reporte de la Recaudación.</w:t>
      </w:r>
    </w:p>
    <w:p w14:paraId="18EB819C" w14:textId="1DD7FBB8" w:rsidR="003E193F" w:rsidRDefault="003E193F" w:rsidP="009D77C0">
      <w:pPr>
        <w:autoSpaceDE w:val="0"/>
        <w:autoSpaceDN w:val="0"/>
        <w:adjustRightInd w:val="0"/>
        <w:jc w:val="both"/>
        <w:rPr>
          <w:rFonts w:ascii="Barlow" w:hAnsi="Barlow" w:cstheme="minorHAnsi"/>
          <w:b/>
          <w:sz w:val="20"/>
          <w:szCs w:val="20"/>
        </w:rPr>
      </w:pPr>
    </w:p>
    <w:p w14:paraId="1AFEBC98" w14:textId="60C23E6E" w:rsidR="003E193F" w:rsidRDefault="003E193F" w:rsidP="003E193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w:t>
      </w:r>
      <w:r w:rsidR="00270896">
        <w:rPr>
          <w:rFonts w:ascii="Barlow" w:hAnsi="Barlow" w:cstheme="minorHAnsi"/>
          <w:sz w:val="20"/>
          <w:szCs w:val="20"/>
        </w:rPr>
        <w:t xml:space="preserve">l Fondo de </w:t>
      </w:r>
      <w:r w:rsidRPr="003E52D9">
        <w:rPr>
          <w:rFonts w:ascii="Barlow" w:hAnsi="Barlow" w:cstheme="minorHAnsi"/>
          <w:sz w:val="20"/>
          <w:szCs w:val="20"/>
        </w:rPr>
        <w:t>Seguridad Pública del Estado de Yucatán no es una entidad recaudadora de ningún tipo de impuesto o contribución.</w:t>
      </w:r>
    </w:p>
    <w:p w14:paraId="0D651A51" w14:textId="7AAF44C7" w:rsidR="00C45FFB" w:rsidRDefault="00C45FFB" w:rsidP="009D77C0">
      <w:pPr>
        <w:autoSpaceDE w:val="0"/>
        <w:autoSpaceDN w:val="0"/>
        <w:adjustRightInd w:val="0"/>
        <w:jc w:val="both"/>
        <w:rPr>
          <w:rFonts w:ascii="Barlow" w:hAnsi="Barlow" w:cstheme="minorHAnsi"/>
          <w:b/>
          <w:sz w:val="20"/>
          <w:szCs w:val="20"/>
        </w:rPr>
      </w:pPr>
    </w:p>
    <w:p w14:paraId="5521A742" w14:textId="70FBF36B" w:rsidR="009D77C0"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0</w:t>
      </w:r>
      <w:r w:rsidRPr="003E52D9">
        <w:rPr>
          <w:rFonts w:ascii="Barlow" w:hAnsi="Barlow" w:cstheme="minorHAnsi"/>
          <w:b/>
          <w:sz w:val="20"/>
          <w:szCs w:val="20"/>
        </w:rPr>
        <w:t>. Información sobre la Deuda y el Reporte Analítico de la Deuda</w:t>
      </w:r>
    </w:p>
    <w:p w14:paraId="0CB63A6C" w14:textId="45EC0019" w:rsidR="00D87616" w:rsidRDefault="00D87616" w:rsidP="009D77C0">
      <w:pPr>
        <w:autoSpaceDE w:val="0"/>
        <w:autoSpaceDN w:val="0"/>
        <w:adjustRightInd w:val="0"/>
        <w:jc w:val="both"/>
        <w:rPr>
          <w:rFonts w:ascii="Barlow" w:hAnsi="Barlow" w:cstheme="minorHAnsi"/>
          <w:b/>
          <w:sz w:val="20"/>
          <w:szCs w:val="20"/>
        </w:rPr>
      </w:pPr>
    </w:p>
    <w:p w14:paraId="0B5AED28" w14:textId="40BA934A" w:rsidR="00D87616" w:rsidRPr="003E52D9" w:rsidRDefault="00D87616" w:rsidP="00D87616">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Seguridad Pública del Estado de Yucatán a la fecha no tiene contraído ningún tipo de Deuda Pública.</w:t>
      </w:r>
    </w:p>
    <w:p w14:paraId="50B14AE9" w14:textId="77777777" w:rsidR="00270896" w:rsidRDefault="00270896" w:rsidP="009D77C0">
      <w:pPr>
        <w:autoSpaceDE w:val="0"/>
        <w:autoSpaceDN w:val="0"/>
        <w:adjustRightInd w:val="0"/>
        <w:jc w:val="both"/>
        <w:rPr>
          <w:rFonts w:ascii="Barlow" w:hAnsi="Barlow" w:cstheme="minorHAnsi"/>
          <w:b/>
          <w:sz w:val="20"/>
          <w:szCs w:val="20"/>
        </w:rPr>
      </w:pPr>
    </w:p>
    <w:p w14:paraId="5B5E7776" w14:textId="7458F20A"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1</w:t>
      </w:r>
      <w:r w:rsidRPr="003E52D9">
        <w:rPr>
          <w:rFonts w:ascii="Barlow" w:hAnsi="Barlow" w:cstheme="minorHAnsi"/>
          <w:b/>
          <w:sz w:val="20"/>
          <w:szCs w:val="20"/>
        </w:rPr>
        <w:t>.- Calificaciones Otorgadas.</w:t>
      </w:r>
    </w:p>
    <w:p w14:paraId="5219C8F3" w14:textId="77777777" w:rsidR="009D77C0" w:rsidRPr="003E52D9" w:rsidRDefault="009D77C0" w:rsidP="009D77C0">
      <w:pPr>
        <w:autoSpaceDE w:val="0"/>
        <w:autoSpaceDN w:val="0"/>
        <w:adjustRightInd w:val="0"/>
        <w:jc w:val="both"/>
        <w:rPr>
          <w:rFonts w:ascii="Barlow" w:hAnsi="Barlow" w:cstheme="minorHAnsi"/>
          <w:sz w:val="20"/>
          <w:szCs w:val="20"/>
        </w:rPr>
      </w:pPr>
    </w:p>
    <w:p w14:paraId="423EFF60" w14:textId="78382F4A" w:rsidR="009D77C0" w:rsidRPr="003E52D9"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El Fondo de Seguridad Pública del Estado de Yucatán a la fecha no ha realizado ninguna transacción que haya sido sujeta a una calificación crediticia.</w:t>
      </w:r>
    </w:p>
    <w:p w14:paraId="05D7CB56" w14:textId="77777777" w:rsidR="009D77C0" w:rsidRPr="003E52D9" w:rsidRDefault="009D77C0" w:rsidP="009D77C0">
      <w:pPr>
        <w:autoSpaceDE w:val="0"/>
        <w:autoSpaceDN w:val="0"/>
        <w:adjustRightInd w:val="0"/>
        <w:jc w:val="both"/>
        <w:rPr>
          <w:rFonts w:ascii="Barlow" w:hAnsi="Barlow" w:cstheme="minorHAnsi"/>
          <w:b/>
          <w:sz w:val="20"/>
          <w:szCs w:val="20"/>
        </w:rPr>
      </w:pPr>
    </w:p>
    <w:p w14:paraId="42A06454" w14:textId="487449E1" w:rsidR="009D77C0"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2</w:t>
      </w:r>
      <w:r w:rsidRPr="003E52D9">
        <w:rPr>
          <w:rFonts w:ascii="Barlow" w:hAnsi="Barlow" w:cstheme="minorHAnsi"/>
          <w:b/>
          <w:sz w:val="20"/>
          <w:szCs w:val="20"/>
        </w:rPr>
        <w:t>.- Proceso de Mejora</w:t>
      </w:r>
    </w:p>
    <w:p w14:paraId="3043244A" w14:textId="1AD405C6" w:rsidR="0090791D" w:rsidRDefault="0090791D" w:rsidP="009D77C0">
      <w:pPr>
        <w:autoSpaceDE w:val="0"/>
        <w:autoSpaceDN w:val="0"/>
        <w:adjustRightInd w:val="0"/>
        <w:jc w:val="both"/>
        <w:rPr>
          <w:rFonts w:ascii="Barlow" w:hAnsi="Barlow" w:cstheme="minorHAnsi"/>
          <w:b/>
          <w:sz w:val="20"/>
          <w:szCs w:val="20"/>
        </w:rPr>
      </w:pPr>
    </w:p>
    <w:p w14:paraId="18A9A19A" w14:textId="4F30CCED" w:rsidR="0090791D" w:rsidRPr="003E52D9" w:rsidRDefault="0090791D" w:rsidP="0090791D">
      <w:pPr>
        <w:autoSpaceDE w:val="0"/>
        <w:autoSpaceDN w:val="0"/>
        <w:adjustRightInd w:val="0"/>
        <w:jc w:val="both"/>
        <w:rPr>
          <w:rFonts w:ascii="Barlow" w:hAnsi="Barlow" w:cstheme="minorHAnsi"/>
          <w:sz w:val="20"/>
          <w:szCs w:val="20"/>
        </w:rPr>
      </w:pPr>
      <w:r w:rsidRPr="00D54564">
        <w:rPr>
          <w:rFonts w:ascii="Barlow" w:hAnsi="Barlow" w:cstheme="minorHAnsi"/>
          <w:sz w:val="20"/>
          <w:szCs w:val="20"/>
        </w:rPr>
        <w:t xml:space="preserve">El Fondo de Seguridad Pública del Estado de Yucatán se encuentra </w:t>
      </w:r>
      <w:r w:rsidR="00D54564" w:rsidRPr="00D54564">
        <w:rPr>
          <w:rFonts w:ascii="Barlow" w:hAnsi="Barlow" w:cstheme="minorHAnsi"/>
          <w:sz w:val="20"/>
          <w:szCs w:val="20"/>
        </w:rPr>
        <w:t>en proceso de extinción.</w:t>
      </w:r>
    </w:p>
    <w:p w14:paraId="191CB8A3" w14:textId="7DE40400" w:rsidR="00183C54" w:rsidRDefault="00183C54" w:rsidP="009D77C0">
      <w:pPr>
        <w:autoSpaceDE w:val="0"/>
        <w:autoSpaceDN w:val="0"/>
        <w:adjustRightInd w:val="0"/>
        <w:jc w:val="both"/>
        <w:rPr>
          <w:rFonts w:ascii="Barlow" w:hAnsi="Barlow" w:cstheme="minorHAnsi"/>
          <w:b/>
          <w:sz w:val="20"/>
          <w:szCs w:val="20"/>
        </w:rPr>
      </w:pPr>
    </w:p>
    <w:p w14:paraId="673B5EDE" w14:textId="3695128C"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3</w:t>
      </w:r>
      <w:r w:rsidRPr="003E52D9">
        <w:rPr>
          <w:rFonts w:ascii="Barlow" w:hAnsi="Barlow" w:cstheme="minorHAnsi"/>
          <w:b/>
          <w:sz w:val="20"/>
          <w:szCs w:val="20"/>
        </w:rPr>
        <w:t xml:space="preserve">. Información por Segmentos, </w:t>
      </w:r>
      <w:r w:rsidR="005F0D38">
        <w:rPr>
          <w:rFonts w:ascii="Barlow" w:hAnsi="Barlow" w:cstheme="minorHAnsi"/>
          <w:sz w:val="20"/>
          <w:szCs w:val="20"/>
        </w:rPr>
        <w:t>Sin información que revelar.</w:t>
      </w:r>
      <w:r w:rsidRPr="003E52D9">
        <w:rPr>
          <w:rFonts w:ascii="Barlow" w:hAnsi="Barlow" w:cstheme="minorHAnsi"/>
          <w:sz w:val="20"/>
          <w:szCs w:val="20"/>
        </w:rPr>
        <w:t xml:space="preserve"> </w:t>
      </w:r>
      <w:r w:rsidRPr="003E52D9">
        <w:rPr>
          <w:rFonts w:ascii="Barlow" w:hAnsi="Barlow" w:cstheme="minorHAnsi"/>
          <w:b/>
          <w:sz w:val="20"/>
          <w:szCs w:val="20"/>
        </w:rPr>
        <w:t xml:space="preserve">  </w:t>
      </w:r>
    </w:p>
    <w:p w14:paraId="6BB3671A" w14:textId="77777777" w:rsidR="009D77C0" w:rsidRPr="003E52D9" w:rsidRDefault="009D77C0" w:rsidP="009D77C0">
      <w:pPr>
        <w:autoSpaceDE w:val="0"/>
        <w:autoSpaceDN w:val="0"/>
        <w:adjustRightInd w:val="0"/>
        <w:jc w:val="both"/>
        <w:rPr>
          <w:rFonts w:ascii="Barlow" w:hAnsi="Barlow" w:cstheme="minorHAnsi"/>
          <w:sz w:val="20"/>
          <w:szCs w:val="20"/>
        </w:rPr>
      </w:pPr>
    </w:p>
    <w:p w14:paraId="5C874555" w14:textId="408EA5B9" w:rsidR="009D77C0" w:rsidRPr="003E52D9" w:rsidRDefault="009D77C0" w:rsidP="009D77C0">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1</w:t>
      </w:r>
      <w:r w:rsidR="00005D4F">
        <w:rPr>
          <w:rFonts w:ascii="Barlow" w:hAnsi="Barlow" w:cstheme="minorHAnsi"/>
          <w:b/>
          <w:sz w:val="20"/>
          <w:szCs w:val="20"/>
        </w:rPr>
        <w:t>4</w:t>
      </w:r>
      <w:r w:rsidRPr="003E52D9">
        <w:rPr>
          <w:rFonts w:ascii="Barlow" w:hAnsi="Barlow" w:cstheme="minorHAnsi"/>
          <w:b/>
          <w:sz w:val="20"/>
          <w:szCs w:val="20"/>
        </w:rPr>
        <w:t>.- Eventos Posteriores</w:t>
      </w:r>
      <w:r w:rsidR="00005D4F">
        <w:rPr>
          <w:rFonts w:ascii="Barlow" w:hAnsi="Barlow" w:cstheme="minorHAnsi"/>
          <w:b/>
          <w:sz w:val="20"/>
          <w:szCs w:val="20"/>
        </w:rPr>
        <w:t xml:space="preserve"> </w:t>
      </w:r>
      <w:r w:rsidR="00005D4F" w:rsidRPr="002E1A3A">
        <w:rPr>
          <w:rFonts w:ascii="Barlow" w:hAnsi="Barlow" w:cstheme="minorHAnsi"/>
          <w:b/>
          <w:sz w:val="20"/>
          <w:szCs w:val="20"/>
        </w:rPr>
        <w:t>al cierre</w:t>
      </w:r>
      <w:r w:rsidR="00005D4F">
        <w:rPr>
          <w:rFonts w:ascii="Barlow" w:hAnsi="Barlow" w:cstheme="minorHAnsi"/>
          <w:b/>
          <w:sz w:val="20"/>
          <w:szCs w:val="20"/>
        </w:rPr>
        <w:t>,</w:t>
      </w:r>
      <w:r w:rsidRPr="003E52D9">
        <w:rPr>
          <w:rFonts w:ascii="Barlow" w:hAnsi="Barlow" w:cstheme="minorHAnsi"/>
          <w:b/>
          <w:sz w:val="20"/>
          <w:szCs w:val="20"/>
        </w:rPr>
        <w:t xml:space="preserve"> </w:t>
      </w:r>
      <w:r w:rsidR="005F0D38">
        <w:rPr>
          <w:rFonts w:ascii="Barlow" w:hAnsi="Barlow" w:cstheme="minorHAnsi"/>
          <w:sz w:val="20"/>
          <w:szCs w:val="20"/>
        </w:rPr>
        <w:t>Sin información que revelar.</w:t>
      </w:r>
    </w:p>
    <w:p w14:paraId="4C7BB581" w14:textId="77777777" w:rsidR="009D77C0" w:rsidRPr="003E52D9" w:rsidRDefault="009D77C0" w:rsidP="009D77C0">
      <w:pPr>
        <w:autoSpaceDE w:val="0"/>
        <w:autoSpaceDN w:val="0"/>
        <w:adjustRightInd w:val="0"/>
        <w:jc w:val="both"/>
        <w:rPr>
          <w:rFonts w:ascii="Barlow" w:hAnsi="Barlow" w:cstheme="minorHAnsi"/>
          <w:sz w:val="20"/>
          <w:szCs w:val="20"/>
        </w:rPr>
      </w:pPr>
    </w:p>
    <w:p w14:paraId="40EEF7B8" w14:textId="191E15A8" w:rsidR="009D77C0" w:rsidRDefault="009D77C0" w:rsidP="009D77C0">
      <w:pPr>
        <w:autoSpaceDE w:val="0"/>
        <w:autoSpaceDN w:val="0"/>
        <w:adjustRightInd w:val="0"/>
        <w:jc w:val="both"/>
        <w:rPr>
          <w:rFonts w:ascii="Barlow" w:hAnsi="Barlow" w:cstheme="minorHAnsi"/>
          <w:sz w:val="20"/>
          <w:szCs w:val="20"/>
        </w:rPr>
      </w:pPr>
      <w:r w:rsidRPr="003E52D9">
        <w:rPr>
          <w:rFonts w:ascii="Barlow" w:hAnsi="Barlow" w:cstheme="minorHAnsi"/>
          <w:b/>
          <w:sz w:val="20"/>
          <w:szCs w:val="20"/>
        </w:rPr>
        <w:t>1</w:t>
      </w:r>
      <w:r w:rsidR="00005D4F">
        <w:rPr>
          <w:rFonts w:ascii="Barlow" w:hAnsi="Barlow" w:cstheme="minorHAnsi"/>
          <w:b/>
          <w:sz w:val="20"/>
          <w:szCs w:val="20"/>
        </w:rPr>
        <w:t>5</w:t>
      </w:r>
      <w:r w:rsidRPr="003E52D9">
        <w:rPr>
          <w:rFonts w:ascii="Barlow" w:hAnsi="Barlow" w:cstheme="minorHAnsi"/>
          <w:b/>
          <w:sz w:val="20"/>
          <w:szCs w:val="20"/>
        </w:rPr>
        <w:t xml:space="preserve">.- Partes Relacionadas, </w:t>
      </w:r>
      <w:r w:rsidR="005F0D38">
        <w:rPr>
          <w:rFonts w:ascii="Barlow" w:hAnsi="Barlow" w:cstheme="minorHAnsi"/>
          <w:sz w:val="20"/>
          <w:szCs w:val="20"/>
        </w:rPr>
        <w:t>Sin información que revelar.</w:t>
      </w:r>
    </w:p>
    <w:p w14:paraId="742895E1" w14:textId="54A4C29C" w:rsidR="00005D4F" w:rsidRDefault="00005D4F" w:rsidP="009D77C0">
      <w:pPr>
        <w:autoSpaceDE w:val="0"/>
        <w:autoSpaceDN w:val="0"/>
        <w:adjustRightInd w:val="0"/>
        <w:jc w:val="both"/>
        <w:rPr>
          <w:rFonts w:ascii="Barlow" w:hAnsi="Barlow" w:cstheme="minorHAnsi"/>
          <w:sz w:val="20"/>
          <w:szCs w:val="20"/>
        </w:rPr>
      </w:pPr>
    </w:p>
    <w:p w14:paraId="309855F4" w14:textId="6FF70058" w:rsidR="00005D4F" w:rsidRDefault="00005D4F" w:rsidP="00005D4F">
      <w:pPr>
        <w:autoSpaceDE w:val="0"/>
        <w:autoSpaceDN w:val="0"/>
        <w:adjustRightInd w:val="0"/>
        <w:jc w:val="both"/>
        <w:rPr>
          <w:rFonts w:ascii="Barlow" w:hAnsi="Barlow" w:cstheme="minorHAnsi"/>
          <w:sz w:val="20"/>
          <w:szCs w:val="20"/>
        </w:rPr>
      </w:pPr>
      <w:r w:rsidRPr="002E1A3A">
        <w:rPr>
          <w:rFonts w:ascii="Barlow" w:hAnsi="Barlow" w:cstheme="minorHAnsi"/>
          <w:b/>
          <w:sz w:val="20"/>
          <w:szCs w:val="20"/>
        </w:rPr>
        <w:t>16.- Responsabilidades Sobre la Presentación Razonable de la Información Contable,</w:t>
      </w:r>
    </w:p>
    <w:p w14:paraId="4FCAC299" w14:textId="6283253F" w:rsidR="00005D4F" w:rsidRDefault="00005D4F" w:rsidP="009D77C0">
      <w:pPr>
        <w:autoSpaceDE w:val="0"/>
        <w:autoSpaceDN w:val="0"/>
        <w:adjustRightInd w:val="0"/>
        <w:jc w:val="both"/>
        <w:rPr>
          <w:rFonts w:ascii="Barlow" w:hAnsi="Barlow" w:cstheme="minorHAnsi"/>
          <w:sz w:val="20"/>
          <w:szCs w:val="20"/>
        </w:rPr>
      </w:pPr>
    </w:p>
    <w:p w14:paraId="62357A2D" w14:textId="2B20E781" w:rsidR="00C4137E" w:rsidRPr="00560EAD" w:rsidRDefault="009D77C0" w:rsidP="00560EAD">
      <w:pPr>
        <w:autoSpaceDE w:val="0"/>
        <w:autoSpaceDN w:val="0"/>
        <w:adjustRightInd w:val="0"/>
        <w:jc w:val="both"/>
        <w:rPr>
          <w:rFonts w:ascii="Barlow" w:hAnsi="Barlow" w:cstheme="minorHAnsi"/>
          <w:sz w:val="20"/>
          <w:szCs w:val="20"/>
        </w:rPr>
      </w:pPr>
      <w:r w:rsidRPr="00560EAD">
        <w:rPr>
          <w:rFonts w:ascii="Barlow" w:hAnsi="Barlow" w:cstheme="minorHAnsi"/>
          <w:sz w:val="20"/>
          <w:szCs w:val="20"/>
        </w:rPr>
        <w:t>Bajo protesta de decir verdad declaramos que los Estados Financieros y sus Notas son razonablemente correctos y son responsabilidad del emisor.</w:t>
      </w:r>
    </w:p>
    <w:p w14:paraId="5A608B1E" w14:textId="77777777" w:rsidR="002E1A3A" w:rsidRDefault="002E1A3A" w:rsidP="002E1A3A">
      <w:pPr>
        <w:pStyle w:val="Prrafodelista"/>
        <w:autoSpaceDE w:val="0"/>
        <w:autoSpaceDN w:val="0"/>
        <w:adjustRightInd w:val="0"/>
        <w:spacing w:line="360" w:lineRule="auto"/>
        <w:rPr>
          <w:rFonts w:ascii="Barlow" w:hAnsi="Barlow" w:cstheme="minorHAnsi"/>
          <w:b/>
          <w:sz w:val="20"/>
          <w:szCs w:val="20"/>
        </w:rPr>
      </w:pPr>
    </w:p>
    <w:p w14:paraId="389CEA0A" w14:textId="77777777" w:rsidR="008273DF" w:rsidRPr="003E52D9" w:rsidRDefault="008273DF" w:rsidP="00440A84">
      <w:pPr>
        <w:pStyle w:val="Prrafodelista"/>
        <w:numPr>
          <w:ilvl w:val="0"/>
          <w:numId w:val="7"/>
        </w:numPr>
        <w:autoSpaceDE w:val="0"/>
        <w:autoSpaceDN w:val="0"/>
        <w:adjustRightInd w:val="0"/>
        <w:spacing w:line="360" w:lineRule="auto"/>
        <w:jc w:val="center"/>
        <w:rPr>
          <w:rFonts w:ascii="Barlow" w:hAnsi="Barlow" w:cstheme="minorHAnsi"/>
          <w:b/>
          <w:sz w:val="20"/>
          <w:szCs w:val="20"/>
        </w:rPr>
      </w:pPr>
      <w:r w:rsidRPr="003E52D9">
        <w:rPr>
          <w:rFonts w:ascii="Barlow" w:hAnsi="Barlow" w:cstheme="minorHAnsi"/>
          <w:b/>
          <w:sz w:val="20"/>
          <w:szCs w:val="20"/>
        </w:rPr>
        <w:lastRenderedPageBreak/>
        <w:t>NOTAS DE DESGLOCE</w:t>
      </w:r>
    </w:p>
    <w:p w14:paraId="072B47C4" w14:textId="77777777" w:rsidR="00005D4F" w:rsidRDefault="00005D4F" w:rsidP="00C4137E">
      <w:pPr>
        <w:autoSpaceDE w:val="0"/>
        <w:autoSpaceDN w:val="0"/>
        <w:adjustRightInd w:val="0"/>
        <w:spacing w:line="360" w:lineRule="auto"/>
        <w:jc w:val="both"/>
        <w:rPr>
          <w:rFonts w:ascii="Barlow" w:hAnsi="Barlow" w:cstheme="minorHAnsi"/>
          <w:b/>
          <w:sz w:val="20"/>
          <w:szCs w:val="20"/>
        </w:rPr>
      </w:pPr>
    </w:p>
    <w:p w14:paraId="0D197774" w14:textId="59FE1E6F"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 NOTAS AL ESTADO DE ACTIVIDADES</w:t>
      </w:r>
    </w:p>
    <w:p w14:paraId="25085650" w14:textId="77777777" w:rsidR="00005D4F" w:rsidRPr="003E52D9" w:rsidRDefault="00005D4F" w:rsidP="00005D4F">
      <w:pPr>
        <w:autoSpaceDE w:val="0"/>
        <w:autoSpaceDN w:val="0"/>
        <w:adjustRightInd w:val="0"/>
        <w:jc w:val="both"/>
        <w:rPr>
          <w:rFonts w:ascii="Barlow" w:hAnsi="Barlow" w:cstheme="minorHAnsi"/>
          <w:b/>
          <w:sz w:val="20"/>
          <w:szCs w:val="20"/>
        </w:rPr>
      </w:pPr>
    </w:p>
    <w:p w14:paraId="4BE4053E" w14:textId="77777777"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Ingresos y Otros Beneficios</w:t>
      </w:r>
    </w:p>
    <w:p w14:paraId="05A9EE9F" w14:textId="77777777" w:rsidR="00005D4F" w:rsidRPr="00664DEE" w:rsidRDefault="00005D4F" w:rsidP="00005D4F">
      <w:pPr>
        <w:autoSpaceDE w:val="0"/>
        <w:autoSpaceDN w:val="0"/>
        <w:adjustRightInd w:val="0"/>
        <w:jc w:val="both"/>
        <w:rPr>
          <w:rFonts w:ascii="Barlow" w:hAnsi="Barlow" w:cstheme="minorHAnsi"/>
          <w:b/>
          <w:sz w:val="2"/>
          <w:szCs w:val="2"/>
        </w:rPr>
      </w:pPr>
    </w:p>
    <w:p w14:paraId="63340E18" w14:textId="08851D8E" w:rsidR="00005D4F" w:rsidRPr="003E52D9" w:rsidRDefault="00D54564" w:rsidP="00005D4F">
      <w:pPr>
        <w:autoSpaceDE w:val="0"/>
        <w:autoSpaceDN w:val="0"/>
        <w:adjustRightInd w:val="0"/>
        <w:jc w:val="both"/>
        <w:rPr>
          <w:rFonts w:ascii="Barlow" w:hAnsi="Barlow" w:cstheme="minorHAnsi"/>
          <w:sz w:val="20"/>
          <w:szCs w:val="20"/>
        </w:rPr>
      </w:pPr>
      <w:r>
        <w:rPr>
          <w:rFonts w:ascii="Barlow" w:hAnsi="Barlow" w:cstheme="minorHAnsi"/>
          <w:sz w:val="20"/>
          <w:szCs w:val="20"/>
        </w:rPr>
        <w:t>El Fondo de Seguri</w:t>
      </w:r>
      <w:r w:rsidR="00C26766">
        <w:rPr>
          <w:rFonts w:ascii="Barlow" w:hAnsi="Barlow" w:cstheme="minorHAnsi"/>
          <w:sz w:val="20"/>
          <w:szCs w:val="20"/>
        </w:rPr>
        <w:t>dad Pública del Estado de Yucatá</w:t>
      </w:r>
      <w:r>
        <w:rPr>
          <w:rFonts w:ascii="Barlow" w:hAnsi="Barlow" w:cstheme="minorHAnsi"/>
          <w:sz w:val="20"/>
          <w:szCs w:val="20"/>
        </w:rPr>
        <w:t>n</w:t>
      </w:r>
      <w:r w:rsidR="00C26766">
        <w:rPr>
          <w:rFonts w:ascii="Barlow" w:hAnsi="Barlow" w:cstheme="minorHAnsi"/>
          <w:sz w:val="20"/>
          <w:szCs w:val="20"/>
        </w:rPr>
        <w:t xml:space="preserve"> debido a que se encuentra en proceso de extinción</w:t>
      </w:r>
      <w:r>
        <w:rPr>
          <w:rFonts w:ascii="Barlow" w:hAnsi="Barlow" w:cstheme="minorHAnsi"/>
          <w:sz w:val="20"/>
          <w:szCs w:val="20"/>
        </w:rPr>
        <w:t xml:space="preserve"> ya no percibe </w:t>
      </w:r>
      <w:r w:rsidR="00C26766">
        <w:rPr>
          <w:rFonts w:ascii="Barlow" w:hAnsi="Barlow" w:cstheme="minorHAnsi"/>
          <w:sz w:val="20"/>
          <w:szCs w:val="20"/>
        </w:rPr>
        <w:t xml:space="preserve">ningún tipo de ministración. </w:t>
      </w:r>
    </w:p>
    <w:p w14:paraId="5F0DA1BB" w14:textId="3BBFAAAC" w:rsidR="00005D4F" w:rsidRPr="003E52D9" w:rsidRDefault="00C26766" w:rsidP="00005D4F">
      <w:pPr>
        <w:autoSpaceDE w:val="0"/>
        <w:autoSpaceDN w:val="0"/>
        <w:adjustRightInd w:val="0"/>
        <w:jc w:val="both"/>
        <w:rPr>
          <w:rFonts w:ascii="Barlow" w:hAnsi="Barlow" w:cstheme="minorHAnsi"/>
          <w:sz w:val="20"/>
          <w:szCs w:val="20"/>
        </w:rPr>
      </w:pPr>
      <w:r w:rsidRPr="00C26766">
        <w:rPr>
          <w:rFonts w:ascii="Barlow" w:hAnsi="Barlow" w:cstheme="minorHAnsi"/>
          <w:sz w:val="20"/>
          <w:szCs w:val="20"/>
        </w:rPr>
        <w:t xml:space="preserve">Los ingresos que llegara a percibir serían los </w:t>
      </w:r>
      <w:r w:rsidR="00005D4F" w:rsidRPr="00C26766">
        <w:rPr>
          <w:rFonts w:ascii="Barlow" w:hAnsi="Barlow" w:cstheme="minorHAnsi"/>
          <w:sz w:val="20"/>
          <w:szCs w:val="20"/>
        </w:rPr>
        <w:t xml:space="preserve">provenientes </w:t>
      </w:r>
      <w:r w:rsidR="00270896" w:rsidRPr="00C26766">
        <w:rPr>
          <w:rFonts w:ascii="Barlow" w:hAnsi="Barlow" w:cstheme="minorHAnsi"/>
          <w:sz w:val="20"/>
          <w:szCs w:val="20"/>
        </w:rPr>
        <w:t xml:space="preserve">por </w:t>
      </w:r>
      <w:r w:rsidR="00005D4F" w:rsidRPr="00C26766">
        <w:rPr>
          <w:rFonts w:ascii="Barlow" w:hAnsi="Barlow" w:cstheme="minorHAnsi"/>
          <w:sz w:val="20"/>
          <w:szCs w:val="20"/>
        </w:rPr>
        <w:t>rendimientos de las cue</w:t>
      </w:r>
      <w:r w:rsidRPr="00C26766">
        <w:rPr>
          <w:rFonts w:ascii="Barlow" w:hAnsi="Barlow" w:cstheme="minorHAnsi"/>
          <w:sz w:val="20"/>
          <w:szCs w:val="20"/>
        </w:rPr>
        <w:t>ntas de inversiones y bancarias.</w:t>
      </w:r>
    </w:p>
    <w:p w14:paraId="29027C2B" w14:textId="77777777" w:rsidR="00005D4F" w:rsidRPr="003E52D9" w:rsidRDefault="00005D4F" w:rsidP="00005D4F">
      <w:pPr>
        <w:autoSpaceDE w:val="0"/>
        <w:autoSpaceDN w:val="0"/>
        <w:adjustRightInd w:val="0"/>
        <w:jc w:val="both"/>
        <w:rPr>
          <w:rFonts w:ascii="Barlow" w:hAnsi="Barlow" w:cstheme="minorHAnsi"/>
          <w:b/>
          <w:sz w:val="20"/>
          <w:szCs w:val="20"/>
        </w:rPr>
      </w:pPr>
    </w:p>
    <w:p w14:paraId="20CD006E" w14:textId="77777777"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Ingresos de Gestión</w:t>
      </w:r>
    </w:p>
    <w:p w14:paraId="739635F4" w14:textId="77777777" w:rsidR="00005D4F" w:rsidRPr="00664DEE" w:rsidRDefault="00005D4F" w:rsidP="00005D4F">
      <w:pPr>
        <w:autoSpaceDE w:val="0"/>
        <w:autoSpaceDN w:val="0"/>
        <w:adjustRightInd w:val="0"/>
        <w:jc w:val="both"/>
        <w:rPr>
          <w:rFonts w:ascii="Barlow" w:hAnsi="Barlow" w:cstheme="minorHAnsi"/>
          <w:b/>
          <w:sz w:val="2"/>
          <w:szCs w:val="2"/>
        </w:rPr>
      </w:pPr>
    </w:p>
    <w:p w14:paraId="656DCA4C" w14:textId="46458144" w:rsidR="00005D4F" w:rsidRPr="003E52D9" w:rsidRDefault="001F768D" w:rsidP="001F768D">
      <w:pPr>
        <w:autoSpaceDE w:val="0"/>
        <w:autoSpaceDN w:val="0"/>
        <w:adjustRightInd w:val="0"/>
        <w:jc w:val="both"/>
        <w:rPr>
          <w:rFonts w:ascii="Barlow" w:hAnsi="Barlow" w:cstheme="minorHAnsi"/>
          <w:bCs/>
          <w:sz w:val="20"/>
          <w:szCs w:val="20"/>
        </w:rPr>
      </w:pPr>
      <w:r>
        <w:rPr>
          <w:rFonts w:ascii="Barlow" w:hAnsi="Barlow" w:cstheme="minorHAnsi"/>
          <w:sz w:val="20"/>
          <w:szCs w:val="20"/>
        </w:rPr>
        <w:t xml:space="preserve">Al </w:t>
      </w:r>
      <w:r w:rsidR="00EE1B6C">
        <w:rPr>
          <w:rFonts w:ascii="Barlow" w:hAnsi="Barlow" w:cstheme="minorHAnsi"/>
          <w:sz w:val="20"/>
          <w:szCs w:val="20"/>
        </w:rPr>
        <w:t>31 de marzo de 2025</w:t>
      </w:r>
      <w:r>
        <w:rPr>
          <w:rFonts w:ascii="Barlow" w:hAnsi="Barlow" w:cstheme="minorHAnsi"/>
          <w:sz w:val="20"/>
          <w:szCs w:val="20"/>
        </w:rPr>
        <w:t xml:space="preserve"> no se cuenta con ingresos por este concepto, que son representados por concepto </w:t>
      </w:r>
      <w:r w:rsidRPr="003E52D9">
        <w:rPr>
          <w:rFonts w:ascii="Barlow" w:hAnsi="Barlow" w:cstheme="minorHAnsi"/>
          <w:sz w:val="20"/>
          <w:szCs w:val="20"/>
        </w:rPr>
        <w:t xml:space="preserve">de intereses </w:t>
      </w:r>
      <w:r>
        <w:rPr>
          <w:rFonts w:ascii="Barlow" w:hAnsi="Barlow" w:cstheme="minorHAnsi"/>
          <w:sz w:val="20"/>
          <w:szCs w:val="20"/>
        </w:rPr>
        <w:t>bancario</w:t>
      </w:r>
      <w:r w:rsidRPr="003E52D9">
        <w:rPr>
          <w:rFonts w:ascii="Barlow" w:hAnsi="Barlow" w:cstheme="minorHAnsi"/>
          <w:sz w:val="20"/>
          <w:szCs w:val="20"/>
        </w:rPr>
        <w:t>s</w:t>
      </w:r>
      <w:r>
        <w:rPr>
          <w:rFonts w:ascii="Barlow" w:hAnsi="Barlow" w:cstheme="minorHAnsi"/>
          <w:sz w:val="20"/>
          <w:szCs w:val="20"/>
        </w:rPr>
        <w:t>.</w:t>
      </w:r>
    </w:p>
    <w:p w14:paraId="101EE684" w14:textId="77777777" w:rsidR="00005D4F" w:rsidRPr="003E52D9" w:rsidRDefault="00005D4F" w:rsidP="00005D4F">
      <w:pPr>
        <w:autoSpaceDE w:val="0"/>
        <w:autoSpaceDN w:val="0"/>
        <w:adjustRightInd w:val="0"/>
        <w:jc w:val="both"/>
        <w:rPr>
          <w:rFonts w:ascii="Barlow" w:hAnsi="Barlow" w:cstheme="minorHAnsi"/>
          <w:bCs/>
          <w:sz w:val="20"/>
          <w:szCs w:val="20"/>
        </w:rPr>
      </w:pPr>
    </w:p>
    <w:p w14:paraId="0C7E198B" w14:textId="11694B35" w:rsidR="00005D4F" w:rsidRPr="003E52D9" w:rsidRDefault="00005D4F" w:rsidP="00005D4F">
      <w:pPr>
        <w:autoSpaceDE w:val="0"/>
        <w:autoSpaceDN w:val="0"/>
        <w:adjustRightInd w:val="0"/>
        <w:jc w:val="both"/>
        <w:rPr>
          <w:rFonts w:ascii="Barlow" w:hAnsi="Barlow" w:cstheme="minorHAnsi"/>
          <w:b/>
          <w:sz w:val="20"/>
          <w:szCs w:val="20"/>
        </w:rPr>
      </w:pPr>
      <w:bookmarkStart w:id="3" w:name="m12"/>
      <w:bookmarkEnd w:id="3"/>
      <w:r w:rsidRPr="003E52D9">
        <w:rPr>
          <w:rFonts w:ascii="Barlow" w:hAnsi="Barlow" w:cstheme="minorHAnsi"/>
          <w:b/>
          <w:sz w:val="20"/>
          <w:szCs w:val="20"/>
        </w:rPr>
        <w:t>Participaciones, Aportaciones,</w:t>
      </w:r>
      <w:r w:rsidR="007855F5">
        <w:rPr>
          <w:rFonts w:ascii="Barlow" w:hAnsi="Barlow" w:cstheme="minorHAnsi"/>
          <w:b/>
          <w:sz w:val="20"/>
          <w:szCs w:val="20"/>
        </w:rPr>
        <w:t xml:space="preserve"> Convenios, Incentivos Derivados</w:t>
      </w:r>
      <w:r w:rsidR="00BC4943">
        <w:rPr>
          <w:rFonts w:ascii="Barlow" w:hAnsi="Barlow" w:cstheme="minorHAnsi"/>
          <w:b/>
          <w:sz w:val="20"/>
          <w:szCs w:val="20"/>
        </w:rPr>
        <w:t xml:space="preserve"> de la Colaboración Fiscal, Fondos Distintos de Aportaciones,</w:t>
      </w:r>
      <w:r w:rsidRPr="003E52D9">
        <w:rPr>
          <w:rFonts w:ascii="Barlow" w:hAnsi="Barlow" w:cstheme="minorHAnsi"/>
          <w:b/>
          <w:sz w:val="20"/>
          <w:szCs w:val="20"/>
        </w:rPr>
        <w:t xml:space="preserve"> Transferencias, Asignaciones, Subsidios y</w:t>
      </w:r>
      <w:r w:rsidR="00BC4943">
        <w:rPr>
          <w:rFonts w:ascii="Barlow" w:hAnsi="Barlow" w:cstheme="minorHAnsi"/>
          <w:b/>
          <w:sz w:val="20"/>
          <w:szCs w:val="20"/>
        </w:rPr>
        <w:t xml:space="preserve"> Subvenciones, y Pensiones y Jubilaciones</w:t>
      </w:r>
      <w:r w:rsidRPr="003E52D9">
        <w:rPr>
          <w:rFonts w:ascii="Barlow" w:hAnsi="Barlow" w:cstheme="minorHAnsi"/>
          <w:b/>
          <w:sz w:val="20"/>
          <w:szCs w:val="20"/>
        </w:rPr>
        <w:t>.</w:t>
      </w:r>
    </w:p>
    <w:p w14:paraId="5CA696D4" w14:textId="77777777" w:rsidR="00005D4F" w:rsidRPr="00664DEE" w:rsidRDefault="00005D4F" w:rsidP="00005D4F">
      <w:pPr>
        <w:autoSpaceDE w:val="0"/>
        <w:autoSpaceDN w:val="0"/>
        <w:adjustRightInd w:val="0"/>
        <w:jc w:val="both"/>
        <w:rPr>
          <w:rFonts w:ascii="Barlow" w:hAnsi="Barlow" w:cstheme="minorHAnsi"/>
          <w:b/>
          <w:sz w:val="2"/>
          <w:szCs w:val="2"/>
        </w:rPr>
      </w:pPr>
    </w:p>
    <w:p w14:paraId="7DF518BB" w14:textId="1825042E" w:rsidR="00005D4F" w:rsidRPr="003E52D9" w:rsidRDefault="00005D4F" w:rsidP="00005D4F">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 xml:space="preserve">2.- </w:t>
      </w:r>
      <w:r w:rsidR="00D2266F">
        <w:rPr>
          <w:rFonts w:ascii="Barlow" w:hAnsi="Barlow" w:cstheme="minorHAnsi"/>
          <w:bCs/>
          <w:sz w:val="20"/>
          <w:szCs w:val="20"/>
        </w:rPr>
        <w:t xml:space="preserve">Al </w:t>
      </w:r>
      <w:r w:rsidR="00EE1B6C">
        <w:rPr>
          <w:rFonts w:ascii="Barlow" w:hAnsi="Barlow" w:cstheme="minorHAnsi"/>
          <w:sz w:val="20"/>
          <w:szCs w:val="20"/>
        </w:rPr>
        <w:t>31 de marzo de 2025</w:t>
      </w:r>
      <w:r w:rsidR="00270896">
        <w:rPr>
          <w:rFonts w:ascii="Barlow" w:hAnsi="Barlow" w:cstheme="minorHAnsi"/>
          <w:bCs/>
          <w:sz w:val="20"/>
          <w:szCs w:val="20"/>
        </w:rPr>
        <w:t xml:space="preserve"> el </w:t>
      </w:r>
      <w:r w:rsidR="00270896" w:rsidRPr="003E52D9">
        <w:rPr>
          <w:rFonts w:ascii="Barlow" w:hAnsi="Barlow" w:cstheme="minorHAnsi"/>
          <w:sz w:val="20"/>
          <w:szCs w:val="20"/>
        </w:rPr>
        <w:t>Fondo de Seguridad Pública del Estado de Yucatán</w:t>
      </w:r>
      <w:r w:rsidR="00270896" w:rsidRPr="003E52D9">
        <w:rPr>
          <w:rFonts w:ascii="Barlow" w:hAnsi="Barlow" w:cstheme="minorHAnsi"/>
          <w:bCs/>
          <w:sz w:val="20"/>
          <w:szCs w:val="20"/>
        </w:rPr>
        <w:t xml:space="preserve"> </w:t>
      </w:r>
      <w:r w:rsidR="00270896">
        <w:rPr>
          <w:rFonts w:ascii="Barlow" w:hAnsi="Barlow" w:cstheme="minorHAnsi"/>
          <w:bCs/>
          <w:sz w:val="20"/>
          <w:szCs w:val="20"/>
        </w:rPr>
        <w:t>no ha recibido ingreso</w:t>
      </w:r>
      <w:r w:rsidR="00891D16">
        <w:rPr>
          <w:rFonts w:ascii="Barlow" w:hAnsi="Barlow" w:cstheme="minorHAnsi"/>
          <w:bCs/>
          <w:sz w:val="20"/>
          <w:szCs w:val="20"/>
        </w:rPr>
        <w:t>s</w:t>
      </w:r>
      <w:r w:rsidR="00270896">
        <w:rPr>
          <w:rFonts w:ascii="Barlow" w:hAnsi="Barlow" w:cstheme="minorHAnsi"/>
          <w:bCs/>
          <w:sz w:val="20"/>
          <w:szCs w:val="20"/>
        </w:rPr>
        <w:t xml:space="preserve"> por concepto de </w:t>
      </w:r>
      <w:r w:rsidR="00512ECE" w:rsidRPr="00512ECE">
        <w:rPr>
          <w:rFonts w:ascii="Barlow" w:hAnsi="Barlow" w:cstheme="minorHAnsi"/>
          <w:sz w:val="20"/>
          <w:szCs w:val="20"/>
        </w:rPr>
        <w:t>Participaciones, Aportaciones, Convenios, Incentivos Derivados de la Colaboración Fiscal, Fondos Distintos de Aportaciones, Transferencias, Asignaciones, Subsidios y Subvenciones, y Pensiones y Jubilaciones</w:t>
      </w:r>
      <w:r w:rsidR="00891D16">
        <w:rPr>
          <w:rFonts w:ascii="Barlow" w:hAnsi="Barlow" w:cstheme="minorHAnsi"/>
          <w:bCs/>
          <w:sz w:val="20"/>
          <w:szCs w:val="20"/>
        </w:rPr>
        <w:t>.</w:t>
      </w:r>
    </w:p>
    <w:p w14:paraId="3EC2B658" w14:textId="77777777" w:rsidR="00005D4F" w:rsidRPr="003E52D9" w:rsidRDefault="00005D4F" w:rsidP="00005D4F">
      <w:pPr>
        <w:autoSpaceDE w:val="0"/>
        <w:autoSpaceDN w:val="0"/>
        <w:adjustRightInd w:val="0"/>
        <w:jc w:val="both"/>
        <w:rPr>
          <w:rFonts w:ascii="Barlow" w:hAnsi="Barlow" w:cstheme="minorHAnsi"/>
          <w:b/>
          <w:sz w:val="20"/>
          <w:szCs w:val="20"/>
        </w:rPr>
      </w:pPr>
    </w:p>
    <w:p w14:paraId="4EDA23E9" w14:textId="77777777" w:rsidR="00005D4F" w:rsidRPr="003E52D9" w:rsidRDefault="00005D4F" w:rsidP="00005D4F">
      <w:pPr>
        <w:autoSpaceDE w:val="0"/>
        <w:autoSpaceDN w:val="0"/>
        <w:adjustRightInd w:val="0"/>
        <w:spacing w:line="0" w:lineRule="atLeast"/>
        <w:jc w:val="both"/>
        <w:rPr>
          <w:rFonts w:ascii="Barlow" w:hAnsi="Barlow" w:cstheme="minorHAnsi"/>
          <w:b/>
          <w:sz w:val="20"/>
          <w:szCs w:val="20"/>
        </w:rPr>
      </w:pPr>
      <w:r w:rsidRPr="003E52D9">
        <w:rPr>
          <w:rFonts w:ascii="Barlow" w:hAnsi="Barlow" w:cstheme="minorHAnsi"/>
          <w:b/>
          <w:sz w:val="20"/>
          <w:szCs w:val="20"/>
        </w:rPr>
        <w:t>Otros Ingresos y Beneficios Varios</w:t>
      </w:r>
    </w:p>
    <w:p w14:paraId="21A08899" w14:textId="23442B62" w:rsidR="00005D4F" w:rsidRPr="003E52D9" w:rsidRDefault="00005D4F" w:rsidP="00005D4F">
      <w:pPr>
        <w:autoSpaceDE w:val="0"/>
        <w:autoSpaceDN w:val="0"/>
        <w:adjustRightInd w:val="0"/>
        <w:spacing w:line="0" w:lineRule="atLeast"/>
        <w:jc w:val="both"/>
        <w:rPr>
          <w:rFonts w:ascii="Barlow" w:hAnsi="Barlow" w:cstheme="minorHAnsi"/>
          <w:sz w:val="20"/>
          <w:szCs w:val="20"/>
        </w:rPr>
      </w:pPr>
      <w:r w:rsidRPr="003E52D9">
        <w:rPr>
          <w:rFonts w:ascii="Barlow" w:hAnsi="Barlow" w:cstheme="minorHAnsi"/>
          <w:bCs/>
          <w:sz w:val="20"/>
          <w:szCs w:val="20"/>
        </w:rPr>
        <w:t xml:space="preserve">3.- </w:t>
      </w:r>
      <w:r w:rsidRPr="003E52D9">
        <w:rPr>
          <w:rFonts w:ascii="Barlow" w:hAnsi="Barlow" w:cstheme="minorHAnsi"/>
          <w:sz w:val="20"/>
          <w:szCs w:val="20"/>
        </w:rPr>
        <w:t xml:space="preserve">El Fondo de Seguridad Pública del Estado de Yucatán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Pr="003E52D9">
        <w:rPr>
          <w:rFonts w:ascii="Barlow" w:hAnsi="Barlow" w:cstheme="minorHAnsi"/>
          <w:sz w:val="20"/>
          <w:szCs w:val="20"/>
        </w:rPr>
        <w:t xml:space="preserve"> no tiene registro de otros Ingresos o Beneficios Varios</w:t>
      </w:r>
    </w:p>
    <w:p w14:paraId="26A51F17" w14:textId="77777777" w:rsidR="00005D4F" w:rsidRDefault="00005D4F" w:rsidP="00005D4F">
      <w:pPr>
        <w:autoSpaceDE w:val="0"/>
        <w:autoSpaceDN w:val="0"/>
        <w:adjustRightInd w:val="0"/>
        <w:jc w:val="both"/>
        <w:rPr>
          <w:rFonts w:ascii="Barlow" w:hAnsi="Barlow" w:cstheme="minorHAnsi"/>
          <w:b/>
          <w:sz w:val="20"/>
          <w:szCs w:val="20"/>
        </w:rPr>
      </w:pPr>
    </w:p>
    <w:p w14:paraId="27A6701A" w14:textId="77777777" w:rsidR="00005D4F" w:rsidRPr="003E52D9" w:rsidRDefault="00005D4F" w:rsidP="00005D4F">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Gastos y Otras Pérdidas</w:t>
      </w:r>
    </w:p>
    <w:p w14:paraId="7B7B3C81" w14:textId="1E1649A6" w:rsidR="00005D4F" w:rsidRDefault="00005D4F" w:rsidP="00005D4F">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 xml:space="preserve">1.- El Fondo de Seguridad Pública del Estado de Yucatán </w:t>
      </w:r>
      <w:r w:rsidR="00D2266F">
        <w:rPr>
          <w:rFonts w:ascii="Barlow" w:hAnsi="Barlow" w:cstheme="minorHAnsi"/>
          <w:bCs/>
          <w:sz w:val="20"/>
          <w:szCs w:val="20"/>
        </w:rPr>
        <w:t xml:space="preserve">al </w:t>
      </w:r>
      <w:r w:rsidR="00EE1B6C">
        <w:rPr>
          <w:rFonts w:ascii="Barlow" w:hAnsi="Barlow" w:cstheme="minorHAnsi"/>
          <w:sz w:val="20"/>
          <w:szCs w:val="20"/>
        </w:rPr>
        <w:t>31 de marzo de 2025</w:t>
      </w:r>
      <w:r w:rsidRPr="003E52D9">
        <w:rPr>
          <w:rFonts w:ascii="Barlow" w:hAnsi="Barlow" w:cstheme="minorHAnsi"/>
          <w:bCs/>
          <w:sz w:val="20"/>
          <w:szCs w:val="20"/>
        </w:rPr>
        <w:t xml:space="preserve"> no ha realizado transferencias, subsidios y otras ayudas, participaciones y aportaciones, que en lo individual representen el 10% o más del total de los gastos. </w:t>
      </w:r>
    </w:p>
    <w:p w14:paraId="5F45B994" w14:textId="77777777" w:rsidR="001F768D" w:rsidRPr="003E52D9" w:rsidRDefault="001F768D" w:rsidP="00005D4F">
      <w:pPr>
        <w:autoSpaceDE w:val="0"/>
        <w:autoSpaceDN w:val="0"/>
        <w:adjustRightInd w:val="0"/>
        <w:jc w:val="both"/>
        <w:rPr>
          <w:rFonts w:ascii="Barlow" w:hAnsi="Barlow" w:cstheme="minorHAnsi"/>
          <w:bCs/>
          <w:sz w:val="20"/>
          <w:szCs w:val="20"/>
        </w:rPr>
      </w:pPr>
    </w:p>
    <w:p w14:paraId="736F3275" w14:textId="15890805" w:rsidR="00005D4F" w:rsidRDefault="00891D16" w:rsidP="00005D4F">
      <w:pPr>
        <w:autoSpaceDE w:val="0"/>
        <w:autoSpaceDN w:val="0"/>
        <w:adjustRightInd w:val="0"/>
        <w:jc w:val="both"/>
        <w:rPr>
          <w:rFonts w:ascii="Barlow" w:hAnsi="Barlow" w:cstheme="minorHAnsi"/>
          <w:bCs/>
          <w:sz w:val="20"/>
          <w:szCs w:val="20"/>
        </w:rPr>
      </w:pPr>
      <w:r>
        <w:rPr>
          <w:rFonts w:ascii="Barlow" w:hAnsi="Barlow" w:cstheme="minorHAnsi"/>
          <w:bCs/>
          <w:sz w:val="20"/>
          <w:szCs w:val="20"/>
        </w:rPr>
        <w:t xml:space="preserve">Y al </w:t>
      </w:r>
      <w:r w:rsidR="00EE1B6C">
        <w:rPr>
          <w:rFonts w:ascii="Barlow" w:hAnsi="Barlow" w:cstheme="minorHAnsi"/>
          <w:sz w:val="20"/>
          <w:szCs w:val="20"/>
        </w:rPr>
        <w:t>31 de marzo de 2025</w:t>
      </w:r>
      <w:r>
        <w:rPr>
          <w:rFonts w:ascii="Barlow" w:hAnsi="Barlow" w:cstheme="minorHAnsi"/>
          <w:bCs/>
          <w:sz w:val="20"/>
          <w:szCs w:val="20"/>
        </w:rPr>
        <w:t xml:space="preserve"> tampoco ha tenido </w:t>
      </w:r>
      <w:r w:rsidR="00D356ED">
        <w:rPr>
          <w:rFonts w:ascii="Barlow" w:hAnsi="Barlow" w:cstheme="minorHAnsi"/>
          <w:bCs/>
          <w:sz w:val="20"/>
          <w:szCs w:val="20"/>
        </w:rPr>
        <w:t>otros gastos o</w:t>
      </w:r>
      <w:r w:rsidR="00D356ED" w:rsidRPr="003E52D9">
        <w:rPr>
          <w:rFonts w:ascii="Barlow" w:hAnsi="Barlow" w:cstheme="minorHAnsi"/>
          <w:bCs/>
          <w:sz w:val="20"/>
          <w:szCs w:val="20"/>
        </w:rPr>
        <w:t xml:space="preserve"> pérdidas extraordinarias</w:t>
      </w:r>
      <w:r>
        <w:rPr>
          <w:rFonts w:ascii="Barlow" w:hAnsi="Barlow" w:cstheme="minorHAnsi"/>
          <w:bCs/>
          <w:sz w:val="20"/>
          <w:szCs w:val="20"/>
        </w:rPr>
        <w:t>.</w:t>
      </w:r>
    </w:p>
    <w:p w14:paraId="10ED41C7" w14:textId="77777777" w:rsidR="001F768D" w:rsidRDefault="001F768D" w:rsidP="00005D4F">
      <w:pPr>
        <w:autoSpaceDE w:val="0"/>
        <w:autoSpaceDN w:val="0"/>
        <w:adjustRightInd w:val="0"/>
        <w:jc w:val="both"/>
        <w:rPr>
          <w:rFonts w:ascii="Barlow" w:hAnsi="Barlow" w:cstheme="minorHAnsi"/>
          <w:bCs/>
          <w:sz w:val="20"/>
          <w:szCs w:val="20"/>
        </w:rPr>
      </w:pPr>
    </w:p>
    <w:p w14:paraId="040C8DEC" w14:textId="7DA82E95" w:rsidR="00005D4F" w:rsidRPr="003E52D9" w:rsidRDefault="00D2266F" w:rsidP="00005D4F">
      <w:pPr>
        <w:autoSpaceDE w:val="0"/>
        <w:autoSpaceDN w:val="0"/>
        <w:adjustRightInd w:val="0"/>
        <w:jc w:val="both"/>
        <w:rPr>
          <w:rFonts w:ascii="Barlow" w:hAnsi="Barlow" w:cstheme="minorHAnsi"/>
          <w:bCs/>
          <w:sz w:val="20"/>
          <w:szCs w:val="20"/>
        </w:rPr>
      </w:pPr>
      <w:r>
        <w:rPr>
          <w:rFonts w:ascii="Barlow" w:hAnsi="Barlow" w:cstheme="minorHAnsi"/>
          <w:bCs/>
          <w:sz w:val="20"/>
          <w:szCs w:val="20"/>
        </w:rPr>
        <w:t xml:space="preserve">Al </w:t>
      </w:r>
      <w:r w:rsidR="00EE1B6C">
        <w:rPr>
          <w:rFonts w:ascii="Barlow" w:hAnsi="Barlow" w:cstheme="minorHAnsi"/>
          <w:sz w:val="20"/>
          <w:szCs w:val="20"/>
        </w:rPr>
        <w:t>31 de marzo de 2025</w:t>
      </w:r>
      <w:r w:rsidR="00005D4F" w:rsidRPr="004E1DA3">
        <w:rPr>
          <w:rFonts w:ascii="Barlow" w:hAnsi="Barlow" w:cstheme="minorHAnsi"/>
          <w:bCs/>
          <w:sz w:val="20"/>
          <w:szCs w:val="20"/>
        </w:rPr>
        <w:t xml:space="preserve"> no se han realizado pagos por concepto de transferencias, asignaciones, subsidios y otras ayudas.</w:t>
      </w:r>
    </w:p>
    <w:p w14:paraId="70AD579F" w14:textId="77777777" w:rsidR="00005D4F" w:rsidRPr="003E52D9" w:rsidRDefault="00005D4F" w:rsidP="00005D4F">
      <w:pPr>
        <w:autoSpaceDE w:val="0"/>
        <w:autoSpaceDN w:val="0"/>
        <w:adjustRightInd w:val="0"/>
        <w:jc w:val="both"/>
        <w:rPr>
          <w:rFonts w:ascii="Barlow" w:hAnsi="Barlow" w:cstheme="minorHAnsi"/>
          <w:bCs/>
          <w:sz w:val="20"/>
          <w:szCs w:val="20"/>
        </w:rPr>
      </w:pPr>
    </w:p>
    <w:p w14:paraId="45075424" w14:textId="5886465A" w:rsidR="00005D4F" w:rsidRDefault="00D2266F" w:rsidP="00005D4F">
      <w:pPr>
        <w:autoSpaceDE w:val="0"/>
        <w:autoSpaceDN w:val="0"/>
        <w:adjustRightInd w:val="0"/>
        <w:jc w:val="both"/>
        <w:rPr>
          <w:rFonts w:ascii="Barlow" w:hAnsi="Barlow" w:cstheme="minorHAnsi"/>
          <w:bCs/>
          <w:sz w:val="20"/>
          <w:szCs w:val="20"/>
        </w:rPr>
      </w:pPr>
      <w:r>
        <w:rPr>
          <w:rFonts w:ascii="Barlow" w:hAnsi="Barlow" w:cstheme="minorHAnsi"/>
          <w:bCs/>
          <w:sz w:val="20"/>
          <w:szCs w:val="20"/>
        </w:rPr>
        <w:t xml:space="preserve">Al </w:t>
      </w:r>
      <w:r w:rsidR="00EE1B6C">
        <w:rPr>
          <w:rFonts w:ascii="Barlow" w:hAnsi="Barlow" w:cstheme="minorHAnsi"/>
          <w:sz w:val="20"/>
          <w:szCs w:val="20"/>
        </w:rPr>
        <w:t>31 de marzo de 2025</w:t>
      </w:r>
      <w:r w:rsidR="00C1466B">
        <w:rPr>
          <w:rFonts w:ascii="Barlow" w:hAnsi="Barlow" w:cstheme="minorHAnsi"/>
          <w:bCs/>
          <w:sz w:val="20"/>
          <w:szCs w:val="20"/>
        </w:rPr>
        <w:t xml:space="preserve"> </w:t>
      </w:r>
      <w:r w:rsidR="00891D16">
        <w:rPr>
          <w:rFonts w:ascii="Barlow" w:hAnsi="Barlow" w:cstheme="minorHAnsi"/>
          <w:bCs/>
          <w:sz w:val="20"/>
          <w:szCs w:val="20"/>
        </w:rPr>
        <w:t xml:space="preserve">el </w:t>
      </w:r>
      <w:r w:rsidR="00891D16" w:rsidRPr="003E52D9">
        <w:rPr>
          <w:rFonts w:ascii="Barlow" w:hAnsi="Barlow" w:cstheme="minorHAnsi"/>
          <w:sz w:val="20"/>
          <w:szCs w:val="20"/>
        </w:rPr>
        <w:t>Fondo de Seguridad Pública del Estado de Yucatán</w:t>
      </w:r>
      <w:r w:rsidR="00891D16">
        <w:rPr>
          <w:rFonts w:ascii="Barlow" w:hAnsi="Barlow" w:cstheme="minorHAnsi"/>
          <w:bCs/>
          <w:sz w:val="20"/>
          <w:szCs w:val="20"/>
        </w:rPr>
        <w:t xml:space="preserve"> no ha realizado ningún tipo de </w:t>
      </w:r>
      <w:r w:rsidR="00005D4F">
        <w:rPr>
          <w:rFonts w:ascii="Barlow" w:hAnsi="Barlow" w:cstheme="minorHAnsi"/>
          <w:sz w:val="20"/>
          <w:szCs w:val="20"/>
        </w:rPr>
        <w:t xml:space="preserve">gasto de funcionamiento por concepto </w:t>
      </w:r>
      <w:r w:rsidR="00005D4F" w:rsidRPr="003E52D9">
        <w:rPr>
          <w:rFonts w:ascii="Barlow" w:hAnsi="Barlow" w:cstheme="minorHAnsi"/>
          <w:bCs/>
          <w:sz w:val="20"/>
          <w:szCs w:val="20"/>
        </w:rPr>
        <w:t xml:space="preserve">de servicios personales, materiales y suministros y servicios generales </w:t>
      </w:r>
    </w:p>
    <w:p w14:paraId="33A4452A" w14:textId="3FFE19C6" w:rsidR="00C1466B" w:rsidRPr="00AF286E" w:rsidRDefault="00C1466B" w:rsidP="00005D4F">
      <w:pPr>
        <w:autoSpaceDE w:val="0"/>
        <w:autoSpaceDN w:val="0"/>
        <w:adjustRightInd w:val="0"/>
        <w:jc w:val="both"/>
        <w:rPr>
          <w:rFonts w:ascii="Barlow" w:hAnsi="Barlow" w:cstheme="minorHAnsi"/>
          <w:bCs/>
          <w:sz w:val="8"/>
          <w:szCs w:val="20"/>
        </w:rPr>
      </w:pPr>
    </w:p>
    <w:p w14:paraId="6F3108C7" w14:textId="6484CF46" w:rsidR="008273DF" w:rsidRPr="003E52D9" w:rsidRDefault="000A1E6D" w:rsidP="00C4137E">
      <w:pPr>
        <w:autoSpaceDE w:val="0"/>
        <w:autoSpaceDN w:val="0"/>
        <w:adjustRightInd w:val="0"/>
        <w:spacing w:line="360" w:lineRule="auto"/>
        <w:jc w:val="both"/>
        <w:rPr>
          <w:rFonts w:ascii="Barlow" w:hAnsi="Barlow" w:cstheme="minorHAnsi"/>
          <w:b/>
          <w:sz w:val="20"/>
          <w:szCs w:val="20"/>
        </w:rPr>
      </w:pPr>
      <w:r>
        <w:rPr>
          <w:rFonts w:ascii="Barlow" w:hAnsi="Barlow" w:cstheme="minorHAnsi"/>
          <w:b/>
          <w:sz w:val="20"/>
          <w:szCs w:val="20"/>
        </w:rPr>
        <w:lastRenderedPageBreak/>
        <w:t>I</w:t>
      </w:r>
      <w:r w:rsidR="00455288" w:rsidRPr="003E52D9">
        <w:rPr>
          <w:rFonts w:ascii="Barlow" w:hAnsi="Barlow" w:cstheme="minorHAnsi"/>
          <w:b/>
          <w:sz w:val="20"/>
          <w:szCs w:val="20"/>
        </w:rPr>
        <w:t>I</w:t>
      </w:r>
      <w:r w:rsidR="008273DF" w:rsidRPr="003E52D9">
        <w:rPr>
          <w:rFonts w:ascii="Barlow" w:hAnsi="Barlow" w:cstheme="minorHAnsi"/>
          <w:b/>
          <w:sz w:val="20"/>
          <w:szCs w:val="20"/>
        </w:rPr>
        <w:t>) NOTAS AL ESTADO DE SITUACIÓN FINANCIERA.</w:t>
      </w:r>
    </w:p>
    <w:p w14:paraId="4B6A0118" w14:textId="77777777" w:rsidR="008273DF" w:rsidRPr="003E52D9" w:rsidRDefault="008273DF" w:rsidP="00C4137E">
      <w:p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Activo</w:t>
      </w:r>
    </w:p>
    <w:p w14:paraId="3CB8C764" w14:textId="77777777" w:rsidR="008273DF" w:rsidRPr="003E52D9" w:rsidRDefault="008273DF" w:rsidP="00440A84">
      <w:pPr>
        <w:pStyle w:val="Prrafodelista"/>
        <w:numPr>
          <w:ilvl w:val="0"/>
          <w:numId w:val="8"/>
        </w:num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Efectivo y Equivalentes</w:t>
      </w:r>
    </w:p>
    <w:p w14:paraId="17C620B8" w14:textId="5130C226" w:rsidR="008273DF" w:rsidRPr="003E52D9" w:rsidRDefault="008273D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1.- </w:t>
      </w:r>
      <w:r w:rsidR="00EA6DDD" w:rsidRPr="003E52D9">
        <w:rPr>
          <w:rFonts w:ascii="Barlow" w:hAnsi="Barlow" w:cstheme="minorHAnsi"/>
          <w:sz w:val="20"/>
          <w:szCs w:val="20"/>
        </w:rPr>
        <w:t xml:space="preserve">El rubro de efectivo y equivalentes </w:t>
      </w:r>
      <w:r w:rsidRPr="003E52D9">
        <w:rPr>
          <w:rFonts w:ascii="Barlow" w:hAnsi="Barlow" w:cstheme="minorHAnsi"/>
          <w:sz w:val="20"/>
          <w:szCs w:val="20"/>
        </w:rPr>
        <w:t>se encuentra integrada por tipo de cuenta bancaria de la siguiente manera:</w:t>
      </w:r>
    </w:p>
    <w:tbl>
      <w:tblPr>
        <w:tblpPr w:leftFromText="141" w:rightFromText="141" w:vertAnchor="text" w:horzAnchor="margin" w:tblpXSpec="center" w:tblpY="207"/>
        <w:tblW w:w="9493" w:type="dxa"/>
        <w:tblCellMar>
          <w:left w:w="70" w:type="dxa"/>
          <w:right w:w="70" w:type="dxa"/>
        </w:tblCellMar>
        <w:tblLook w:val="04A0" w:firstRow="1" w:lastRow="0" w:firstColumn="1" w:lastColumn="0" w:noHBand="0" w:noVBand="1"/>
      </w:tblPr>
      <w:tblGrid>
        <w:gridCol w:w="4815"/>
        <w:gridCol w:w="2410"/>
        <w:gridCol w:w="2268"/>
      </w:tblGrid>
      <w:tr w:rsidR="00EA6DDD" w:rsidRPr="003E52D9" w14:paraId="70277F14" w14:textId="77777777" w:rsidTr="00711783">
        <w:trPr>
          <w:trHeight w:val="240"/>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EA369" w14:textId="77777777" w:rsidR="00EA6DDD" w:rsidRPr="003E52D9" w:rsidRDefault="00EA6DDD" w:rsidP="00EA6DDD">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Concepto</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5DFD23A" w14:textId="3D1EDA4E" w:rsidR="00EA6DDD" w:rsidRPr="003E52D9" w:rsidRDefault="00F73CB9" w:rsidP="005F0D38">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7A6BA1">
              <w:rPr>
                <w:rFonts w:ascii="Barlow" w:hAnsi="Barlow" w:cstheme="minorHAnsi"/>
                <w:b/>
                <w:bCs/>
                <w:color w:val="000000"/>
                <w:sz w:val="20"/>
                <w:szCs w:val="20"/>
                <w:lang w:eastAsia="es-MX"/>
              </w:rPr>
              <w:t>5</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690E82B" w14:textId="007149DD" w:rsidR="00EA6DDD" w:rsidRPr="003E52D9" w:rsidRDefault="00F73CB9" w:rsidP="005F0D38">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7A6BA1">
              <w:rPr>
                <w:rFonts w:ascii="Barlow" w:hAnsi="Barlow" w:cstheme="minorHAnsi"/>
                <w:b/>
                <w:bCs/>
                <w:color w:val="000000"/>
                <w:sz w:val="20"/>
                <w:szCs w:val="20"/>
                <w:lang w:eastAsia="es-MX"/>
              </w:rPr>
              <w:t>4</w:t>
            </w:r>
          </w:p>
        </w:tc>
      </w:tr>
      <w:tr w:rsidR="007A6BA1" w:rsidRPr="003E52D9" w14:paraId="28602B73"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430AB7" w14:textId="77777777" w:rsidR="007A6BA1" w:rsidRPr="003E52D9" w:rsidRDefault="007A6BA1" w:rsidP="007A6BA1">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BANCOS/TESORERÍA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44FEF069" w14:textId="296B0593" w:rsidR="007A6BA1" w:rsidRPr="003E52D9" w:rsidRDefault="007A6BA1" w:rsidP="007A6BA1">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1</w:t>
            </w:r>
            <w:r w:rsidR="00C30BA3">
              <w:rPr>
                <w:rFonts w:ascii="Barlow" w:hAnsi="Barlow" w:cstheme="minorHAnsi"/>
                <w:color w:val="000000"/>
                <w:sz w:val="20"/>
                <w:szCs w:val="20"/>
                <w:lang w:eastAsia="es-MX"/>
              </w:rPr>
              <w:t>1</w:t>
            </w:r>
            <w:r w:rsidRPr="003E52D9">
              <w:rPr>
                <w:rFonts w:ascii="Barlow" w:hAnsi="Barlow" w:cstheme="minorHAnsi"/>
                <w:color w:val="000000"/>
                <w:sz w:val="20"/>
                <w:szCs w:val="20"/>
                <w:lang w:eastAsia="es-MX"/>
              </w:rPr>
              <w:t>,</w:t>
            </w:r>
            <w:r w:rsidR="00EE1B6C">
              <w:rPr>
                <w:rFonts w:ascii="Barlow" w:hAnsi="Barlow" w:cstheme="minorHAnsi"/>
                <w:color w:val="000000"/>
                <w:sz w:val="20"/>
                <w:szCs w:val="20"/>
                <w:lang w:eastAsia="es-MX"/>
              </w:rPr>
              <w:t>139</w:t>
            </w:r>
            <w:r>
              <w:rPr>
                <w:rFonts w:ascii="Barlow" w:hAnsi="Barlow" w:cstheme="minorHAnsi"/>
                <w:color w:val="000000"/>
                <w:sz w:val="20"/>
                <w:szCs w:val="20"/>
                <w:lang w:eastAsia="es-MX"/>
              </w:rPr>
              <w:t>,</w:t>
            </w:r>
            <w:r w:rsidR="00EE1B6C">
              <w:rPr>
                <w:rFonts w:ascii="Barlow" w:hAnsi="Barlow" w:cstheme="minorHAnsi"/>
                <w:color w:val="000000"/>
                <w:sz w:val="20"/>
                <w:szCs w:val="20"/>
                <w:lang w:eastAsia="es-MX"/>
              </w:rPr>
              <w:t>64</w:t>
            </w:r>
            <w:r w:rsidR="00C30BA3">
              <w:rPr>
                <w:rFonts w:ascii="Barlow" w:hAnsi="Barlow" w:cstheme="minorHAnsi"/>
                <w:color w:val="000000"/>
                <w:sz w:val="20"/>
                <w:szCs w:val="20"/>
                <w:lang w:eastAsia="es-MX"/>
              </w:rPr>
              <w:t>5</w:t>
            </w:r>
            <w:r>
              <w:rPr>
                <w:rFonts w:ascii="Barlow" w:hAnsi="Barlow" w:cstheme="minorHAnsi"/>
                <w:color w:val="000000"/>
                <w:sz w:val="20"/>
                <w:szCs w:val="20"/>
                <w:lang w:eastAsia="es-MX"/>
              </w:rPr>
              <w:t>.</w:t>
            </w:r>
            <w:r w:rsidR="00EE1B6C">
              <w:rPr>
                <w:rFonts w:ascii="Barlow" w:hAnsi="Barlow" w:cstheme="minorHAnsi"/>
                <w:color w:val="000000"/>
                <w:sz w:val="20"/>
                <w:szCs w:val="20"/>
                <w:lang w:eastAsia="es-MX"/>
              </w:rPr>
              <w:t>83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0359D57F" w14:textId="3CF5F602" w:rsidR="007A6BA1" w:rsidRPr="003E52D9" w:rsidRDefault="007A6BA1" w:rsidP="007A6BA1">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11</w:t>
            </w:r>
            <w:r w:rsidRPr="003E52D9">
              <w:rPr>
                <w:rFonts w:ascii="Barlow" w:hAnsi="Barlow" w:cstheme="minorHAnsi"/>
                <w:color w:val="000000"/>
                <w:sz w:val="20"/>
                <w:szCs w:val="20"/>
                <w:lang w:eastAsia="es-MX"/>
              </w:rPr>
              <w:t>,</w:t>
            </w:r>
            <w:r>
              <w:rPr>
                <w:rFonts w:ascii="Barlow" w:hAnsi="Barlow" w:cstheme="minorHAnsi"/>
                <w:color w:val="000000"/>
                <w:sz w:val="20"/>
                <w:szCs w:val="20"/>
                <w:lang w:eastAsia="es-MX"/>
              </w:rPr>
              <w:t>048,271.19</w:t>
            </w:r>
          </w:p>
        </w:tc>
      </w:tr>
      <w:tr w:rsidR="007A6BA1" w:rsidRPr="003E52D9" w14:paraId="7CD568EE"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FAB1B" w14:textId="77777777" w:rsidR="007A6BA1" w:rsidRPr="003E52D9" w:rsidRDefault="007A6BA1" w:rsidP="007A6BA1">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INVERSIONES TEMPORALES (HASTA 3 MESES)</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303D37F" w14:textId="18527649" w:rsidR="007A6BA1" w:rsidRPr="003E52D9" w:rsidRDefault="007A6BA1" w:rsidP="007A6BA1">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4D57AD1" w14:textId="5D3303E9" w:rsidR="007A6BA1" w:rsidRPr="003E52D9" w:rsidRDefault="007A6BA1" w:rsidP="007A6BA1">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r>
      <w:tr w:rsidR="007A6BA1" w:rsidRPr="003E52D9" w14:paraId="380FF722" w14:textId="77777777" w:rsidTr="00711783">
        <w:trPr>
          <w:trHeight w:val="228"/>
        </w:trPr>
        <w:tc>
          <w:tcPr>
            <w:tcW w:w="48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77DD4" w14:textId="77777777" w:rsidR="007A6BA1" w:rsidRPr="003E52D9" w:rsidRDefault="007A6BA1" w:rsidP="007A6BA1">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FONDOS CON AFECTACIÓN ESPECÍFICA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60130229" w14:textId="7B224AEC" w:rsidR="007A6BA1" w:rsidRPr="003E52D9" w:rsidRDefault="007A6BA1" w:rsidP="007A6BA1">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5446B80F" w14:textId="28E0F2AC" w:rsidR="007A6BA1" w:rsidRPr="003E52D9" w:rsidRDefault="007A6BA1" w:rsidP="007A6BA1">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0</w:t>
            </w:r>
            <w:r w:rsidRPr="003E52D9">
              <w:rPr>
                <w:rFonts w:ascii="Barlow" w:hAnsi="Barlow" w:cstheme="minorHAnsi"/>
                <w:color w:val="000000"/>
                <w:sz w:val="20"/>
                <w:szCs w:val="20"/>
                <w:lang w:eastAsia="es-MX"/>
              </w:rPr>
              <w:t>.00</w:t>
            </w:r>
          </w:p>
        </w:tc>
      </w:tr>
      <w:tr w:rsidR="007A6BA1" w:rsidRPr="003E52D9" w14:paraId="12AEB0E6" w14:textId="77777777" w:rsidTr="00711783">
        <w:trPr>
          <w:trHeight w:val="152"/>
        </w:trPr>
        <w:tc>
          <w:tcPr>
            <w:tcW w:w="4815"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788AB77" w14:textId="77777777" w:rsidR="007A6BA1" w:rsidRPr="003E52D9" w:rsidRDefault="007A6BA1" w:rsidP="007A6BA1">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Suma</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14:paraId="3126E573" w14:textId="75695FD9" w:rsidR="007A6BA1" w:rsidRPr="003E52D9" w:rsidRDefault="007A6BA1" w:rsidP="007A6BA1">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Pr>
                <w:rFonts w:ascii="Barlow" w:hAnsi="Barlow" w:cstheme="minorHAnsi"/>
                <w:b/>
                <w:bCs/>
                <w:color w:val="000000"/>
                <w:sz w:val="20"/>
                <w:szCs w:val="20"/>
                <w:lang w:eastAsia="es-MX"/>
              </w:rPr>
              <w:t>1</w:t>
            </w:r>
            <w:r w:rsidR="00C30BA3">
              <w:rPr>
                <w:rFonts w:ascii="Barlow" w:hAnsi="Barlow" w:cstheme="minorHAnsi"/>
                <w:b/>
                <w:bCs/>
                <w:color w:val="000000"/>
                <w:sz w:val="20"/>
                <w:szCs w:val="20"/>
                <w:lang w:eastAsia="es-MX"/>
              </w:rPr>
              <w:t>1</w:t>
            </w:r>
            <w:r w:rsidRPr="003E52D9">
              <w:rPr>
                <w:rFonts w:ascii="Barlow" w:hAnsi="Barlow" w:cstheme="minorHAnsi"/>
                <w:b/>
                <w:bCs/>
                <w:color w:val="000000"/>
                <w:sz w:val="20"/>
                <w:szCs w:val="20"/>
                <w:lang w:eastAsia="es-MX"/>
              </w:rPr>
              <w:t>,</w:t>
            </w:r>
            <w:r w:rsidR="00EE1B6C">
              <w:rPr>
                <w:rFonts w:ascii="Barlow" w:hAnsi="Barlow" w:cstheme="minorHAnsi"/>
                <w:b/>
                <w:bCs/>
                <w:color w:val="000000"/>
                <w:sz w:val="20"/>
                <w:szCs w:val="20"/>
                <w:lang w:eastAsia="es-MX"/>
              </w:rPr>
              <w:t>139</w:t>
            </w:r>
            <w:r>
              <w:rPr>
                <w:rFonts w:ascii="Barlow" w:hAnsi="Barlow" w:cstheme="minorHAnsi"/>
                <w:b/>
                <w:bCs/>
                <w:color w:val="000000"/>
                <w:sz w:val="20"/>
                <w:szCs w:val="20"/>
                <w:lang w:eastAsia="es-MX"/>
              </w:rPr>
              <w:t>,</w:t>
            </w:r>
            <w:r w:rsidR="00EE1B6C">
              <w:rPr>
                <w:rFonts w:ascii="Barlow" w:hAnsi="Barlow" w:cstheme="minorHAnsi"/>
                <w:b/>
                <w:bCs/>
                <w:color w:val="000000"/>
                <w:sz w:val="20"/>
                <w:szCs w:val="20"/>
                <w:lang w:eastAsia="es-MX"/>
              </w:rPr>
              <w:t>64</w:t>
            </w:r>
            <w:r w:rsidR="00C30BA3">
              <w:rPr>
                <w:rFonts w:ascii="Barlow" w:hAnsi="Barlow" w:cstheme="minorHAnsi"/>
                <w:b/>
                <w:bCs/>
                <w:color w:val="000000"/>
                <w:sz w:val="20"/>
                <w:szCs w:val="20"/>
                <w:lang w:eastAsia="es-MX"/>
              </w:rPr>
              <w:t>5</w:t>
            </w:r>
            <w:r>
              <w:rPr>
                <w:rFonts w:ascii="Barlow" w:hAnsi="Barlow" w:cstheme="minorHAnsi"/>
                <w:b/>
                <w:bCs/>
                <w:color w:val="000000"/>
                <w:sz w:val="20"/>
                <w:szCs w:val="20"/>
                <w:lang w:eastAsia="es-MX"/>
              </w:rPr>
              <w:t>.</w:t>
            </w:r>
            <w:r w:rsidR="00EE1B6C">
              <w:rPr>
                <w:rFonts w:ascii="Barlow" w:hAnsi="Barlow" w:cstheme="minorHAnsi"/>
                <w:b/>
                <w:bCs/>
                <w:color w:val="000000"/>
                <w:sz w:val="20"/>
                <w:szCs w:val="20"/>
                <w:lang w:eastAsia="es-MX"/>
              </w:rPr>
              <w:t>83</w:t>
            </w:r>
            <w:r w:rsidRPr="003E52D9">
              <w:rPr>
                <w:rFonts w:ascii="Barlow" w:hAnsi="Barlow" w:cstheme="minorHAnsi"/>
                <w:b/>
                <w:bCs/>
                <w:color w:val="000000"/>
                <w:sz w:val="20"/>
                <w:szCs w:val="20"/>
                <w:lang w:eastAsia="es-MX"/>
              </w:rPr>
              <w:t xml:space="preserve"> </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C3D31DD" w14:textId="6C744BF8" w:rsidR="007A6BA1" w:rsidRPr="003E52D9" w:rsidRDefault="007A6BA1" w:rsidP="007A6BA1">
            <w:pPr>
              <w:jc w:val="right"/>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 </w:t>
            </w:r>
            <w:r>
              <w:rPr>
                <w:rFonts w:ascii="Barlow" w:hAnsi="Barlow" w:cstheme="minorHAnsi"/>
                <w:b/>
                <w:bCs/>
                <w:color w:val="000000"/>
                <w:sz w:val="20"/>
                <w:szCs w:val="20"/>
                <w:lang w:eastAsia="es-MX"/>
              </w:rPr>
              <w:t>11</w:t>
            </w:r>
            <w:r w:rsidRPr="003E52D9">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048,271.19</w:t>
            </w:r>
            <w:r w:rsidRPr="003E52D9">
              <w:rPr>
                <w:rFonts w:ascii="Barlow" w:hAnsi="Barlow" w:cstheme="minorHAnsi"/>
                <w:b/>
                <w:bCs/>
                <w:color w:val="000000"/>
                <w:sz w:val="20"/>
                <w:szCs w:val="20"/>
                <w:lang w:eastAsia="es-MX"/>
              </w:rPr>
              <w:t xml:space="preserve"> </w:t>
            </w:r>
          </w:p>
        </w:tc>
      </w:tr>
    </w:tbl>
    <w:p w14:paraId="26E20112" w14:textId="73156BCD" w:rsidR="0014716A" w:rsidRPr="003E52D9" w:rsidRDefault="0014716A" w:rsidP="00C4137E">
      <w:pPr>
        <w:autoSpaceDE w:val="0"/>
        <w:autoSpaceDN w:val="0"/>
        <w:adjustRightInd w:val="0"/>
        <w:spacing w:line="360" w:lineRule="auto"/>
        <w:jc w:val="both"/>
        <w:rPr>
          <w:rFonts w:ascii="Barlow" w:hAnsi="Barlow" w:cstheme="minorHAnsi"/>
          <w:sz w:val="20"/>
          <w:szCs w:val="20"/>
        </w:rPr>
      </w:pPr>
    </w:p>
    <w:p w14:paraId="474FDB4B" w14:textId="77777777" w:rsidR="00DF308F" w:rsidRPr="003E52D9" w:rsidRDefault="009571C1" w:rsidP="00906A55">
      <w:pPr>
        <w:tabs>
          <w:tab w:val="left" w:pos="3468"/>
        </w:tabs>
        <w:autoSpaceDE w:val="0"/>
        <w:autoSpaceDN w:val="0"/>
        <w:adjustRightInd w:val="0"/>
        <w:spacing w:line="360" w:lineRule="auto"/>
        <w:jc w:val="both"/>
        <w:rPr>
          <w:rFonts w:ascii="Barlow" w:hAnsi="Barlow" w:cstheme="minorHAnsi"/>
          <w:sz w:val="20"/>
          <w:szCs w:val="20"/>
        </w:rPr>
      </w:pPr>
      <w:r w:rsidRPr="003E52D9">
        <w:rPr>
          <w:rFonts w:ascii="Barlow" w:hAnsi="Barlow" w:cstheme="minorHAnsi"/>
          <w:sz w:val="20"/>
          <w:szCs w:val="20"/>
        </w:rPr>
        <w:tab/>
      </w:r>
    </w:p>
    <w:p w14:paraId="5D9C9839" w14:textId="77777777" w:rsidR="00DF308F" w:rsidRPr="003E52D9" w:rsidRDefault="00DF308F" w:rsidP="009571C1">
      <w:pPr>
        <w:tabs>
          <w:tab w:val="left" w:pos="5568"/>
        </w:tabs>
        <w:autoSpaceDE w:val="0"/>
        <w:autoSpaceDN w:val="0"/>
        <w:adjustRightInd w:val="0"/>
        <w:spacing w:line="360" w:lineRule="auto"/>
        <w:jc w:val="both"/>
        <w:rPr>
          <w:rFonts w:ascii="Barlow" w:hAnsi="Barlow" w:cstheme="minorHAnsi"/>
          <w:sz w:val="20"/>
          <w:szCs w:val="20"/>
        </w:rPr>
      </w:pPr>
    </w:p>
    <w:p w14:paraId="038B630B" w14:textId="77777777" w:rsidR="00DF308F" w:rsidRPr="003E52D9" w:rsidRDefault="00DF308F" w:rsidP="00C4137E">
      <w:pPr>
        <w:autoSpaceDE w:val="0"/>
        <w:autoSpaceDN w:val="0"/>
        <w:adjustRightInd w:val="0"/>
        <w:spacing w:line="360" w:lineRule="auto"/>
        <w:jc w:val="both"/>
        <w:rPr>
          <w:rFonts w:ascii="Barlow" w:hAnsi="Barlow" w:cstheme="minorHAnsi"/>
          <w:sz w:val="20"/>
          <w:szCs w:val="20"/>
        </w:rPr>
      </w:pPr>
      <w:bookmarkStart w:id="4" w:name="m1"/>
      <w:bookmarkEnd w:id="4"/>
    </w:p>
    <w:p w14:paraId="52C51137" w14:textId="77777777" w:rsidR="00EA6DDD" w:rsidRPr="00AF286E" w:rsidRDefault="00EA6DDD" w:rsidP="00906A55">
      <w:pPr>
        <w:autoSpaceDE w:val="0"/>
        <w:autoSpaceDN w:val="0"/>
        <w:adjustRightInd w:val="0"/>
        <w:jc w:val="both"/>
        <w:rPr>
          <w:rFonts w:ascii="Barlow" w:hAnsi="Barlow" w:cstheme="minorHAnsi"/>
          <w:sz w:val="16"/>
          <w:szCs w:val="20"/>
        </w:rPr>
      </w:pPr>
    </w:p>
    <w:p w14:paraId="72EEEAAD" w14:textId="77777777" w:rsidR="00AC03FC" w:rsidRPr="007A6BA1" w:rsidRDefault="00AC03FC" w:rsidP="00906A55">
      <w:pPr>
        <w:autoSpaceDE w:val="0"/>
        <w:autoSpaceDN w:val="0"/>
        <w:adjustRightInd w:val="0"/>
        <w:jc w:val="both"/>
        <w:rPr>
          <w:rFonts w:ascii="Barlow" w:hAnsi="Barlow" w:cstheme="minorHAnsi"/>
          <w:sz w:val="10"/>
          <w:szCs w:val="10"/>
        </w:rPr>
      </w:pPr>
    </w:p>
    <w:p w14:paraId="6D324484" w14:textId="33F17A9C" w:rsidR="00EA6DDD" w:rsidRPr="003E52D9" w:rsidRDefault="00AC03FC" w:rsidP="00AC03FC">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t>Bancos/Tesorería</w:t>
      </w:r>
    </w:p>
    <w:p w14:paraId="09355A4A" w14:textId="110C935D" w:rsidR="00AC03FC" w:rsidRDefault="00AC03FC"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Representa el monto de efectivo disponible propiedad del Fondo de Seguridad Pública, en instituciones bancarias, su importe se integra por:</w:t>
      </w:r>
    </w:p>
    <w:tbl>
      <w:tblPr>
        <w:tblpPr w:leftFromText="141" w:rightFromText="141" w:vertAnchor="text" w:horzAnchor="page" w:tblpX="5614" w:tblpY="61"/>
        <w:tblW w:w="3539" w:type="dxa"/>
        <w:tblCellMar>
          <w:left w:w="70" w:type="dxa"/>
          <w:right w:w="70" w:type="dxa"/>
        </w:tblCellMar>
        <w:tblLook w:val="04A0" w:firstRow="1" w:lastRow="0" w:firstColumn="1" w:lastColumn="0" w:noHBand="0" w:noVBand="1"/>
      </w:tblPr>
      <w:tblGrid>
        <w:gridCol w:w="1346"/>
        <w:gridCol w:w="2193"/>
      </w:tblGrid>
      <w:tr w:rsidR="00C1466B" w:rsidRPr="003E52D9" w14:paraId="5469C26A" w14:textId="77777777" w:rsidTr="00C1466B">
        <w:trPr>
          <w:trHeight w:val="240"/>
        </w:trPr>
        <w:tc>
          <w:tcPr>
            <w:tcW w:w="13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1CFB5" w14:textId="77777777" w:rsidR="00C1466B" w:rsidRPr="003E52D9" w:rsidRDefault="00C1466B" w:rsidP="00C1466B">
            <w:pP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Banco</w:t>
            </w:r>
          </w:p>
        </w:tc>
        <w:tc>
          <w:tcPr>
            <w:tcW w:w="2193" w:type="dxa"/>
            <w:tcBorders>
              <w:top w:val="single" w:sz="4" w:space="0" w:color="auto"/>
              <w:left w:val="nil"/>
              <w:bottom w:val="single" w:sz="4" w:space="0" w:color="auto"/>
              <w:right w:val="single" w:sz="4" w:space="0" w:color="auto"/>
            </w:tcBorders>
            <w:shd w:val="clear" w:color="auto" w:fill="auto"/>
            <w:noWrap/>
            <w:vAlign w:val="bottom"/>
            <w:hideMark/>
          </w:tcPr>
          <w:p w14:paraId="230A1238" w14:textId="77777777" w:rsidR="00C1466B" w:rsidRPr="003E52D9" w:rsidRDefault="00C1466B" w:rsidP="00C1466B">
            <w:pPr>
              <w:jc w:val="center"/>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Importe</w:t>
            </w:r>
          </w:p>
        </w:tc>
      </w:tr>
      <w:tr w:rsidR="00C1466B" w:rsidRPr="003E52D9" w14:paraId="556BBCE7" w14:textId="77777777" w:rsidTr="00C1466B">
        <w:trPr>
          <w:trHeight w:val="240"/>
        </w:trPr>
        <w:tc>
          <w:tcPr>
            <w:tcW w:w="134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542EB3" w14:textId="634AB6C4" w:rsidR="00C1466B" w:rsidRPr="003E52D9" w:rsidRDefault="0020086C" w:rsidP="00C1466B">
            <w:pPr>
              <w:rPr>
                <w:rFonts w:ascii="Barlow" w:hAnsi="Barlow" w:cstheme="minorHAnsi"/>
                <w:bCs/>
                <w:color w:val="000000"/>
                <w:sz w:val="20"/>
                <w:szCs w:val="20"/>
                <w:lang w:eastAsia="es-MX"/>
              </w:rPr>
            </w:pPr>
            <w:r>
              <w:rPr>
                <w:rFonts w:ascii="Barlow" w:hAnsi="Barlow" w:cstheme="minorHAnsi"/>
                <w:bCs/>
                <w:color w:val="000000"/>
                <w:sz w:val="20"/>
                <w:szCs w:val="20"/>
                <w:lang w:eastAsia="es-MX"/>
              </w:rPr>
              <w:t>Nafin</w:t>
            </w:r>
          </w:p>
        </w:tc>
        <w:tc>
          <w:tcPr>
            <w:tcW w:w="2193" w:type="dxa"/>
            <w:tcBorders>
              <w:top w:val="single" w:sz="4" w:space="0" w:color="auto"/>
              <w:left w:val="nil"/>
              <w:bottom w:val="single" w:sz="4" w:space="0" w:color="auto"/>
              <w:right w:val="single" w:sz="4" w:space="0" w:color="000000"/>
            </w:tcBorders>
            <w:shd w:val="clear" w:color="auto" w:fill="auto"/>
            <w:noWrap/>
            <w:vAlign w:val="bottom"/>
            <w:hideMark/>
          </w:tcPr>
          <w:p w14:paraId="50909332" w14:textId="7B4AA3B4" w:rsidR="00C1466B" w:rsidRPr="003E52D9" w:rsidRDefault="00C1466B" w:rsidP="000F54E0">
            <w:pPr>
              <w:jc w:val="right"/>
              <w:rPr>
                <w:rFonts w:ascii="Barlow" w:hAnsi="Barlow" w:cstheme="minorHAnsi"/>
                <w:bCs/>
                <w:color w:val="000000"/>
                <w:sz w:val="20"/>
                <w:szCs w:val="20"/>
                <w:lang w:eastAsia="es-MX"/>
              </w:rPr>
            </w:pPr>
            <w:r w:rsidRPr="003E52D9">
              <w:rPr>
                <w:rFonts w:ascii="Barlow" w:hAnsi="Barlow" w:cstheme="minorHAnsi"/>
                <w:bCs/>
                <w:color w:val="000000"/>
                <w:sz w:val="20"/>
                <w:szCs w:val="20"/>
                <w:lang w:eastAsia="es-MX"/>
              </w:rPr>
              <w:t xml:space="preserve"> $ </w:t>
            </w:r>
            <w:r w:rsidR="007A6BA1">
              <w:rPr>
                <w:rFonts w:ascii="Barlow" w:hAnsi="Barlow" w:cstheme="minorHAnsi"/>
                <w:bCs/>
                <w:color w:val="000000"/>
                <w:sz w:val="20"/>
                <w:szCs w:val="20"/>
                <w:lang w:eastAsia="es-MX"/>
              </w:rPr>
              <w:t>1</w:t>
            </w:r>
            <w:r w:rsidR="00C30BA3">
              <w:rPr>
                <w:rFonts w:ascii="Barlow" w:hAnsi="Barlow" w:cstheme="minorHAnsi"/>
                <w:bCs/>
                <w:color w:val="000000"/>
                <w:sz w:val="20"/>
                <w:szCs w:val="20"/>
                <w:lang w:eastAsia="es-MX"/>
              </w:rPr>
              <w:t>1</w:t>
            </w:r>
            <w:r w:rsidRPr="003E52D9">
              <w:rPr>
                <w:rFonts w:ascii="Barlow" w:hAnsi="Barlow" w:cstheme="minorHAnsi"/>
                <w:bCs/>
                <w:color w:val="000000"/>
                <w:sz w:val="20"/>
                <w:szCs w:val="20"/>
                <w:lang w:eastAsia="es-MX"/>
              </w:rPr>
              <w:t>,</w:t>
            </w:r>
            <w:r w:rsidR="00EE1B6C">
              <w:rPr>
                <w:rFonts w:ascii="Barlow" w:hAnsi="Barlow" w:cstheme="minorHAnsi"/>
                <w:bCs/>
                <w:color w:val="000000"/>
                <w:sz w:val="20"/>
                <w:szCs w:val="20"/>
                <w:lang w:eastAsia="es-MX"/>
              </w:rPr>
              <w:t>139</w:t>
            </w:r>
            <w:r w:rsidR="00C30BA3">
              <w:rPr>
                <w:rFonts w:ascii="Barlow" w:hAnsi="Barlow" w:cstheme="minorHAnsi"/>
                <w:bCs/>
                <w:color w:val="000000"/>
                <w:sz w:val="20"/>
                <w:szCs w:val="20"/>
                <w:lang w:eastAsia="es-MX"/>
              </w:rPr>
              <w:t>,</w:t>
            </w:r>
            <w:r w:rsidR="00EE1B6C">
              <w:rPr>
                <w:rFonts w:ascii="Barlow" w:hAnsi="Barlow" w:cstheme="minorHAnsi"/>
                <w:bCs/>
                <w:color w:val="000000"/>
                <w:sz w:val="20"/>
                <w:szCs w:val="20"/>
                <w:lang w:eastAsia="es-MX"/>
              </w:rPr>
              <w:t>64</w:t>
            </w:r>
            <w:r w:rsidR="00C30BA3">
              <w:rPr>
                <w:rFonts w:ascii="Barlow" w:hAnsi="Barlow" w:cstheme="minorHAnsi"/>
                <w:bCs/>
                <w:color w:val="000000"/>
                <w:sz w:val="20"/>
                <w:szCs w:val="20"/>
                <w:lang w:eastAsia="es-MX"/>
              </w:rPr>
              <w:t>5</w:t>
            </w:r>
            <w:r>
              <w:rPr>
                <w:rFonts w:ascii="Barlow" w:hAnsi="Barlow" w:cstheme="minorHAnsi"/>
                <w:bCs/>
                <w:color w:val="000000"/>
                <w:sz w:val="20"/>
                <w:szCs w:val="20"/>
                <w:lang w:eastAsia="es-MX"/>
              </w:rPr>
              <w:t>.</w:t>
            </w:r>
            <w:r w:rsidR="00EE1B6C">
              <w:rPr>
                <w:rFonts w:ascii="Barlow" w:hAnsi="Barlow" w:cstheme="minorHAnsi"/>
                <w:bCs/>
                <w:color w:val="000000"/>
                <w:sz w:val="20"/>
                <w:szCs w:val="20"/>
                <w:lang w:eastAsia="es-MX"/>
              </w:rPr>
              <w:t>83</w:t>
            </w:r>
            <w:r w:rsidRPr="003E52D9">
              <w:rPr>
                <w:rFonts w:ascii="Barlow" w:hAnsi="Barlow" w:cstheme="minorHAnsi"/>
                <w:bCs/>
                <w:color w:val="000000"/>
                <w:sz w:val="20"/>
                <w:szCs w:val="20"/>
                <w:lang w:eastAsia="es-MX"/>
              </w:rPr>
              <w:t xml:space="preserve"> </w:t>
            </w:r>
          </w:p>
        </w:tc>
      </w:tr>
    </w:tbl>
    <w:p w14:paraId="66B5F2CC" w14:textId="77777777" w:rsidR="00042929" w:rsidRPr="003E52D9" w:rsidRDefault="00042929" w:rsidP="00906A55">
      <w:pPr>
        <w:autoSpaceDE w:val="0"/>
        <w:autoSpaceDN w:val="0"/>
        <w:adjustRightInd w:val="0"/>
        <w:jc w:val="both"/>
        <w:rPr>
          <w:rFonts w:ascii="Barlow" w:hAnsi="Barlow" w:cstheme="minorHAnsi"/>
          <w:sz w:val="20"/>
          <w:szCs w:val="20"/>
        </w:rPr>
      </w:pPr>
    </w:p>
    <w:p w14:paraId="2A0B4055" w14:textId="77777777" w:rsidR="00AC03FC" w:rsidRPr="003E52D9" w:rsidRDefault="00AC03FC" w:rsidP="00906A55">
      <w:pPr>
        <w:autoSpaceDE w:val="0"/>
        <w:autoSpaceDN w:val="0"/>
        <w:adjustRightInd w:val="0"/>
        <w:jc w:val="both"/>
        <w:rPr>
          <w:rFonts w:ascii="Barlow" w:hAnsi="Barlow" w:cstheme="minorHAnsi"/>
          <w:sz w:val="20"/>
          <w:szCs w:val="20"/>
        </w:rPr>
      </w:pPr>
    </w:p>
    <w:p w14:paraId="35036740" w14:textId="77777777" w:rsidR="003D1793" w:rsidRPr="00F873FD" w:rsidRDefault="003D1793" w:rsidP="00AC03FC">
      <w:pPr>
        <w:autoSpaceDE w:val="0"/>
        <w:autoSpaceDN w:val="0"/>
        <w:adjustRightInd w:val="0"/>
        <w:spacing w:line="360" w:lineRule="auto"/>
        <w:jc w:val="both"/>
        <w:rPr>
          <w:rFonts w:ascii="Barlow" w:hAnsi="Barlow" w:cstheme="minorHAnsi"/>
          <w:b/>
          <w:sz w:val="8"/>
          <w:szCs w:val="20"/>
        </w:rPr>
      </w:pPr>
    </w:p>
    <w:p w14:paraId="2BA4D3B1" w14:textId="52E7CB1A" w:rsidR="00AC03FC" w:rsidRPr="003E52D9" w:rsidRDefault="00AC03FC" w:rsidP="00AC03FC">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t>Inversiones Temporales</w:t>
      </w:r>
    </w:p>
    <w:p w14:paraId="6D59F7DA" w14:textId="58903E5A" w:rsidR="00AC03FC" w:rsidRPr="003E52D9" w:rsidRDefault="00DA7A82" w:rsidP="00AC03FC">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E</w:t>
      </w:r>
      <w:r w:rsidR="00AC03FC" w:rsidRPr="003E52D9">
        <w:rPr>
          <w:rFonts w:ascii="Barlow" w:hAnsi="Barlow" w:cstheme="minorHAnsi"/>
          <w:sz w:val="20"/>
          <w:szCs w:val="20"/>
        </w:rPr>
        <w:t xml:space="preserve">l Fondo de Seguridad Pública no cuenta con </w:t>
      </w:r>
      <w:r w:rsidR="00440A84" w:rsidRPr="003E52D9">
        <w:rPr>
          <w:rFonts w:ascii="Barlow" w:hAnsi="Barlow" w:cstheme="minorHAnsi"/>
          <w:sz w:val="20"/>
          <w:szCs w:val="20"/>
        </w:rPr>
        <w:t>algún</w:t>
      </w:r>
      <w:r w:rsidR="00AC03FC" w:rsidRPr="003E52D9">
        <w:rPr>
          <w:rFonts w:ascii="Barlow" w:hAnsi="Barlow" w:cstheme="minorHAnsi"/>
          <w:sz w:val="20"/>
          <w:szCs w:val="20"/>
        </w:rPr>
        <w:t xml:space="preserve"> monto de efectivo invertido</w:t>
      </w:r>
      <w:r w:rsidR="00440A84" w:rsidRPr="003E52D9">
        <w:rPr>
          <w:rFonts w:ascii="Barlow" w:hAnsi="Barlow" w:cstheme="minorHAnsi"/>
          <w:sz w:val="20"/>
          <w:szCs w:val="20"/>
        </w:rPr>
        <w:t xml:space="preserve"> a plazos a la vista hasta 90 días.</w:t>
      </w:r>
    </w:p>
    <w:p w14:paraId="444CFBF9" w14:textId="77777777" w:rsidR="00DA7A82" w:rsidRPr="003E52D9" w:rsidRDefault="00DA7A82" w:rsidP="00AC03FC">
      <w:pPr>
        <w:autoSpaceDE w:val="0"/>
        <w:autoSpaceDN w:val="0"/>
        <w:adjustRightInd w:val="0"/>
        <w:jc w:val="both"/>
        <w:rPr>
          <w:rFonts w:ascii="Barlow" w:hAnsi="Barlow" w:cstheme="minorHAnsi"/>
          <w:sz w:val="20"/>
          <w:szCs w:val="20"/>
        </w:rPr>
      </w:pPr>
    </w:p>
    <w:p w14:paraId="28E32F11" w14:textId="4CEA5B0D" w:rsidR="00DA7A82" w:rsidRPr="003E52D9" w:rsidRDefault="00DA7A82" w:rsidP="00DA7A82">
      <w:p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
          <w:sz w:val="20"/>
          <w:szCs w:val="20"/>
        </w:rPr>
        <w:t>Fondos con Afectación Específica</w:t>
      </w:r>
    </w:p>
    <w:p w14:paraId="2E917798" w14:textId="4A6AFEB0" w:rsidR="00DA7A82" w:rsidRPr="003E52D9" w:rsidRDefault="00DA7A82" w:rsidP="00DA7A82">
      <w:pPr>
        <w:autoSpaceDE w:val="0"/>
        <w:autoSpaceDN w:val="0"/>
        <w:adjustRightInd w:val="0"/>
        <w:jc w:val="both"/>
        <w:rPr>
          <w:rFonts w:ascii="Barlow" w:hAnsi="Barlow" w:cstheme="minorHAnsi"/>
          <w:sz w:val="20"/>
          <w:szCs w:val="20"/>
        </w:rPr>
      </w:pPr>
      <w:r w:rsidRPr="00C26766">
        <w:rPr>
          <w:rFonts w:ascii="Barlow" w:hAnsi="Barlow" w:cstheme="minorHAnsi"/>
          <w:sz w:val="20"/>
          <w:szCs w:val="20"/>
        </w:rPr>
        <w:t>El Fondo de Seguridad Pública no cuenta con algún monto como fondo de afectación específica para el financiamiento de determinados gastos o actividades.</w:t>
      </w:r>
    </w:p>
    <w:p w14:paraId="2FAA09BC" w14:textId="77777777" w:rsidR="00EA6DDD" w:rsidRPr="003E52D9" w:rsidRDefault="00EA6DDD" w:rsidP="00906A55">
      <w:pPr>
        <w:autoSpaceDE w:val="0"/>
        <w:autoSpaceDN w:val="0"/>
        <w:adjustRightInd w:val="0"/>
        <w:jc w:val="both"/>
        <w:rPr>
          <w:rFonts w:ascii="Barlow" w:hAnsi="Barlow" w:cstheme="minorHAnsi"/>
          <w:b/>
          <w:sz w:val="20"/>
          <w:szCs w:val="20"/>
        </w:rPr>
      </w:pPr>
    </w:p>
    <w:p w14:paraId="249C2853" w14:textId="1BBE9900" w:rsidR="0076163D" w:rsidRPr="003E52D9" w:rsidRDefault="008273DF" w:rsidP="00440A84">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 xml:space="preserve">Derechos a Recibir Efectivo y Equivalentes y Bienes </w:t>
      </w:r>
      <w:r w:rsidR="000A1E6D">
        <w:rPr>
          <w:rFonts w:ascii="Barlow" w:hAnsi="Barlow" w:cstheme="minorHAnsi"/>
          <w:b/>
          <w:sz w:val="20"/>
          <w:szCs w:val="20"/>
        </w:rPr>
        <w:t xml:space="preserve">o </w:t>
      </w:r>
      <w:r w:rsidRPr="003E52D9">
        <w:rPr>
          <w:rFonts w:ascii="Barlow" w:hAnsi="Barlow" w:cstheme="minorHAnsi"/>
          <w:b/>
          <w:sz w:val="20"/>
          <w:szCs w:val="20"/>
        </w:rPr>
        <w:t>Servicios</w:t>
      </w:r>
    </w:p>
    <w:p w14:paraId="15C3C82E" w14:textId="77777777" w:rsidR="00675509" w:rsidRPr="003E52D9" w:rsidRDefault="00675509" w:rsidP="0076163D">
      <w:pPr>
        <w:autoSpaceDE w:val="0"/>
        <w:autoSpaceDN w:val="0"/>
        <w:adjustRightInd w:val="0"/>
        <w:jc w:val="both"/>
        <w:rPr>
          <w:rFonts w:ascii="Barlow" w:hAnsi="Barlow" w:cstheme="minorHAnsi"/>
          <w:sz w:val="20"/>
          <w:szCs w:val="20"/>
        </w:rPr>
      </w:pPr>
    </w:p>
    <w:p w14:paraId="12E33FE4" w14:textId="511363D3" w:rsidR="0076163D" w:rsidRDefault="0076163D"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2.- </w:t>
      </w:r>
      <w:r w:rsidR="009571C1" w:rsidRPr="003E52D9">
        <w:rPr>
          <w:rFonts w:ascii="Barlow" w:hAnsi="Barlow" w:cstheme="minorHAnsi"/>
          <w:sz w:val="20"/>
          <w:szCs w:val="20"/>
        </w:rPr>
        <w:t>Al cierre del periodo que se informa,</w:t>
      </w:r>
      <w:r w:rsidR="00353DC5">
        <w:rPr>
          <w:rFonts w:ascii="Barlow" w:hAnsi="Barlow" w:cstheme="minorHAnsi"/>
          <w:sz w:val="20"/>
          <w:szCs w:val="20"/>
        </w:rPr>
        <w:t xml:space="preserve"> el </w:t>
      </w:r>
      <w:r w:rsidR="00353DC5" w:rsidRPr="003E52D9">
        <w:rPr>
          <w:rFonts w:ascii="Barlow" w:hAnsi="Barlow" w:cstheme="minorHAnsi"/>
          <w:sz w:val="20"/>
          <w:szCs w:val="20"/>
        </w:rPr>
        <w:t>Fondo de Seguridad Pública del Estado de Yucatán</w:t>
      </w:r>
      <w:r w:rsidR="00353DC5">
        <w:rPr>
          <w:rFonts w:ascii="Barlow" w:hAnsi="Barlow" w:cstheme="minorHAnsi"/>
          <w:sz w:val="20"/>
          <w:szCs w:val="20"/>
        </w:rPr>
        <w:t xml:space="preserve"> no tiene saldo en </w:t>
      </w:r>
      <w:r w:rsidR="009571C1" w:rsidRPr="003E52D9">
        <w:rPr>
          <w:rFonts w:ascii="Barlow" w:hAnsi="Barlow" w:cstheme="minorHAnsi"/>
          <w:sz w:val="20"/>
          <w:szCs w:val="20"/>
        </w:rPr>
        <w:t>la cuenta de derechos a recibir efectivo o equ</w:t>
      </w:r>
      <w:r w:rsidR="00353DC5">
        <w:rPr>
          <w:rFonts w:ascii="Barlow" w:hAnsi="Barlow" w:cstheme="minorHAnsi"/>
          <w:sz w:val="20"/>
          <w:szCs w:val="20"/>
        </w:rPr>
        <w:t>ivalentes.</w:t>
      </w:r>
    </w:p>
    <w:p w14:paraId="6FE971E3" w14:textId="77777777" w:rsidR="007A6BA1" w:rsidRDefault="007A6BA1" w:rsidP="00906A55">
      <w:pPr>
        <w:autoSpaceDE w:val="0"/>
        <w:autoSpaceDN w:val="0"/>
        <w:adjustRightInd w:val="0"/>
        <w:jc w:val="both"/>
        <w:rPr>
          <w:rFonts w:ascii="Barlow" w:hAnsi="Barlow" w:cstheme="minorHAnsi"/>
          <w:sz w:val="20"/>
          <w:szCs w:val="20"/>
        </w:rPr>
      </w:pPr>
    </w:p>
    <w:p w14:paraId="77426BF6" w14:textId="68A74055" w:rsidR="001060BF" w:rsidRDefault="001060BF" w:rsidP="001060BF">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 xml:space="preserve">3.- </w:t>
      </w:r>
      <w:r w:rsidR="001C6E76">
        <w:rPr>
          <w:rFonts w:ascii="Barlow" w:hAnsi="Barlow" w:cstheme="minorHAnsi"/>
          <w:sz w:val="20"/>
          <w:szCs w:val="20"/>
        </w:rPr>
        <w:t>Al no tener saldo en l</w:t>
      </w:r>
      <w:r w:rsidRPr="003E52D9">
        <w:rPr>
          <w:rFonts w:ascii="Barlow" w:hAnsi="Barlow" w:cstheme="minorHAnsi"/>
          <w:sz w:val="20"/>
          <w:szCs w:val="20"/>
        </w:rPr>
        <w:t>a cuenta de derechos a recibir efectivo</w:t>
      </w:r>
      <w:r w:rsidR="001C6E76">
        <w:rPr>
          <w:rFonts w:ascii="Barlow" w:hAnsi="Barlow" w:cstheme="minorHAnsi"/>
          <w:sz w:val="20"/>
          <w:szCs w:val="20"/>
        </w:rPr>
        <w:t xml:space="preserve"> o equivalentes </w:t>
      </w:r>
      <w:r w:rsidRPr="003E52D9">
        <w:rPr>
          <w:rFonts w:ascii="Barlow" w:hAnsi="Barlow" w:cstheme="minorHAnsi"/>
          <w:sz w:val="20"/>
          <w:szCs w:val="20"/>
        </w:rPr>
        <w:t>de este Fondo de Seguridad Pública del Estado de Yucatán</w:t>
      </w:r>
      <w:r w:rsidR="001C6E76">
        <w:rPr>
          <w:rFonts w:ascii="Barlow" w:hAnsi="Barlow" w:cstheme="minorHAnsi"/>
          <w:sz w:val="20"/>
          <w:szCs w:val="20"/>
        </w:rPr>
        <w:t>,</w:t>
      </w:r>
      <w:r w:rsidRPr="003E52D9">
        <w:rPr>
          <w:rFonts w:ascii="Barlow" w:hAnsi="Barlow" w:cstheme="minorHAnsi"/>
          <w:sz w:val="20"/>
          <w:szCs w:val="20"/>
        </w:rPr>
        <w:t xml:space="preserve"> </w:t>
      </w:r>
      <w:r w:rsidR="001C6E76">
        <w:rPr>
          <w:rFonts w:ascii="Barlow" w:hAnsi="Barlow" w:cstheme="minorHAnsi"/>
          <w:sz w:val="20"/>
          <w:szCs w:val="20"/>
        </w:rPr>
        <w:t>no existe información que revelar de acuerdo al vencimiento.</w:t>
      </w:r>
    </w:p>
    <w:p w14:paraId="35FF13A8" w14:textId="24234020" w:rsidR="008A0458" w:rsidRPr="00185164" w:rsidRDefault="008A0458" w:rsidP="00895DA8">
      <w:pPr>
        <w:pStyle w:val="Prrafodelista"/>
        <w:numPr>
          <w:ilvl w:val="0"/>
          <w:numId w:val="8"/>
        </w:numPr>
        <w:autoSpaceDE w:val="0"/>
        <w:autoSpaceDN w:val="0"/>
        <w:adjustRightInd w:val="0"/>
        <w:jc w:val="both"/>
        <w:rPr>
          <w:rFonts w:ascii="Barlow" w:hAnsi="Barlow" w:cstheme="minorHAnsi"/>
          <w:b/>
          <w:sz w:val="20"/>
          <w:szCs w:val="20"/>
        </w:rPr>
      </w:pPr>
      <w:bookmarkStart w:id="5" w:name="m2"/>
      <w:bookmarkEnd w:id="5"/>
      <w:r w:rsidRPr="00185164">
        <w:rPr>
          <w:rFonts w:ascii="Barlow" w:hAnsi="Barlow" w:cstheme="minorHAnsi"/>
          <w:b/>
          <w:sz w:val="20"/>
          <w:szCs w:val="20"/>
        </w:rPr>
        <w:lastRenderedPageBreak/>
        <w:t>Inventarios</w:t>
      </w:r>
      <w:r w:rsidR="00042929" w:rsidRPr="00185164">
        <w:rPr>
          <w:rFonts w:ascii="Barlow" w:hAnsi="Barlow" w:cstheme="minorHAnsi"/>
          <w:b/>
          <w:sz w:val="20"/>
          <w:szCs w:val="20"/>
        </w:rPr>
        <w:t xml:space="preserve"> </w:t>
      </w:r>
    </w:p>
    <w:p w14:paraId="5E833286" w14:textId="77777777" w:rsidR="00937885" w:rsidRPr="00937885" w:rsidRDefault="00937885" w:rsidP="00937885">
      <w:pPr>
        <w:pStyle w:val="Prrafodelista"/>
        <w:autoSpaceDE w:val="0"/>
        <w:autoSpaceDN w:val="0"/>
        <w:adjustRightInd w:val="0"/>
        <w:jc w:val="both"/>
        <w:rPr>
          <w:rFonts w:ascii="Barlow" w:hAnsi="Barlow" w:cstheme="minorHAnsi"/>
          <w:b/>
          <w:sz w:val="20"/>
          <w:szCs w:val="20"/>
        </w:rPr>
      </w:pPr>
    </w:p>
    <w:p w14:paraId="7C891FB6" w14:textId="38B6F9FC" w:rsidR="008A0458"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4</w:t>
      </w:r>
      <w:r w:rsidR="008A0458" w:rsidRPr="003E52D9">
        <w:rPr>
          <w:rFonts w:ascii="Barlow" w:hAnsi="Barlow" w:cstheme="minorHAnsi"/>
          <w:sz w:val="20"/>
          <w:szCs w:val="20"/>
        </w:rPr>
        <w:t xml:space="preserve">.- El </w:t>
      </w:r>
      <w:r w:rsidR="00192C39" w:rsidRPr="003E52D9">
        <w:rPr>
          <w:rFonts w:ascii="Barlow" w:hAnsi="Barlow" w:cstheme="minorHAnsi"/>
          <w:sz w:val="20"/>
          <w:szCs w:val="20"/>
        </w:rPr>
        <w:t>Fondo de Seguridad Pública</w:t>
      </w:r>
      <w:r w:rsidR="00823027" w:rsidRPr="003E52D9">
        <w:rPr>
          <w:rFonts w:ascii="Barlow" w:hAnsi="Barlow" w:cstheme="minorHAnsi"/>
          <w:sz w:val="20"/>
          <w:szCs w:val="20"/>
        </w:rPr>
        <w:t xml:space="preserve"> del Estado de Yucatán</w:t>
      </w:r>
      <w:r w:rsidR="00192C39" w:rsidRPr="003E52D9">
        <w:rPr>
          <w:rFonts w:ascii="Barlow" w:hAnsi="Barlow" w:cstheme="minorHAnsi"/>
          <w:sz w:val="20"/>
          <w:szCs w:val="20"/>
        </w:rPr>
        <w:t xml:space="preserve"> </w:t>
      </w:r>
      <w:r w:rsidR="008A0458" w:rsidRPr="003E52D9">
        <w:rPr>
          <w:rFonts w:ascii="Barlow" w:hAnsi="Barlow" w:cstheme="minorHAnsi"/>
          <w:sz w:val="20"/>
          <w:szCs w:val="20"/>
        </w:rPr>
        <w:t>no realiza ningún proceso de transformación y/o elaboración de bienes.</w:t>
      </w:r>
    </w:p>
    <w:p w14:paraId="735BE241" w14:textId="77777777" w:rsidR="001C6E76" w:rsidRPr="003E52D9" w:rsidRDefault="001C6E76" w:rsidP="00906A55">
      <w:pPr>
        <w:autoSpaceDE w:val="0"/>
        <w:autoSpaceDN w:val="0"/>
        <w:adjustRightInd w:val="0"/>
        <w:jc w:val="both"/>
        <w:rPr>
          <w:rFonts w:ascii="Barlow" w:hAnsi="Barlow" w:cstheme="minorHAnsi"/>
          <w:sz w:val="20"/>
          <w:szCs w:val="20"/>
        </w:rPr>
      </w:pPr>
    </w:p>
    <w:p w14:paraId="6005C1C3" w14:textId="77777777" w:rsidR="00DB3B03" w:rsidRPr="00185164" w:rsidRDefault="00DB3B03" w:rsidP="00DB3B03">
      <w:pPr>
        <w:pStyle w:val="Prrafodelista"/>
        <w:numPr>
          <w:ilvl w:val="0"/>
          <w:numId w:val="8"/>
        </w:numPr>
        <w:autoSpaceDE w:val="0"/>
        <w:autoSpaceDN w:val="0"/>
        <w:adjustRightInd w:val="0"/>
        <w:jc w:val="both"/>
        <w:rPr>
          <w:rFonts w:ascii="Barlow" w:hAnsi="Barlow" w:cstheme="minorHAnsi"/>
          <w:b/>
          <w:sz w:val="20"/>
          <w:szCs w:val="20"/>
        </w:rPr>
      </w:pPr>
      <w:r w:rsidRPr="00185164">
        <w:rPr>
          <w:rFonts w:ascii="Barlow" w:hAnsi="Barlow" w:cstheme="minorHAnsi"/>
          <w:b/>
          <w:sz w:val="20"/>
          <w:szCs w:val="20"/>
        </w:rPr>
        <w:t>Almacenes</w:t>
      </w:r>
    </w:p>
    <w:p w14:paraId="6413A09E" w14:textId="77777777" w:rsidR="00DB3B03" w:rsidRPr="003E52D9" w:rsidRDefault="00DB3B03" w:rsidP="00906A55">
      <w:pPr>
        <w:autoSpaceDE w:val="0"/>
        <w:autoSpaceDN w:val="0"/>
        <w:adjustRightInd w:val="0"/>
        <w:jc w:val="both"/>
        <w:rPr>
          <w:rFonts w:ascii="Barlow" w:hAnsi="Barlow" w:cstheme="minorHAnsi"/>
          <w:sz w:val="20"/>
          <w:szCs w:val="20"/>
        </w:rPr>
      </w:pPr>
    </w:p>
    <w:p w14:paraId="1718470F" w14:textId="665A9FFE" w:rsidR="008A0458"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5</w:t>
      </w:r>
      <w:r w:rsidR="008A0458" w:rsidRPr="003E52D9">
        <w:rPr>
          <w:rFonts w:ascii="Barlow" w:hAnsi="Barlow" w:cstheme="minorHAnsi"/>
          <w:sz w:val="20"/>
          <w:szCs w:val="20"/>
        </w:rPr>
        <w:t xml:space="preserve">.- El </w:t>
      </w:r>
      <w:r w:rsidR="001B4122" w:rsidRPr="003E52D9">
        <w:rPr>
          <w:rFonts w:ascii="Barlow" w:hAnsi="Barlow" w:cstheme="minorHAnsi"/>
          <w:sz w:val="20"/>
          <w:szCs w:val="20"/>
        </w:rPr>
        <w:t>Fondo de Seguridad Pública</w:t>
      </w:r>
      <w:r w:rsidR="00823027" w:rsidRPr="003E52D9">
        <w:rPr>
          <w:rFonts w:ascii="Barlow" w:hAnsi="Barlow" w:cstheme="minorHAnsi"/>
          <w:sz w:val="20"/>
          <w:szCs w:val="20"/>
        </w:rPr>
        <w:t xml:space="preserve"> del Estado de Yucatán</w:t>
      </w:r>
      <w:r w:rsidR="00795A81" w:rsidRPr="003E52D9">
        <w:rPr>
          <w:rFonts w:ascii="Barlow" w:hAnsi="Barlow" w:cstheme="minorHAnsi"/>
          <w:sz w:val="20"/>
          <w:szCs w:val="20"/>
        </w:rPr>
        <w:t xml:space="preserve"> </w:t>
      </w:r>
      <w:r w:rsidR="008A0458" w:rsidRPr="003E52D9">
        <w:rPr>
          <w:rFonts w:ascii="Barlow" w:hAnsi="Barlow" w:cstheme="minorHAnsi"/>
          <w:sz w:val="20"/>
          <w:szCs w:val="20"/>
        </w:rPr>
        <w:t>no realiza registro en la cuenta de almacén en virtud por la naturaleza de sus operaciones no tiene bienes en inventarios.</w:t>
      </w:r>
    </w:p>
    <w:p w14:paraId="731D03AD" w14:textId="77777777" w:rsidR="000A1E6D" w:rsidRPr="003E52D9" w:rsidRDefault="000A1E6D" w:rsidP="00906A55">
      <w:pPr>
        <w:autoSpaceDE w:val="0"/>
        <w:autoSpaceDN w:val="0"/>
        <w:adjustRightInd w:val="0"/>
        <w:jc w:val="both"/>
        <w:rPr>
          <w:rFonts w:ascii="Barlow" w:hAnsi="Barlow" w:cstheme="minorHAnsi"/>
          <w:sz w:val="20"/>
          <w:szCs w:val="20"/>
        </w:rPr>
      </w:pPr>
    </w:p>
    <w:p w14:paraId="31B3FFDD" w14:textId="57398313" w:rsidR="001B4122" w:rsidRDefault="001B4122" w:rsidP="001060BF">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Inversiones Financieras</w:t>
      </w:r>
    </w:p>
    <w:p w14:paraId="76FEE376" w14:textId="77777777" w:rsidR="000A1E6D" w:rsidRPr="000A1E6D" w:rsidRDefault="000A1E6D" w:rsidP="000A1E6D">
      <w:pPr>
        <w:pStyle w:val="Prrafodelista"/>
        <w:rPr>
          <w:rFonts w:ascii="Barlow" w:hAnsi="Barlow" w:cstheme="minorHAnsi"/>
          <w:b/>
          <w:sz w:val="20"/>
          <w:szCs w:val="20"/>
        </w:rPr>
      </w:pPr>
    </w:p>
    <w:p w14:paraId="6F2CC960" w14:textId="3AD09F16" w:rsidR="002F14F7" w:rsidRDefault="001060BF"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6</w:t>
      </w:r>
      <w:r w:rsidR="008A0458" w:rsidRPr="003E52D9">
        <w:rPr>
          <w:rFonts w:ascii="Barlow" w:hAnsi="Barlow" w:cstheme="minorHAnsi"/>
          <w:sz w:val="20"/>
          <w:szCs w:val="20"/>
        </w:rPr>
        <w:t>.-</w:t>
      </w:r>
      <w:r w:rsidR="002F14F7" w:rsidRPr="003E52D9">
        <w:rPr>
          <w:rFonts w:ascii="Barlow" w:hAnsi="Barlow" w:cstheme="minorHAnsi"/>
          <w:sz w:val="20"/>
          <w:szCs w:val="20"/>
        </w:rPr>
        <w:t xml:space="preserve"> El</w:t>
      </w:r>
      <w:r w:rsidR="001B4122" w:rsidRPr="003E52D9">
        <w:rPr>
          <w:rFonts w:ascii="Barlow" w:hAnsi="Barlow" w:cstheme="minorHAnsi"/>
          <w:sz w:val="20"/>
          <w:szCs w:val="20"/>
        </w:rPr>
        <w:t xml:space="preserve"> Fondo de Seguridad Pública</w:t>
      </w:r>
      <w:r w:rsidR="00823027" w:rsidRPr="003E52D9">
        <w:rPr>
          <w:rFonts w:ascii="Barlow" w:hAnsi="Barlow" w:cstheme="minorHAnsi"/>
          <w:sz w:val="20"/>
          <w:szCs w:val="20"/>
        </w:rPr>
        <w:t xml:space="preserve"> del Estado de Yucatán</w:t>
      </w:r>
      <w:r w:rsidR="001B4122" w:rsidRPr="003E52D9">
        <w:rPr>
          <w:rFonts w:ascii="Barlow" w:hAnsi="Barlow" w:cstheme="minorHAnsi"/>
          <w:sz w:val="20"/>
          <w:szCs w:val="20"/>
        </w:rPr>
        <w:t xml:space="preserve">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00675509" w:rsidRPr="003E52D9">
        <w:rPr>
          <w:rFonts w:ascii="Barlow" w:hAnsi="Barlow" w:cstheme="minorHAnsi"/>
          <w:sz w:val="20"/>
          <w:szCs w:val="20"/>
        </w:rPr>
        <w:t xml:space="preserve"> </w:t>
      </w:r>
      <w:r w:rsidR="001B4122" w:rsidRPr="003E52D9">
        <w:rPr>
          <w:rFonts w:ascii="Barlow" w:hAnsi="Barlow" w:cstheme="minorHAnsi"/>
          <w:sz w:val="20"/>
          <w:szCs w:val="20"/>
        </w:rPr>
        <w:t xml:space="preserve">no </w:t>
      </w:r>
      <w:r w:rsidR="00795A81" w:rsidRPr="003E52D9">
        <w:rPr>
          <w:rFonts w:ascii="Barlow" w:hAnsi="Barlow" w:cstheme="minorHAnsi"/>
          <w:sz w:val="20"/>
          <w:szCs w:val="20"/>
        </w:rPr>
        <w:t>cuenta con ningún tipo de inversión financiera.</w:t>
      </w:r>
    </w:p>
    <w:p w14:paraId="282FD731" w14:textId="4E5F2E38" w:rsidR="00C42F46" w:rsidRDefault="00C42F46" w:rsidP="00906A55">
      <w:pPr>
        <w:autoSpaceDE w:val="0"/>
        <w:autoSpaceDN w:val="0"/>
        <w:adjustRightInd w:val="0"/>
        <w:jc w:val="both"/>
        <w:rPr>
          <w:rFonts w:ascii="Barlow" w:hAnsi="Barlow" w:cstheme="minorHAnsi"/>
          <w:sz w:val="20"/>
          <w:szCs w:val="20"/>
        </w:rPr>
      </w:pPr>
    </w:p>
    <w:p w14:paraId="331F2ACC" w14:textId="2A16E0C9" w:rsidR="00C42F46" w:rsidRDefault="00C42F46" w:rsidP="00906A55">
      <w:pPr>
        <w:autoSpaceDE w:val="0"/>
        <w:autoSpaceDN w:val="0"/>
        <w:adjustRightInd w:val="0"/>
        <w:jc w:val="both"/>
        <w:rPr>
          <w:rFonts w:ascii="Barlow" w:hAnsi="Barlow" w:cstheme="minorHAnsi"/>
          <w:sz w:val="20"/>
          <w:szCs w:val="20"/>
        </w:rPr>
      </w:pPr>
      <w:r w:rsidRPr="00185164">
        <w:rPr>
          <w:rFonts w:ascii="Barlow" w:hAnsi="Barlow" w:cstheme="minorHAnsi"/>
          <w:sz w:val="20"/>
          <w:szCs w:val="20"/>
        </w:rPr>
        <w:t>7.-</w:t>
      </w:r>
      <w:r w:rsidR="00161F42" w:rsidRPr="00185164">
        <w:rPr>
          <w:rFonts w:ascii="Barlow" w:hAnsi="Barlow" w:cstheme="minorHAnsi"/>
          <w:sz w:val="20"/>
          <w:szCs w:val="20"/>
        </w:rPr>
        <w:t xml:space="preserve"> El Fondo de Seguridad Pública del Estado de Yucatán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00161F42" w:rsidRPr="00185164">
        <w:rPr>
          <w:rFonts w:ascii="Barlow" w:hAnsi="Barlow" w:cstheme="minorHAnsi"/>
          <w:sz w:val="20"/>
          <w:szCs w:val="20"/>
        </w:rPr>
        <w:t xml:space="preserve"> no cuenta con </w:t>
      </w:r>
      <w:r w:rsidRPr="00185164">
        <w:rPr>
          <w:rFonts w:ascii="Barlow" w:hAnsi="Barlow" w:cstheme="minorHAnsi"/>
          <w:sz w:val="20"/>
          <w:szCs w:val="20"/>
        </w:rPr>
        <w:t>Participaciones y Aportaciones de Capital, Inversiones a Largo Plazo y Títulos y Valores a Largo Plazo.</w:t>
      </w:r>
    </w:p>
    <w:p w14:paraId="2036C61E" w14:textId="36462339" w:rsidR="00271D04" w:rsidRPr="003E52D9" w:rsidRDefault="00C42F46" w:rsidP="00906A55">
      <w:pPr>
        <w:autoSpaceDE w:val="0"/>
        <w:autoSpaceDN w:val="0"/>
        <w:adjustRightInd w:val="0"/>
        <w:jc w:val="both"/>
        <w:rPr>
          <w:rFonts w:ascii="Barlow" w:hAnsi="Barlow" w:cstheme="minorHAnsi"/>
          <w:b/>
          <w:sz w:val="20"/>
          <w:szCs w:val="20"/>
        </w:rPr>
      </w:pPr>
      <w:r>
        <w:rPr>
          <w:rFonts w:ascii="Barlow" w:hAnsi="Barlow" w:cstheme="minorHAnsi"/>
          <w:sz w:val="20"/>
          <w:szCs w:val="20"/>
        </w:rPr>
        <w:t xml:space="preserve"> </w:t>
      </w:r>
    </w:p>
    <w:p w14:paraId="4DFDD4BC" w14:textId="4B0BE9CA" w:rsidR="00795A81" w:rsidRDefault="00795A81" w:rsidP="001060BF">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Bienes Muebles, Inmuebles e Intangibles</w:t>
      </w:r>
    </w:p>
    <w:p w14:paraId="03DE7BE0" w14:textId="44C60DB1" w:rsidR="00580E5E" w:rsidRDefault="00580E5E" w:rsidP="00580E5E">
      <w:pPr>
        <w:autoSpaceDE w:val="0"/>
        <w:autoSpaceDN w:val="0"/>
        <w:adjustRightInd w:val="0"/>
        <w:jc w:val="both"/>
        <w:rPr>
          <w:rFonts w:ascii="Barlow" w:hAnsi="Barlow" w:cstheme="minorHAnsi"/>
          <w:b/>
          <w:sz w:val="20"/>
          <w:szCs w:val="20"/>
        </w:rPr>
      </w:pPr>
    </w:p>
    <w:p w14:paraId="3996F8D0" w14:textId="77777777" w:rsidR="00580E5E" w:rsidRDefault="00580E5E" w:rsidP="00580E5E">
      <w:pPr>
        <w:autoSpaceDE w:val="0"/>
        <w:autoSpaceDN w:val="0"/>
        <w:adjustRightInd w:val="0"/>
        <w:jc w:val="both"/>
        <w:rPr>
          <w:rFonts w:ascii="Barlow" w:hAnsi="Barlow" w:cstheme="minorHAnsi"/>
          <w:sz w:val="20"/>
          <w:szCs w:val="20"/>
        </w:rPr>
      </w:pPr>
      <w:r w:rsidRPr="00C96BD5">
        <w:rPr>
          <w:rFonts w:ascii="Barlow" w:hAnsi="Barlow" w:cstheme="minorHAnsi"/>
          <w:sz w:val="20"/>
          <w:szCs w:val="20"/>
        </w:rPr>
        <w:t>Con fecha 8 de agosto de 2013 se publicó en el Diario Oficial de la Federación el “Acuerdo por el que se determina la norma de información financiera para precisar los alcances del Acuerdo 1 aprobado por el Consejo Nacional de Armonización Contable, en reunión del 3 de mayo de 2013 y publicado el 16 de mayo de 2013”, en el cual se especifica que en lo que corresponde a realizar los registros contables con base en las Reglas de Registro y Valoración del Patrimonio, el inventario físico de los bienes muebles e inmuebles deberá estar integrado, valuado y debidamente conciliado con el registro contable a más tardar el 31 de diciembre de 2014.</w:t>
      </w:r>
    </w:p>
    <w:p w14:paraId="0D909E17" w14:textId="77777777" w:rsidR="005D2C5C" w:rsidRPr="00C96BD5" w:rsidRDefault="005D2C5C" w:rsidP="00580E5E">
      <w:pPr>
        <w:autoSpaceDE w:val="0"/>
        <w:autoSpaceDN w:val="0"/>
        <w:adjustRightInd w:val="0"/>
        <w:jc w:val="both"/>
        <w:rPr>
          <w:rFonts w:ascii="Barlow" w:hAnsi="Barlow" w:cstheme="minorHAnsi"/>
          <w:sz w:val="20"/>
          <w:szCs w:val="20"/>
        </w:rPr>
      </w:pPr>
    </w:p>
    <w:p w14:paraId="7D081192" w14:textId="2F4EC50C" w:rsidR="00580E5E" w:rsidRPr="00580E5E" w:rsidRDefault="00C26766" w:rsidP="00580E5E">
      <w:pPr>
        <w:autoSpaceDE w:val="0"/>
        <w:autoSpaceDN w:val="0"/>
        <w:adjustRightInd w:val="0"/>
        <w:jc w:val="both"/>
        <w:rPr>
          <w:rFonts w:ascii="Barlow" w:hAnsi="Barlow" w:cstheme="minorHAnsi"/>
          <w:b/>
          <w:sz w:val="20"/>
          <w:szCs w:val="20"/>
        </w:rPr>
      </w:pPr>
      <w:r w:rsidRPr="00D54564">
        <w:rPr>
          <w:rFonts w:ascii="Barlow" w:hAnsi="Barlow" w:cstheme="minorHAnsi"/>
          <w:sz w:val="20"/>
          <w:szCs w:val="20"/>
        </w:rPr>
        <w:t>Por tal motivo cabe aclarar que de acuerdo a la naturaleza y atribuciones del Fondo de Seguridad Pública del Estado de Yucatán el Inventario de Bienes Muebles e Inmuebles y lo referente a la depreciación y vida útil, es de competencia de los Beneficiarios del Fondo (instancias ejecutoras).</w:t>
      </w:r>
    </w:p>
    <w:p w14:paraId="4313BD5B" w14:textId="7E75DB7B" w:rsidR="005049AE" w:rsidRDefault="005049AE" w:rsidP="005049AE">
      <w:pPr>
        <w:autoSpaceDE w:val="0"/>
        <w:autoSpaceDN w:val="0"/>
        <w:adjustRightInd w:val="0"/>
        <w:jc w:val="both"/>
        <w:rPr>
          <w:rFonts w:ascii="Barlow" w:hAnsi="Barlow" w:cstheme="minorHAnsi"/>
          <w:b/>
          <w:sz w:val="20"/>
          <w:szCs w:val="20"/>
        </w:rPr>
      </w:pPr>
    </w:p>
    <w:p w14:paraId="56CF3DFE" w14:textId="66BF6652" w:rsidR="00410493" w:rsidRDefault="00B135E4" w:rsidP="00906A55">
      <w:pPr>
        <w:autoSpaceDE w:val="0"/>
        <w:autoSpaceDN w:val="0"/>
        <w:adjustRightInd w:val="0"/>
        <w:jc w:val="both"/>
        <w:rPr>
          <w:rFonts w:ascii="Barlow" w:hAnsi="Barlow" w:cstheme="minorHAnsi"/>
          <w:sz w:val="20"/>
          <w:szCs w:val="20"/>
        </w:rPr>
      </w:pPr>
      <w:r>
        <w:rPr>
          <w:rFonts w:ascii="Barlow" w:hAnsi="Barlow" w:cstheme="minorHAnsi"/>
          <w:sz w:val="20"/>
          <w:szCs w:val="20"/>
        </w:rPr>
        <w:t>8</w:t>
      </w:r>
      <w:r w:rsidR="002F14F7" w:rsidRPr="003E52D9">
        <w:rPr>
          <w:rFonts w:ascii="Barlow" w:hAnsi="Barlow" w:cstheme="minorHAnsi"/>
          <w:sz w:val="20"/>
          <w:szCs w:val="20"/>
        </w:rPr>
        <w:t>.-</w:t>
      </w:r>
      <w:r w:rsidR="00FA104C" w:rsidRPr="003E52D9">
        <w:rPr>
          <w:rFonts w:ascii="Barlow" w:hAnsi="Barlow" w:cstheme="minorHAnsi"/>
          <w:sz w:val="20"/>
          <w:szCs w:val="20"/>
        </w:rPr>
        <w:t xml:space="preserve"> </w:t>
      </w:r>
      <w:r w:rsidR="001C6E76">
        <w:rPr>
          <w:rFonts w:ascii="Barlow" w:hAnsi="Barlow" w:cstheme="minorHAnsi"/>
          <w:sz w:val="20"/>
          <w:szCs w:val="20"/>
        </w:rPr>
        <w:t>E</w:t>
      </w:r>
      <w:r w:rsidR="001C6E76" w:rsidRPr="003E52D9">
        <w:rPr>
          <w:rFonts w:ascii="Barlow" w:hAnsi="Barlow" w:cstheme="minorHAnsi"/>
          <w:sz w:val="20"/>
          <w:szCs w:val="20"/>
        </w:rPr>
        <w:t xml:space="preserve">l Fondo de Seguridad Pública del Estado de Yucatán </w:t>
      </w:r>
      <w:r w:rsidR="001C6E76">
        <w:rPr>
          <w:rFonts w:ascii="Barlow" w:hAnsi="Barlow" w:cstheme="minorHAnsi"/>
          <w:sz w:val="20"/>
          <w:szCs w:val="20"/>
        </w:rPr>
        <w:t xml:space="preserve">al </w:t>
      </w:r>
      <w:r w:rsidR="00EE1B6C">
        <w:rPr>
          <w:rFonts w:ascii="Barlow" w:hAnsi="Barlow" w:cstheme="minorHAnsi"/>
          <w:sz w:val="20"/>
          <w:szCs w:val="20"/>
        </w:rPr>
        <w:t>31 de marzo de 2025</w:t>
      </w:r>
      <w:r w:rsidR="001C6E76">
        <w:rPr>
          <w:rFonts w:ascii="Barlow" w:hAnsi="Barlow" w:cstheme="minorHAnsi"/>
          <w:sz w:val="20"/>
          <w:szCs w:val="20"/>
        </w:rPr>
        <w:t xml:space="preserve"> no tiene información que revelar respecto a las</w:t>
      </w:r>
      <w:r w:rsidR="00795A81" w:rsidRPr="003E52D9">
        <w:rPr>
          <w:rFonts w:ascii="Barlow" w:hAnsi="Barlow" w:cstheme="minorHAnsi"/>
          <w:sz w:val="20"/>
          <w:szCs w:val="20"/>
        </w:rPr>
        <w:t xml:space="preserve"> erogaciones para la adquisición de </w:t>
      </w:r>
      <w:r w:rsidR="000041B9">
        <w:rPr>
          <w:rFonts w:ascii="Barlow" w:hAnsi="Barlow" w:cstheme="minorHAnsi"/>
          <w:sz w:val="20"/>
          <w:szCs w:val="20"/>
        </w:rPr>
        <w:t>Bienes Muebles e Inmuebles</w:t>
      </w:r>
      <w:r w:rsidR="00795A81" w:rsidRPr="003E52D9">
        <w:rPr>
          <w:rFonts w:ascii="Barlow" w:hAnsi="Barlow" w:cstheme="minorHAnsi"/>
          <w:sz w:val="20"/>
          <w:szCs w:val="20"/>
        </w:rPr>
        <w:t xml:space="preserve"> </w:t>
      </w:r>
      <w:r w:rsidR="001C6E76">
        <w:rPr>
          <w:rFonts w:ascii="Barlow" w:hAnsi="Barlow" w:cstheme="minorHAnsi"/>
          <w:sz w:val="20"/>
          <w:szCs w:val="20"/>
        </w:rPr>
        <w:t>d</w:t>
      </w:r>
      <w:r w:rsidR="00795A81" w:rsidRPr="003E52D9">
        <w:rPr>
          <w:rFonts w:ascii="Barlow" w:hAnsi="Barlow" w:cstheme="minorHAnsi"/>
          <w:sz w:val="20"/>
          <w:szCs w:val="20"/>
        </w:rPr>
        <w:t xml:space="preserve">el </w:t>
      </w:r>
      <w:r w:rsidR="00205062">
        <w:rPr>
          <w:rFonts w:ascii="Barlow" w:hAnsi="Barlow" w:cstheme="minorHAnsi"/>
          <w:sz w:val="20"/>
          <w:szCs w:val="20"/>
        </w:rPr>
        <w:t>e</w:t>
      </w:r>
      <w:r w:rsidR="00795A81" w:rsidRPr="003E52D9">
        <w:rPr>
          <w:rFonts w:ascii="Barlow" w:hAnsi="Barlow" w:cstheme="minorHAnsi"/>
          <w:sz w:val="20"/>
          <w:szCs w:val="20"/>
        </w:rPr>
        <w:t>jercicio 20</w:t>
      </w:r>
      <w:r w:rsidR="00EF6745" w:rsidRPr="003E52D9">
        <w:rPr>
          <w:rFonts w:ascii="Barlow" w:hAnsi="Barlow" w:cstheme="minorHAnsi"/>
          <w:sz w:val="20"/>
          <w:szCs w:val="20"/>
        </w:rPr>
        <w:t>2</w:t>
      </w:r>
      <w:r w:rsidR="00B83705">
        <w:rPr>
          <w:rFonts w:ascii="Barlow" w:hAnsi="Barlow" w:cstheme="minorHAnsi"/>
          <w:sz w:val="20"/>
          <w:szCs w:val="20"/>
        </w:rPr>
        <w:t>5</w:t>
      </w:r>
      <w:r w:rsidR="001C6E76">
        <w:rPr>
          <w:rFonts w:ascii="Barlow" w:hAnsi="Barlow" w:cstheme="minorHAnsi"/>
          <w:sz w:val="20"/>
          <w:szCs w:val="20"/>
        </w:rPr>
        <w:t>,</w:t>
      </w:r>
      <w:r w:rsidR="00795A81" w:rsidRPr="003E52D9">
        <w:rPr>
          <w:rFonts w:ascii="Barlow" w:hAnsi="Barlow" w:cstheme="minorHAnsi"/>
          <w:sz w:val="20"/>
          <w:szCs w:val="20"/>
        </w:rPr>
        <w:t xml:space="preserve"> </w:t>
      </w:r>
      <w:r w:rsidR="001C6E76">
        <w:rPr>
          <w:rFonts w:ascii="Barlow" w:hAnsi="Barlow" w:cstheme="minorHAnsi"/>
          <w:sz w:val="20"/>
          <w:szCs w:val="20"/>
        </w:rPr>
        <w:t>las cuales, si hubiese alguna, se</w:t>
      </w:r>
      <w:r w:rsidR="00795A81" w:rsidRPr="003E52D9">
        <w:rPr>
          <w:rFonts w:ascii="Barlow" w:hAnsi="Barlow" w:cstheme="minorHAnsi"/>
          <w:sz w:val="20"/>
          <w:szCs w:val="20"/>
        </w:rPr>
        <w:t xml:space="preserve"> registra</w:t>
      </w:r>
      <w:r w:rsidR="001C6E76">
        <w:rPr>
          <w:rFonts w:ascii="Barlow" w:hAnsi="Barlow" w:cstheme="minorHAnsi"/>
          <w:sz w:val="20"/>
          <w:szCs w:val="20"/>
        </w:rPr>
        <w:t>rá</w:t>
      </w:r>
      <w:r w:rsidR="00795A81" w:rsidRPr="003E52D9">
        <w:rPr>
          <w:rFonts w:ascii="Barlow" w:hAnsi="Barlow" w:cstheme="minorHAnsi"/>
          <w:sz w:val="20"/>
          <w:szCs w:val="20"/>
        </w:rPr>
        <w:t xml:space="preserve">n a su costo de adquisición, </w:t>
      </w:r>
      <w:r w:rsidR="001C6E76">
        <w:rPr>
          <w:rFonts w:ascii="Barlow" w:hAnsi="Barlow" w:cstheme="minorHAnsi"/>
          <w:sz w:val="20"/>
          <w:szCs w:val="20"/>
        </w:rPr>
        <w:t xml:space="preserve">y </w:t>
      </w:r>
      <w:r w:rsidR="00795A81" w:rsidRPr="003E52D9">
        <w:rPr>
          <w:rFonts w:ascii="Barlow" w:hAnsi="Barlow" w:cstheme="minorHAnsi"/>
          <w:sz w:val="20"/>
          <w:szCs w:val="20"/>
        </w:rPr>
        <w:t>por tal motivo el saldo que se presenta</w:t>
      </w:r>
      <w:r w:rsidR="001C6E76">
        <w:rPr>
          <w:rFonts w:ascii="Barlow" w:hAnsi="Barlow" w:cstheme="minorHAnsi"/>
          <w:sz w:val="20"/>
          <w:szCs w:val="20"/>
        </w:rPr>
        <w:t>ría</w:t>
      </w:r>
      <w:r w:rsidR="00795A81" w:rsidRPr="003E52D9">
        <w:rPr>
          <w:rFonts w:ascii="Barlow" w:hAnsi="Barlow" w:cstheme="minorHAnsi"/>
          <w:sz w:val="20"/>
          <w:szCs w:val="20"/>
        </w:rPr>
        <w:t xml:space="preserve"> en el rubro de bienes </w:t>
      </w:r>
      <w:r w:rsidR="000041B9">
        <w:rPr>
          <w:rFonts w:ascii="Barlow" w:hAnsi="Barlow" w:cstheme="minorHAnsi"/>
          <w:sz w:val="20"/>
          <w:szCs w:val="20"/>
        </w:rPr>
        <w:t>muebles e</w:t>
      </w:r>
      <w:r w:rsidR="00AF7A05" w:rsidRPr="003E52D9">
        <w:rPr>
          <w:rFonts w:ascii="Barlow" w:hAnsi="Barlow" w:cstheme="minorHAnsi"/>
          <w:sz w:val="20"/>
          <w:szCs w:val="20"/>
        </w:rPr>
        <w:t xml:space="preserve"> </w:t>
      </w:r>
      <w:r w:rsidR="00795A81" w:rsidRPr="003E52D9">
        <w:rPr>
          <w:rFonts w:ascii="Barlow" w:hAnsi="Barlow" w:cstheme="minorHAnsi"/>
          <w:sz w:val="20"/>
          <w:szCs w:val="20"/>
        </w:rPr>
        <w:t>inmuebles</w:t>
      </w:r>
      <w:r w:rsidR="00AF7A05" w:rsidRPr="003E52D9">
        <w:rPr>
          <w:rFonts w:ascii="Barlow" w:hAnsi="Barlow" w:cstheme="minorHAnsi"/>
          <w:sz w:val="20"/>
          <w:szCs w:val="20"/>
        </w:rPr>
        <w:t xml:space="preserve"> </w:t>
      </w:r>
      <w:r w:rsidR="00795A81" w:rsidRPr="003E52D9">
        <w:rPr>
          <w:rFonts w:ascii="Barlow" w:hAnsi="Barlow" w:cstheme="minorHAnsi"/>
          <w:sz w:val="20"/>
          <w:szCs w:val="20"/>
        </w:rPr>
        <w:t>refleja</w:t>
      </w:r>
      <w:r w:rsidR="001C6E76">
        <w:rPr>
          <w:rFonts w:ascii="Barlow" w:hAnsi="Barlow" w:cstheme="minorHAnsi"/>
          <w:sz w:val="20"/>
          <w:szCs w:val="20"/>
        </w:rPr>
        <w:t>ría</w:t>
      </w:r>
      <w:r w:rsidR="00795A81" w:rsidRPr="003E52D9">
        <w:rPr>
          <w:rFonts w:ascii="Barlow" w:hAnsi="Barlow" w:cstheme="minorHAnsi"/>
          <w:sz w:val="20"/>
          <w:szCs w:val="20"/>
        </w:rPr>
        <w:t xml:space="preserve"> el costo histórico de dichos activos</w:t>
      </w:r>
      <w:r w:rsidR="001C6E76">
        <w:rPr>
          <w:rFonts w:ascii="Barlow" w:hAnsi="Barlow" w:cstheme="minorHAnsi"/>
          <w:sz w:val="20"/>
          <w:szCs w:val="20"/>
        </w:rPr>
        <w:t>.</w:t>
      </w:r>
    </w:p>
    <w:p w14:paraId="24F941BB" w14:textId="7C0F3D74" w:rsidR="003E52D9" w:rsidRDefault="003E52D9" w:rsidP="00906A55">
      <w:pPr>
        <w:autoSpaceDE w:val="0"/>
        <w:autoSpaceDN w:val="0"/>
        <w:adjustRightInd w:val="0"/>
        <w:jc w:val="both"/>
        <w:rPr>
          <w:rFonts w:ascii="Barlow" w:hAnsi="Barlow" w:cstheme="minorHAnsi"/>
          <w:sz w:val="20"/>
          <w:szCs w:val="20"/>
        </w:rPr>
      </w:pPr>
    </w:p>
    <w:p w14:paraId="22537C0B" w14:textId="45E7DE50" w:rsidR="000041B9" w:rsidRDefault="00DD5E18" w:rsidP="000041B9">
      <w:pPr>
        <w:autoSpaceDE w:val="0"/>
        <w:autoSpaceDN w:val="0"/>
        <w:adjustRightInd w:val="0"/>
        <w:jc w:val="both"/>
        <w:rPr>
          <w:rFonts w:ascii="Barlow" w:hAnsi="Barlow" w:cstheme="minorHAnsi"/>
          <w:sz w:val="20"/>
          <w:szCs w:val="20"/>
        </w:rPr>
      </w:pPr>
      <w:r w:rsidRPr="001C1E2F">
        <w:rPr>
          <w:rFonts w:ascii="Barlow" w:hAnsi="Barlow" w:cstheme="minorHAnsi"/>
          <w:sz w:val="20"/>
          <w:szCs w:val="20"/>
        </w:rPr>
        <w:lastRenderedPageBreak/>
        <w:t>9.-</w:t>
      </w:r>
      <w:r w:rsidR="000041B9" w:rsidRPr="001C1E2F">
        <w:rPr>
          <w:rFonts w:ascii="Barlow" w:hAnsi="Barlow" w:cstheme="minorHAnsi"/>
          <w:sz w:val="20"/>
          <w:szCs w:val="20"/>
        </w:rPr>
        <w:t xml:space="preserve"> </w:t>
      </w:r>
      <w:r w:rsidR="00205062">
        <w:rPr>
          <w:rFonts w:ascii="Barlow" w:hAnsi="Barlow" w:cstheme="minorHAnsi"/>
          <w:sz w:val="20"/>
          <w:szCs w:val="20"/>
        </w:rPr>
        <w:t>E</w:t>
      </w:r>
      <w:r w:rsidR="00205062" w:rsidRPr="003E52D9">
        <w:rPr>
          <w:rFonts w:ascii="Barlow" w:hAnsi="Barlow" w:cstheme="minorHAnsi"/>
          <w:sz w:val="20"/>
          <w:szCs w:val="20"/>
        </w:rPr>
        <w:t xml:space="preserve">l Fondo de Seguridad Pública del Estado de Yucatán </w:t>
      </w:r>
      <w:r w:rsidR="00205062">
        <w:rPr>
          <w:rFonts w:ascii="Barlow" w:hAnsi="Barlow" w:cstheme="minorHAnsi"/>
          <w:sz w:val="20"/>
          <w:szCs w:val="20"/>
        </w:rPr>
        <w:t xml:space="preserve">al </w:t>
      </w:r>
      <w:r w:rsidR="00EE1B6C">
        <w:rPr>
          <w:rFonts w:ascii="Barlow" w:hAnsi="Barlow" w:cstheme="minorHAnsi"/>
          <w:sz w:val="20"/>
          <w:szCs w:val="20"/>
        </w:rPr>
        <w:t>31 de marzo de 2025</w:t>
      </w:r>
      <w:r w:rsidR="00205062">
        <w:rPr>
          <w:rFonts w:ascii="Barlow" w:hAnsi="Barlow" w:cstheme="minorHAnsi"/>
          <w:sz w:val="20"/>
          <w:szCs w:val="20"/>
        </w:rPr>
        <w:t xml:space="preserve"> no tiene información que revelar respecto la</w:t>
      </w:r>
      <w:r w:rsidR="000041B9" w:rsidRPr="001C1E2F">
        <w:rPr>
          <w:rFonts w:ascii="Barlow" w:hAnsi="Barlow" w:cstheme="minorHAnsi"/>
          <w:sz w:val="20"/>
          <w:szCs w:val="20"/>
        </w:rPr>
        <w:t xml:space="preserve">s erogaciones para la adquisición de activos intangibles y diferidos </w:t>
      </w:r>
      <w:r w:rsidR="00205062">
        <w:rPr>
          <w:rFonts w:ascii="Barlow" w:hAnsi="Barlow" w:cstheme="minorHAnsi"/>
          <w:sz w:val="20"/>
          <w:szCs w:val="20"/>
        </w:rPr>
        <w:t>del e</w:t>
      </w:r>
      <w:r w:rsidR="000041B9" w:rsidRPr="003E52D9">
        <w:rPr>
          <w:rFonts w:ascii="Barlow" w:hAnsi="Barlow" w:cstheme="minorHAnsi"/>
          <w:sz w:val="20"/>
          <w:szCs w:val="20"/>
        </w:rPr>
        <w:t>jercicio 202</w:t>
      </w:r>
      <w:r w:rsidR="00770D84">
        <w:rPr>
          <w:rFonts w:ascii="Barlow" w:hAnsi="Barlow" w:cstheme="minorHAnsi"/>
          <w:sz w:val="20"/>
          <w:szCs w:val="20"/>
        </w:rPr>
        <w:t>5</w:t>
      </w:r>
      <w:r w:rsidR="00205062">
        <w:rPr>
          <w:rFonts w:ascii="Barlow" w:hAnsi="Barlow" w:cstheme="minorHAnsi"/>
          <w:sz w:val="20"/>
          <w:szCs w:val="20"/>
        </w:rPr>
        <w:t>, las cuales, si hubiese alguna,</w:t>
      </w:r>
      <w:r w:rsidR="000041B9" w:rsidRPr="003E52D9">
        <w:rPr>
          <w:rFonts w:ascii="Barlow" w:hAnsi="Barlow" w:cstheme="minorHAnsi"/>
          <w:sz w:val="20"/>
          <w:szCs w:val="20"/>
        </w:rPr>
        <w:t xml:space="preserve"> se registra</w:t>
      </w:r>
      <w:r w:rsidR="00205062">
        <w:rPr>
          <w:rFonts w:ascii="Barlow" w:hAnsi="Barlow" w:cstheme="minorHAnsi"/>
          <w:sz w:val="20"/>
          <w:szCs w:val="20"/>
        </w:rPr>
        <w:t>rá</w:t>
      </w:r>
      <w:r w:rsidR="000041B9" w:rsidRPr="003E52D9">
        <w:rPr>
          <w:rFonts w:ascii="Barlow" w:hAnsi="Barlow" w:cstheme="minorHAnsi"/>
          <w:sz w:val="20"/>
          <w:szCs w:val="20"/>
        </w:rPr>
        <w:t>n a su costo de adquisición, por tal motivo el saldo que se presenta</w:t>
      </w:r>
      <w:r w:rsidR="00205062">
        <w:rPr>
          <w:rFonts w:ascii="Barlow" w:hAnsi="Barlow" w:cstheme="minorHAnsi"/>
          <w:sz w:val="20"/>
          <w:szCs w:val="20"/>
        </w:rPr>
        <w:t>ría</w:t>
      </w:r>
      <w:r w:rsidR="000041B9" w:rsidRPr="003E52D9">
        <w:rPr>
          <w:rFonts w:ascii="Barlow" w:hAnsi="Barlow" w:cstheme="minorHAnsi"/>
          <w:sz w:val="20"/>
          <w:szCs w:val="20"/>
        </w:rPr>
        <w:t xml:space="preserve"> en el rubr</w:t>
      </w:r>
      <w:r w:rsidR="00205062">
        <w:rPr>
          <w:rFonts w:ascii="Barlow" w:hAnsi="Barlow" w:cstheme="minorHAnsi"/>
          <w:sz w:val="20"/>
          <w:szCs w:val="20"/>
        </w:rPr>
        <w:t>o de bienes intangibles reflejarían</w:t>
      </w:r>
      <w:r w:rsidR="000041B9" w:rsidRPr="003E52D9">
        <w:rPr>
          <w:rFonts w:ascii="Barlow" w:hAnsi="Barlow" w:cstheme="minorHAnsi"/>
          <w:sz w:val="20"/>
          <w:szCs w:val="20"/>
        </w:rPr>
        <w:t xml:space="preserve"> el costo histórico de dichos activos</w:t>
      </w:r>
      <w:r w:rsidR="00205062">
        <w:rPr>
          <w:rFonts w:ascii="Barlow" w:hAnsi="Barlow" w:cstheme="minorHAnsi"/>
          <w:sz w:val="20"/>
          <w:szCs w:val="20"/>
        </w:rPr>
        <w:t>.</w:t>
      </w:r>
    </w:p>
    <w:p w14:paraId="76DAB6E6" w14:textId="77777777" w:rsidR="00205062" w:rsidRDefault="00205062" w:rsidP="005E0839">
      <w:pPr>
        <w:autoSpaceDE w:val="0"/>
        <w:autoSpaceDN w:val="0"/>
        <w:adjustRightInd w:val="0"/>
        <w:jc w:val="both"/>
        <w:rPr>
          <w:rFonts w:ascii="Barlow" w:hAnsi="Barlow" w:cstheme="minorHAnsi"/>
          <w:sz w:val="20"/>
          <w:szCs w:val="20"/>
        </w:rPr>
      </w:pPr>
    </w:p>
    <w:p w14:paraId="3D9F8D87" w14:textId="7377B79D" w:rsidR="00705583" w:rsidRPr="003E52D9" w:rsidRDefault="00705583" w:rsidP="007824F2">
      <w:pPr>
        <w:pStyle w:val="Prrafodelista"/>
        <w:numPr>
          <w:ilvl w:val="0"/>
          <w:numId w:val="8"/>
        </w:numPr>
        <w:autoSpaceDE w:val="0"/>
        <w:autoSpaceDN w:val="0"/>
        <w:adjustRightInd w:val="0"/>
        <w:spacing w:line="360" w:lineRule="auto"/>
        <w:jc w:val="both"/>
        <w:rPr>
          <w:rFonts w:ascii="Barlow" w:hAnsi="Barlow" w:cstheme="minorHAnsi"/>
          <w:b/>
          <w:sz w:val="20"/>
          <w:szCs w:val="20"/>
        </w:rPr>
      </w:pPr>
      <w:r w:rsidRPr="003E52D9">
        <w:rPr>
          <w:rFonts w:ascii="Barlow" w:hAnsi="Barlow" w:cstheme="minorHAnsi"/>
          <w:b/>
          <w:sz w:val="20"/>
          <w:szCs w:val="20"/>
        </w:rPr>
        <w:t>Estimaciones y Deterioros</w:t>
      </w:r>
    </w:p>
    <w:p w14:paraId="2D05402C" w14:textId="55378F3F" w:rsidR="00705583" w:rsidRDefault="00C44983" w:rsidP="00906A55">
      <w:pPr>
        <w:autoSpaceDE w:val="0"/>
        <w:autoSpaceDN w:val="0"/>
        <w:adjustRightInd w:val="0"/>
        <w:jc w:val="both"/>
        <w:rPr>
          <w:rFonts w:ascii="Barlow" w:hAnsi="Barlow" w:cstheme="minorHAnsi"/>
          <w:sz w:val="20"/>
          <w:szCs w:val="20"/>
        </w:rPr>
      </w:pPr>
      <w:r>
        <w:rPr>
          <w:rFonts w:ascii="Barlow" w:hAnsi="Barlow" w:cstheme="minorHAnsi"/>
          <w:sz w:val="20"/>
          <w:szCs w:val="20"/>
        </w:rPr>
        <w:t>10</w:t>
      </w:r>
      <w:r w:rsidR="00705583" w:rsidRPr="003E52D9">
        <w:rPr>
          <w:rFonts w:ascii="Barlow" w:hAnsi="Barlow" w:cstheme="minorHAnsi"/>
          <w:sz w:val="20"/>
          <w:szCs w:val="20"/>
        </w:rPr>
        <w:t xml:space="preserve">.- El </w:t>
      </w:r>
      <w:r w:rsidR="00D433EA" w:rsidRPr="003E52D9">
        <w:rPr>
          <w:rFonts w:ascii="Barlow" w:hAnsi="Barlow" w:cstheme="minorHAnsi"/>
          <w:sz w:val="20"/>
          <w:szCs w:val="20"/>
        </w:rPr>
        <w:t>Fondo de Seguridad Pública</w:t>
      </w:r>
      <w:r w:rsidR="00823027" w:rsidRPr="003E52D9">
        <w:rPr>
          <w:rFonts w:ascii="Barlow" w:hAnsi="Barlow" w:cstheme="minorHAnsi"/>
          <w:sz w:val="20"/>
          <w:szCs w:val="20"/>
        </w:rPr>
        <w:t xml:space="preserve"> del Estado de Yucatán</w:t>
      </w:r>
      <w:r w:rsidR="00705583" w:rsidRPr="003E52D9">
        <w:rPr>
          <w:rFonts w:ascii="Barlow" w:hAnsi="Barlow" w:cstheme="minorHAnsi"/>
          <w:sz w:val="20"/>
          <w:szCs w:val="20"/>
        </w:rPr>
        <w:t xml:space="preserve">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00852D69" w:rsidRPr="003E52D9">
        <w:rPr>
          <w:rFonts w:ascii="Barlow" w:hAnsi="Barlow" w:cstheme="minorHAnsi"/>
          <w:sz w:val="20"/>
          <w:szCs w:val="20"/>
        </w:rPr>
        <w:t xml:space="preserve"> </w:t>
      </w:r>
      <w:r w:rsidR="00705583" w:rsidRPr="003E52D9">
        <w:rPr>
          <w:rFonts w:ascii="Barlow" w:hAnsi="Barlow" w:cstheme="minorHAnsi"/>
          <w:sz w:val="20"/>
          <w:szCs w:val="20"/>
        </w:rPr>
        <w:t>no</w:t>
      </w:r>
      <w:r w:rsidR="00D433EA" w:rsidRPr="003E52D9">
        <w:rPr>
          <w:rFonts w:ascii="Barlow" w:hAnsi="Barlow" w:cstheme="minorHAnsi"/>
          <w:sz w:val="20"/>
          <w:szCs w:val="20"/>
        </w:rPr>
        <w:t xml:space="preserve"> ha </w:t>
      </w:r>
      <w:r w:rsidR="00705583" w:rsidRPr="003E52D9">
        <w:rPr>
          <w:rFonts w:ascii="Barlow" w:hAnsi="Barlow" w:cstheme="minorHAnsi"/>
          <w:sz w:val="20"/>
          <w:szCs w:val="20"/>
        </w:rPr>
        <w:t>realiz</w:t>
      </w:r>
      <w:r w:rsidR="00D433EA" w:rsidRPr="003E52D9">
        <w:rPr>
          <w:rFonts w:ascii="Barlow" w:hAnsi="Barlow" w:cstheme="minorHAnsi"/>
          <w:sz w:val="20"/>
          <w:szCs w:val="20"/>
        </w:rPr>
        <w:t>ado</w:t>
      </w:r>
      <w:r w:rsidR="00B71F24" w:rsidRPr="003E52D9">
        <w:rPr>
          <w:rFonts w:ascii="Barlow" w:hAnsi="Barlow" w:cstheme="minorHAnsi"/>
          <w:sz w:val="20"/>
          <w:szCs w:val="20"/>
        </w:rPr>
        <w:t xml:space="preserve"> </w:t>
      </w:r>
      <w:r w:rsidR="00705583" w:rsidRPr="003E52D9">
        <w:rPr>
          <w:rFonts w:ascii="Barlow" w:hAnsi="Barlow" w:cstheme="minorHAnsi"/>
          <w:sz w:val="20"/>
          <w:szCs w:val="20"/>
        </w:rPr>
        <w:t xml:space="preserve">determinación de estimaciones de cuentas incobrables, inversiones deterioro de activos </w:t>
      </w:r>
      <w:r w:rsidR="006E1089" w:rsidRPr="003E52D9">
        <w:rPr>
          <w:rFonts w:ascii="Barlow" w:hAnsi="Barlow" w:cstheme="minorHAnsi"/>
          <w:sz w:val="20"/>
          <w:szCs w:val="20"/>
        </w:rPr>
        <w:t>biológicos</w:t>
      </w:r>
      <w:r w:rsidR="00705583" w:rsidRPr="003E52D9">
        <w:rPr>
          <w:rFonts w:ascii="Barlow" w:hAnsi="Barlow" w:cstheme="minorHAnsi"/>
          <w:sz w:val="20"/>
          <w:szCs w:val="20"/>
        </w:rPr>
        <w:t>, etc.</w:t>
      </w:r>
    </w:p>
    <w:p w14:paraId="36E4A045" w14:textId="4D0AC395" w:rsidR="00F15390" w:rsidRPr="003E52D9" w:rsidRDefault="00F15390" w:rsidP="00906A55">
      <w:pPr>
        <w:autoSpaceDE w:val="0"/>
        <w:autoSpaceDN w:val="0"/>
        <w:adjustRightInd w:val="0"/>
        <w:jc w:val="both"/>
        <w:rPr>
          <w:rFonts w:ascii="Barlow" w:hAnsi="Barlow" w:cstheme="minorHAnsi"/>
          <w:sz w:val="20"/>
          <w:szCs w:val="20"/>
        </w:rPr>
      </w:pPr>
    </w:p>
    <w:p w14:paraId="4AC6DB54" w14:textId="77777777" w:rsidR="00705583" w:rsidRPr="003E52D9" w:rsidRDefault="00705583" w:rsidP="007824F2">
      <w:pPr>
        <w:pStyle w:val="Prrafodelista"/>
        <w:numPr>
          <w:ilvl w:val="0"/>
          <w:numId w:val="8"/>
        </w:num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Otros Activos</w:t>
      </w:r>
    </w:p>
    <w:p w14:paraId="49D8FBE8" w14:textId="031C1B54" w:rsidR="00675509" w:rsidRPr="003E52D9" w:rsidRDefault="00675509" w:rsidP="00675509">
      <w:pPr>
        <w:autoSpaceDE w:val="0"/>
        <w:autoSpaceDN w:val="0"/>
        <w:adjustRightInd w:val="0"/>
        <w:jc w:val="both"/>
        <w:rPr>
          <w:rFonts w:ascii="Barlow" w:hAnsi="Barlow" w:cstheme="minorHAnsi"/>
          <w:sz w:val="20"/>
          <w:szCs w:val="20"/>
        </w:rPr>
      </w:pPr>
    </w:p>
    <w:p w14:paraId="2444DDAE" w14:textId="61474508" w:rsidR="00705583" w:rsidRPr="003E52D9" w:rsidRDefault="007824F2" w:rsidP="00906A55">
      <w:pPr>
        <w:autoSpaceDE w:val="0"/>
        <w:autoSpaceDN w:val="0"/>
        <w:adjustRightInd w:val="0"/>
        <w:jc w:val="both"/>
        <w:rPr>
          <w:rFonts w:ascii="Barlow" w:hAnsi="Barlow" w:cstheme="minorHAnsi"/>
          <w:sz w:val="20"/>
          <w:szCs w:val="20"/>
        </w:rPr>
      </w:pPr>
      <w:r w:rsidRPr="003E52D9">
        <w:rPr>
          <w:rFonts w:ascii="Barlow" w:hAnsi="Barlow" w:cstheme="minorHAnsi"/>
          <w:sz w:val="20"/>
          <w:szCs w:val="20"/>
        </w:rPr>
        <w:t>1</w:t>
      </w:r>
      <w:r w:rsidR="002E2183">
        <w:rPr>
          <w:rFonts w:ascii="Barlow" w:hAnsi="Barlow" w:cstheme="minorHAnsi"/>
          <w:sz w:val="20"/>
          <w:szCs w:val="20"/>
        </w:rPr>
        <w:t>1</w:t>
      </w:r>
      <w:r w:rsidR="00705583" w:rsidRPr="003E52D9">
        <w:rPr>
          <w:rFonts w:ascii="Barlow" w:hAnsi="Barlow" w:cstheme="minorHAnsi"/>
          <w:sz w:val="20"/>
          <w:szCs w:val="20"/>
        </w:rPr>
        <w:t xml:space="preserve">.- El </w:t>
      </w:r>
      <w:r w:rsidR="00D433EA" w:rsidRPr="003E52D9">
        <w:rPr>
          <w:rFonts w:ascii="Barlow" w:hAnsi="Barlow" w:cstheme="minorHAnsi"/>
          <w:sz w:val="20"/>
          <w:szCs w:val="20"/>
        </w:rPr>
        <w:t>Fondo de Seguridad</w:t>
      </w:r>
      <w:r w:rsidR="00823027" w:rsidRPr="003E52D9">
        <w:rPr>
          <w:rFonts w:ascii="Barlow" w:hAnsi="Barlow" w:cstheme="minorHAnsi"/>
          <w:sz w:val="20"/>
          <w:szCs w:val="20"/>
        </w:rPr>
        <w:t xml:space="preserve"> </w:t>
      </w:r>
      <w:r w:rsidR="00D433EA" w:rsidRPr="003E52D9">
        <w:rPr>
          <w:rFonts w:ascii="Barlow" w:hAnsi="Barlow" w:cstheme="minorHAnsi"/>
          <w:sz w:val="20"/>
          <w:szCs w:val="20"/>
        </w:rPr>
        <w:t>Pública</w:t>
      </w:r>
      <w:r w:rsidR="00823027" w:rsidRPr="003E52D9">
        <w:rPr>
          <w:rFonts w:ascii="Barlow" w:hAnsi="Barlow" w:cstheme="minorHAnsi"/>
          <w:sz w:val="20"/>
          <w:szCs w:val="20"/>
        </w:rPr>
        <w:t xml:space="preserve"> del Estado de Yucatán</w:t>
      </w:r>
      <w:r w:rsidR="00D433EA" w:rsidRPr="003E52D9">
        <w:rPr>
          <w:rFonts w:ascii="Barlow" w:hAnsi="Barlow" w:cstheme="minorHAnsi"/>
          <w:sz w:val="20"/>
          <w:szCs w:val="20"/>
        </w:rPr>
        <w:t xml:space="preserve">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00D433EA" w:rsidRPr="003E52D9">
        <w:rPr>
          <w:rFonts w:ascii="Barlow" w:hAnsi="Barlow" w:cstheme="minorHAnsi"/>
          <w:sz w:val="20"/>
          <w:szCs w:val="20"/>
        </w:rPr>
        <w:t xml:space="preserve"> no</w:t>
      </w:r>
      <w:r w:rsidR="00A6204D" w:rsidRPr="003E52D9">
        <w:rPr>
          <w:rFonts w:ascii="Barlow" w:hAnsi="Barlow" w:cstheme="minorHAnsi"/>
          <w:sz w:val="20"/>
          <w:szCs w:val="20"/>
        </w:rPr>
        <w:t xml:space="preserve"> cuenta con ningún otro tipo de activo.</w:t>
      </w:r>
    </w:p>
    <w:p w14:paraId="7B5E8DAC" w14:textId="77777777" w:rsidR="007A6BA1" w:rsidRDefault="007A6BA1" w:rsidP="00906A55">
      <w:pPr>
        <w:autoSpaceDE w:val="0"/>
        <w:autoSpaceDN w:val="0"/>
        <w:adjustRightInd w:val="0"/>
        <w:jc w:val="both"/>
        <w:rPr>
          <w:rFonts w:ascii="Barlow" w:hAnsi="Barlow" w:cstheme="minorHAnsi"/>
          <w:b/>
          <w:sz w:val="20"/>
          <w:szCs w:val="20"/>
        </w:rPr>
      </w:pPr>
    </w:p>
    <w:p w14:paraId="7333E70C" w14:textId="421A05D5" w:rsidR="00EF6745" w:rsidRPr="003E52D9" w:rsidRDefault="00EF6745" w:rsidP="00906A55">
      <w:pPr>
        <w:autoSpaceDE w:val="0"/>
        <w:autoSpaceDN w:val="0"/>
        <w:adjustRightInd w:val="0"/>
        <w:jc w:val="both"/>
        <w:rPr>
          <w:rFonts w:ascii="Barlow" w:hAnsi="Barlow" w:cstheme="minorHAnsi"/>
          <w:b/>
          <w:sz w:val="20"/>
          <w:szCs w:val="20"/>
        </w:rPr>
      </w:pPr>
      <w:r w:rsidRPr="003E52D9">
        <w:rPr>
          <w:rFonts w:ascii="Barlow" w:hAnsi="Barlow" w:cstheme="minorHAnsi"/>
          <w:b/>
          <w:sz w:val="20"/>
          <w:szCs w:val="20"/>
        </w:rPr>
        <w:t>Pasivo</w:t>
      </w:r>
    </w:p>
    <w:p w14:paraId="7A1F0B49" w14:textId="0E511F8B" w:rsidR="00162791" w:rsidRDefault="00162791" w:rsidP="00906A55">
      <w:pPr>
        <w:autoSpaceDE w:val="0"/>
        <w:autoSpaceDN w:val="0"/>
        <w:adjustRightInd w:val="0"/>
        <w:jc w:val="both"/>
        <w:rPr>
          <w:rFonts w:ascii="Barlow" w:hAnsi="Barlow" w:cstheme="minorHAnsi"/>
          <w:b/>
          <w:sz w:val="20"/>
          <w:szCs w:val="20"/>
        </w:rPr>
      </w:pPr>
    </w:p>
    <w:p w14:paraId="5933CE1E" w14:textId="645EAE25" w:rsidR="00DE5A28" w:rsidRPr="00950B8F" w:rsidRDefault="00DE5A28" w:rsidP="000D5D69">
      <w:pPr>
        <w:pStyle w:val="Prrafodelista"/>
        <w:numPr>
          <w:ilvl w:val="0"/>
          <w:numId w:val="8"/>
        </w:numPr>
        <w:autoSpaceDE w:val="0"/>
        <w:autoSpaceDN w:val="0"/>
        <w:adjustRightInd w:val="0"/>
        <w:jc w:val="both"/>
        <w:rPr>
          <w:rFonts w:ascii="Barlow" w:hAnsi="Barlow" w:cstheme="minorHAnsi"/>
          <w:b/>
          <w:sz w:val="20"/>
          <w:szCs w:val="20"/>
        </w:rPr>
      </w:pPr>
      <w:r w:rsidRPr="00950B8F">
        <w:rPr>
          <w:rFonts w:ascii="Barlow" w:hAnsi="Barlow" w:cstheme="minorHAnsi"/>
          <w:b/>
          <w:sz w:val="20"/>
          <w:szCs w:val="20"/>
        </w:rPr>
        <w:t>Cuentas y Documentos por pagar</w:t>
      </w:r>
    </w:p>
    <w:p w14:paraId="1F4BBCC7" w14:textId="77777777" w:rsidR="00C73605" w:rsidRDefault="00C73605" w:rsidP="00C73605">
      <w:pPr>
        <w:pStyle w:val="Prrafodelista"/>
        <w:autoSpaceDE w:val="0"/>
        <w:autoSpaceDN w:val="0"/>
        <w:adjustRightInd w:val="0"/>
        <w:jc w:val="both"/>
        <w:rPr>
          <w:rFonts w:ascii="Barlow" w:hAnsi="Barlow" w:cstheme="minorHAnsi"/>
          <w:b/>
          <w:sz w:val="20"/>
          <w:szCs w:val="20"/>
          <w:highlight w:val="yellow"/>
        </w:rPr>
      </w:pPr>
    </w:p>
    <w:p w14:paraId="2933B205" w14:textId="0114217E" w:rsidR="00EF6745" w:rsidRPr="00677F9F" w:rsidRDefault="00EF6745" w:rsidP="00906A55">
      <w:pPr>
        <w:autoSpaceDE w:val="0"/>
        <w:autoSpaceDN w:val="0"/>
        <w:adjustRightInd w:val="0"/>
        <w:jc w:val="both"/>
        <w:rPr>
          <w:rFonts w:ascii="Barlow" w:hAnsi="Barlow" w:cstheme="minorHAnsi"/>
          <w:sz w:val="20"/>
          <w:szCs w:val="20"/>
        </w:rPr>
      </w:pPr>
      <w:r w:rsidRPr="00677F9F">
        <w:rPr>
          <w:rFonts w:ascii="Barlow" w:hAnsi="Barlow" w:cstheme="minorHAnsi"/>
          <w:sz w:val="20"/>
          <w:szCs w:val="20"/>
        </w:rPr>
        <w:t xml:space="preserve">1.- Las obligaciones a cargo del Fondo de Seguridad Pública del Estado de Yucatán </w:t>
      </w:r>
      <w:r w:rsidR="00FD4A95" w:rsidRPr="00677F9F">
        <w:rPr>
          <w:rFonts w:ascii="Barlow" w:hAnsi="Barlow" w:cstheme="minorHAnsi"/>
          <w:sz w:val="20"/>
          <w:szCs w:val="20"/>
        </w:rPr>
        <w:t xml:space="preserve">al </w:t>
      </w:r>
      <w:r w:rsidR="00EE1B6C">
        <w:rPr>
          <w:rFonts w:ascii="Barlow" w:hAnsi="Barlow" w:cstheme="minorHAnsi"/>
          <w:sz w:val="20"/>
          <w:szCs w:val="20"/>
        </w:rPr>
        <w:t>31 de marzo de 2025</w:t>
      </w:r>
      <w:r w:rsidRPr="00677F9F">
        <w:rPr>
          <w:rFonts w:ascii="Barlow" w:hAnsi="Barlow" w:cstheme="minorHAnsi"/>
          <w:sz w:val="20"/>
          <w:szCs w:val="20"/>
        </w:rPr>
        <w:t>, se integra como sigue:</w:t>
      </w:r>
    </w:p>
    <w:tbl>
      <w:tblPr>
        <w:tblpPr w:leftFromText="141" w:rightFromText="141" w:vertAnchor="text" w:horzAnchor="margin" w:tblpXSpec="center" w:tblpY="189"/>
        <w:tblW w:w="6941" w:type="dxa"/>
        <w:tblCellMar>
          <w:left w:w="70" w:type="dxa"/>
          <w:right w:w="70" w:type="dxa"/>
        </w:tblCellMar>
        <w:tblLook w:val="04A0" w:firstRow="1" w:lastRow="0" w:firstColumn="1" w:lastColumn="0" w:noHBand="0" w:noVBand="1"/>
      </w:tblPr>
      <w:tblGrid>
        <w:gridCol w:w="2734"/>
        <w:gridCol w:w="2081"/>
        <w:gridCol w:w="2126"/>
      </w:tblGrid>
      <w:tr w:rsidR="001F768D" w:rsidRPr="00677F9F" w14:paraId="5A6DB0B7" w14:textId="77777777" w:rsidTr="007A6BA1">
        <w:trPr>
          <w:trHeight w:val="240"/>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F374" w14:textId="77777777" w:rsidR="001F768D" w:rsidRPr="00677F9F" w:rsidRDefault="001F768D" w:rsidP="007A6BA1">
            <w:pPr>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Concepto</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43EC665B" w14:textId="07DBA424" w:rsidR="001F768D" w:rsidRPr="00677F9F" w:rsidRDefault="001F768D" w:rsidP="007A6BA1">
            <w:pPr>
              <w:jc w:val="center"/>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202</w:t>
            </w:r>
            <w:r w:rsidR="008D1660">
              <w:rPr>
                <w:rFonts w:ascii="Barlow" w:hAnsi="Barlow" w:cstheme="minorHAnsi"/>
                <w:b/>
                <w:bCs/>
                <w:color w:val="000000"/>
                <w:sz w:val="20"/>
                <w:szCs w:val="20"/>
                <w:lang w:eastAsia="es-MX"/>
              </w:rPr>
              <w:t>5</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F1F9A42" w14:textId="50790D7F" w:rsidR="001F768D" w:rsidRPr="00677F9F" w:rsidRDefault="001F768D" w:rsidP="007A6BA1">
            <w:pPr>
              <w:jc w:val="center"/>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2</w:t>
            </w:r>
            <w:r>
              <w:rPr>
                <w:rFonts w:ascii="Barlow" w:hAnsi="Barlow" w:cstheme="minorHAnsi"/>
                <w:b/>
                <w:bCs/>
                <w:color w:val="000000"/>
                <w:sz w:val="20"/>
                <w:szCs w:val="20"/>
                <w:lang w:eastAsia="es-MX"/>
              </w:rPr>
              <w:t>02</w:t>
            </w:r>
            <w:r w:rsidR="008D1660">
              <w:rPr>
                <w:rFonts w:ascii="Barlow" w:hAnsi="Barlow" w:cstheme="minorHAnsi"/>
                <w:b/>
                <w:bCs/>
                <w:color w:val="000000"/>
                <w:sz w:val="20"/>
                <w:szCs w:val="20"/>
                <w:lang w:eastAsia="es-MX"/>
              </w:rPr>
              <w:t>4</w:t>
            </w:r>
          </w:p>
        </w:tc>
      </w:tr>
      <w:tr w:rsidR="001F768D" w:rsidRPr="00677F9F" w14:paraId="5FC807C1" w14:textId="77777777" w:rsidTr="007A6BA1">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1350C" w14:textId="77777777" w:rsidR="001F768D" w:rsidRPr="00677F9F" w:rsidRDefault="001F768D" w:rsidP="007A6BA1">
            <w:pPr>
              <w:rPr>
                <w:rFonts w:ascii="Barlow" w:hAnsi="Barlow" w:cstheme="minorHAnsi"/>
                <w:color w:val="000000"/>
                <w:sz w:val="20"/>
                <w:szCs w:val="20"/>
                <w:lang w:eastAsia="es-MX"/>
              </w:rPr>
            </w:pPr>
            <w:r w:rsidRPr="00677F9F">
              <w:rPr>
                <w:rFonts w:ascii="Barlow" w:hAnsi="Barlow" w:cstheme="minorHAnsi"/>
                <w:color w:val="000000"/>
                <w:sz w:val="20"/>
                <w:szCs w:val="20"/>
                <w:lang w:eastAsia="es-MX"/>
              </w:rPr>
              <w:t>PASIVO CIRCULANTE</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3DFCDBA9" w14:textId="77777777" w:rsidR="001F768D" w:rsidRPr="00677F9F" w:rsidRDefault="001F768D" w:rsidP="007A6BA1">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0</w:t>
            </w:r>
            <w:r w:rsidRPr="00677F9F">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2883B51E" w14:textId="77777777" w:rsidR="001F768D" w:rsidRPr="00677F9F" w:rsidRDefault="001F768D" w:rsidP="007A6BA1">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0</w:t>
            </w:r>
            <w:r w:rsidRPr="00677F9F">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r>
      <w:tr w:rsidR="001F768D" w:rsidRPr="00677F9F" w14:paraId="6C627470" w14:textId="77777777" w:rsidTr="007A6BA1">
        <w:trPr>
          <w:trHeight w:val="228"/>
        </w:trPr>
        <w:tc>
          <w:tcPr>
            <w:tcW w:w="2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DE585F" w14:textId="77777777" w:rsidR="001F768D" w:rsidRPr="00677F9F" w:rsidRDefault="001F768D" w:rsidP="007A6BA1">
            <w:pPr>
              <w:rPr>
                <w:rFonts w:ascii="Barlow" w:hAnsi="Barlow" w:cstheme="minorHAnsi"/>
                <w:color w:val="000000"/>
                <w:sz w:val="20"/>
                <w:szCs w:val="20"/>
                <w:lang w:eastAsia="es-MX"/>
              </w:rPr>
            </w:pPr>
            <w:r w:rsidRPr="00677F9F">
              <w:rPr>
                <w:rFonts w:ascii="Barlow" w:hAnsi="Barlow" w:cstheme="minorHAnsi"/>
                <w:color w:val="000000"/>
                <w:sz w:val="20"/>
                <w:szCs w:val="20"/>
                <w:lang w:eastAsia="es-MX"/>
              </w:rPr>
              <w:t>PASIVO NO CIRCULANTE</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47F10582" w14:textId="65F05EF4" w:rsidR="001F768D" w:rsidRPr="00677F9F" w:rsidRDefault="001F768D" w:rsidP="007A6BA1">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1</w:t>
            </w:r>
            <w:r w:rsidR="00C30BA3">
              <w:rPr>
                <w:rFonts w:ascii="Barlow" w:hAnsi="Barlow" w:cstheme="minorHAnsi"/>
                <w:color w:val="000000"/>
                <w:sz w:val="20"/>
                <w:szCs w:val="20"/>
                <w:lang w:eastAsia="es-MX"/>
              </w:rPr>
              <w:t>1</w:t>
            </w:r>
            <w:r>
              <w:rPr>
                <w:rFonts w:ascii="Barlow" w:hAnsi="Barlow" w:cstheme="minorHAnsi"/>
                <w:color w:val="000000"/>
                <w:sz w:val="20"/>
                <w:szCs w:val="20"/>
                <w:lang w:eastAsia="es-MX"/>
              </w:rPr>
              <w:t>,</w:t>
            </w:r>
            <w:r w:rsidR="00EE1B6C">
              <w:rPr>
                <w:rFonts w:ascii="Barlow" w:hAnsi="Barlow" w:cstheme="minorHAnsi"/>
                <w:color w:val="000000"/>
                <w:sz w:val="20"/>
                <w:szCs w:val="20"/>
                <w:lang w:eastAsia="es-MX"/>
              </w:rPr>
              <w:t>139</w:t>
            </w:r>
            <w:r>
              <w:rPr>
                <w:rFonts w:ascii="Barlow" w:hAnsi="Barlow" w:cstheme="minorHAnsi"/>
                <w:color w:val="000000"/>
                <w:sz w:val="20"/>
                <w:szCs w:val="20"/>
                <w:lang w:eastAsia="es-MX"/>
              </w:rPr>
              <w:t>,</w:t>
            </w:r>
            <w:r w:rsidR="00EE1B6C">
              <w:rPr>
                <w:rFonts w:ascii="Barlow" w:hAnsi="Barlow" w:cstheme="minorHAnsi"/>
                <w:color w:val="000000"/>
                <w:sz w:val="20"/>
                <w:szCs w:val="20"/>
                <w:lang w:eastAsia="es-MX"/>
              </w:rPr>
              <w:t>64</w:t>
            </w:r>
            <w:r w:rsidR="00C30BA3">
              <w:rPr>
                <w:rFonts w:ascii="Barlow" w:hAnsi="Barlow" w:cstheme="minorHAnsi"/>
                <w:color w:val="000000"/>
                <w:sz w:val="20"/>
                <w:szCs w:val="20"/>
                <w:lang w:eastAsia="es-MX"/>
              </w:rPr>
              <w:t>5</w:t>
            </w:r>
            <w:r w:rsidRPr="00677F9F">
              <w:rPr>
                <w:rFonts w:ascii="Barlow" w:hAnsi="Barlow" w:cstheme="minorHAnsi"/>
                <w:color w:val="000000"/>
                <w:sz w:val="20"/>
                <w:szCs w:val="20"/>
                <w:lang w:eastAsia="es-MX"/>
              </w:rPr>
              <w:t>.</w:t>
            </w:r>
            <w:r w:rsidR="00EE1B6C">
              <w:rPr>
                <w:rFonts w:ascii="Barlow" w:hAnsi="Barlow" w:cstheme="minorHAnsi"/>
                <w:color w:val="000000"/>
                <w:sz w:val="20"/>
                <w:szCs w:val="20"/>
                <w:lang w:eastAsia="es-MX"/>
              </w:rPr>
              <w:t>83</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046D33A2" w14:textId="514C716D" w:rsidR="001F768D" w:rsidRPr="00677F9F" w:rsidRDefault="001F768D" w:rsidP="007A6BA1">
            <w:pPr>
              <w:jc w:val="right"/>
              <w:rPr>
                <w:rFonts w:ascii="Barlow" w:hAnsi="Barlow" w:cstheme="minorHAnsi"/>
                <w:color w:val="000000"/>
                <w:sz w:val="20"/>
                <w:szCs w:val="20"/>
                <w:lang w:eastAsia="es-MX"/>
              </w:rPr>
            </w:pPr>
            <w:r w:rsidRPr="00677F9F">
              <w:rPr>
                <w:rFonts w:ascii="Barlow" w:hAnsi="Barlow" w:cstheme="minorHAnsi"/>
                <w:color w:val="000000"/>
                <w:sz w:val="20"/>
                <w:szCs w:val="20"/>
                <w:lang w:eastAsia="es-MX"/>
              </w:rPr>
              <w:t xml:space="preserve">$ </w:t>
            </w:r>
            <w:r w:rsidR="008D1660">
              <w:rPr>
                <w:rFonts w:ascii="Barlow" w:hAnsi="Barlow" w:cstheme="minorHAnsi"/>
                <w:color w:val="000000"/>
                <w:sz w:val="20"/>
                <w:szCs w:val="20"/>
                <w:lang w:eastAsia="es-MX"/>
              </w:rPr>
              <w:t>11,048,271</w:t>
            </w:r>
            <w:r w:rsidRPr="00677F9F">
              <w:rPr>
                <w:rFonts w:ascii="Barlow" w:hAnsi="Barlow" w:cstheme="minorHAnsi"/>
                <w:color w:val="000000"/>
                <w:sz w:val="20"/>
                <w:szCs w:val="20"/>
                <w:lang w:eastAsia="es-MX"/>
              </w:rPr>
              <w:t>.</w:t>
            </w:r>
            <w:r w:rsidR="008D1660">
              <w:rPr>
                <w:rFonts w:ascii="Barlow" w:hAnsi="Barlow" w:cstheme="minorHAnsi"/>
                <w:color w:val="000000"/>
                <w:sz w:val="20"/>
                <w:szCs w:val="20"/>
                <w:lang w:eastAsia="es-MX"/>
              </w:rPr>
              <w:t>19</w:t>
            </w:r>
          </w:p>
        </w:tc>
      </w:tr>
      <w:tr w:rsidR="001F768D" w:rsidRPr="003E52D9" w14:paraId="5BC4D097" w14:textId="77777777" w:rsidTr="007A6BA1">
        <w:trPr>
          <w:trHeight w:val="240"/>
        </w:trPr>
        <w:tc>
          <w:tcPr>
            <w:tcW w:w="273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819DB6F" w14:textId="77777777" w:rsidR="001F768D" w:rsidRPr="00677F9F" w:rsidRDefault="001F768D" w:rsidP="007A6BA1">
            <w:pPr>
              <w:jc w:val="right"/>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Suma de Pasivo</w:t>
            </w:r>
          </w:p>
        </w:tc>
        <w:tc>
          <w:tcPr>
            <w:tcW w:w="2081" w:type="dxa"/>
            <w:tcBorders>
              <w:top w:val="single" w:sz="4" w:space="0" w:color="auto"/>
              <w:left w:val="nil"/>
              <w:bottom w:val="single" w:sz="4" w:space="0" w:color="auto"/>
              <w:right w:val="single" w:sz="4" w:space="0" w:color="auto"/>
            </w:tcBorders>
            <w:shd w:val="clear" w:color="auto" w:fill="auto"/>
            <w:noWrap/>
            <w:vAlign w:val="bottom"/>
            <w:hideMark/>
          </w:tcPr>
          <w:p w14:paraId="3303F6C9" w14:textId="6AE707DE" w:rsidR="001F768D" w:rsidRPr="00677F9F" w:rsidRDefault="001F768D" w:rsidP="007A6BA1">
            <w:pPr>
              <w:jc w:val="right"/>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 xml:space="preserve"> $ </w:t>
            </w:r>
            <w:r>
              <w:rPr>
                <w:rFonts w:ascii="Barlow" w:hAnsi="Barlow" w:cstheme="minorHAnsi"/>
                <w:b/>
                <w:bCs/>
                <w:color w:val="000000"/>
                <w:sz w:val="20"/>
                <w:szCs w:val="20"/>
                <w:lang w:eastAsia="es-MX"/>
              </w:rPr>
              <w:t>1</w:t>
            </w:r>
            <w:r w:rsidR="00C30BA3">
              <w:rPr>
                <w:rFonts w:ascii="Barlow" w:hAnsi="Barlow" w:cstheme="minorHAnsi"/>
                <w:b/>
                <w:bCs/>
                <w:color w:val="000000"/>
                <w:sz w:val="20"/>
                <w:szCs w:val="20"/>
                <w:lang w:eastAsia="es-MX"/>
              </w:rPr>
              <w:t>1</w:t>
            </w:r>
            <w:r w:rsidRPr="00677F9F">
              <w:rPr>
                <w:rFonts w:ascii="Barlow" w:hAnsi="Barlow" w:cstheme="minorHAnsi"/>
                <w:b/>
                <w:bCs/>
                <w:color w:val="000000"/>
                <w:sz w:val="20"/>
                <w:szCs w:val="20"/>
                <w:lang w:eastAsia="es-MX"/>
              </w:rPr>
              <w:t>,</w:t>
            </w:r>
            <w:r w:rsidR="00EE1B6C">
              <w:rPr>
                <w:rFonts w:ascii="Barlow" w:hAnsi="Barlow" w:cstheme="minorHAnsi"/>
                <w:b/>
                <w:bCs/>
                <w:color w:val="000000"/>
                <w:sz w:val="20"/>
                <w:szCs w:val="20"/>
                <w:lang w:eastAsia="es-MX"/>
              </w:rPr>
              <w:t>139</w:t>
            </w:r>
            <w:r w:rsidRPr="00677F9F">
              <w:rPr>
                <w:rFonts w:ascii="Barlow" w:hAnsi="Barlow" w:cstheme="minorHAnsi"/>
                <w:b/>
                <w:bCs/>
                <w:color w:val="000000"/>
                <w:sz w:val="20"/>
                <w:szCs w:val="20"/>
                <w:lang w:eastAsia="es-MX"/>
              </w:rPr>
              <w:t>,</w:t>
            </w:r>
            <w:r w:rsidR="00EE1B6C">
              <w:rPr>
                <w:rFonts w:ascii="Barlow" w:hAnsi="Barlow" w:cstheme="minorHAnsi"/>
                <w:b/>
                <w:bCs/>
                <w:color w:val="000000"/>
                <w:sz w:val="20"/>
                <w:szCs w:val="20"/>
                <w:lang w:eastAsia="es-MX"/>
              </w:rPr>
              <w:t>64</w:t>
            </w:r>
            <w:r w:rsidR="00C30BA3">
              <w:rPr>
                <w:rFonts w:ascii="Barlow" w:hAnsi="Barlow" w:cstheme="minorHAnsi"/>
                <w:b/>
                <w:bCs/>
                <w:color w:val="000000"/>
                <w:sz w:val="20"/>
                <w:szCs w:val="20"/>
                <w:lang w:eastAsia="es-MX"/>
              </w:rPr>
              <w:t>5</w:t>
            </w:r>
            <w:r w:rsidRPr="00677F9F">
              <w:rPr>
                <w:rFonts w:ascii="Barlow" w:hAnsi="Barlow" w:cstheme="minorHAnsi"/>
                <w:b/>
                <w:bCs/>
                <w:color w:val="000000"/>
                <w:sz w:val="20"/>
                <w:szCs w:val="20"/>
                <w:lang w:eastAsia="es-MX"/>
              </w:rPr>
              <w:t>.</w:t>
            </w:r>
            <w:r w:rsidR="00EE1B6C">
              <w:rPr>
                <w:rFonts w:ascii="Barlow" w:hAnsi="Barlow" w:cstheme="minorHAnsi"/>
                <w:b/>
                <w:bCs/>
                <w:color w:val="000000"/>
                <w:sz w:val="20"/>
                <w:szCs w:val="20"/>
                <w:lang w:eastAsia="es-MX"/>
              </w:rPr>
              <w:t>83</w:t>
            </w:r>
            <w:r w:rsidRPr="00677F9F">
              <w:rPr>
                <w:rFonts w:ascii="Barlow" w:hAnsi="Barlow" w:cstheme="minorHAnsi"/>
                <w:b/>
                <w:bCs/>
                <w:color w:val="000000"/>
                <w:sz w:val="20"/>
                <w:szCs w:val="20"/>
                <w:lang w:eastAsia="es-MX"/>
              </w:rPr>
              <w:t xml:space="preserve">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3A1F3F1B" w14:textId="57C91419" w:rsidR="001F768D" w:rsidRPr="003E52D9" w:rsidRDefault="001F768D" w:rsidP="007A6BA1">
            <w:pPr>
              <w:jc w:val="right"/>
              <w:rPr>
                <w:rFonts w:ascii="Barlow" w:hAnsi="Barlow" w:cstheme="minorHAnsi"/>
                <w:b/>
                <w:bCs/>
                <w:color w:val="000000"/>
                <w:sz w:val="20"/>
                <w:szCs w:val="20"/>
                <w:lang w:eastAsia="es-MX"/>
              </w:rPr>
            </w:pPr>
            <w:r w:rsidRPr="00677F9F">
              <w:rPr>
                <w:rFonts w:ascii="Barlow" w:hAnsi="Barlow" w:cstheme="minorHAnsi"/>
                <w:b/>
                <w:bCs/>
                <w:color w:val="000000"/>
                <w:sz w:val="20"/>
                <w:szCs w:val="20"/>
                <w:lang w:eastAsia="es-MX"/>
              </w:rPr>
              <w:t xml:space="preserve"> $ </w:t>
            </w:r>
            <w:r w:rsidR="008D1660">
              <w:rPr>
                <w:rFonts w:ascii="Barlow" w:hAnsi="Barlow" w:cstheme="minorHAnsi"/>
                <w:b/>
                <w:bCs/>
                <w:color w:val="000000"/>
                <w:sz w:val="20"/>
                <w:szCs w:val="20"/>
                <w:lang w:eastAsia="es-MX"/>
              </w:rPr>
              <w:t>11,048,271.19</w:t>
            </w:r>
            <w:r w:rsidRPr="003E52D9">
              <w:rPr>
                <w:rFonts w:ascii="Barlow" w:hAnsi="Barlow" w:cstheme="minorHAnsi"/>
                <w:b/>
                <w:bCs/>
                <w:color w:val="000000"/>
                <w:sz w:val="20"/>
                <w:szCs w:val="20"/>
                <w:lang w:eastAsia="es-MX"/>
              </w:rPr>
              <w:t xml:space="preserve"> </w:t>
            </w:r>
          </w:p>
        </w:tc>
      </w:tr>
    </w:tbl>
    <w:p w14:paraId="3F41362B" w14:textId="43611F96" w:rsidR="00EF6745" w:rsidRPr="003E52D9" w:rsidRDefault="00EF6745" w:rsidP="00EF6745">
      <w:pPr>
        <w:autoSpaceDE w:val="0"/>
        <w:autoSpaceDN w:val="0"/>
        <w:adjustRightInd w:val="0"/>
        <w:jc w:val="both"/>
        <w:rPr>
          <w:rFonts w:ascii="Barlow" w:hAnsi="Barlow" w:cstheme="minorHAnsi"/>
          <w:sz w:val="20"/>
          <w:szCs w:val="20"/>
        </w:rPr>
      </w:pPr>
    </w:p>
    <w:p w14:paraId="448889A0" w14:textId="77777777" w:rsidR="0007594B" w:rsidRPr="003E52D9" w:rsidRDefault="0007594B" w:rsidP="00EF6745">
      <w:pPr>
        <w:autoSpaceDE w:val="0"/>
        <w:autoSpaceDN w:val="0"/>
        <w:adjustRightInd w:val="0"/>
        <w:jc w:val="both"/>
        <w:rPr>
          <w:rFonts w:ascii="Barlow" w:hAnsi="Barlow" w:cstheme="minorHAnsi"/>
          <w:sz w:val="20"/>
          <w:szCs w:val="20"/>
        </w:rPr>
      </w:pPr>
    </w:p>
    <w:p w14:paraId="451498AA" w14:textId="67B4E287" w:rsidR="0007594B" w:rsidRPr="003E52D9" w:rsidRDefault="0007594B" w:rsidP="00EF6745">
      <w:pPr>
        <w:autoSpaceDE w:val="0"/>
        <w:autoSpaceDN w:val="0"/>
        <w:adjustRightInd w:val="0"/>
        <w:jc w:val="both"/>
        <w:rPr>
          <w:rFonts w:ascii="Barlow" w:hAnsi="Barlow" w:cstheme="minorHAnsi"/>
          <w:sz w:val="20"/>
          <w:szCs w:val="20"/>
        </w:rPr>
      </w:pPr>
    </w:p>
    <w:p w14:paraId="5E81272B" w14:textId="77777777" w:rsidR="0007594B" w:rsidRPr="003E52D9" w:rsidRDefault="0007594B" w:rsidP="00EF6745">
      <w:pPr>
        <w:autoSpaceDE w:val="0"/>
        <w:autoSpaceDN w:val="0"/>
        <w:adjustRightInd w:val="0"/>
        <w:jc w:val="both"/>
        <w:rPr>
          <w:rFonts w:ascii="Barlow" w:hAnsi="Barlow" w:cstheme="minorHAnsi"/>
          <w:sz w:val="20"/>
          <w:szCs w:val="20"/>
        </w:rPr>
      </w:pPr>
    </w:p>
    <w:p w14:paraId="1BC87843" w14:textId="58439E33" w:rsidR="0007594B" w:rsidRPr="003E52D9" w:rsidRDefault="0007594B" w:rsidP="00EF6745">
      <w:pPr>
        <w:autoSpaceDE w:val="0"/>
        <w:autoSpaceDN w:val="0"/>
        <w:adjustRightInd w:val="0"/>
        <w:jc w:val="both"/>
        <w:rPr>
          <w:rFonts w:ascii="Barlow" w:hAnsi="Barlow" w:cstheme="minorHAnsi"/>
          <w:sz w:val="20"/>
          <w:szCs w:val="20"/>
        </w:rPr>
      </w:pPr>
    </w:p>
    <w:p w14:paraId="74BA5B6F" w14:textId="317BDCFE" w:rsidR="0007594B" w:rsidRDefault="0007594B" w:rsidP="00EF6745">
      <w:pPr>
        <w:autoSpaceDE w:val="0"/>
        <w:autoSpaceDN w:val="0"/>
        <w:adjustRightInd w:val="0"/>
        <w:jc w:val="both"/>
        <w:rPr>
          <w:rFonts w:ascii="Barlow" w:hAnsi="Barlow" w:cstheme="minorHAnsi"/>
          <w:sz w:val="20"/>
          <w:szCs w:val="20"/>
        </w:rPr>
      </w:pPr>
    </w:p>
    <w:p w14:paraId="7A1C009C" w14:textId="776B8EDB" w:rsidR="002354AF" w:rsidRDefault="002354AF" w:rsidP="002354AF">
      <w:pPr>
        <w:autoSpaceDE w:val="0"/>
        <w:autoSpaceDN w:val="0"/>
        <w:adjustRightInd w:val="0"/>
        <w:jc w:val="both"/>
        <w:rPr>
          <w:rFonts w:ascii="Barlow" w:hAnsi="Barlow" w:cstheme="minorHAnsi"/>
          <w:sz w:val="20"/>
          <w:szCs w:val="20"/>
        </w:rPr>
      </w:pPr>
      <w:r w:rsidRPr="00950B8F">
        <w:rPr>
          <w:rFonts w:ascii="Barlow" w:hAnsi="Barlow" w:cstheme="minorHAnsi"/>
          <w:sz w:val="20"/>
          <w:szCs w:val="20"/>
        </w:rPr>
        <w:t xml:space="preserve">El Fondo de Seguridad Pública del Estado de Yucatán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Pr="00950B8F">
        <w:rPr>
          <w:rFonts w:ascii="Barlow" w:hAnsi="Barlow" w:cstheme="minorHAnsi"/>
          <w:sz w:val="20"/>
          <w:szCs w:val="20"/>
        </w:rPr>
        <w:t xml:space="preserve"> no tiene registro de pasivos circulantes.</w:t>
      </w:r>
    </w:p>
    <w:p w14:paraId="2F0ACC14" w14:textId="77777777" w:rsidR="00991A96" w:rsidRDefault="00991A96" w:rsidP="002354AF">
      <w:pPr>
        <w:autoSpaceDE w:val="0"/>
        <w:autoSpaceDN w:val="0"/>
        <w:adjustRightInd w:val="0"/>
        <w:jc w:val="both"/>
        <w:rPr>
          <w:rFonts w:ascii="Barlow" w:hAnsi="Barlow" w:cstheme="minorHAnsi"/>
          <w:sz w:val="20"/>
          <w:szCs w:val="20"/>
        </w:rPr>
      </w:pPr>
    </w:p>
    <w:p w14:paraId="052864AE" w14:textId="02F0DCF7" w:rsidR="00BD0CB7" w:rsidRPr="00950B8F" w:rsidRDefault="00BD0CB7" w:rsidP="00BD0CB7">
      <w:pPr>
        <w:pStyle w:val="Prrafodelista"/>
        <w:numPr>
          <w:ilvl w:val="0"/>
          <w:numId w:val="8"/>
        </w:numPr>
        <w:autoSpaceDE w:val="0"/>
        <w:autoSpaceDN w:val="0"/>
        <w:adjustRightInd w:val="0"/>
        <w:jc w:val="both"/>
        <w:rPr>
          <w:rFonts w:ascii="Barlow" w:hAnsi="Barlow" w:cstheme="minorHAnsi"/>
          <w:b/>
          <w:sz w:val="20"/>
          <w:szCs w:val="20"/>
        </w:rPr>
      </w:pPr>
      <w:bookmarkStart w:id="6" w:name="m6"/>
      <w:bookmarkStart w:id="7" w:name="m7"/>
      <w:bookmarkStart w:id="8" w:name="m9"/>
      <w:bookmarkStart w:id="9" w:name="m8"/>
      <w:bookmarkEnd w:id="6"/>
      <w:bookmarkEnd w:id="7"/>
      <w:bookmarkEnd w:id="8"/>
      <w:bookmarkEnd w:id="9"/>
      <w:r w:rsidRPr="00950B8F">
        <w:rPr>
          <w:rFonts w:ascii="Barlow" w:hAnsi="Barlow" w:cstheme="minorHAnsi"/>
          <w:b/>
          <w:sz w:val="20"/>
          <w:szCs w:val="20"/>
        </w:rPr>
        <w:t>Fondos y Bienes de Terceros en Garantía y/o Administración</w:t>
      </w:r>
    </w:p>
    <w:p w14:paraId="4A54D2F4" w14:textId="77777777" w:rsidR="00973D06" w:rsidRPr="001A0A33" w:rsidRDefault="00973D06" w:rsidP="00973D06">
      <w:pPr>
        <w:autoSpaceDE w:val="0"/>
        <w:autoSpaceDN w:val="0"/>
        <w:adjustRightInd w:val="0"/>
        <w:jc w:val="both"/>
        <w:rPr>
          <w:rFonts w:ascii="Barlow" w:hAnsi="Barlow" w:cstheme="minorHAnsi"/>
          <w:b/>
          <w:sz w:val="12"/>
          <w:szCs w:val="20"/>
        </w:rPr>
      </w:pPr>
    </w:p>
    <w:p w14:paraId="278DC111" w14:textId="62321736" w:rsidR="00973D06" w:rsidRPr="00950B8F" w:rsidRDefault="00973D06" w:rsidP="00973D06">
      <w:pPr>
        <w:autoSpaceDE w:val="0"/>
        <w:autoSpaceDN w:val="0"/>
        <w:adjustRightInd w:val="0"/>
        <w:jc w:val="both"/>
        <w:rPr>
          <w:rFonts w:ascii="Barlow" w:hAnsi="Barlow" w:cstheme="minorHAnsi"/>
          <w:sz w:val="20"/>
          <w:szCs w:val="20"/>
        </w:rPr>
      </w:pPr>
      <w:r w:rsidRPr="00950B8F">
        <w:rPr>
          <w:rFonts w:ascii="Barlow" w:hAnsi="Barlow" w:cstheme="minorHAnsi"/>
          <w:sz w:val="20"/>
          <w:szCs w:val="20"/>
        </w:rPr>
        <w:t xml:space="preserve">2.- El Fondo de la Seguridad Pública del Estado de Yucatán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Pr="00950B8F">
        <w:rPr>
          <w:rFonts w:ascii="Barlow" w:hAnsi="Barlow" w:cstheme="minorHAnsi"/>
          <w:sz w:val="20"/>
          <w:szCs w:val="20"/>
        </w:rPr>
        <w:t xml:space="preserve"> no tiene registro en cuenta de fondos y bienes de terceros en garantía y/o administración a corto o largo plazo.</w:t>
      </w:r>
    </w:p>
    <w:p w14:paraId="0B96463A" w14:textId="573A6452" w:rsidR="005D2C5C" w:rsidRDefault="005D2C5C" w:rsidP="00BB19F5">
      <w:pPr>
        <w:pStyle w:val="Prrafodelista"/>
        <w:autoSpaceDE w:val="0"/>
        <w:autoSpaceDN w:val="0"/>
        <w:adjustRightInd w:val="0"/>
        <w:jc w:val="both"/>
        <w:rPr>
          <w:rFonts w:ascii="Barlow" w:hAnsi="Barlow" w:cstheme="minorHAnsi"/>
          <w:b/>
          <w:sz w:val="20"/>
          <w:szCs w:val="20"/>
        </w:rPr>
      </w:pPr>
    </w:p>
    <w:p w14:paraId="7627718E" w14:textId="77777777" w:rsidR="008D1660" w:rsidRDefault="008D1660" w:rsidP="00BB19F5">
      <w:pPr>
        <w:pStyle w:val="Prrafodelista"/>
        <w:autoSpaceDE w:val="0"/>
        <w:autoSpaceDN w:val="0"/>
        <w:adjustRightInd w:val="0"/>
        <w:jc w:val="both"/>
        <w:rPr>
          <w:rFonts w:ascii="Barlow" w:hAnsi="Barlow" w:cstheme="minorHAnsi"/>
          <w:b/>
          <w:sz w:val="20"/>
          <w:szCs w:val="20"/>
        </w:rPr>
      </w:pPr>
    </w:p>
    <w:p w14:paraId="3BEC3E1B" w14:textId="7D4429F7" w:rsidR="00BD0CB7" w:rsidRPr="00950B8F" w:rsidRDefault="00BD0CB7" w:rsidP="00BD0CB7">
      <w:pPr>
        <w:pStyle w:val="Prrafodelista"/>
        <w:numPr>
          <w:ilvl w:val="0"/>
          <w:numId w:val="8"/>
        </w:numPr>
        <w:autoSpaceDE w:val="0"/>
        <w:autoSpaceDN w:val="0"/>
        <w:adjustRightInd w:val="0"/>
        <w:jc w:val="both"/>
        <w:rPr>
          <w:rFonts w:ascii="Barlow" w:hAnsi="Barlow" w:cstheme="minorHAnsi"/>
          <w:b/>
          <w:sz w:val="20"/>
          <w:szCs w:val="20"/>
        </w:rPr>
      </w:pPr>
      <w:r w:rsidRPr="00950B8F">
        <w:rPr>
          <w:rFonts w:ascii="Barlow" w:hAnsi="Barlow" w:cstheme="minorHAnsi"/>
          <w:b/>
          <w:sz w:val="20"/>
          <w:szCs w:val="20"/>
        </w:rPr>
        <w:lastRenderedPageBreak/>
        <w:t>Pasivos Diferidos</w:t>
      </w:r>
    </w:p>
    <w:p w14:paraId="3D3BB07B" w14:textId="77777777" w:rsidR="00950B8F" w:rsidRPr="001A0A33" w:rsidRDefault="00950B8F" w:rsidP="00973D06">
      <w:pPr>
        <w:autoSpaceDE w:val="0"/>
        <w:autoSpaceDN w:val="0"/>
        <w:adjustRightInd w:val="0"/>
        <w:jc w:val="both"/>
        <w:rPr>
          <w:rFonts w:ascii="Barlow" w:hAnsi="Barlow" w:cstheme="minorHAnsi"/>
          <w:sz w:val="12"/>
          <w:szCs w:val="20"/>
        </w:rPr>
      </w:pPr>
    </w:p>
    <w:p w14:paraId="061FFE45" w14:textId="4B646F73" w:rsidR="00973D06" w:rsidRDefault="00973D06" w:rsidP="00973D06">
      <w:pPr>
        <w:autoSpaceDE w:val="0"/>
        <w:autoSpaceDN w:val="0"/>
        <w:adjustRightInd w:val="0"/>
        <w:jc w:val="both"/>
        <w:rPr>
          <w:rFonts w:ascii="Barlow" w:hAnsi="Barlow" w:cstheme="minorHAnsi"/>
          <w:b/>
          <w:sz w:val="20"/>
          <w:szCs w:val="20"/>
        </w:rPr>
      </w:pPr>
      <w:r w:rsidRPr="00950B8F">
        <w:rPr>
          <w:rFonts w:ascii="Barlow" w:hAnsi="Barlow" w:cstheme="minorHAnsi"/>
          <w:sz w:val="20"/>
          <w:szCs w:val="20"/>
        </w:rPr>
        <w:t xml:space="preserve">3.- El Fondo de Seguridad Pública del Estado de Yucatán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00950B8F" w:rsidRPr="00950B8F">
        <w:rPr>
          <w:rFonts w:ascii="Barlow" w:hAnsi="Barlow" w:cstheme="minorHAnsi"/>
          <w:sz w:val="20"/>
          <w:szCs w:val="20"/>
        </w:rPr>
        <w:t xml:space="preserve"> </w:t>
      </w:r>
      <w:r w:rsidRPr="00950B8F">
        <w:rPr>
          <w:rFonts w:ascii="Barlow" w:hAnsi="Barlow" w:cstheme="minorHAnsi"/>
          <w:sz w:val="20"/>
          <w:szCs w:val="20"/>
        </w:rPr>
        <w:t>no tiene registro de pasivos diferidos de corto o largo plazo.</w:t>
      </w:r>
      <w:r w:rsidRPr="00950B8F">
        <w:rPr>
          <w:rFonts w:ascii="Barlow" w:hAnsi="Barlow" w:cstheme="minorHAnsi"/>
          <w:b/>
          <w:sz w:val="20"/>
          <w:szCs w:val="20"/>
        </w:rPr>
        <w:t xml:space="preserve"> </w:t>
      </w:r>
    </w:p>
    <w:p w14:paraId="1F10CD14" w14:textId="77777777" w:rsidR="005D2C5C" w:rsidRPr="00950B8F" w:rsidRDefault="005D2C5C" w:rsidP="00973D06">
      <w:pPr>
        <w:autoSpaceDE w:val="0"/>
        <w:autoSpaceDN w:val="0"/>
        <w:adjustRightInd w:val="0"/>
        <w:jc w:val="both"/>
        <w:rPr>
          <w:rFonts w:ascii="Barlow" w:hAnsi="Barlow" w:cstheme="minorHAnsi"/>
          <w:b/>
          <w:sz w:val="20"/>
          <w:szCs w:val="20"/>
        </w:rPr>
      </w:pPr>
    </w:p>
    <w:p w14:paraId="0872AC92" w14:textId="1C83CF54" w:rsidR="00BD0CB7" w:rsidRPr="00950B8F" w:rsidRDefault="00BD0CB7" w:rsidP="00BD0CB7">
      <w:pPr>
        <w:pStyle w:val="Prrafodelista"/>
        <w:numPr>
          <w:ilvl w:val="0"/>
          <w:numId w:val="8"/>
        </w:numPr>
        <w:autoSpaceDE w:val="0"/>
        <w:autoSpaceDN w:val="0"/>
        <w:adjustRightInd w:val="0"/>
        <w:jc w:val="both"/>
        <w:rPr>
          <w:rFonts w:ascii="Barlow" w:hAnsi="Barlow" w:cstheme="minorHAnsi"/>
          <w:b/>
          <w:sz w:val="20"/>
          <w:szCs w:val="20"/>
        </w:rPr>
      </w:pPr>
      <w:r w:rsidRPr="00950B8F">
        <w:rPr>
          <w:rFonts w:ascii="Barlow" w:hAnsi="Barlow" w:cstheme="minorHAnsi"/>
          <w:b/>
          <w:sz w:val="20"/>
          <w:szCs w:val="20"/>
        </w:rPr>
        <w:t>Provisiones</w:t>
      </w:r>
    </w:p>
    <w:p w14:paraId="6306FC02" w14:textId="77777777" w:rsidR="00973D06" w:rsidRPr="001A0A33" w:rsidRDefault="00973D06" w:rsidP="00973D06">
      <w:pPr>
        <w:autoSpaceDE w:val="0"/>
        <w:autoSpaceDN w:val="0"/>
        <w:adjustRightInd w:val="0"/>
        <w:jc w:val="both"/>
        <w:rPr>
          <w:rFonts w:ascii="Barlow" w:hAnsi="Barlow" w:cstheme="minorHAnsi"/>
          <w:b/>
          <w:sz w:val="12"/>
          <w:szCs w:val="20"/>
        </w:rPr>
      </w:pPr>
    </w:p>
    <w:p w14:paraId="1E533323" w14:textId="174E6C6F" w:rsidR="000041B9" w:rsidRDefault="000041B9" w:rsidP="000041B9">
      <w:pPr>
        <w:autoSpaceDE w:val="0"/>
        <w:autoSpaceDN w:val="0"/>
        <w:adjustRightInd w:val="0"/>
        <w:jc w:val="both"/>
        <w:rPr>
          <w:rFonts w:ascii="Barlow" w:hAnsi="Barlow" w:cstheme="minorHAnsi"/>
          <w:b/>
          <w:sz w:val="20"/>
          <w:szCs w:val="20"/>
        </w:rPr>
      </w:pPr>
      <w:r w:rsidRPr="00950B8F">
        <w:rPr>
          <w:rFonts w:ascii="Barlow" w:hAnsi="Barlow" w:cstheme="minorHAnsi"/>
          <w:sz w:val="20"/>
          <w:szCs w:val="20"/>
        </w:rPr>
        <w:t xml:space="preserve">4.- El Fondo de Seguridad Pública del Estado de Yucatán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00950B8F" w:rsidRPr="00950B8F">
        <w:rPr>
          <w:rFonts w:ascii="Barlow" w:hAnsi="Barlow" w:cstheme="minorHAnsi"/>
          <w:sz w:val="20"/>
          <w:szCs w:val="20"/>
        </w:rPr>
        <w:t xml:space="preserve"> </w:t>
      </w:r>
      <w:r w:rsidRPr="00950B8F">
        <w:rPr>
          <w:rFonts w:ascii="Barlow" w:hAnsi="Barlow" w:cstheme="minorHAnsi"/>
          <w:sz w:val="20"/>
          <w:szCs w:val="20"/>
        </w:rPr>
        <w:t>no tiene registro de provisiones.</w:t>
      </w:r>
      <w:r w:rsidRPr="00950B8F">
        <w:rPr>
          <w:rFonts w:ascii="Barlow" w:hAnsi="Barlow" w:cstheme="minorHAnsi"/>
          <w:b/>
          <w:sz w:val="20"/>
          <w:szCs w:val="20"/>
        </w:rPr>
        <w:t xml:space="preserve"> </w:t>
      </w:r>
    </w:p>
    <w:p w14:paraId="3FD07A2F" w14:textId="1C5526B6" w:rsidR="00BD0CB7" w:rsidRPr="00973D06" w:rsidRDefault="00BD0CB7" w:rsidP="00BD0CB7">
      <w:pPr>
        <w:pStyle w:val="Prrafodelista"/>
        <w:autoSpaceDE w:val="0"/>
        <w:autoSpaceDN w:val="0"/>
        <w:adjustRightInd w:val="0"/>
        <w:jc w:val="both"/>
        <w:rPr>
          <w:rFonts w:ascii="Barlow" w:hAnsi="Barlow" w:cstheme="minorHAnsi"/>
          <w:b/>
          <w:sz w:val="20"/>
          <w:szCs w:val="20"/>
          <w:highlight w:val="yellow"/>
        </w:rPr>
      </w:pPr>
    </w:p>
    <w:p w14:paraId="5892A888" w14:textId="7E6166E0" w:rsidR="0068442C" w:rsidRPr="00950B8F" w:rsidRDefault="00BD0CB7" w:rsidP="000D5D69">
      <w:pPr>
        <w:pStyle w:val="Prrafodelista"/>
        <w:numPr>
          <w:ilvl w:val="0"/>
          <w:numId w:val="8"/>
        </w:numPr>
        <w:autoSpaceDE w:val="0"/>
        <w:autoSpaceDN w:val="0"/>
        <w:adjustRightInd w:val="0"/>
        <w:jc w:val="both"/>
        <w:rPr>
          <w:rFonts w:ascii="Barlow" w:hAnsi="Barlow" w:cstheme="minorHAnsi"/>
          <w:bCs/>
          <w:sz w:val="20"/>
          <w:szCs w:val="20"/>
        </w:rPr>
      </w:pPr>
      <w:r w:rsidRPr="00950B8F">
        <w:rPr>
          <w:rFonts w:ascii="Barlow" w:hAnsi="Barlow" w:cstheme="minorHAnsi"/>
          <w:b/>
          <w:sz w:val="20"/>
          <w:szCs w:val="20"/>
        </w:rPr>
        <w:t>Otros Pasivos</w:t>
      </w:r>
    </w:p>
    <w:p w14:paraId="79B4A81E" w14:textId="46478995" w:rsidR="004162FE" w:rsidRPr="001A0A33" w:rsidRDefault="004162FE" w:rsidP="004162FE">
      <w:pPr>
        <w:autoSpaceDE w:val="0"/>
        <w:autoSpaceDN w:val="0"/>
        <w:adjustRightInd w:val="0"/>
        <w:jc w:val="both"/>
        <w:rPr>
          <w:rFonts w:ascii="Barlow" w:hAnsi="Barlow" w:cstheme="minorHAnsi"/>
          <w:bCs/>
          <w:sz w:val="12"/>
          <w:szCs w:val="20"/>
        </w:rPr>
      </w:pPr>
    </w:p>
    <w:p w14:paraId="333EE448" w14:textId="14F14075" w:rsidR="000041B9" w:rsidRDefault="000041B9" w:rsidP="000041B9">
      <w:pPr>
        <w:autoSpaceDE w:val="0"/>
        <w:autoSpaceDN w:val="0"/>
        <w:adjustRightInd w:val="0"/>
        <w:jc w:val="both"/>
        <w:rPr>
          <w:rFonts w:ascii="Barlow" w:hAnsi="Barlow" w:cstheme="minorHAnsi"/>
          <w:b/>
          <w:sz w:val="20"/>
          <w:szCs w:val="20"/>
        </w:rPr>
      </w:pPr>
      <w:r w:rsidRPr="00950B8F">
        <w:rPr>
          <w:rFonts w:ascii="Barlow" w:hAnsi="Barlow" w:cstheme="minorHAnsi"/>
          <w:sz w:val="20"/>
          <w:szCs w:val="20"/>
        </w:rPr>
        <w:t xml:space="preserve">5.- El Fondo de Seguridad Pública del Estado de Yucatán </w:t>
      </w:r>
      <w:r w:rsidR="00D2266F">
        <w:rPr>
          <w:rFonts w:ascii="Barlow" w:hAnsi="Barlow" w:cstheme="minorHAnsi"/>
          <w:sz w:val="20"/>
          <w:szCs w:val="20"/>
        </w:rPr>
        <w:t xml:space="preserve">al </w:t>
      </w:r>
      <w:r w:rsidR="00EE1B6C">
        <w:rPr>
          <w:rFonts w:ascii="Barlow" w:hAnsi="Barlow" w:cstheme="minorHAnsi"/>
          <w:sz w:val="20"/>
          <w:szCs w:val="20"/>
        </w:rPr>
        <w:t>31 de marzo de 2025</w:t>
      </w:r>
      <w:r w:rsidR="000832BD" w:rsidRPr="00950B8F">
        <w:rPr>
          <w:rFonts w:ascii="Barlow" w:hAnsi="Barlow" w:cstheme="minorHAnsi"/>
          <w:sz w:val="20"/>
          <w:szCs w:val="20"/>
        </w:rPr>
        <w:t xml:space="preserve"> </w:t>
      </w:r>
      <w:r w:rsidRPr="00950B8F">
        <w:rPr>
          <w:rFonts w:ascii="Barlow" w:hAnsi="Barlow" w:cstheme="minorHAnsi"/>
          <w:sz w:val="20"/>
          <w:szCs w:val="20"/>
        </w:rPr>
        <w:t>no tiene registro de otros pasivos.</w:t>
      </w:r>
      <w:r w:rsidRPr="00950B8F">
        <w:rPr>
          <w:rFonts w:ascii="Barlow" w:hAnsi="Barlow" w:cstheme="minorHAnsi"/>
          <w:b/>
          <w:sz w:val="20"/>
          <w:szCs w:val="20"/>
        </w:rPr>
        <w:t xml:space="preserve"> </w:t>
      </w:r>
    </w:p>
    <w:p w14:paraId="78D2533F" w14:textId="77777777" w:rsidR="00C26766" w:rsidRDefault="00C26766" w:rsidP="000041B9">
      <w:pPr>
        <w:autoSpaceDE w:val="0"/>
        <w:autoSpaceDN w:val="0"/>
        <w:adjustRightInd w:val="0"/>
        <w:jc w:val="both"/>
        <w:rPr>
          <w:rFonts w:ascii="Barlow" w:hAnsi="Barlow" w:cstheme="minorHAnsi"/>
          <w:b/>
          <w:sz w:val="20"/>
          <w:szCs w:val="20"/>
        </w:rPr>
      </w:pPr>
    </w:p>
    <w:p w14:paraId="0C934684" w14:textId="77777777" w:rsidR="00D70FEB" w:rsidRPr="003E52D9" w:rsidRDefault="005B1480" w:rsidP="00D70FEB">
      <w:pPr>
        <w:autoSpaceDE w:val="0"/>
        <w:autoSpaceDN w:val="0"/>
        <w:adjustRightInd w:val="0"/>
        <w:jc w:val="both"/>
        <w:rPr>
          <w:rFonts w:ascii="Barlow" w:hAnsi="Barlow" w:cstheme="minorHAnsi"/>
          <w:b/>
          <w:sz w:val="20"/>
          <w:szCs w:val="20"/>
        </w:rPr>
      </w:pPr>
      <w:r>
        <w:rPr>
          <w:rFonts w:ascii="Barlow" w:hAnsi="Barlow" w:cstheme="minorHAnsi"/>
          <w:b/>
          <w:sz w:val="20"/>
          <w:szCs w:val="20"/>
        </w:rPr>
        <w:t xml:space="preserve">III) NOTAS AL </w:t>
      </w:r>
      <w:r w:rsidR="00D70FEB">
        <w:rPr>
          <w:rFonts w:ascii="Barlow" w:hAnsi="Barlow" w:cstheme="minorHAnsi"/>
          <w:b/>
          <w:sz w:val="20"/>
          <w:szCs w:val="20"/>
        </w:rPr>
        <w:t>ESTADO DE VARIACIÓ</w:t>
      </w:r>
      <w:r w:rsidR="00D70FEB" w:rsidRPr="003E52D9">
        <w:rPr>
          <w:rFonts w:ascii="Barlow" w:hAnsi="Barlow" w:cstheme="minorHAnsi"/>
          <w:b/>
          <w:sz w:val="20"/>
          <w:szCs w:val="20"/>
        </w:rPr>
        <w:t>N EN LA HACIENDA PÚBLICA.</w:t>
      </w:r>
    </w:p>
    <w:p w14:paraId="2804426F" w14:textId="77777777" w:rsidR="00895DA8" w:rsidRDefault="00895DA8" w:rsidP="00906A55">
      <w:pPr>
        <w:autoSpaceDE w:val="0"/>
        <w:autoSpaceDN w:val="0"/>
        <w:adjustRightInd w:val="0"/>
        <w:jc w:val="both"/>
        <w:rPr>
          <w:rFonts w:ascii="Barlow" w:hAnsi="Barlow" w:cstheme="minorHAnsi"/>
          <w:b/>
          <w:sz w:val="20"/>
          <w:szCs w:val="20"/>
        </w:rPr>
      </w:pPr>
    </w:p>
    <w:p w14:paraId="61596F3B" w14:textId="473FA51B" w:rsidR="006C656E" w:rsidRPr="003E52D9" w:rsidRDefault="006C656E" w:rsidP="006C656E">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El Fondo de seguridad pública no cuenta con rubro de Patrimonio Contribuido.</w:t>
      </w:r>
    </w:p>
    <w:p w14:paraId="60514697" w14:textId="77777777" w:rsidR="00A95038" w:rsidRDefault="00A95038" w:rsidP="00906A55">
      <w:pPr>
        <w:autoSpaceDE w:val="0"/>
        <w:autoSpaceDN w:val="0"/>
        <w:adjustRightInd w:val="0"/>
        <w:jc w:val="both"/>
        <w:rPr>
          <w:rFonts w:ascii="Barlow" w:hAnsi="Barlow" w:cstheme="minorHAnsi"/>
          <w:bCs/>
          <w:sz w:val="20"/>
          <w:szCs w:val="20"/>
        </w:rPr>
      </w:pPr>
    </w:p>
    <w:p w14:paraId="68A454FD" w14:textId="043BF04E" w:rsidR="001A31D3" w:rsidRPr="003E52D9" w:rsidRDefault="006C656E" w:rsidP="00906A55">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2</w:t>
      </w:r>
      <w:r w:rsidR="008273DF" w:rsidRPr="003E52D9">
        <w:rPr>
          <w:rFonts w:ascii="Barlow" w:hAnsi="Barlow" w:cstheme="minorHAnsi"/>
          <w:bCs/>
          <w:sz w:val="20"/>
          <w:szCs w:val="20"/>
        </w:rPr>
        <w:t xml:space="preserve">.- </w:t>
      </w:r>
      <w:r w:rsidR="001A31D3" w:rsidRPr="003E52D9">
        <w:rPr>
          <w:rFonts w:ascii="Barlow" w:hAnsi="Barlow" w:cstheme="minorHAnsi"/>
          <w:bCs/>
          <w:sz w:val="20"/>
          <w:szCs w:val="20"/>
        </w:rPr>
        <w:t>Las modificaciones en el rubro de Patrimonio Generado ocurridas al cierre del periodo que se informa, derivan única y exclusivamente de la determinación del Resultado del Presente Ejercicio (</w:t>
      </w:r>
      <w:r w:rsidR="003368F6" w:rsidRPr="003E52D9">
        <w:rPr>
          <w:rFonts w:ascii="Barlow" w:hAnsi="Barlow" w:cstheme="minorHAnsi"/>
          <w:bCs/>
          <w:sz w:val="20"/>
          <w:szCs w:val="20"/>
        </w:rPr>
        <w:t>A</w:t>
      </w:r>
      <w:r w:rsidR="001A31D3" w:rsidRPr="003E52D9">
        <w:rPr>
          <w:rFonts w:ascii="Barlow" w:hAnsi="Barlow" w:cstheme="minorHAnsi"/>
          <w:bCs/>
          <w:sz w:val="20"/>
          <w:szCs w:val="20"/>
        </w:rPr>
        <w:t>horro</w:t>
      </w:r>
      <w:r w:rsidR="0064330A">
        <w:rPr>
          <w:rFonts w:ascii="Barlow" w:hAnsi="Barlow" w:cstheme="minorHAnsi"/>
          <w:bCs/>
          <w:sz w:val="20"/>
          <w:szCs w:val="20"/>
        </w:rPr>
        <w:t xml:space="preserve"> o Desahorro) y a la fecha no hay información que revelar.</w:t>
      </w:r>
    </w:p>
    <w:p w14:paraId="3A26E002" w14:textId="77777777" w:rsidR="002A4BE8" w:rsidRDefault="002A4BE8" w:rsidP="00906A55">
      <w:pPr>
        <w:rPr>
          <w:rFonts w:ascii="Barlow" w:hAnsi="Barlow" w:cstheme="minorHAnsi"/>
          <w:b/>
          <w:sz w:val="20"/>
          <w:szCs w:val="20"/>
        </w:rPr>
      </w:pPr>
      <w:bookmarkStart w:id="10" w:name="m11"/>
      <w:bookmarkEnd w:id="10"/>
    </w:p>
    <w:p w14:paraId="4E8FC796" w14:textId="09AE9E36" w:rsidR="00C850B8" w:rsidRPr="003E52D9" w:rsidRDefault="00C850B8" w:rsidP="00906A55">
      <w:pPr>
        <w:rPr>
          <w:rFonts w:ascii="Barlow" w:hAnsi="Barlow" w:cstheme="minorHAnsi"/>
          <w:b/>
          <w:sz w:val="20"/>
          <w:szCs w:val="20"/>
        </w:rPr>
      </w:pPr>
      <w:r w:rsidRPr="003E52D9">
        <w:rPr>
          <w:rFonts w:ascii="Barlow" w:hAnsi="Barlow" w:cstheme="minorHAnsi"/>
          <w:b/>
          <w:sz w:val="20"/>
          <w:szCs w:val="20"/>
        </w:rPr>
        <w:t>IV) NOTAS AL ESTADO DE FLUJO DE EFECTIVO.</w:t>
      </w:r>
    </w:p>
    <w:p w14:paraId="7CE8ADB7" w14:textId="77777777" w:rsidR="00DA1E17" w:rsidRPr="003E52D9" w:rsidRDefault="00DA1E17" w:rsidP="00DA1E17">
      <w:pPr>
        <w:autoSpaceDE w:val="0"/>
        <w:autoSpaceDN w:val="0"/>
        <w:adjustRightInd w:val="0"/>
        <w:jc w:val="both"/>
        <w:rPr>
          <w:rFonts w:ascii="Barlow" w:hAnsi="Barlow" w:cstheme="minorHAnsi"/>
          <w:bCs/>
          <w:sz w:val="20"/>
          <w:szCs w:val="20"/>
        </w:rPr>
      </w:pPr>
    </w:p>
    <w:p w14:paraId="055D38B9" w14:textId="324DF7F5" w:rsidR="00AC79B9" w:rsidRDefault="00AC79B9" w:rsidP="00906A55">
      <w:pPr>
        <w:autoSpaceDE w:val="0"/>
        <w:autoSpaceDN w:val="0"/>
        <w:adjustRightInd w:val="0"/>
        <w:jc w:val="both"/>
        <w:rPr>
          <w:rFonts w:ascii="Barlow" w:hAnsi="Barlow" w:cstheme="minorHAnsi"/>
          <w:bCs/>
          <w:sz w:val="20"/>
          <w:szCs w:val="20"/>
        </w:rPr>
      </w:pPr>
      <w:r w:rsidRPr="003E52D9">
        <w:rPr>
          <w:rFonts w:ascii="Barlow" w:hAnsi="Barlow" w:cstheme="minorHAnsi"/>
          <w:bCs/>
          <w:sz w:val="20"/>
          <w:szCs w:val="20"/>
        </w:rPr>
        <w:t>1.- El análisis de los saldos inicial y final que figuran en la última parte del estado de flujo de efectivo en la cuenta de efectivo y equivalentes es como sigue:</w:t>
      </w:r>
    </w:p>
    <w:p w14:paraId="57CB20D7" w14:textId="4D7E72F8" w:rsidR="00F33332" w:rsidRDefault="00F33332" w:rsidP="00DA1E17">
      <w:pPr>
        <w:autoSpaceDE w:val="0"/>
        <w:autoSpaceDN w:val="0"/>
        <w:adjustRightInd w:val="0"/>
        <w:jc w:val="both"/>
        <w:rPr>
          <w:rFonts w:ascii="Barlow" w:hAnsi="Barlow" w:cstheme="minorHAnsi"/>
          <w:bCs/>
          <w:sz w:val="20"/>
          <w:szCs w:val="20"/>
        </w:rPr>
      </w:pPr>
      <w:bookmarkStart w:id="11" w:name="m13"/>
      <w:bookmarkStart w:id="12" w:name="m14"/>
      <w:bookmarkEnd w:id="11"/>
      <w:bookmarkEnd w:id="12"/>
    </w:p>
    <w:tbl>
      <w:tblPr>
        <w:tblpPr w:leftFromText="141" w:rightFromText="141" w:vertAnchor="page" w:horzAnchor="margin" w:tblpXSpec="center" w:tblpY="8101"/>
        <w:tblW w:w="12044" w:type="dxa"/>
        <w:tblCellMar>
          <w:left w:w="70" w:type="dxa"/>
          <w:right w:w="70" w:type="dxa"/>
        </w:tblCellMar>
        <w:tblLook w:val="04A0" w:firstRow="1" w:lastRow="0" w:firstColumn="1" w:lastColumn="0" w:noHBand="0" w:noVBand="1"/>
      </w:tblPr>
      <w:tblGrid>
        <w:gridCol w:w="7632"/>
        <w:gridCol w:w="2286"/>
        <w:gridCol w:w="2126"/>
      </w:tblGrid>
      <w:tr w:rsidR="008D1660" w:rsidRPr="006C4E4C" w14:paraId="618EB52E" w14:textId="77777777" w:rsidTr="008D1660">
        <w:trPr>
          <w:trHeight w:val="165"/>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D03CE2" w14:textId="77777777" w:rsidR="008D1660" w:rsidRPr="003F434D" w:rsidRDefault="008D1660" w:rsidP="008D1660">
            <w:pPr>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t>Concepto</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78BC7C72" w14:textId="74F05689" w:rsidR="008D1660" w:rsidRPr="009D116A" w:rsidRDefault="008D1660" w:rsidP="008D1660">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2025</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71FF1327" w14:textId="5B53AAED" w:rsidR="008D1660" w:rsidRPr="00AE1837" w:rsidRDefault="008D1660" w:rsidP="008D1660">
            <w:pPr>
              <w:jc w:val="center"/>
              <w:rPr>
                <w:rFonts w:ascii="Barlow" w:hAnsi="Barlow" w:cstheme="minorHAnsi"/>
                <w:bCs/>
                <w:color w:val="000000"/>
                <w:sz w:val="20"/>
                <w:szCs w:val="16"/>
                <w:lang w:eastAsia="es-MX"/>
              </w:rPr>
            </w:pPr>
            <w:r>
              <w:rPr>
                <w:rFonts w:ascii="Barlow" w:hAnsi="Barlow" w:cstheme="minorHAnsi"/>
                <w:b/>
                <w:bCs/>
                <w:color w:val="000000"/>
                <w:sz w:val="20"/>
                <w:szCs w:val="16"/>
                <w:lang w:eastAsia="es-MX"/>
              </w:rPr>
              <w:t>2024</w:t>
            </w:r>
          </w:p>
        </w:tc>
      </w:tr>
      <w:tr w:rsidR="008D1660" w:rsidRPr="006C4E4C" w14:paraId="3617AA47" w14:textId="77777777" w:rsidTr="008D1660">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3AC982D9"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Efectivo</w:t>
            </w:r>
          </w:p>
        </w:tc>
        <w:tc>
          <w:tcPr>
            <w:tcW w:w="2286" w:type="dxa"/>
            <w:tcBorders>
              <w:top w:val="single" w:sz="4" w:space="0" w:color="auto"/>
              <w:left w:val="nil"/>
              <w:bottom w:val="single" w:sz="4" w:space="0" w:color="auto"/>
              <w:right w:val="single" w:sz="4" w:space="0" w:color="000000"/>
            </w:tcBorders>
            <w:shd w:val="clear" w:color="auto" w:fill="auto"/>
            <w:noWrap/>
            <w:vAlign w:val="bottom"/>
          </w:tcPr>
          <w:p w14:paraId="5FAD9034"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2081FEC6"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D1660" w:rsidRPr="006C4E4C" w14:paraId="1D05DF97" w14:textId="77777777" w:rsidTr="008D1660">
        <w:trPr>
          <w:trHeight w:val="226"/>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4EC300C"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Bancos/Tesorería</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33FC166D" w14:textId="51CBDF25"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 xml:space="preserve">$ </w:t>
            </w:r>
            <w:r>
              <w:rPr>
                <w:rFonts w:ascii="Barlow" w:hAnsi="Barlow" w:cstheme="minorHAnsi"/>
                <w:color w:val="000000"/>
                <w:sz w:val="20"/>
                <w:szCs w:val="16"/>
                <w:lang w:eastAsia="es-MX"/>
              </w:rPr>
              <w:t>1</w:t>
            </w:r>
            <w:r w:rsidR="00C30BA3">
              <w:rPr>
                <w:rFonts w:ascii="Barlow" w:hAnsi="Barlow" w:cstheme="minorHAnsi"/>
                <w:color w:val="000000"/>
                <w:sz w:val="20"/>
                <w:szCs w:val="16"/>
                <w:lang w:eastAsia="es-MX"/>
              </w:rPr>
              <w:t>1</w:t>
            </w:r>
            <w:r>
              <w:rPr>
                <w:rFonts w:ascii="Barlow" w:hAnsi="Barlow" w:cstheme="minorHAnsi"/>
                <w:color w:val="000000"/>
                <w:sz w:val="20"/>
                <w:szCs w:val="16"/>
                <w:lang w:eastAsia="es-MX"/>
              </w:rPr>
              <w:t>,</w:t>
            </w:r>
            <w:r w:rsidR="00EE1B6C">
              <w:rPr>
                <w:rFonts w:ascii="Barlow" w:hAnsi="Barlow" w:cstheme="minorHAnsi"/>
                <w:color w:val="000000"/>
                <w:sz w:val="20"/>
                <w:szCs w:val="16"/>
                <w:lang w:eastAsia="es-MX"/>
              </w:rPr>
              <w:t>139</w:t>
            </w:r>
            <w:r>
              <w:rPr>
                <w:rFonts w:ascii="Barlow" w:hAnsi="Barlow" w:cstheme="minorHAnsi"/>
                <w:color w:val="000000"/>
                <w:sz w:val="20"/>
                <w:szCs w:val="16"/>
                <w:lang w:eastAsia="es-MX"/>
              </w:rPr>
              <w:t>,</w:t>
            </w:r>
            <w:r w:rsidR="00EE1B6C">
              <w:rPr>
                <w:rFonts w:ascii="Barlow" w:hAnsi="Barlow" w:cstheme="minorHAnsi"/>
                <w:color w:val="000000"/>
                <w:sz w:val="20"/>
                <w:szCs w:val="16"/>
                <w:lang w:eastAsia="es-MX"/>
              </w:rPr>
              <w:t>64</w:t>
            </w:r>
            <w:r w:rsidR="00C30BA3">
              <w:rPr>
                <w:rFonts w:ascii="Barlow" w:hAnsi="Barlow" w:cstheme="minorHAnsi"/>
                <w:color w:val="000000"/>
                <w:sz w:val="20"/>
                <w:szCs w:val="16"/>
                <w:lang w:eastAsia="es-MX"/>
              </w:rPr>
              <w:t>5</w:t>
            </w:r>
            <w:r>
              <w:rPr>
                <w:rFonts w:ascii="Barlow" w:hAnsi="Barlow" w:cstheme="minorHAnsi"/>
                <w:color w:val="000000"/>
                <w:sz w:val="20"/>
                <w:szCs w:val="16"/>
                <w:lang w:eastAsia="es-MX"/>
              </w:rPr>
              <w:t>.</w:t>
            </w:r>
            <w:r w:rsidR="00EE1B6C">
              <w:rPr>
                <w:rFonts w:ascii="Barlow" w:hAnsi="Barlow" w:cstheme="minorHAnsi"/>
                <w:color w:val="000000"/>
                <w:sz w:val="20"/>
                <w:szCs w:val="16"/>
                <w:lang w:eastAsia="es-MX"/>
              </w:rPr>
              <w:t>83</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8F513CF" w14:textId="1E3D22A6"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 xml:space="preserve">$ </w:t>
            </w:r>
            <w:r>
              <w:rPr>
                <w:rFonts w:ascii="Barlow" w:hAnsi="Barlow" w:cstheme="minorHAnsi"/>
                <w:color w:val="000000"/>
                <w:sz w:val="20"/>
                <w:szCs w:val="16"/>
                <w:lang w:eastAsia="es-MX"/>
              </w:rPr>
              <w:t>11,048,271.19</w:t>
            </w:r>
          </w:p>
        </w:tc>
      </w:tr>
      <w:tr w:rsidR="008D1660" w:rsidRPr="006C4E4C" w14:paraId="2F37E3B1" w14:textId="77777777" w:rsidTr="008D1660">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5F7335"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Bancos</w:t>
            </w:r>
            <w:r w:rsidRPr="003F434D">
              <w:rPr>
                <w:rFonts w:ascii="Barlow" w:hAnsi="Barlow" w:cstheme="minorHAnsi"/>
                <w:color w:val="000000"/>
                <w:sz w:val="20"/>
                <w:szCs w:val="16"/>
                <w:lang w:eastAsia="es-MX"/>
              </w:rPr>
              <w:t>/D</w:t>
            </w:r>
            <w:r>
              <w:rPr>
                <w:rFonts w:ascii="Barlow" w:hAnsi="Barlow" w:cstheme="minorHAnsi"/>
                <w:color w:val="000000"/>
                <w:sz w:val="20"/>
                <w:szCs w:val="16"/>
                <w:lang w:eastAsia="es-MX"/>
              </w:rPr>
              <w:t>ependencias y Otros</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39D37971"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00E6BEF1" w14:textId="4E406F5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D1660" w:rsidRPr="006C4E4C" w14:paraId="303557FE" w14:textId="77777777" w:rsidTr="008D1660">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E26C35D" w14:textId="77777777" w:rsidR="008D1660" w:rsidRPr="003F434D" w:rsidRDefault="008D1660" w:rsidP="008D1660">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I</w:t>
            </w:r>
            <w:r>
              <w:rPr>
                <w:rFonts w:ascii="Barlow" w:hAnsi="Barlow" w:cstheme="minorHAnsi"/>
                <w:color w:val="000000"/>
                <w:sz w:val="20"/>
                <w:szCs w:val="16"/>
                <w:lang w:eastAsia="es-MX"/>
              </w:rPr>
              <w:t>nversiones Temporales</w:t>
            </w:r>
            <w:r w:rsidRPr="003F434D">
              <w:rPr>
                <w:rFonts w:ascii="Barlow" w:hAnsi="Barlow" w:cstheme="minorHAnsi"/>
                <w:color w:val="000000"/>
                <w:sz w:val="20"/>
                <w:szCs w:val="16"/>
                <w:lang w:eastAsia="es-MX"/>
              </w:rPr>
              <w:t>(H</w:t>
            </w:r>
            <w:r>
              <w:rPr>
                <w:rFonts w:ascii="Barlow" w:hAnsi="Barlow" w:cstheme="minorHAnsi"/>
                <w:color w:val="000000"/>
                <w:sz w:val="20"/>
                <w:szCs w:val="16"/>
                <w:lang w:eastAsia="es-MX"/>
              </w:rPr>
              <w:t xml:space="preserve">asta </w:t>
            </w:r>
            <w:r w:rsidRPr="003F434D">
              <w:rPr>
                <w:rFonts w:ascii="Barlow" w:hAnsi="Barlow" w:cstheme="minorHAnsi"/>
                <w:color w:val="000000"/>
                <w:sz w:val="20"/>
                <w:szCs w:val="16"/>
                <w:lang w:eastAsia="es-MX"/>
              </w:rPr>
              <w:t xml:space="preserve">3 </w:t>
            </w:r>
            <w:r>
              <w:rPr>
                <w:rFonts w:ascii="Barlow" w:hAnsi="Barlow" w:cstheme="minorHAnsi"/>
                <w:color w:val="000000"/>
                <w:sz w:val="20"/>
                <w:szCs w:val="16"/>
                <w:lang w:eastAsia="es-MX"/>
              </w:rPr>
              <w:t>meses</w:t>
            </w:r>
            <w:r w:rsidRPr="003F434D">
              <w:rPr>
                <w:rFonts w:ascii="Barlow" w:hAnsi="Barlow" w:cstheme="minorHAnsi"/>
                <w:color w:val="000000"/>
                <w:sz w:val="20"/>
                <w:szCs w:val="16"/>
                <w:lang w:eastAsia="es-MX"/>
              </w:rPr>
              <w:t>)</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00217F66"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20211528" w14:textId="1DA21205"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D1660" w:rsidRPr="006C4E4C" w14:paraId="3386FA4D" w14:textId="77777777" w:rsidTr="008D1660">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97D7B30" w14:textId="77777777" w:rsidR="008D1660" w:rsidRPr="003F434D" w:rsidRDefault="008D1660" w:rsidP="008D1660">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F</w:t>
            </w:r>
            <w:r>
              <w:rPr>
                <w:rFonts w:ascii="Barlow" w:hAnsi="Barlow" w:cstheme="minorHAnsi"/>
                <w:color w:val="000000"/>
                <w:sz w:val="20"/>
                <w:szCs w:val="16"/>
                <w:lang w:eastAsia="es-MX"/>
              </w:rPr>
              <w:t>ondos con afectación específica</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2DEB9C58"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42D9AB21" w14:textId="4BCA078D"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D1660" w:rsidRPr="006C4E4C" w14:paraId="358CE360" w14:textId="77777777" w:rsidTr="008D1660">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3D2DF1" w14:textId="77777777" w:rsidR="008D1660" w:rsidRPr="003F434D" w:rsidRDefault="008D1660" w:rsidP="008D1660">
            <w:pPr>
              <w:rPr>
                <w:rFonts w:ascii="Barlow" w:hAnsi="Barlow" w:cstheme="minorHAnsi"/>
                <w:color w:val="000000"/>
                <w:sz w:val="20"/>
                <w:szCs w:val="16"/>
                <w:lang w:eastAsia="es-MX"/>
              </w:rPr>
            </w:pPr>
            <w:r w:rsidRPr="003F434D">
              <w:rPr>
                <w:rFonts w:ascii="Barlow" w:hAnsi="Barlow" w:cstheme="minorHAnsi"/>
                <w:color w:val="000000"/>
                <w:sz w:val="20"/>
                <w:szCs w:val="16"/>
                <w:lang w:eastAsia="es-MX"/>
              </w:rPr>
              <w:t>D</w:t>
            </w:r>
            <w:r>
              <w:rPr>
                <w:rFonts w:ascii="Barlow" w:hAnsi="Barlow" w:cstheme="minorHAnsi"/>
                <w:color w:val="000000"/>
                <w:sz w:val="20"/>
                <w:szCs w:val="16"/>
                <w:lang w:eastAsia="es-MX"/>
              </w:rPr>
              <w:t>epósitos de Fondos de Terceros en Garantía y/o Administración</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32186BD1"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DECEEAA" w14:textId="625FF1E6"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D1660" w:rsidRPr="006C4E4C" w14:paraId="4074EA7D" w14:textId="77777777" w:rsidTr="008D1660">
        <w:trPr>
          <w:trHeight w:val="157"/>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8FB97D6"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Otros Efectivos y Equivalentes</w:t>
            </w:r>
          </w:p>
        </w:tc>
        <w:tc>
          <w:tcPr>
            <w:tcW w:w="2286" w:type="dxa"/>
            <w:tcBorders>
              <w:top w:val="single" w:sz="4" w:space="0" w:color="auto"/>
              <w:left w:val="nil"/>
              <w:bottom w:val="single" w:sz="4" w:space="0" w:color="auto"/>
              <w:right w:val="single" w:sz="4" w:space="0" w:color="000000"/>
            </w:tcBorders>
            <w:shd w:val="clear" w:color="auto" w:fill="auto"/>
            <w:noWrap/>
            <w:vAlign w:val="bottom"/>
          </w:tcPr>
          <w:p w14:paraId="66FCF542"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2126" w:type="dxa"/>
            <w:tcBorders>
              <w:top w:val="single" w:sz="4" w:space="0" w:color="auto"/>
              <w:left w:val="nil"/>
              <w:bottom w:val="single" w:sz="4" w:space="0" w:color="auto"/>
              <w:right w:val="single" w:sz="4" w:space="0" w:color="000000"/>
            </w:tcBorders>
            <w:shd w:val="clear" w:color="auto" w:fill="auto"/>
            <w:noWrap/>
            <w:vAlign w:val="bottom"/>
          </w:tcPr>
          <w:p w14:paraId="1159E362" w14:textId="644E4672"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D1660" w:rsidRPr="006C4E4C" w14:paraId="1B90A2D7" w14:textId="77777777" w:rsidTr="008D1660">
        <w:trPr>
          <w:trHeight w:val="165"/>
        </w:trPr>
        <w:tc>
          <w:tcPr>
            <w:tcW w:w="7632"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54869D" w14:textId="77777777" w:rsidR="008D1660" w:rsidRPr="003F434D" w:rsidRDefault="008D1660" w:rsidP="008D1660">
            <w:pPr>
              <w:jc w:val="right"/>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t>Total de EFECTIVO Y EQUIVALENTES</w:t>
            </w:r>
          </w:p>
        </w:tc>
        <w:tc>
          <w:tcPr>
            <w:tcW w:w="2286" w:type="dxa"/>
            <w:tcBorders>
              <w:top w:val="single" w:sz="4" w:space="0" w:color="auto"/>
              <w:left w:val="nil"/>
              <w:bottom w:val="single" w:sz="4" w:space="0" w:color="auto"/>
              <w:right w:val="single" w:sz="4" w:space="0" w:color="000000"/>
            </w:tcBorders>
            <w:shd w:val="clear" w:color="auto" w:fill="auto"/>
            <w:noWrap/>
            <w:vAlign w:val="bottom"/>
            <w:hideMark/>
          </w:tcPr>
          <w:p w14:paraId="25BD20A2" w14:textId="4434DBC6" w:rsidR="008D1660" w:rsidRPr="00896D10" w:rsidRDefault="008D1660" w:rsidP="008D1660">
            <w:pPr>
              <w:jc w:val="right"/>
              <w:rPr>
                <w:rFonts w:ascii="Barlow" w:hAnsi="Barlow" w:cstheme="minorHAnsi"/>
                <w:b/>
                <w:bCs/>
                <w:color w:val="000000"/>
                <w:sz w:val="20"/>
                <w:szCs w:val="16"/>
                <w:lang w:eastAsia="es-MX"/>
              </w:rPr>
            </w:pPr>
            <w:r w:rsidRPr="00896D10">
              <w:rPr>
                <w:rFonts w:ascii="Barlow" w:hAnsi="Barlow" w:cstheme="minorHAnsi"/>
                <w:b/>
                <w:bCs/>
                <w:color w:val="000000"/>
                <w:sz w:val="20"/>
                <w:szCs w:val="16"/>
                <w:lang w:eastAsia="es-MX"/>
              </w:rPr>
              <w:t xml:space="preserve"> $ </w:t>
            </w:r>
            <w:r>
              <w:rPr>
                <w:rFonts w:ascii="Barlow" w:hAnsi="Barlow" w:cstheme="minorHAnsi"/>
                <w:b/>
                <w:bCs/>
                <w:color w:val="000000"/>
                <w:sz w:val="20"/>
                <w:szCs w:val="16"/>
                <w:lang w:eastAsia="es-MX"/>
              </w:rPr>
              <w:t>1</w:t>
            </w:r>
            <w:r w:rsidR="00C30BA3">
              <w:rPr>
                <w:rFonts w:ascii="Barlow" w:hAnsi="Barlow" w:cstheme="minorHAnsi"/>
                <w:b/>
                <w:bCs/>
                <w:color w:val="000000"/>
                <w:sz w:val="20"/>
                <w:szCs w:val="16"/>
                <w:lang w:eastAsia="es-MX"/>
              </w:rPr>
              <w:t>1</w:t>
            </w:r>
            <w:r w:rsidRPr="00896D10">
              <w:rPr>
                <w:rFonts w:ascii="Barlow" w:hAnsi="Barlow" w:cstheme="minorHAnsi"/>
                <w:b/>
                <w:bCs/>
                <w:color w:val="000000"/>
                <w:sz w:val="20"/>
                <w:szCs w:val="16"/>
                <w:lang w:eastAsia="es-MX"/>
              </w:rPr>
              <w:t>,</w:t>
            </w:r>
            <w:r w:rsidR="00EE1B6C">
              <w:rPr>
                <w:rFonts w:ascii="Barlow" w:hAnsi="Barlow" w:cstheme="minorHAnsi"/>
                <w:b/>
                <w:bCs/>
                <w:color w:val="000000"/>
                <w:sz w:val="20"/>
                <w:szCs w:val="16"/>
                <w:lang w:eastAsia="es-MX"/>
              </w:rPr>
              <w:t>139</w:t>
            </w:r>
            <w:r>
              <w:rPr>
                <w:rFonts w:ascii="Barlow" w:hAnsi="Barlow" w:cstheme="minorHAnsi"/>
                <w:b/>
                <w:bCs/>
                <w:color w:val="000000"/>
                <w:sz w:val="20"/>
                <w:szCs w:val="16"/>
                <w:lang w:eastAsia="es-MX"/>
              </w:rPr>
              <w:t>,</w:t>
            </w:r>
            <w:r w:rsidR="00EE1B6C">
              <w:rPr>
                <w:rFonts w:ascii="Barlow" w:hAnsi="Barlow" w:cstheme="minorHAnsi"/>
                <w:b/>
                <w:bCs/>
                <w:color w:val="000000"/>
                <w:sz w:val="20"/>
                <w:szCs w:val="16"/>
                <w:lang w:eastAsia="es-MX"/>
              </w:rPr>
              <w:t>64</w:t>
            </w:r>
            <w:r w:rsidR="00C30BA3">
              <w:rPr>
                <w:rFonts w:ascii="Barlow" w:hAnsi="Barlow" w:cstheme="minorHAnsi"/>
                <w:b/>
                <w:bCs/>
                <w:color w:val="000000"/>
                <w:sz w:val="20"/>
                <w:szCs w:val="16"/>
                <w:lang w:eastAsia="es-MX"/>
              </w:rPr>
              <w:t>5</w:t>
            </w:r>
            <w:r>
              <w:rPr>
                <w:rFonts w:ascii="Barlow" w:hAnsi="Barlow" w:cstheme="minorHAnsi"/>
                <w:b/>
                <w:bCs/>
                <w:color w:val="000000"/>
                <w:sz w:val="20"/>
                <w:szCs w:val="16"/>
                <w:lang w:eastAsia="es-MX"/>
              </w:rPr>
              <w:t>.</w:t>
            </w:r>
            <w:r w:rsidR="00EE1B6C">
              <w:rPr>
                <w:rFonts w:ascii="Barlow" w:hAnsi="Barlow" w:cstheme="minorHAnsi"/>
                <w:b/>
                <w:bCs/>
                <w:color w:val="000000"/>
                <w:sz w:val="20"/>
                <w:szCs w:val="16"/>
                <w:lang w:eastAsia="es-MX"/>
              </w:rPr>
              <w:t>83</w:t>
            </w:r>
            <w:r w:rsidRPr="00896D10">
              <w:rPr>
                <w:rFonts w:ascii="Barlow" w:hAnsi="Barlow" w:cstheme="minorHAnsi"/>
                <w:b/>
                <w:bCs/>
                <w:color w:val="000000"/>
                <w:sz w:val="20"/>
                <w:szCs w:val="16"/>
                <w:lang w:eastAsia="es-MX"/>
              </w:rPr>
              <w:t xml:space="preserve"> </w:t>
            </w:r>
          </w:p>
        </w:tc>
        <w:tc>
          <w:tcPr>
            <w:tcW w:w="2126" w:type="dxa"/>
            <w:tcBorders>
              <w:top w:val="single" w:sz="4" w:space="0" w:color="auto"/>
              <w:left w:val="nil"/>
              <w:bottom w:val="single" w:sz="4" w:space="0" w:color="auto"/>
              <w:right w:val="single" w:sz="4" w:space="0" w:color="000000"/>
            </w:tcBorders>
            <w:shd w:val="clear" w:color="auto" w:fill="auto"/>
            <w:noWrap/>
            <w:vAlign w:val="bottom"/>
            <w:hideMark/>
          </w:tcPr>
          <w:p w14:paraId="6399BA65" w14:textId="2E22BACD" w:rsidR="008D1660" w:rsidRPr="00896D10" w:rsidRDefault="008D1660" w:rsidP="008D1660">
            <w:pPr>
              <w:jc w:val="right"/>
              <w:rPr>
                <w:rFonts w:ascii="Barlow" w:hAnsi="Barlow" w:cstheme="minorHAnsi"/>
                <w:b/>
                <w:bCs/>
                <w:color w:val="000000"/>
                <w:sz w:val="20"/>
                <w:szCs w:val="16"/>
                <w:lang w:eastAsia="es-MX"/>
              </w:rPr>
            </w:pPr>
            <w:r w:rsidRPr="00896D10">
              <w:rPr>
                <w:rFonts w:ascii="Barlow" w:hAnsi="Barlow" w:cstheme="minorHAnsi"/>
                <w:b/>
                <w:bCs/>
                <w:color w:val="000000"/>
                <w:sz w:val="20"/>
                <w:szCs w:val="16"/>
                <w:lang w:eastAsia="es-MX"/>
              </w:rPr>
              <w:t xml:space="preserve"> $ </w:t>
            </w:r>
            <w:r>
              <w:rPr>
                <w:rFonts w:ascii="Barlow" w:hAnsi="Barlow" w:cstheme="minorHAnsi"/>
                <w:b/>
                <w:bCs/>
                <w:color w:val="000000"/>
                <w:sz w:val="20"/>
                <w:szCs w:val="16"/>
                <w:lang w:eastAsia="es-MX"/>
              </w:rPr>
              <w:t>11</w:t>
            </w:r>
            <w:r w:rsidRPr="00896D10">
              <w:rPr>
                <w:rFonts w:ascii="Barlow" w:hAnsi="Barlow" w:cstheme="minorHAnsi"/>
                <w:b/>
                <w:bCs/>
                <w:color w:val="000000"/>
                <w:sz w:val="20"/>
                <w:szCs w:val="16"/>
                <w:lang w:eastAsia="es-MX"/>
              </w:rPr>
              <w:t>,</w:t>
            </w:r>
            <w:r>
              <w:rPr>
                <w:rFonts w:ascii="Barlow" w:hAnsi="Barlow" w:cstheme="minorHAnsi"/>
                <w:b/>
                <w:bCs/>
                <w:color w:val="000000"/>
                <w:sz w:val="20"/>
                <w:szCs w:val="16"/>
                <w:lang w:eastAsia="es-MX"/>
              </w:rPr>
              <w:t>048,271.19</w:t>
            </w:r>
            <w:r w:rsidRPr="00896D10">
              <w:rPr>
                <w:rFonts w:ascii="Barlow" w:hAnsi="Barlow" w:cstheme="minorHAnsi"/>
                <w:b/>
                <w:bCs/>
                <w:color w:val="000000"/>
                <w:sz w:val="20"/>
                <w:szCs w:val="16"/>
                <w:lang w:eastAsia="es-MX"/>
              </w:rPr>
              <w:t xml:space="preserve"> </w:t>
            </w:r>
          </w:p>
        </w:tc>
      </w:tr>
    </w:tbl>
    <w:p w14:paraId="070D725B" w14:textId="29E8D3DE" w:rsidR="001F51A3" w:rsidRDefault="001F51A3" w:rsidP="00DA1E17">
      <w:pPr>
        <w:autoSpaceDE w:val="0"/>
        <w:autoSpaceDN w:val="0"/>
        <w:adjustRightInd w:val="0"/>
        <w:jc w:val="both"/>
        <w:rPr>
          <w:rFonts w:ascii="Barlow" w:hAnsi="Barlow" w:cstheme="minorHAnsi"/>
          <w:bCs/>
          <w:sz w:val="20"/>
          <w:szCs w:val="20"/>
        </w:rPr>
      </w:pPr>
    </w:p>
    <w:p w14:paraId="6C2FE244" w14:textId="040842F8" w:rsidR="007326D2" w:rsidRDefault="007326D2" w:rsidP="00DA1E17">
      <w:pPr>
        <w:autoSpaceDE w:val="0"/>
        <w:autoSpaceDN w:val="0"/>
        <w:adjustRightInd w:val="0"/>
        <w:jc w:val="both"/>
        <w:rPr>
          <w:rFonts w:ascii="Barlow" w:hAnsi="Barlow" w:cstheme="minorHAnsi"/>
          <w:bCs/>
          <w:sz w:val="20"/>
          <w:szCs w:val="20"/>
        </w:rPr>
      </w:pPr>
    </w:p>
    <w:p w14:paraId="4BFDC5BC" w14:textId="6197AC7D" w:rsidR="007326D2" w:rsidRDefault="007326D2" w:rsidP="00DA1E17">
      <w:pPr>
        <w:autoSpaceDE w:val="0"/>
        <w:autoSpaceDN w:val="0"/>
        <w:adjustRightInd w:val="0"/>
        <w:jc w:val="both"/>
        <w:rPr>
          <w:rFonts w:ascii="Barlow" w:hAnsi="Barlow" w:cstheme="minorHAnsi"/>
          <w:bCs/>
          <w:sz w:val="20"/>
          <w:szCs w:val="20"/>
        </w:rPr>
      </w:pPr>
    </w:p>
    <w:p w14:paraId="12C12688" w14:textId="16EFF132" w:rsidR="007326D2" w:rsidRDefault="007326D2" w:rsidP="00DA1E17">
      <w:pPr>
        <w:autoSpaceDE w:val="0"/>
        <w:autoSpaceDN w:val="0"/>
        <w:adjustRightInd w:val="0"/>
        <w:jc w:val="both"/>
        <w:rPr>
          <w:rFonts w:ascii="Barlow" w:hAnsi="Barlow" w:cstheme="minorHAnsi"/>
          <w:bCs/>
          <w:sz w:val="20"/>
          <w:szCs w:val="20"/>
        </w:rPr>
      </w:pPr>
    </w:p>
    <w:p w14:paraId="0E04D113" w14:textId="69D58B6F" w:rsidR="007326D2" w:rsidRDefault="007326D2" w:rsidP="00DA1E17">
      <w:pPr>
        <w:autoSpaceDE w:val="0"/>
        <w:autoSpaceDN w:val="0"/>
        <w:adjustRightInd w:val="0"/>
        <w:jc w:val="both"/>
        <w:rPr>
          <w:rFonts w:ascii="Barlow" w:hAnsi="Barlow" w:cstheme="minorHAnsi"/>
          <w:bCs/>
          <w:sz w:val="20"/>
          <w:szCs w:val="20"/>
        </w:rPr>
      </w:pPr>
    </w:p>
    <w:p w14:paraId="1A1DDD7F" w14:textId="06C71B9F" w:rsidR="008A37AF" w:rsidRDefault="008A37AF" w:rsidP="00DA1E17">
      <w:pPr>
        <w:autoSpaceDE w:val="0"/>
        <w:autoSpaceDN w:val="0"/>
        <w:adjustRightInd w:val="0"/>
        <w:jc w:val="both"/>
        <w:rPr>
          <w:rFonts w:ascii="Barlow" w:hAnsi="Barlow" w:cstheme="minorHAnsi"/>
          <w:bCs/>
          <w:sz w:val="20"/>
          <w:szCs w:val="20"/>
        </w:rPr>
      </w:pPr>
    </w:p>
    <w:p w14:paraId="7BE977FF" w14:textId="77777777" w:rsidR="006A3710" w:rsidRDefault="006A3710" w:rsidP="00DA1E17">
      <w:pPr>
        <w:autoSpaceDE w:val="0"/>
        <w:autoSpaceDN w:val="0"/>
        <w:adjustRightInd w:val="0"/>
        <w:jc w:val="both"/>
        <w:rPr>
          <w:rFonts w:ascii="Barlow" w:hAnsi="Barlow" w:cstheme="minorHAnsi"/>
          <w:bCs/>
          <w:sz w:val="20"/>
          <w:szCs w:val="20"/>
        </w:rPr>
      </w:pPr>
    </w:p>
    <w:p w14:paraId="64FCE361" w14:textId="71C4D762" w:rsidR="0088235E" w:rsidRDefault="00B70A06" w:rsidP="0088235E">
      <w:pPr>
        <w:autoSpaceDE w:val="0"/>
        <w:autoSpaceDN w:val="0"/>
        <w:adjustRightInd w:val="0"/>
        <w:jc w:val="both"/>
        <w:rPr>
          <w:rFonts w:ascii="Barlow" w:hAnsi="Barlow" w:cstheme="minorHAnsi"/>
          <w:bCs/>
          <w:sz w:val="20"/>
          <w:szCs w:val="20"/>
        </w:rPr>
      </w:pPr>
      <w:r w:rsidRPr="001A1132">
        <w:rPr>
          <w:rFonts w:ascii="Barlow" w:hAnsi="Barlow" w:cstheme="minorHAnsi"/>
          <w:bCs/>
          <w:sz w:val="20"/>
          <w:szCs w:val="20"/>
        </w:rPr>
        <w:lastRenderedPageBreak/>
        <w:t xml:space="preserve"> </w:t>
      </w:r>
      <w:r w:rsidR="0088235E" w:rsidRPr="001A1132">
        <w:rPr>
          <w:rFonts w:ascii="Barlow" w:hAnsi="Barlow" w:cstheme="minorHAnsi"/>
          <w:bCs/>
          <w:sz w:val="20"/>
          <w:szCs w:val="20"/>
        </w:rPr>
        <w:t>2.-</w:t>
      </w:r>
      <w:r w:rsidR="009C528C">
        <w:rPr>
          <w:rFonts w:ascii="Barlow" w:hAnsi="Barlow" w:cstheme="minorHAnsi"/>
          <w:bCs/>
          <w:sz w:val="20"/>
          <w:szCs w:val="20"/>
        </w:rPr>
        <w:t>No existe información que revelar sobre el d</w:t>
      </w:r>
      <w:r w:rsidR="0088235E" w:rsidRPr="001A1132">
        <w:rPr>
          <w:rFonts w:ascii="Barlow" w:hAnsi="Barlow" w:cstheme="minorHAnsi"/>
          <w:bCs/>
          <w:sz w:val="20"/>
          <w:szCs w:val="20"/>
        </w:rPr>
        <w:t xml:space="preserve">etalle de las adquisiciones de las Actividades de Inversión efectivamente pagadas, respecto del apartado de aplicación. </w:t>
      </w:r>
    </w:p>
    <w:tbl>
      <w:tblPr>
        <w:tblpPr w:leftFromText="141" w:rightFromText="141" w:vertAnchor="page" w:horzAnchor="margin" w:tblpXSpec="center" w:tblpY="4153"/>
        <w:tblW w:w="9493" w:type="dxa"/>
        <w:tblCellMar>
          <w:left w:w="70" w:type="dxa"/>
          <w:right w:w="70" w:type="dxa"/>
        </w:tblCellMar>
        <w:tblLook w:val="04A0" w:firstRow="1" w:lastRow="0" w:firstColumn="1" w:lastColumn="0" w:noHBand="0" w:noVBand="1"/>
      </w:tblPr>
      <w:tblGrid>
        <w:gridCol w:w="6516"/>
        <w:gridCol w:w="1559"/>
        <w:gridCol w:w="1418"/>
      </w:tblGrid>
      <w:tr w:rsidR="008D1660" w:rsidRPr="006C4E4C" w14:paraId="297FBE8F" w14:textId="77777777" w:rsidTr="008D1660">
        <w:trPr>
          <w:trHeight w:val="138"/>
        </w:trPr>
        <w:tc>
          <w:tcPr>
            <w:tcW w:w="9493"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14:paraId="21AA9E18" w14:textId="77777777" w:rsidR="008D1660" w:rsidRPr="001A1132" w:rsidRDefault="008D1660" w:rsidP="008D1660">
            <w:pPr>
              <w:jc w:val="center"/>
              <w:rPr>
                <w:rFonts w:ascii="Barlow" w:hAnsi="Barlow" w:cstheme="minorHAnsi"/>
                <w:b/>
                <w:bCs/>
                <w:color w:val="000000"/>
                <w:sz w:val="20"/>
                <w:szCs w:val="16"/>
                <w:lang w:eastAsia="es-MX"/>
              </w:rPr>
            </w:pPr>
            <w:r w:rsidRPr="001A1132">
              <w:rPr>
                <w:rFonts w:ascii="Barlow" w:hAnsi="Barlow" w:cstheme="minorHAnsi"/>
                <w:b/>
                <w:bCs/>
                <w:color w:val="000000"/>
                <w:sz w:val="20"/>
                <w:szCs w:val="16"/>
                <w:lang w:eastAsia="es-MX"/>
              </w:rPr>
              <w:t>Adquisiciones de Actividades de Inversión efectivamente pagadas</w:t>
            </w:r>
          </w:p>
        </w:tc>
      </w:tr>
      <w:tr w:rsidR="008D1660" w:rsidRPr="006C4E4C" w14:paraId="3731B767" w14:textId="77777777" w:rsidTr="008D1660">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4BE4480" w14:textId="77777777" w:rsidR="008D1660" w:rsidRPr="003F434D" w:rsidRDefault="008D1660" w:rsidP="008D1660">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Concepto</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3256A018" w14:textId="4F01477A" w:rsidR="008D1660" w:rsidRPr="009D116A" w:rsidRDefault="008D1660" w:rsidP="008D1660">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2025</w:t>
            </w:r>
          </w:p>
        </w:tc>
        <w:tc>
          <w:tcPr>
            <w:tcW w:w="1418" w:type="dxa"/>
            <w:tcBorders>
              <w:top w:val="single" w:sz="4" w:space="0" w:color="auto"/>
              <w:left w:val="nil"/>
              <w:bottom w:val="single" w:sz="4" w:space="0" w:color="auto"/>
              <w:right w:val="single" w:sz="4" w:space="0" w:color="000000"/>
            </w:tcBorders>
            <w:shd w:val="clear" w:color="auto" w:fill="auto"/>
            <w:noWrap/>
            <w:vAlign w:val="bottom"/>
          </w:tcPr>
          <w:p w14:paraId="40487809" w14:textId="0A1E89F0" w:rsidR="008D1660" w:rsidRPr="009D116A" w:rsidRDefault="008D1660" w:rsidP="008D1660">
            <w:pPr>
              <w:jc w:val="center"/>
              <w:rPr>
                <w:rFonts w:ascii="Barlow" w:hAnsi="Barlow" w:cstheme="minorHAnsi"/>
                <w:b/>
                <w:bCs/>
                <w:color w:val="000000"/>
                <w:sz w:val="20"/>
                <w:szCs w:val="16"/>
                <w:lang w:eastAsia="es-MX"/>
              </w:rPr>
            </w:pPr>
            <w:r>
              <w:rPr>
                <w:rFonts w:ascii="Barlow" w:hAnsi="Barlow" w:cstheme="minorHAnsi"/>
                <w:b/>
                <w:bCs/>
                <w:color w:val="000000"/>
                <w:sz w:val="20"/>
                <w:szCs w:val="16"/>
                <w:lang w:eastAsia="es-MX"/>
              </w:rPr>
              <w:t>2024</w:t>
            </w:r>
          </w:p>
        </w:tc>
      </w:tr>
      <w:tr w:rsidR="008D1660" w:rsidRPr="006C4E4C" w14:paraId="7AF62282" w14:textId="77777777" w:rsidTr="008D1660">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955C4DC" w14:textId="77777777" w:rsidR="008D1660" w:rsidRDefault="008D1660" w:rsidP="008D1660">
            <w:pPr>
              <w:rPr>
                <w:rFonts w:ascii="Barlow" w:hAnsi="Barlow" w:cstheme="minorHAnsi"/>
                <w:b/>
                <w:bCs/>
                <w:color w:val="000000"/>
                <w:sz w:val="20"/>
                <w:szCs w:val="16"/>
                <w:lang w:eastAsia="es-MX"/>
              </w:rPr>
            </w:pPr>
            <w:r>
              <w:rPr>
                <w:rFonts w:ascii="Barlow" w:hAnsi="Barlow" w:cstheme="minorHAnsi"/>
                <w:b/>
                <w:bCs/>
                <w:color w:val="000000"/>
                <w:sz w:val="20"/>
                <w:szCs w:val="16"/>
                <w:lang w:eastAsia="es-MX"/>
              </w:rPr>
              <w:t>Bienes Inmuebles, Infraestructura y Construcciones en Proceso</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3A6DE89D" w14:textId="77777777" w:rsidR="008D1660" w:rsidRDefault="008D1660" w:rsidP="008D1660">
            <w:pPr>
              <w:jc w:val="center"/>
              <w:rPr>
                <w:rFonts w:ascii="Barlow" w:hAnsi="Barlow" w:cstheme="minorHAnsi"/>
                <w:b/>
                <w:bCs/>
                <w:color w:val="000000"/>
                <w:sz w:val="20"/>
                <w:szCs w:val="16"/>
                <w:lang w:eastAsia="es-MX"/>
              </w:rPr>
            </w:pPr>
          </w:p>
        </w:tc>
        <w:tc>
          <w:tcPr>
            <w:tcW w:w="1418" w:type="dxa"/>
            <w:tcBorders>
              <w:top w:val="single" w:sz="4" w:space="0" w:color="auto"/>
              <w:left w:val="nil"/>
              <w:bottom w:val="single" w:sz="4" w:space="0" w:color="auto"/>
              <w:right w:val="single" w:sz="4" w:space="0" w:color="000000"/>
            </w:tcBorders>
            <w:shd w:val="clear" w:color="auto" w:fill="auto"/>
            <w:noWrap/>
            <w:vAlign w:val="bottom"/>
          </w:tcPr>
          <w:p w14:paraId="2581ADD2" w14:textId="77777777" w:rsidR="008D1660" w:rsidRDefault="008D1660" w:rsidP="008D1660">
            <w:pPr>
              <w:jc w:val="center"/>
              <w:rPr>
                <w:rFonts w:ascii="Barlow" w:hAnsi="Barlow" w:cstheme="minorHAnsi"/>
                <w:b/>
                <w:bCs/>
                <w:color w:val="000000"/>
                <w:sz w:val="20"/>
                <w:szCs w:val="16"/>
                <w:lang w:eastAsia="es-MX"/>
              </w:rPr>
            </w:pPr>
          </w:p>
        </w:tc>
      </w:tr>
      <w:tr w:rsidR="008D1660" w:rsidRPr="00A2263F" w14:paraId="0F4D7619"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F96D188"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Terrenos </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67F1356E" w14:textId="77777777" w:rsidR="008D1660" w:rsidRPr="005546DC" w:rsidRDefault="008D1660" w:rsidP="008D1660">
            <w:pPr>
              <w:jc w:val="right"/>
              <w:rPr>
                <w:rFonts w:ascii="Barlow" w:hAnsi="Barlow" w:cstheme="minorHAnsi"/>
                <w:b/>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w:t>
            </w:r>
            <w:r w:rsidRPr="005546DC">
              <w:rPr>
                <w:rFonts w:ascii="Barlow" w:hAnsi="Barlow" w:cstheme="minorHAnsi"/>
                <w:b/>
                <w:color w:val="000000"/>
                <w:sz w:val="20"/>
                <w:szCs w:val="16"/>
                <w:lang w:eastAsia="es-MX"/>
              </w:rPr>
              <w:t>.</w:t>
            </w:r>
            <w:r>
              <w:rPr>
                <w:rFonts w:ascii="Barlow" w:hAnsi="Barlow" w:cstheme="minorHAnsi"/>
                <w:b/>
                <w:color w:val="000000"/>
                <w:sz w:val="20"/>
                <w:szCs w:val="16"/>
                <w:lang w:eastAsia="es-MX"/>
              </w:rPr>
              <w:t>0</w:t>
            </w:r>
          </w:p>
        </w:tc>
        <w:tc>
          <w:tcPr>
            <w:tcW w:w="1418" w:type="dxa"/>
            <w:tcBorders>
              <w:top w:val="single" w:sz="4" w:space="0" w:color="auto"/>
              <w:left w:val="nil"/>
              <w:bottom w:val="single" w:sz="4" w:space="0" w:color="auto"/>
              <w:right w:val="single" w:sz="4" w:space="0" w:color="000000"/>
            </w:tcBorders>
            <w:shd w:val="clear" w:color="auto" w:fill="auto"/>
            <w:noWrap/>
            <w:vAlign w:val="bottom"/>
          </w:tcPr>
          <w:p w14:paraId="2B9BB3CC" w14:textId="77777777" w:rsidR="008D1660" w:rsidRPr="00A2263F" w:rsidRDefault="008D1660" w:rsidP="008D1660">
            <w:pPr>
              <w:jc w:val="right"/>
              <w:rPr>
                <w:rFonts w:ascii="Barlow" w:hAnsi="Barlow" w:cstheme="minorHAnsi"/>
                <w:b/>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0.00</w:t>
            </w:r>
          </w:p>
        </w:tc>
      </w:tr>
      <w:tr w:rsidR="008D1660" w:rsidRPr="006C4E4C" w14:paraId="7E124194" w14:textId="77777777" w:rsidTr="008D1660">
        <w:trPr>
          <w:trHeight w:val="226"/>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B86085"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Viviendas </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215B9414" w14:textId="77777777" w:rsidR="008D1660" w:rsidRPr="00AE1837" w:rsidRDefault="008D1660" w:rsidP="008D1660">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514C7ADD" w14:textId="77777777" w:rsidR="008D1660" w:rsidRPr="00AE1837" w:rsidRDefault="008D1660" w:rsidP="008D1660">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r>
      <w:tr w:rsidR="008D1660" w:rsidRPr="006C4E4C" w14:paraId="4975CAC2"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D6ACE0B"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Edificios no Habitacionales</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256F3877"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36D5F71C"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D1660" w:rsidRPr="006C4E4C" w14:paraId="71D80D98"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6F0494C"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Infraestructura</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0B38B3C4"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195520CD"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D1660" w:rsidRPr="006C4E4C" w14:paraId="50375734"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8E781C"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Construcción en Proceso en Bienes de Dominio Público</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5CA26F43"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5E9333CE" w14:textId="77777777" w:rsidR="008D1660" w:rsidRPr="00AE1837" w:rsidRDefault="008D1660" w:rsidP="008D1660">
            <w:pPr>
              <w:jc w:val="right"/>
              <w:rPr>
                <w:rFonts w:ascii="Barlow" w:hAnsi="Barlow" w:cstheme="minorHAnsi"/>
                <w:color w:val="000000"/>
                <w:sz w:val="20"/>
                <w:szCs w:val="16"/>
                <w:lang w:eastAsia="es-MX"/>
              </w:rPr>
            </w:pPr>
            <w:r w:rsidRPr="00AE1837">
              <w:rPr>
                <w:rFonts w:ascii="Barlow" w:hAnsi="Barlow" w:cstheme="minorHAnsi"/>
                <w:color w:val="000000"/>
                <w:sz w:val="20"/>
                <w:szCs w:val="16"/>
                <w:lang w:eastAsia="es-MX"/>
              </w:rPr>
              <w:t>0.00</w:t>
            </w:r>
          </w:p>
        </w:tc>
      </w:tr>
      <w:tr w:rsidR="008D1660" w:rsidRPr="006C4E4C" w14:paraId="7D78EFAB"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61938E8"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Construcción en Proceso en Bienes Propios</w:t>
            </w:r>
          </w:p>
        </w:tc>
        <w:tc>
          <w:tcPr>
            <w:tcW w:w="1559" w:type="dxa"/>
            <w:tcBorders>
              <w:top w:val="single" w:sz="4" w:space="0" w:color="auto"/>
              <w:left w:val="nil"/>
              <w:bottom w:val="single" w:sz="4" w:space="0" w:color="auto"/>
              <w:right w:val="single" w:sz="4" w:space="0" w:color="000000"/>
            </w:tcBorders>
            <w:shd w:val="clear" w:color="auto" w:fill="auto"/>
            <w:noWrap/>
            <w:vAlign w:val="bottom"/>
            <w:hideMark/>
          </w:tcPr>
          <w:p w14:paraId="40A92660" w14:textId="77777777" w:rsidR="008D1660" w:rsidRPr="00AE1837" w:rsidRDefault="008D1660" w:rsidP="008D1660">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$ 0</w:t>
            </w:r>
            <w:r w:rsidRPr="00AE1837">
              <w:rPr>
                <w:rFonts w:ascii="Barlow" w:hAnsi="Barlow" w:cstheme="minorHAnsi"/>
                <w:color w:val="000000"/>
                <w:sz w:val="20"/>
                <w:szCs w:val="16"/>
                <w:lang w:eastAsia="es-MX"/>
              </w:rPr>
              <w:t>.</w:t>
            </w:r>
            <w:r>
              <w:rPr>
                <w:rFonts w:ascii="Barlow" w:hAnsi="Barlow" w:cstheme="minorHAnsi"/>
                <w:color w:val="000000"/>
                <w:sz w:val="20"/>
                <w:szCs w:val="16"/>
                <w:lang w:eastAsia="es-MX"/>
              </w:rPr>
              <w:t>00</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343201B9" w14:textId="77777777" w:rsidR="008D1660" w:rsidRPr="00AE1837" w:rsidRDefault="008D1660" w:rsidP="008D1660">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$ 0</w:t>
            </w:r>
            <w:r w:rsidRPr="00AE1837">
              <w:rPr>
                <w:rFonts w:ascii="Barlow" w:hAnsi="Barlow" w:cstheme="minorHAnsi"/>
                <w:color w:val="000000"/>
                <w:sz w:val="20"/>
                <w:szCs w:val="16"/>
                <w:lang w:eastAsia="es-MX"/>
              </w:rPr>
              <w:t>.</w:t>
            </w:r>
            <w:r>
              <w:rPr>
                <w:rFonts w:ascii="Barlow" w:hAnsi="Barlow" w:cstheme="minorHAnsi"/>
                <w:color w:val="000000"/>
                <w:sz w:val="20"/>
                <w:szCs w:val="16"/>
                <w:lang w:eastAsia="es-MX"/>
              </w:rPr>
              <w:t>00</w:t>
            </w:r>
          </w:p>
        </w:tc>
      </w:tr>
      <w:tr w:rsidR="008D1660" w:rsidRPr="006C4E4C" w14:paraId="2D47518B"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38F6EAE"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Otros Bienes Inmuebles </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5095D0EB" w14:textId="77777777" w:rsidR="008D1660" w:rsidRPr="00AE1837" w:rsidRDefault="008D1660" w:rsidP="008D1660">
            <w:pPr>
              <w:jc w:val="right"/>
              <w:rPr>
                <w:rFonts w:ascii="Barlow" w:hAnsi="Barlow" w:cstheme="minorHAnsi"/>
                <w:color w:val="000000"/>
                <w:sz w:val="20"/>
                <w:szCs w:val="16"/>
                <w:lang w:eastAsia="es-MX"/>
              </w:rPr>
            </w:pPr>
          </w:p>
        </w:tc>
        <w:tc>
          <w:tcPr>
            <w:tcW w:w="1418" w:type="dxa"/>
            <w:tcBorders>
              <w:top w:val="single" w:sz="4" w:space="0" w:color="auto"/>
              <w:left w:val="nil"/>
              <w:bottom w:val="single" w:sz="4" w:space="0" w:color="auto"/>
              <w:right w:val="single" w:sz="4" w:space="0" w:color="000000"/>
            </w:tcBorders>
            <w:shd w:val="clear" w:color="auto" w:fill="auto"/>
            <w:noWrap/>
            <w:vAlign w:val="bottom"/>
          </w:tcPr>
          <w:p w14:paraId="1E7C9AB2" w14:textId="77777777" w:rsidR="008D1660" w:rsidRPr="00AE1837" w:rsidRDefault="008D1660" w:rsidP="008D1660">
            <w:pPr>
              <w:jc w:val="right"/>
              <w:rPr>
                <w:rFonts w:ascii="Barlow" w:hAnsi="Barlow" w:cstheme="minorHAnsi"/>
                <w:color w:val="000000"/>
                <w:sz w:val="20"/>
                <w:szCs w:val="16"/>
                <w:lang w:eastAsia="es-MX"/>
              </w:rPr>
            </w:pPr>
          </w:p>
        </w:tc>
      </w:tr>
      <w:tr w:rsidR="008D1660" w:rsidRPr="006C4E4C" w14:paraId="4B141F23" w14:textId="77777777" w:rsidTr="008D1660">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41001C9" w14:textId="77777777" w:rsidR="008D1660" w:rsidRPr="003F434D" w:rsidRDefault="008D1660" w:rsidP="008D1660">
            <w:pPr>
              <w:rPr>
                <w:rFonts w:ascii="Barlow" w:hAnsi="Barlow" w:cstheme="minorHAnsi"/>
                <w:b/>
                <w:bCs/>
                <w:color w:val="000000"/>
                <w:sz w:val="20"/>
                <w:szCs w:val="16"/>
                <w:lang w:eastAsia="es-MX"/>
              </w:rPr>
            </w:pPr>
            <w:r>
              <w:rPr>
                <w:rFonts w:ascii="Barlow" w:hAnsi="Barlow" w:cstheme="minorHAnsi"/>
                <w:b/>
                <w:bCs/>
                <w:color w:val="000000"/>
                <w:sz w:val="20"/>
                <w:szCs w:val="16"/>
                <w:lang w:eastAsia="es-MX"/>
              </w:rPr>
              <w:t>Bienes Muebles</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15215004" w14:textId="77777777" w:rsidR="008D1660" w:rsidRPr="009D116A" w:rsidRDefault="008D1660" w:rsidP="008D1660">
            <w:pPr>
              <w:jc w:val="right"/>
              <w:rPr>
                <w:rFonts w:ascii="Barlow" w:hAnsi="Barlow" w:cstheme="minorHAnsi"/>
                <w:b/>
                <w:bCs/>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shd w:val="clear" w:color="auto" w:fill="auto"/>
            <w:noWrap/>
            <w:vAlign w:val="bottom"/>
          </w:tcPr>
          <w:p w14:paraId="3A0774AF" w14:textId="77777777" w:rsidR="008D1660" w:rsidRPr="009D116A" w:rsidRDefault="008D1660" w:rsidP="008D1660">
            <w:pPr>
              <w:jc w:val="right"/>
              <w:rPr>
                <w:rFonts w:ascii="Barlow" w:hAnsi="Barlow" w:cstheme="minorHAnsi"/>
                <w:b/>
                <w:bCs/>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0.00</w:t>
            </w:r>
          </w:p>
        </w:tc>
      </w:tr>
      <w:tr w:rsidR="008D1660" w:rsidRPr="006C4E4C" w14:paraId="3CD09EAF"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5DFB5914"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Mobiliario y Equipo de Administración</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0E954C87" w14:textId="77777777" w:rsidR="008D1660" w:rsidRPr="00AE1837" w:rsidRDefault="008D1660" w:rsidP="008D1660">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shd w:val="clear" w:color="auto" w:fill="auto"/>
            <w:noWrap/>
          </w:tcPr>
          <w:p w14:paraId="10A59EFA" w14:textId="77777777" w:rsidR="008D1660" w:rsidRPr="00AE1837" w:rsidRDefault="008D1660" w:rsidP="008D1660">
            <w:pPr>
              <w:jc w:val="right"/>
              <w:rPr>
                <w:rFonts w:ascii="Barlow" w:hAnsi="Barlow" w:cstheme="minorHAnsi"/>
                <w:color w:val="000000"/>
                <w:sz w:val="20"/>
                <w:szCs w:val="16"/>
                <w:lang w:eastAsia="es-MX"/>
              </w:rPr>
            </w:pPr>
            <w:r w:rsidRPr="009D7768">
              <w:rPr>
                <w:rFonts w:ascii="Barlow" w:hAnsi="Barlow" w:cstheme="minorHAnsi"/>
                <w:color w:val="000000"/>
                <w:sz w:val="20"/>
                <w:szCs w:val="16"/>
                <w:lang w:eastAsia="es-MX"/>
              </w:rPr>
              <w:t>0.00</w:t>
            </w:r>
          </w:p>
        </w:tc>
      </w:tr>
      <w:tr w:rsidR="008D1660" w:rsidRPr="006C4E4C" w14:paraId="78CA3797"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A646C74"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Mobiliario y Equipo Educacional y Recreativo</w:t>
            </w:r>
          </w:p>
        </w:tc>
        <w:tc>
          <w:tcPr>
            <w:tcW w:w="1559" w:type="dxa"/>
            <w:tcBorders>
              <w:top w:val="single" w:sz="4" w:space="0" w:color="auto"/>
              <w:left w:val="nil"/>
              <w:bottom w:val="single" w:sz="4" w:space="0" w:color="auto"/>
              <w:right w:val="single" w:sz="4" w:space="0" w:color="000000"/>
            </w:tcBorders>
            <w:shd w:val="clear" w:color="auto" w:fill="auto"/>
            <w:noWrap/>
          </w:tcPr>
          <w:p w14:paraId="69A15F8D" w14:textId="77777777" w:rsidR="008D1660" w:rsidRPr="00AE1837" w:rsidRDefault="008D1660" w:rsidP="008D1660">
            <w:pPr>
              <w:jc w:val="right"/>
              <w:rPr>
                <w:rFonts w:ascii="Barlow" w:hAnsi="Barlow" w:cstheme="minorHAnsi"/>
                <w:color w:val="000000"/>
                <w:sz w:val="20"/>
                <w:szCs w:val="16"/>
                <w:lang w:eastAsia="es-MX"/>
              </w:rPr>
            </w:pPr>
            <w:r w:rsidRPr="00820E3E">
              <w:rPr>
                <w:rFonts w:ascii="Barlow" w:hAnsi="Barlow"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shd w:val="clear" w:color="auto" w:fill="auto"/>
            <w:noWrap/>
          </w:tcPr>
          <w:p w14:paraId="6EDB9403" w14:textId="77777777" w:rsidR="008D1660" w:rsidRPr="00AE1837" w:rsidRDefault="008D1660" w:rsidP="008D1660">
            <w:pPr>
              <w:jc w:val="right"/>
              <w:rPr>
                <w:rFonts w:ascii="Barlow" w:hAnsi="Barlow" w:cstheme="minorHAnsi"/>
                <w:color w:val="000000"/>
                <w:sz w:val="20"/>
                <w:szCs w:val="16"/>
                <w:lang w:eastAsia="es-MX"/>
              </w:rPr>
            </w:pPr>
            <w:r w:rsidRPr="009D7768">
              <w:rPr>
                <w:rFonts w:ascii="Barlow" w:hAnsi="Barlow" w:cstheme="minorHAnsi"/>
                <w:color w:val="000000"/>
                <w:sz w:val="20"/>
                <w:szCs w:val="16"/>
                <w:lang w:eastAsia="es-MX"/>
              </w:rPr>
              <w:t>0.00</w:t>
            </w:r>
          </w:p>
        </w:tc>
      </w:tr>
      <w:tr w:rsidR="008D1660" w:rsidRPr="006C4E4C" w14:paraId="3CA0C2F6"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0C3897B"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Equipo e Instrumental Médico y de Laboratorio</w:t>
            </w:r>
          </w:p>
        </w:tc>
        <w:tc>
          <w:tcPr>
            <w:tcW w:w="1559" w:type="dxa"/>
            <w:tcBorders>
              <w:top w:val="single" w:sz="4" w:space="0" w:color="auto"/>
              <w:left w:val="nil"/>
              <w:bottom w:val="single" w:sz="4" w:space="0" w:color="auto"/>
              <w:right w:val="single" w:sz="4" w:space="0" w:color="000000"/>
            </w:tcBorders>
            <w:shd w:val="clear" w:color="auto" w:fill="auto"/>
            <w:noWrap/>
          </w:tcPr>
          <w:p w14:paraId="687DDD44" w14:textId="77777777" w:rsidR="008D1660" w:rsidRPr="00AE1837" w:rsidRDefault="008D1660" w:rsidP="008D1660">
            <w:pPr>
              <w:jc w:val="right"/>
              <w:rPr>
                <w:rFonts w:ascii="Barlow" w:hAnsi="Barlow" w:cstheme="minorHAnsi"/>
                <w:color w:val="000000"/>
                <w:sz w:val="20"/>
                <w:szCs w:val="16"/>
                <w:lang w:eastAsia="es-MX"/>
              </w:rPr>
            </w:pPr>
            <w:r w:rsidRPr="00820E3E">
              <w:rPr>
                <w:rFonts w:ascii="Barlow" w:hAnsi="Barlow"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shd w:val="clear" w:color="auto" w:fill="auto"/>
            <w:noWrap/>
          </w:tcPr>
          <w:p w14:paraId="3F9E72A4" w14:textId="77777777" w:rsidR="008D1660" w:rsidRPr="00AE1837" w:rsidRDefault="008D1660" w:rsidP="008D1660">
            <w:pPr>
              <w:jc w:val="right"/>
              <w:rPr>
                <w:rFonts w:ascii="Barlow" w:hAnsi="Barlow" w:cstheme="minorHAnsi"/>
                <w:color w:val="000000"/>
                <w:sz w:val="20"/>
                <w:szCs w:val="16"/>
                <w:lang w:eastAsia="es-MX"/>
              </w:rPr>
            </w:pPr>
            <w:r w:rsidRPr="009D7768">
              <w:rPr>
                <w:rFonts w:ascii="Barlow" w:hAnsi="Barlow" w:cstheme="minorHAnsi"/>
                <w:color w:val="000000"/>
                <w:sz w:val="20"/>
                <w:szCs w:val="16"/>
                <w:lang w:eastAsia="es-MX"/>
              </w:rPr>
              <w:t>0.00</w:t>
            </w:r>
          </w:p>
        </w:tc>
      </w:tr>
      <w:tr w:rsidR="008D1660" w:rsidRPr="006C4E4C" w14:paraId="6FAA8E51"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E6438D8"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Vehículos y Equipo de Transporte </w:t>
            </w:r>
          </w:p>
        </w:tc>
        <w:tc>
          <w:tcPr>
            <w:tcW w:w="1559" w:type="dxa"/>
            <w:tcBorders>
              <w:top w:val="single" w:sz="4" w:space="0" w:color="auto"/>
              <w:left w:val="nil"/>
              <w:bottom w:val="single" w:sz="4" w:space="0" w:color="auto"/>
              <w:right w:val="single" w:sz="4" w:space="0" w:color="000000"/>
            </w:tcBorders>
            <w:shd w:val="clear" w:color="auto" w:fill="auto"/>
            <w:noWrap/>
          </w:tcPr>
          <w:p w14:paraId="65E5C2BC" w14:textId="77777777" w:rsidR="008D1660" w:rsidRPr="00AE1837" w:rsidRDefault="008D1660" w:rsidP="008D1660">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w:t>
            </w:r>
            <w:r w:rsidRPr="00820E3E">
              <w:rPr>
                <w:rFonts w:ascii="Barlow" w:hAnsi="Barlow" w:cstheme="minorHAnsi"/>
                <w:color w:val="000000"/>
                <w:sz w:val="20"/>
                <w:szCs w:val="16"/>
                <w:lang w:eastAsia="es-MX"/>
              </w:rPr>
              <w:t>.00</w:t>
            </w:r>
          </w:p>
        </w:tc>
        <w:tc>
          <w:tcPr>
            <w:tcW w:w="1418" w:type="dxa"/>
            <w:tcBorders>
              <w:top w:val="single" w:sz="4" w:space="0" w:color="auto"/>
              <w:left w:val="nil"/>
              <w:bottom w:val="single" w:sz="4" w:space="0" w:color="auto"/>
              <w:right w:val="single" w:sz="4" w:space="0" w:color="000000"/>
            </w:tcBorders>
            <w:shd w:val="clear" w:color="auto" w:fill="auto"/>
            <w:noWrap/>
          </w:tcPr>
          <w:p w14:paraId="3A6C8156" w14:textId="77777777" w:rsidR="008D1660" w:rsidRPr="00AE1837" w:rsidRDefault="008D1660" w:rsidP="008D1660">
            <w:pPr>
              <w:jc w:val="right"/>
              <w:rPr>
                <w:rFonts w:ascii="Barlow" w:hAnsi="Barlow" w:cstheme="minorHAnsi"/>
                <w:color w:val="000000"/>
                <w:sz w:val="20"/>
                <w:szCs w:val="16"/>
                <w:lang w:eastAsia="es-MX"/>
              </w:rPr>
            </w:pPr>
            <w:r w:rsidRPr="009D7768">
              <w:rPr>
                <w:rFonts w:ascii="Barlow" w:hAnsi="Barlow" w:cstheme="minorHAnsi"/>
                <w:color w:val="000000"/>
                <w:sz w:val="20"/>
                <w:szCs w:val="16"/>
                <w:lang w:eastAsia="es-MX"/>
              </w:rPr>
              <w:t>0.00</w:t>
            </w:r>
          </w:p>
        </w:tc>
      </w:tr>
      <w:tr w:rsidR="008D1660" w:rsidRPr="006C4E4C" w14:paraId="115FC1AD"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7D229D9A"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Equipo de  Defensa y Seguridad</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3405179B" w14:textId="77777777" w:rsidR="008D1660" w:rsidRPr="00AE1837" w:rsidRDefault="008D1660" w:rsidP="008D1660">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 xml:space="preserve"> 0.00</w:t>
            </w:r>
          </w:p>
        </w:tc>
        <w:tc>
          <w:tcPr>
            <w:tcW w:w="1418" w:type="dxa"/>
            <w:tcBorders>
              <w:top w:val="single" w:sz="4" w:space="0" w:color="auto"/>
              <w:left w:val="nil"/>
              <w:bottom w:val="single" w:sz="4" w:space="0" w:color="auto"/>
              <w:right w:val="single" w:sz="4" w:space="0" w:color="000000"/>
            </w:tcBorders>
            <w:shd w:val="clear" w:color="auto" w:fill="auto"/>
            <w:noWrap/>
          </w:tcPr>
          <w:p w14:paraId="4267561F" w14:textId="77777777" w:rsidR="008D1660" w:rsidRPr="00AE1837" w:rsidRDefault="008D1660" w:rsidP="008D1660">
            <w:pPr>
              <w:jc w:val="right"/>
              <w:rPr>
                <w:rFonts w:ascii="Barlow" w:hAnsi="Barlow" w:cstheme="minorHAnsi"/>
                <w:color w:val="000000"/>
                <w:sz w:val="20"/>
                <w:szCs w:val="16"/>
                <w:lang w:eastAsia="es-MX"/>
              </w:rPr>
            </w:pPr>
            <w:r w:rsidRPr="009D7768">
              <w:rPr>
                <w:rFonts w:ascii="Barlow" w:hAnsi="Barlow" w:cstheme="minorHAnsi"/>
                <w:color w:val="000000"/>
                <w:sz w:val="20"/>
                <w:szCs w:val="16"/>
                <w:lang w:eastAsia="es-MX"/>
              </w:rPr>
              <w:t>0.00</w:t>
            </w:r>
          </w:p>
        </w:tc>
      </w:tr>
      <w:tr w:rsidR="008D1660" w:rsidRPr="006C4E4C" w14:paraId="09267870"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195B83B" w14:textId="77777777" w:rsidR="008D1660"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 xml:space="preserve">Maquinaria, Otros Equipos y Herramientas </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07C9739F" w14:textId="77777777" w:rsidR="008D1660" w:rsidRPr="00AE1837" w:rsidRDefault="008D1660" w:rsidP="008D1660">
            <w:pPr>
              <w:jc w:val="right"/>
              <w:rPr>
                <w:rFonts w:ascii="Barlow" w:hAnsi="Barlow" w:cstheme="minorHAnsi"/>
                <w:color w:val="000000"/>
                <w:sz w:val="20"/>
                <w:szCs w:val="16"/>
                <w:lang w:eastAsia="es-MX"/>
              </w:rPr>
            </w:pPr>
            <w:r>
              <w:rPr>
                <w:rFonts w:ascii="Barlow" w:hAnsi="Barlow" w:cstheme="minorHAnsi"/>
                <w:color w:val="000000"/>
                <w:sz w:val="20"/>
                <w:szCs w:val="16"/>
                <w:lang w:eastAsia="es-MX"/>
              </w:rPr>
              <w:t>0.00</w:t>
            </w:r>
          </w:p>
        </w:tc>
        <w:tc>
          <w:tcPr>
            <w:tcW w:w="1418" w:type="dxa"/>
            <w:tcBorders>
              <w:top w:val="single" w:sz="4" w:space="0" w:color="auto"/>
              <w:left w:val="nil"/>
              <w:bottom w:val="single" w:sz="4" w:space="0" w:color="auto"/>
              <w:right w:val="single" w:sz="4" w:space="0" w:color="000000"/>
            </w:tcBorders>
            <w:shd w:val="clear" w:color="auto" w:fill="auto"/>
            <w:noWrap/>
          </w:tcPr>
          <w:p w14:paraId="5665597A" w14:textId="77777777" w:rsidR="008D1660" w:rsidRPr="00AE1837" w:rsidRDefault="008D1660" w:rsidP="008D1660">
            <w:pPr>
              <w:jc w:val="right"/>
              <w:rPr>
                <w:rFonts w:ascii="Barlow" w:hAnsi="Barlow" w:cstheme="minorHAnsi"/>
                <w:color w:val="000000"/>
                <w:sz w:val="20"/>
                <w:szCs w:val="16"/>
                <w:lang w:eastAsia="es-MX"/>
              </w:rPr>
            </w:pPr>
            <w:r w:rsidRPr="009D7768">
              <w:rPr>
                <w:rFonts w:ascii="Barlow" w:hAnsi="Barlow" w:cstheme="minorHAnsi"/>
                <w:color w:val="000000"/>
                <w:sz w:val="20"/>
                <w:szCs w:val="16"/>
                <w:lang w:eastAsia="es-MX"/>
              </w:rPr>
              <w:t>0.00</w:t>
            </w:r>
          </w:p>
        </w:tc>
      </w:tr>
      <w:tr w:rsidR="008D1660" w:rsidRPr="006C4E4C" w14:paraId="54FB6384"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23E70F5F" w14:textId="77777777" w:rsidR="008D1660"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Colecciones, Obras de Arte y Objetos Valiosos</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72456934" w14:textId="77777777" w:rsidR="008D1660" w:rsidRPr="00AE1837" w:rsidRDefault="008D1660" w:rsidP="008D1660">
            <w:pPr>
              <w:jc w:val="right"/>
              <w:rPr>
                <w:rFonts w:ascii="Barlow" w:hAnsi="Barlow" w:cstheme="minorHAnsi"/>
                <w:color w:val="000000"/>
                <w:sz w:val="20"/>
                <w:szCs w:val="16"/>
                <w:lang w:eastAsia="es-MX"/>
              </w:rPr>
            </w:pPr>
          </w:p>
        </w:tc>
        <w:tc>
          <w:tcPr>
            <w:tcW w:w="1418" w:type="dxa"/>
            <w:tcBorders>
              <w:top w:val="single" w:sz="4" w:space="0" w:color="auto"/>
              <w:left w:val="nil"/>
              <w:bottom w:val="single" w:sz="4" w:space="0" w:color="auto"/>
              <w:right w:val="single" w:sz="4" w:space="0" w:color="000000"/>
            </w:tcBorders>
            <w:shd w:val="clear" w:color="auto" w:fill="auto"/>
            <w:noWrap/>
            <w:vAlign w:val="bottom"/>
          </w:tcPr>
          <w:p w14:paraId="6BE1EAD8" w14:textId="77777777" w:rsidR="008D1660" w:rsidRPr="00AE1837" w:rsidRDefault="008D1660" w:rsidP="008D1660">
            <w:pPr>
              <w:jc w:val="right"/>
              <w:rPr>
                <w:rFonts w:ascii="Barlow" w:hAnsi="Barlow" w:cstheme="minorHAnsi"/>
                <w:color w:val="000000"/>
                <w:sz w:val="20"/>
                <w:szCs w:val="16"/>
                <w:lang w:eastAsia="es-MX"/>
              </w:rPr>
            </w:pPr>
          </w:p>
        </w:tc>
      </w:tr>
      <w:tr w:rsidR="008D1660" w:rsidRPr="006C4E4C" w14:paraId="301FB759"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B25B351" w14:textId="77777777" w:rsidR="008D1660" w:rsidRPr="003F434D" w:rsidRDefault="008D1660" w:rsidP="008D1660">
            <w:pPr>
              <w:rPr>
                <w:rFonts w:ascii="Barlow" w:hAnsi="Barlow" w:cstheme="minorHAnsi"/>
                <w:color w:val="000000"/>
                <w:sz w:val="20"/>
                <w:szCs w:val="16"/>
                <w:lang w:eastAsia="es-MX"/>
              </w:rPr>
            </w:pPr>
            <w:r>
              <w:rPr>
                <w:rFonts w:ascii="Barlow" w:hAnsi="Barlow" w:cstheme="minorHAnsi"/>
                <w:color w:val="000000"/>
                <w:sz w:val="20"/>
                <w:szCs w:val="16"/>
                <w:lang w:eastAsia="es-MX"/>
              </w:rPr>
              <w:t>Activos Biológicos</w:t>
            </w:r>
          </w:p>
        </w:tc>
        <w:tc>
          <w:tcPr>
            <w:tcW w:w="1559" w:type="dxa"/>
            <w:tcBorders>
              <w:top w:val="single" w:sz="4" w:space="0" w:color="auto"/>
              <w:left w:val="nil"/>
              <w:bottom w:val="single" w:sz="4" w:space="0" w:color="auto"/>
              <w:right w:val="single" w:sz="4" w:space="0" w:color="000000"/>
            </w:tcBorders>
            <w:shd w:val="clear" w:color="auto" w:fill="auto"/>
            <w:noWrap/>
            <w:vAlign w:val="bottom"/>
          </w:tcPr>
          <w:p w14:paraId="005D07A4" w14:textId="77777777" w:rsidR="008D1660" w:rsidRPr="00AE1837" w:rsidRDefault="008D1660" w:rsidP="008D1660">
            <w:pPr>
              <w:jc w:val="right"/>
              <w:rPr>
                <w:rFonts w:ascii="Barlow" w:hAnsi="Barlow" w:cstheme="minorHAnsi"/>
                <w:color w:val="000000"/>
                <w:sz w:val="20"/>
                <w:szCs w:val="16"/>
                <w:lang w:eastAsia="es-MX"/>
              </w:rPr>
            </w:pPr>
          </w:p>
        </w:tc>
        <w:tc>
          <w:tcPr>
            <w:tcW w:w="1418" w:type="dxa"/>
            <w:tcBorders>
              <w:top w:val="single" w:sz="4" w:space="0" w:color="auto"/>
              <w:left w:val="nil"/>
              <w:bottom w:val="single" w:sz="4" w:space="0" w:color="auto"/>
              <w:right w:val="single" w:sz="4" w:space="0" w:color="000000"/>
            </w:tcBorders>
            <w:shd w:val="clear" w:color="auto" w:fill="auto"/>
            <w:noWrap/>
            <w:vAlign w:val="bottom"/>
          </w:tcPr>
          <w:p w14:paraId="0BFAD08F" w14:textId="77777777" w:rsidR="008D1660" w:rsidRPr="00AE1837" w:rsidRDefault="008D1660" w:rsidP="008D1660">
            <w:pPr>
              <w:jc w:val="right"/>
              <w:rPr>
                <w:rFonts w:ascii="Barlow" w:hAnsi="Barlow" w:cstheme="minorHAnsi"/>
                <w:color w:val="000000"/>
                <w:sz w:val="20"/>
                <w:szCs w:val="16"/>
                <w:lang w:eastAsia="es-MX"/>
              </w:rPr>
            </w:pPr>
          </w:p>
        </w:tc>
      </w:tr>
      <w:tr w:rsidR="008D1660" w:rsidRPr="006C4E4C" w14:paraId="08F653EB" w14:textId="77777777" w:rsidTr="008D1660">
        <w:trPr>
          <w:trHeight w:val="157"/>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4BC9986E" w14:textId="77777777" w:rsidR="008D1660" w:rsidRPr="0088235E" w:rsidRDefault="008D1660" w:rsidP="008D1660">
            <w:pPr>
              <w:rPr>
                <w:rFonts w:ascii="Barlow" w:hAnsi="Barlow" w:cstheme="minorHAnsi"/>
                <w:b/>
                <w:color w:val="000000"/>
                <w:sz w:val="20"/>
                <w:szCs w:val="16"/>
                <w:lang w:eastAsia="es-MX"/>
              </w:rPr>
            </w:pPr>
            <w:r w:rsidRPr="0088235E">
              <w:rPr>
                <w:rFonts w:ascii="Barlow" w:hAnsi="Barlow" w:cstheme="minorHAnsi"/>
                <w:b/>
                <w:color w:val="000000"/>
                <w:sz w:val="20"/>
                <w:szCs w:val="16"/>
                <w:lang w:eastAsia="es-MX"/>
              </w:rPr>
              <w:t>Otras Inversiones</w:t>
            </w:r>
          </w:p>
        </w:tc>
        <w:tc>
          <w:tcPr>
            <w:tcW w:w="1559" w:type="dxa"/>
            <w:tcBorders>
              <w:top w:val="single" w:sz="4" w:space="0" w:color="auto"/>
              <w:left w:val="nil"/>
              <w:bottom w:val="single" w:sz="4" w:space="0" w:color="auto"/>
              <w:right w:val="single" w:sz="4" w:space="0" w:color="000000"/>
            </w:tcBorders>
            <w:shd w:val="clear" w:color="auto" w:fill="auto"/>
            <w:noWrap/>
          </w:tcPr>
          <w:p w14:paraId="0FE98D04" w14:textId="77777777" w:rsidR="008D1660" w:rsidRPr="005546DC" w:rsidRDefault="008D1660" w:rsidP="008D1660">
            <w:pPr>
              <w:jc w:val="right"/>
              <w:rPr>
                <w:rFonts w:ascii="Barlow" w:hAnsi="Barlow" w:cstheme="minorHAnsi"/>
                <w:b/>
                <w:color w:val="000000"/>
                <w:sz w:val="20"/>
                <w:szCs w:val="16"/>
                <w:lang w:eastAsia="es-MX"/>
              </w:rPr>
            </w:pPr>
            <w:r w:rsidRPr="0010266E">
              <w:rPr>
                <w:rFonts w:ascii="Barlow" w:hAnsi="Barlow" w:cstheme="minorHAnsi"/>
                <w:b/>
                <w:color w:val="000000"/>
                <w:sz w:val="20"/>
                <w:szCs w:val="16"/>
                <w:lang w:eastAsia="es-MX"/>
              </w:rPr>
              <w:t>$ 0.00</w:t>
            </w:r>
          </w:p>
        </w:tc>
        <w:tc>
          <w:tcPr>
            <w:tcW w:w="1418" w:type="dxa"/>
            <w:tcBorders>
              <w:top w:val="single" w:sz="4" w:space="0" w:color="auto"/>
              <w:left w:val="nil"/>
              <w:bottom w:val="single" w:sz="4" w:space="0" w:color="auto"/>
              <w:right w:val="single" w:sz="4" w:space="0" w:color="000000"/>
            </w:tcBorders>
            <w:shd w:val="clear" w:color="auto" w:fill="auto"/>
            <w:noWrap/>
            <w:vAlign w:val="bottom"/>
          </w:tcPr>
          <w:p w14:paraId="0DD3948B" w14:textId="77777777" w:rsidR="008D1660" w:rsidRPr="00AE1837" w:rsidRDefault="008D1660" w:rsidP="008D1660">
            <w:pPr>
              <w:jc w:val="right"/>
              <w:rPr>
                <w:rFonts w:ascii="Barlow" w:hAnsi="Barlow" w:cstheme="minorHAnsi"/>
                <w:color w:val="000000"/>
                <w:sz w:val="20"/>
                <w:szCs w:val="16"/>
                <w:lang w:eastAsia="es-MX"/>
              </w:rPr>
            </w:pP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0.00</w:t>
            </w:r>
          </w:p>
        </w:tc>
      </w:tr>
      <w:tr w:rsidR="008D1660" w:rsidRPr="006C4E4C" w14:paraId="1C3590F8" w14:textId="77777777" w:rsidTr="008D1660">
        <w:trPr>
          <w:trHeight w:val="165"/>
        </w:trPr>
        <w:tc>
          <w:tcPr>
            <w:tcW w:w="6516"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FE136B" w14:textId="77777777" w:rsidR="008D1660" w:rsidRPr="003F434D" w:rsidRDefault="008D1660" w:rsidP="008D1660">
            <w:pPr>
              <w:jc w:val="right"/>
              <w:rPr>
                <w:rFonts w:ascii="Barlow" w:hAnsi="Barlow" w:cstheme="minorHAnsi"/>
                <w:b/>
                <w:bCs/>
                <w:color w:val="000000"/>
                <w:sz w:val="20"/>
                <w:szCs w:val="16"/>
                <w:lang w:eastAsia="es-MX"/>
              </w:rPr>
            </w:pPr>
            <w:r w:rsidRPr="003F434D">
              <w:rPr>
                <w:rFonts w:ascii="Barlow" w:hAnsi="Barlow" w:cstheme="minorHAnsi"/>
                <w:b/>
                <w:bCs/>
                <w:color w:val="000000"/>
                <w:sz w:val="20"/>
                <w:szCs w:val="16"/>
                <w:lang w:eastAsia="es-MX"/>
              </w:rPr>
              <w:t xml:space="preserve">Total </w:t>
            </w:r>
          </w:p>
        </w:tc>
        <w:tc>
          <w:tcPr>
            <w:tcW w:w="1559" w:type="dxa"/>
            <w:tcBorders>
              <w:top w:val="single" w:sz="4" w:space="0" w:color="auto"/>
              <w:left w:val="nil"/>
              <w:bottom w:val="single" w:sz="4" w:space="0" w:color="auto"/>
              <w:right w:val="single" w:sz="4" w:space="0" w:color="000000"/>
            </w:tcBorders>
            <w:shd w:val="clear" w:color="auto" w:fill="auto"/>
            <w:noWrap/>
            <w:hideMark/>
          </w:tcPr>
          <w:p w14:paraId="6A3BE0C9" w14:textId="77777777" w:rsidR="008D1660" w:rsidRPr="00896D10" w:rsidRDefault="008D1660" w:rsidP="008D1660">
            <w:pPr>
              <w:jc w:val="right"/>
              <w:rPr>
                <w:rFonts w:ascii="Barlow" w:hAnsi="Barlow" w:cstheme="minorHAnsi"/>
                <w:b/>
                <w:bCs/>
                <w:color w:val="000000"/>
                <w:sz w:val="20"/>
                <w:szCs w:val="16"/>
                <w:lang w:eastAsia="es-MX"/>
              </w:rPr>
            </w:pPr>
            <w:r w:rsidRPr="0010266E">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w:t>
            </w:r>
            <w:r w:rsidRPr="0010266E">
              <w:rPr>
                <w:rFonts w:ascii="Barlow" w:hAnsi="Barlow" w:cstheme="minorHAnsi"/>
                <w:b/>
                <w:color w:val="000000"/>
                <w:sz w:val="20"/>
                <w:szCs w:val="16"/>
                <w:lang w:eastAsia="es-MX"/>
              </w:rPr>
              <w:t>.</w:t>
            </w:r>
            <w:r>
              <w:rPr>
                <w:rFonts w:ascii="Barlow" w:hAnsi="Barlow" w:cstheme="minorHAnsi"/>
                <w:b/>
                <w:color w:val="000000"/>
                <w:sz w:val="20"/>
                <w:szCs w:val="16"/>
                <w:lang w:eastAsia="es-MX"/>
              </w:rPr>
              <w:t>00</w:t>
            </w:r>
          </w:p>
        </w:tc>
        <w:tc>
          <w:tcPr>
            <w:tcW w:w="1418" w:type="dxa"/>
            <w:tcBorders>
              <w:top w:val="single" w:sz="4" w:space="0" w:color="auto"/>
              <w:left w:val="nil"/>
              <w:bottom w:val="single" w:sz="4" w:space="0" w:color="auto"/>
              <w:right w:val="single" w:sz="4" w:space="0" w:color="000000"/>
            </w:tcBorders>
            <w:shd w:val="clear" w:color="auto" w:fill="auto"/>
            <w:noWrap/>
            <w:vAlign w:val="bottom"/>
            <w:hideMark/>
          </w:tcPr>
          <w:p w14:paraId="162B7509" w14:textId="77777777" w:rsidR="008D1660" w:rsidRPr="00896D10" w:rsidRDefault="008D1660" w:rsidP="008D1660">
            <w:pPr>
              <w:jc w:val="right"/>
              <w:rPr>
                <w:rFonts w:ascii="Barlow" w:hAnsi="Barlow" w:cstheme="minorHAnsi"/>
                <w:b/>
                <w:bCs/>
                <w:color w:val="000000"/>
                <w:sz w:val="20"/>
                <w:szCs w:val="16"/>
                <w:lang w:eastAsia="es-MX"/>
              </w:rPr>
            </w:pPr>
            <w:r w:rsidRPr="00896D10">
              <w:rPr>
                <w:rFonts w:ascii="Barlow" w:hAnsi="Barlow" w:cstheme="minorHAnsi"/>
                <w:b/>
                <w:bCs/>
                <w:color w:val="000000"/>
                <w:sz w:val="20"/>
                <w:szCs w:val="16"/>
                <w:lang w:eastAsia="es-MX"/>
              </w:rPr>
              <w:t xml:space="preserve"> </w:t>
            </w:r>
            <w:r w:rsidRPr="005546DC">
              <w:rPr>
                <w:rFonts w:ascii="Barlow" w:hAnsi="Barlow" w:cstheme="minorHAnsi"/>
                <w:b/>
                <w:color w:val="000000"/>
                <w:sz w:val="20"/>
                <w:szCs w:val="16"/>
                <w:lang w:eastAsia="es-MX"/>
              </w:rPr>
              <w:t xml:space="preserve">$ </w:t>
            </w:r>
            <w:r>
              <w:rPr>
                <w:rFonts w:ascii="Barlow" w:hAnsi="Barlow" w:cstheme="minorHAnsi"/>
                <w:b/>
                <w:color w:val="000000"/>
                <w:sz w:val="20"/>
                <w:szCs w:val="16"/>
                <w:lang w:eastAsia="es-MX"/>
              </w:rPr>
              <w:t>0.00</w:t>
            </w:r>
          </w:p>
        </w:tc>
      </w:tr>
    </w:tbl>
    <w:p w14:paraId="36387904" w14:textId="77777777" w:rsidR="0088235E" w:rsidRDefault="0088235E" w:rsidP="00DA1E17">
      <w:pPr>
        <w:autoSpaceDE w:val="0"/>
        <w:autoSpaceDN w:val="0"/>
        <w:adjustRightInd w:val="0"/>
        <w:jc w:val="both"/>
        <w:rPr>
          <w:rFonts w:ascii="Barlow" w:hAnsi="Barlow" w:cstheme="minorHAnsi"/>
          <w:bCs/>
          <w:sz w:val="20"/>
          <w:szCs w:val="20"/>
        </w:rPr>
      </w:pPr>
    </w:p>
    <w:p w14:paraId="781D9DE6" w14:textId="77777777" w:rsidR="0088235E" w:rsidRDefault="0088235E" w:rsidP="00DA1E17">
      <w:pPr>
        <w:autoSpaceDE w:val="0"/>
        <w:autoSpaceDN w:val="0"/>
        <w:adjustRightInd w:val="0"/>
        <w:jc w:val="both"/>
        <w:rPr>
          <w:rFonts w:ascii="Barlow" w:hAnsi="Barlow" w:cstheme="minorHAnsi"/>
          <w:bCs/>
          <w:sz w:val="20"/>
          <w:szCs w:val="20"/>
        </w:rPr>
      </w:pPr>
    </w:p>
    <w:p w14:paraId="233F78AB" w14:textId="77777777" w:rsidR="0088235E" w:rsidRDefault="0088235E" w:rsidP="00DA1E17">
      <w:pPr>
        <w:autoSpaceDE w:val="0"/>
        <w:autoSpaceDN w:val="0"/>
        <w:adjustRightInd w:val="0"/>
        <w:jc w:val="both"/>
        <w:rPr>
          <w:rFonts w:ascii="Barlow" w:hAnsi="Barlow" w:cstheme="minorHAnsi"/>
          <w:bCs/>
          <w:sz w:val="20"/>
          <w:szCs w:val="20"/>
        </w:rPr>
      </w:pPr>
    </w:p>
    <w:p w14:paraId="5504F231" w14:textId="77777777" w:rsidR="0088235E" w:rsidRDefault="0088235E" w:rsidP="00DA1E17">
      <w:pPr>
        <w:autoSpaceDE w:val="0"/>
        <w:autoSpaceDN w:val="0"/>
        <w:adjustRightInd w:val="0"/>
        <w:jc w:val="both"/>
        <w:rPr>
          <w:rFonts w:ascii="Barlow" w:hAnsi="Barlow" w:cstheme="minorHAnsi"/>
          <w:bCs/>
          <w:sz w:val="20"/>
          <w:szCs w:val="20"/>
        </w:rPr>
      </w:pPr>
    </w:p>
    <w:p w14:paraId="36BD532D" w14:textId="77777777" w:rsidR="007326D2" w:rsidRDefault="007326D2" w:rsidP="006A5B85">
      <w:pPr>
        <w:autoSpaceDE w:val="0"/>
        <w:autoSpaceDN w:val="0"/>
        <w:adjustRightInd w:val="0"/>
        <w:jc w:val="both"/>
        <w:rPr>
          <w:rFonts w:ascii="Barlow" w:hAnsi="Barlow" w:cstheme="minorHAnsi"/>
          <w:bCs/>
          <w:sz w:val="20"/>
          <w:szCs w:val="20"/>
        </w:rPr>
      </w:pPr>
    </w:p>
    <w:p w14:paraId="029CB272" w14:textId="77777777" w:rsidR="0088235E" w:rsidRDefault="0088235E" w:rsidP="006A5B85">
      <w:pPr>
        <w:autoSpaceDE w:val="0"/>
        <w:autoSpaceDN w:val="0"/>
        <w:adjustRightInd w:val="0"/>
        <w:jc w:val="both"/>
        <w:rPr>
          <w:rFonts w:ascii="Barlow" w:hAnsi="Barlow" w:cstheme="minorHAnsi"/>
          <w:bCs/>
          <w:sz w:val="20"/>
          <w:szCs w:val="20"/>
        </w:rPr>
      </w:pPr>
    </w:p>
    <w:p w14:paraId="50768027" w14:textId="77777777" w:rsidR="0088235E" w:rsidRDefault="0088235E" w:rsidP="006A5B85">
      <w:pPr>
        <w:autoSpaceDE w:val="0"/>
        <w:autoSpaceDN w:val="0"/>
        <w:adjustRightInd w:val="0"/>
        <w:jc w:val="both"/>
        <w:rPr>
          <w:rFonts w:ascii="Barlow" w:hAnsi="Barlow" w:cstheme="minorHAnsi"/>
          <w:bCs/>
          <w:sz w:val="20"/>
          <w:szCs w:val="20"/>
        </w:rPr>
      </w:pPr>
    </w:p>
    <w:p w14:paraId="6D1F2F9C" w14:textId="77777777" w:rsidR="0088235E" w:rsidRDefault="0088235E" w:rsidP="006A5B85">
      <w:pPr>
        <w:autoSpaceDE w:val="0"/>
        <w:autoSpaceDN w:val="0"/>
        <w:adjustRightInd w:val="0"/>
        <w:jc w:val="both"/>
        <w:rPr>
          <w:rFonts w:ascii="Barlow" w:hAnsi="Barlow" w:cstheme="minorHAnsi"/>
          <w:bCs/>
          <w:sz w:val="20"/>
          <w:szCs w:val="20"/>
        </w:rPr>
      </w:pPr>
    </w:p>
    <w:p w14:paraId="6072638A" w14:textId="77777777" w:rsidR="0088235E" w:rsidRDefault="0088235E" w:rsidP="006A5B85">
      <w:pPr>
        <w:autoSpaceDE w:val="0"/>
        <w:autoSpaceDN w:val="0"/>
        <w:adjustRightInd w:val="0"/>
        <w:jc w:val="both"/>
        <w:rPr>
          <w:rFonts w:ascii="Barlow" w:hAnsi="Barlow" w:cstheme="minorHAnsi"/>
          <w:bCs/>
          <w:sz w:val="20"/>
          <w:szCs w:val="20"/>
        </w:rPr>
      </w:pPr>
    </w:p>
    <w:p w14:paraId="1F618651" w14:textId="77777777" w:rsidR="0088235E" w:rsidRDefault="0088235E" w:rsidP="006A5B85">
      <w:pPr>
        <w:autoSpaceDE w:val="0"/>
        <w:autoSpaceDN w:val="0"/>
        <w:adjustRightInd w:val="0"/>
        <w:jc w:val="both"/>
        <w:rPr>
          <w:rFonts w:ascii="Barlow" w:hAnsi="Barlow" w:cstheme="minorHAnsi"/>
          <w:bCs/>
          <w:sz w:val="20"/>
          <w:szCs w:val="20"/>
        </w:rPr>
      </w:pPr>
    </w:p>
    <w:p w14:paraId="7B6A9B74" w14:textId="77777777" w:rsidR="0088235E" w:rsidRDefault="0088235E" w:rsidP="006A5B85">
      <w:pPr>
        <w:autoSpaceDE w:val="0"/>
        <w:autoSpaceDN w:val="0"/>
        <w:adjustRightInd w:val="0"/>
        <w:jc w:val="both"/>
        <w:rPr>
          <w:rFonts w:ascii="Barlow" w:hAnsi="Barlow" w:cstheme="minorHAnsi"/>
          <w:bCs/>
          <w:sz w:val="20"/>
          <w:szCs w:val="20"/>
        </w:rPr>
      </w:pPr>
    </w:p>
    <w:p w14:paraId="4E5A7902" w14:textId="77777777" w:rsidR="00E832A4" w:rsidRDefault="00E832A4" w:rsidP="006A5B85">
      <w:pPr>
        <w:autoSpaceDE w:val="0"/>
        <w:autoSpaceDN w:val="0"/>
        <w:adjustRightInd w:val="0"/>
        <w:jc w:val="both"/>
        <w:rPr>
          <w:rFonts w:ascii="Barlow" w:hAnsi="Barlow" w:cstheme="minorHAnsi"/>
          <w:bCs/>
          <w:sz w:val="20"/>
          <w:szCs w:val="20"/>
        </w:rPr>
      </w:pPr>
    </w:p>
    <w:p w14:paraId="79078671" w14:textId="77777777" w:rsidR="00BC1145" w:rsidRDefault="00BC1145" w:rsidP="006A5B85">
      <w:pPr>
        <w:autoSpaceDE w:val="0"/>
        <w:autoSpaceDN w:val="0"/>
        <w:adjustRightInd w:val="0"/>
        <w:jc w:val="both"/>
        <w:rPr>
          <w:rFonts w:ascii="Barlow" w:hAnsi="Barlow" w:cstheme="minorHAnsi"/>
          <w:bCs/>
          <w:sz w:val="20"/>
          <w:szCs w:val="20"/>
        </w:rPr>
      </w:pPr>
    </w:p>
    <w:p w14:paraId="30BD8FC4" w14:textId="77777777" w:rsidR="00BC1145" w:rsidRDefault="00BC1145" w:rsidP="006A5B85">
      <w:pPr>
        <w:autoSpaceDE w:val="0"/>
        <w:autoSpaceDN w:val="0"/>
        <w:adjustRightInd w:val="0"/>
        <w:jc w:val="both"/>
        <w:rPr>
          <w:rFonts w:ascii="Barlow" w:hAnsi="Barlow" w:cstheme="minorHAnsi"/>
          <w:bCs/>
          <w:sz w:val="20"/>
          <w:szCs w:val="20"/>
        </w:rPr>
      </w:pPr>
    </w:p>
    <w:p w14:paraId="73412FA3" w14:textId="77777777" w:rsidR="00BC1145" w:rsidRDefault="00BC1145" w:rsidP="006A5B85">
      <w:pPr>
        <w:autoSpaceDE w:val="0"/>
        <w:autoSpaceDN w:val="0"/>
        <w:adjustRightInd w:val="0"/>
        <w:jc w:val="both"/>
        <w:rPr>
          <w:rFonts w:ascii="Barlow" w:hAnsi="Barlow" w:cstheme="minorHAnsi"/>
          <w:bCs/>
          <w:sz w:val="20"/>
          <w:szCs w:val="20"/>
        </w:rPr>
      </w:pPr>
    </w:p>
    <w:p w14:paraId="26CD6D76" w14:textId="77777777" w:rsidR="00BC1145" w:rsidRDefault="00BC1145" w:rsidP="006A5B85">
      <w:pPr>
        <w:autoSpaceDE w:val="0"/>
        <w:autoSpaceDN w:val="0"/>
        <w:adjustRightInd w:val="0"/>
        <w:jc w:val="both"/>
        <w:rPr>
          <w:rFonts w:ascii="Barlow" w:hAnsi="Barlow" w:cstheme="minorHAnsi"/>
          <w:bCs/>
          <w:sz w:val="20"/>
          <w:szCs w:val="20"/>
        </w:rPr>
      </w:pPr>
    </w:p>
    <w:p w14:paraId="31ED1B6A" w14:textId="77777777" w:rsidR="00BC1145" w:rsidRDefault="00BC1145" w:rsidP="006A5B85">
      <w:pPr>
        <w:autoSpaceDE w:val="0"/>
        <w:autoSpaceDN w:val="0"/>
        <w:adjustRightInd w:val="0"/>
        <w:jc w:val="both"/>
        <w:rPr>
          <w:rFonts w:ascii="Barlow" w:hAnsi="Barlow" w:cstheme="minorHAnsi"/>
          <w:bCs/>
          <w:sz w:val="20"/>
          <w:szCs w:val="20"/>
        </w:rPr>
      </w:pPr>
    </w:p>
    <w:p w14:paraId="70417949" w14:textId="77777777" w:rsidR="00BC1145" w:rsidRDefault="00BC1145" w:rsidP="006A5B85">
      <w:pPr>
        <w:autoSpaceDE w:val="0"/>
        <w:autoSpaceDN w:val="0"/>
        <w:adjustRightInd w:val="0"/>
        <w:jc w:val="both"/>
        <w:rPr>
          <w:rFonts w:ascii="Barlow" w:hAnsi="Barlow" w:cstheme="minorHAnsi"/>
          <w:bCs/>
          <w:sz w:val="20"/>
          <w:szCs w:val="20"/>
        </w:rPr>
      </w:pPr>
    </w:p>
    <w:p w14:paraId="5614C052" w14:textId="77777777" w:rsidR="0088235E" w:rsidRDefault="0088235E" w:rsidP="006A5B85">
      <w:pPr>
        <w:autoSpaceDE w:val="0"/>
        <w:autoSpaceDN w:val="0"/>
        <w:adjustRightInd w:val="0"/>
        <w:jc w:val="both"/>
        <w:rPr>
          <w:rFonts w:ascii="Barlow" w:hAnsi="Barlow" w:cstheme="minorHAnsi"/>
          <w:bCs/>
          <w:sz w:val="20"/>
          <w:szCs w:val="20"/>
        </w:rPr>
      </w:pPr>
    </w:p>
    <w:p w14:paraId="668840C6" w14:textId="77777777" w:rsidR="006A3710" w:rsidRDefault="006A3710" w:rsidP="006A5B85">
      <w:pPr>
        <w:autoSpaceDE w:val="0"/>
        <w:autoSpaceDN w:val="0"/>
        <w:adjustRightInd w:val="0"/>
        <w:jc w:val="both"/>
        <w:rPr>
          <w:rFonts w:ascii="Barlow" w:hAnsi="Barlow" w:cstheme="minorHAnsi"/>
          <w:bCs/>
          <w:sz w:val="20"/>
          <w:szCs w:val="20"/>
        </w:rPr>
      </w:pPr>
    </w:p>
    <w:p w14:paraId="1429D5CE" w14:textId="77777777" w:rsidR="006A3710" w:rsidRDefault="006A3710" w:rsidP="006A5B85">
      <w:pPr>
        <w:autoSpaceDE w:val="0"/>
        <w:autoSpaceDN w:val="0"/>
        <w:adjustRightInd w:val="0"/>
        <w:jc w:val="both"/>
        <w:rPr>
          <w:rFonts w:ascii="Barlow" w:hAnsi="Barlow" w:cstheme="minorHAnsi"/>
          <w:bCs/>
          <w:sz w:val="20"/>
          <w:szCs w:val="20"/>
        </w:rPr>
      </w:pPr>
    </w:p>
    <w:p w14:paraId="23FC0C91" w14:textId="77777777" w:rsidR="006A3710" w:rsidRDefault="006A3710" w:rsidP="006A5B85">
      <w:pPr>
        <w:autoSpaceDE w:val="0"/>
        <w:autoSpaceDN w:val="0"/>
        <w:adjustRightInd w:val="0"/>
        <w:jc w:val="both"/>
        <w:rPr>
          <w:rFonts w:ascii="Barlow" w:hAnsi="Barlow" w:cstheme="minorHAnsi"/>
          <w:bCs/>
          <w:sz w:val="20"/>
          <w:szCs w:val="20"/>
        </w:rPr>
      </w:pPr>
    </w:p>
    <w:p w14:paraId="177ACA28" w14:textId="072123ED" w:rsidR="006A3710" w:rsidRDefault="006A3710" w:rsidP="006A5B85">
      <w:pPr>
        <w:autoSpaceDE w:val="0"/>
        <w:autoSpaceDN w:val="0"/>
        <w:adjustRightInd w:val="0"/>
        <w:jc w:val="both"/>
        <w:rPr>
          <w:rFonts w:ascii="Barlow" w:hAnsi="Barlow" w:cstheme="minorHAnsi"/>
          <w:bCs/>
          <w:sz w:val="20"/>
          <w:szCs w:val="20"/>
        </w:rPr>
      </w:pPr>
    </w:p>
    <w:p w14:paraId="1D6C0222" w14:textId="539A8D52" w:rsidR="008D1660" w:rsidRDefault="008D1660" w:rsidP="006A5B85">
      <w:pPr>
        <w:autoSpaceDE w:val="0"/>
        <w:autoSpaceDN w:val="0"/>
        <w:adjustRightInd w:val="0"/>
        <w:jc w:val="both"/>
        <w:rPr>
          <w:rFonts w:ascii="Barlow" w:hAnsi="Barlow" w:cstheme="minorHAnsi"/>
          <w:bCs/>
          <w:sz w:val="20"/>
          <w:szCs w:val="20"/>
        </w:rPr>
      </w:pPr>
    </w:p>
    <w:p w14:paraId="6B2C5AC1" w14:textId="1FA28165" w:rsidR="008D1660" w:rsidRDefault="008D1660" w:rsidP="006A5B85">
      <w:pPr>
        <w:autoSpaceDE w:val="0"/>
        <w:autoSpaceDN w:val="0"/>
        <w:adjustRightInd w:val="0"/>
        <w:jc w:val="both"/>
        <w:rPr>
          <w:rFonts w:ascii="Barlow" w:hAnsi="Barlow" w:cstheme="minorHAnsi"/>
          <w:bCs/>
          <w:sz w:val="20"/>
          <w:szCs w:val="20"/>
        </w:rPr>
      </w:pPr>
    </w:p>
    <w:p w14:paraId="384ACD18" w14:textId="7131B998" w:rsidR="008D1660" w:rsidRDefault="008D1660" w:rsidP="006A5B85">
      <w:pPr>
        <w:autoSpaceDE w:val="0"/>
        <w:autoSpaceDN w:val="0"/>
        <w:adjustRightInd w:val="0"/>
        <w:jc w:val="both"/>
        <w:rPr>
          <w:rFonts w:ascii="Barlow" w:hAnsi="Barlow" w:cstheme="minorHAnsi"/>
          <w:bCs/>
          <w:sz w:val="20"/>
          <w:szCs w:val="20"/>
        </w:rPr>
      </w:pPr>
    </w:p>
    <w:p w14:paraId="1BA9F77A" w14:textId="6287D584" w:rsidR="008D1660" w:rsidRDefault="008D1660" w:rsidP="006A5B85">
      <w:pPr>
        <w:autoSpaceDE w:val="0"/>
        <w:autoSpaceDN w:val="0"/>
        <w:adjustRightInd w:val="0"/>
        <w:jc w:val="both"/>
        <w:rPr>
          <w:rFonts w:ascii="Barlow" w:hAnsi="Barlow" w:cstheme="minorHAnsi"/>
          <w:bCs/>
          <w:sz w:val="20"/>
          <w:szCs w:val="20"/>
        </w:rPr>
      </w:pPr>
    </w:p>
    <w:p w14:paraId="10170CC3" w14:textId="77777777" w:rsidR="008D1660" w:rsidRDefault="008D1660" w:rsidP="006A5B85">
      <w:pPr>
        <w:autoSpaceDE w:val="0"/>
        <w:autoSpaceDN w:val="0"/>
        <w:adjustRightInd w:val="0"/>
        <w:jc w:val="both"/>
        <w:rPr>
          <w:rFonts w:ascii="Barlow" w:hAnsi="Barlow" w:cstheme="minorHAnsi"/>
          <w:bCs/>
          <w:sz w:val="20"/>
          <w:szCs w:val="20"/>
        </w:rPr>
      </w:pPr>
    </w:p>
    <w:p w14:paraId="3E0216CE" w14:textId="77777777" w:rsidR="008D1660" w:rsidRDefault="008D1660" w:rsidP="006A5B85">
      <w:pPr>
        <w:autoSpaceDE w:val="0"/>
        <w:autoSpaceDN w:val="0"/>
        <w:adjustRightInd w:val="0"/>
        <w:jc w:val="both"/>
        <w:rPr>
          <w:rFonts w:ascii="Barlow" w:hAnsi="Barlow" w:cstheme="minorHAnsi"/>
          <w:bCs/>
          <w:sz w:val="20"/>
          <w:szCs w:val="20"/>
        </w:rPr>
      </w:pPr>
    </w:p>
    <w:p w14:paraId="4E161A8A" w14:textId="78C5D941" w:rsidR="00C26766" w:rsidRDefault="00E832A4" w:rsidP="006A5B85">
      <w:pPr>
        <w:autoSpaceDE w:val="0"/>
        <w:autoSpaceDN w:val="0"/>
        <w:adjustRightInd w:val="0"/>
        <w:jc w:val="both"/>
        <w:rPr>
          <w:rFonts w:ascii="Barlow" w:hAnsi="Barlow" w:cstheme="minorHAnsi"/>
          <w:bCs/>
          <w:sz w:val="20"/>
          <w:szCs w:val="20"/>
        </w:rPr>
      </w:pPr>
      <w:r w:rsidRPr="00AD514F">
        <w:rPr>
          <w:rFonts w:ascii="Barlow" w:hAnsi="Barlow" w:cstheme="minorHAnsi"/>
          <w:bCs/>
          <w:sz w:val="20"/>
          <w:szCs w:val="20"/>
        </w:rPr>
        <w:lastRenderedPageBreak/>
        <w:t>3.-</w:t>
      </w:r>
      <w:r w:rsidR="00BC1145" w:rsidRPr="00AD514F">
        <w:rPr>
          <w:rFonts w:ascii="Barlow" w:hAnsi="Barlow" w:cstheme="minorHAnsi"/>
          <w:bCs/>
          <w:sz w:val="20"/>
          <w:szCs w:val="20"/>
        </w:rPr>
        <w:t xml:space="preserve"> Se p</w:t>
      </w:r>
      <w:r w:rsidRPr="00AD514F">
        <w:rPr>
          <w:rFonts w:ascii="Barlow" w:hAnsi="Barlow" w:cstheme="minorHAnsi"/>
          <w:bCs/>
          <w:sz w:val="20"/>
          <w:szCs w:val="20"/>
        </w:rPr>
        <w:t>resenta</w:t>
      </w:r>
      <w:r w:rsidR="00BC1145" w:rsidRPr="00AD514F">
        <w:rPr>
          <w:rFonts w:ascii="Barlow" w:hAnsi="Barlow" w:cstheme="minorHAnsi"/>
          <w:bCs/>
          <w:sz w:val="20"/>
          <w:szCs w:val="20"/>
        </w:rPr>
        <w:t xml:space="preserve"> la</w:t>
      </w:r>
      <w:r w:rsidRPr="00AD514F">
        <w:rPr>
          <w:rFonts w:ascii="Barlow" w:hAnsi="Barlow" w:cstheme="minorHAnsi"/>
          <w:bCs/>
          <w:sz w:val="20"/>
          <w:szCs w:val="20"/>
        </w:rPr>
        <w:t xml:space="preserve"> conciliación de los Flujos de Efectivo Netos de las Actividades de Operación y los saldos de Resultados del Ejercicio (ahorro/Des</w:t>
      </w:r>
      <w:r w:rsidR="00AD514F">
        <w:rPr>
          <w:rFonts w:ascii="Barlow" w:hAnsi="Barlow" w:cstheme="minorHAnsi"/>
          <w:bCs/>
          <w:sz w:val="20"/>
          <w:szCs w:val="20"/>
        </w:rPr>
        <w:t>a</w:t>
      </w:r>
      <w:r w:rsidRPr="00AD514F">
        <w:rPr>
          <w:rFonts w:ascii="Barlow" w:hAnsi="Barlow" w:cstheme="minorHAnsi"/>
          <w:bCs/>
          <w:sz w:val="20"/>
          <w:szCs w:val="20"/>
        </w:rPr>
        <w:t>h</w:t>
      </w:r>
      <w:r w:rsidR="00AD514F">
        <w:rPr>
          <w:rFonts w:ascii="Barlow" w:hAnsi="Barlow" w:cstheme="minorHAnsi"/>
          <w:bCs/>
          <w:sz w:val="20"/>
          <w:szCs w:val="20"/>
        </w:rPr>
        <w:t>o</w:t>
      </w:r>
      <w:r w:rsidRPr="00AD514F">
        <w:rPr>
          <w:rFonts w:ascii="Barlow" w:hAnsi="Barlow" w:cstheme="minorHAnsi"/>
          <w:bCs/>
          <w:sz w:val="20"/>
          <w:szCs w:val="20"/>
        </w:rPr>
        <w:t xml:space="preserve">rro), utilizando el siguiente cuadro: </w:t>
      </w:r>
    </w:p>
    <w:tbl>
      <w:tblPr>
        <w:tblpPr w:leftFromText="141" w:rightFromText="141" w:vertAnchor="text" w:horzAnchor="margin" w:tblpXSpec="center" w:tblpY="133"/>
        <w:tblW w:w="12895" w:type="dxa"/>
        <w:tblCellMar>
          <w:left w:w="70" w:type="dxa"/>
          <w:right w:w="70" w:type="dxa"/>
        </w:tblCellMar>
        <w:tblLook w:val="04A0" w:firstRow="1" w:lastRow="0" w:firstColumn="1" w:lastColumn="0" w:noHBand="0" w:noVBand="1"/>
      </w:tblPr>
      <w:tblGrid>
        <w:gridCol w:w="8217"/>
        <w:gridCol w:w="2410"/>
        <w:gridCol w:w="2268"/>
      </w:tblGrid>
      <w:tr w:rsidR="00213381" w:rsidRPr="00AD514F" w14:paraId="63AEB9A2" w14:textId="77777777" w:rsidTr="00213381">
        <w:trPr>
          <w:trHeight w:val="221"/>
        </w:trPr>
        <w:tc>
          <w:tcPr>
            <w:tcW w:w="82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89B18" w14:textId="77777777" w:rsidR="00213381" w:rsidRPr="00AD514F" w:rsidRDefault="00213381" w:rsidP="00213381">
            <w:pPr>
              <w:rPr>
                <w:rFonts w:ascii="Barlow" w:hAnsi="Barlow" w:cstheme="minorHAnsi"/>
                <w:color w:val="000000"/>
                <w:sz w:val="20"/>
                <w:szCs w:val="20"/>
                <w:lang w:eastAsia="es-MX"/>
              </w:rPr>
            </w:pPr>
            <w:r w:rsidRPr="00AD514F">
              <w:rPr>
                <w:rFonts w:ascii="Barlow" w:hAnsi="Barlow" w:cstheme="minorHAnsi"/>
                <w:color w:val="000000"/>
                <w:sz w:val="20"/>
                <w:szCs w:val="20"/>
                <w:lang w:eastAsia="es-MX"/>
              </w:rPr>
              <w:t> </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7A2DF61" w14:textId="67A1F046" w:rsidR="00213381" w:rsidRPr="00AD514F" w:rsidRDefault="00213381" w:rsidP="00213381">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8D1660">
              <w:rPr>
                <w:rFonts w:ascii="Barlow" w:hAnsi="Barlow" w:cstheme="minorHAnsi"/>
                <w:b/>
                <w:bCs/>
                <w:color w:val="000000"/>
                <w:sz w:val="20"/>
                <w:szCs w:val="20"/>
                <w:lang w:eastAsia="es-MX"/>
              </w:rPr>
              <w:t>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E606926" w14:textId="6A7CFDF0" w:rsidR="00213381" w:rsidRPr="00AD514F" w:rsidRDefault="00213381" w:rsidP="00213381">
            <w:pPr>
              <w:jc w:val="center"/>
              <w:rPr>
                <w:rFonts w:ascii="Barlow" w:hAnsi="Barlow" w:cstheme="minorHAnsi"/>
                <w:b/>
                <w:bCs/>
                <w:color w:val="000000"/>
                <w:sz w:val="20"/>
                <w:szCs w:val="20"/>
                <w:lang w:eastAsia="es-MX"/>
              </w:rPr>
            </w:pPr>
            <w:r>
              <w:rPr>
                <w:rFonts w:ascii="Barlow" w:hAnsi="Barlow" w:cstheme="minorHAnsi"/>
                <w:b/>
                <w:bCs/>
                <w:color w:val="000000"/>
                <w:sz w:val="20"/>
                <w:szCs w:val="20"/>
                <w:lang w:eastAsia="es-MX"/>
              </w:rPr>
              <w:t>202</w:t>
            </w:r>
            <w:r w:rsidR="008D1660">
              <w:rPr>
                <w:rFonts w:ascii="Barlow" w:hAnsi="Barlow" w:cstheme="minorHAnsi"/>
                <w:b/>
                <w:bCs/>
                <w:color w:val="000000"/>
                <w:sz w:val="20"/>
                <w:szCs w:val="20"/>
                <w:lang w:eastAsia="es-MX"/>
              </w:rPr>
              <w:t>4</w:t>
            </w:r>
          </w:p>
        </w:tc>
      </w:tr>
      <w:tr w:rsidR="009C528C" w:rsidRPr="00AD514F" w14:paraId="4589DCAF" w14:textId="77777777" w:rsidTr="00213381">
        <w:trPr>
          <w:trHeight w:val="267"/>
        </w:trPr>
        <w:tc>
          <w:tcPr>
            <w:tcW w:w="8217" w:type="dxa"/>
            <w:tcBorders>
              <w:top w:val="nil"/>
              <w:left w:val="single" w:sz="4" w:space="0" w:color="auto"/>
              <w:bottom w:val="single" w:sz="4" w:space="0" w:color="auto"/>
              <w:right w:val="single" w:sz="4" w:space="0" w:color="auto"/>
            </w:tcBorders>
            <w:shd w:val="clear" w:color="auto" w:fill="auto"/>
            <w:vAlign w:val="center"/>
            <w:hideMark/>
          </w:tcPr>
          <w:p w14:paraId="41146C18" w14:textId="77777777" w:rsidR="009C528C" w:rsidRPr="00AD514F" w:rsidRDefault="009C528C" w:rsidP="009C528C">
            <w:pPr>
              <w:rPr>
                <w:rFonts w:ascii="Barlow" w:hAnsi="Barlow" w:cstheme="minorHAnsi"/>
                <w:b/>
                <w:bCs/>
                <w:color w:val="000000"/>
                <w:sz w:val="20"/>
                <w:szCs w:val="20"/>
                <w:lang w:eastAsia="es-MX"/>
              </w:rPr>
            </w:pPr>
            <w:r w:rsidRPr="00AD514F">
              <w:rPr>
                <w:rFonts w:ascii="Barlow" w:hAnsi="Barlow" w:cstheme="minorHAnsi"/>
                <w:b/>
                <w:bCs/>
                <w:color w:val="000000"/>
                <w:sz w:val="20"/>
                <w:szCs w:val="20"/>
                <w:lang w:eastAsia="es-MX"/>
              </w:rPr>
              <w:t xml:space="preserve">Resultado del Ejercicio Ahorro/Desahorro </w:t>
            </w:r>
          </w:p>
        </w:tc>
        <w:tc>
          <w:tcPr>
            <w:tcW w:w="2410" w:type="dxa"/>
            <w:tcBorders>
              <w:top w:val="nil"/>
              <w:left w:val="nil"/>
              <w:bottom w:val="single" w:sz="4" w:space="0" w:color="auto"/>
              <w:right w:val="single" w:sz="4" w:space="0" w:color="auto"/>
            </w:tcBorders>
            <w:shd w:val="clear" w:color="auto" w:fill="auto"/>
            <w:noWrap/>
            <w:vAlign w:val="center"/>
            <w:hideMark/>
          </w:tcPr>
          <w:p w14:paraId="4783B24E" w14:textId="63EACBB5" w:rsidR="009C528C" w:rsidRPr="00AD514F" w:rsidRDefault="009C528C" w:rsidP="009C528C">
            <w:pPr>
              <w:jc w:val="right"/>
              <w:rPr>
                <w:rFonts w:ascii="Barlow" w:hAnsi="Barlow" w:cstheme="minorHAnsi"/>
                <w:b/>
                <w:bCs/>
                <w:color w:val="000000"/>
                <w:sz w:val="20"/>
                <w:szCs w:val="20"/>
                <w:lang w:eastAsia="es-MX"/>
              </w:rPr>
            </w:pPr>
            <w:r w:rsidRPr="00AD514F">
              <w:rPr>
                <w:rFonts w:ascii="Barlow" w:hAnsi="Barlow" w:cstheme="minorHAnsi"/>
                <w:b/>
                <w:bCs/>
                <w:color w:val="000000"/>
                <w:sz w:val="20"/>
                <w:szCs w:val="20"/>
                <w:lang w:eastAsia="es-MX"/>
              </w:rPr>
              <w:t xml:space="preserve">$ </w:t>
            </w:r>
            <w:r>
              <w:rPr>
                <w:rFonts w:ascii="Barlow" w:hAnsi="Barlow" w:cstheme="minorHAnsi"/>
                <w:b/>
                <w:bCs/>
                <w:color w:val="000000"/>
                <w:sz w:val="20"/>
                <w:szCs w:val="20"/>
                <w:lang w:eastAsia="es-MX"/>
              </w:rPr>
              <w:t>0</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00</w:t>
            </w:r>
          </w:p>
        </w:tc>
        <w:tc>
          <w:tcPr>
            <w:tcW w:w="2268" w:type="dxa"/>
            <w:tcBorders>
              <w:top w:val="nil"/>
              <w:left w:val="nil"/>
              <w:bottom w:val="single" w:sz="4" w:space="0" w:color="auto"/>
              <w:right w:val="single" w:sz="4" w:space="0" w:color="auto"/>
            </w:tcBorders>
            <w:shd w:val="clear" w:color="auto" w:fill="auto"/>
            <w:noWrap/>
            <w:vAlign w:val="center"/>
            <w:hideMark/>
          </w:tcPr>
          <w:p w14:paraId="225C2F28" w14:textId="0C9AE3D1" w:rsidR="009C528C" w:rsidRPr="00AD514F" w:rsidRDefault="009C528C" w:rsidP="009C528C">
            <w:pPr>
              <w:jc w:val="right"/>
              <w:rPr>
                <w:rFonts w:ascii="Barlow" w:hAnsi="Barlow" w:cstheme="minorHAnsi"/>
                <w:b/>
                <w:bCs/>
                <w:color w:val="000000"/>
                <w:sz w:val="20"/>
                <w:szCs w:val="20"/>
                <w:lang w:eastAsia="es-MX"/>
              </w:rPr>
            </w:pPr>
            <w:r w:rsidRPr="00AD514F">
              <w:rPr>
                <w:rFonts w:ascii="Barlow" w:hAnsi="Barlow" w:cstheme="minorHAnsi"/>
                <w:b/>
                <w:bCs/>
                <w:color w:val="000000"/>
                <w:sz w:val="20"/>
                <w:szCs w:val="20"/>
                <w:lang w:eastAsia="es-MX"/>
              </w:rPr>
              <w:t xml:space="preserve">$ </w:t>
            </w:r>
            <w:r>
              <w:rPr>
                <w:rFonts w:ascii="Barlow" w:hAnsi="Barlow" w:cstheme="minorHAnsi"/>
                <w:b/>
                <w:bCs/>
                <w:color w:val="000000"/>
                <w:sz w:val="20"/>
                <w:szCs w:val="20"/>
                <w:lang w:eastAsia="es-MX"/>
              </w:rPr>
              <w:t>0</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00</w:t>
            </w:r>
          </w:p>
        </w:tc>
      </w:tr>
      <w:tr w:rsidR="009C528C" w:rsidRPr="00AD514F" w14:paraId="53DBCBEF" w14:textId="77777777" w:rsidTr="00213381">
        <w:trPr>
          <w:trHeight w:val="215"/>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54E40688" w14:textId="77777777" w:rsidR="009C528C" w:rsidRPr="00AD514F" w:rsidRDefault="009C528C" w:rsidP="009C528C">
            <w:pPr>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Movimientos de partidas (o rubros) que no afectan efectivo</w:t>
            </w:r>
          </w:p>
        </w:tc>
        <w:tc>
          <w:tcPr>
            <w:tcW w:w="2410" w:type="dxa"/>
            <w:tcBorders>
              <w:top w:val="nil"/>
              <w:left w:val="nil"/>
              <w:bottom w:val="single" w:sz="4" w:space="0" w:color="auto"/>
              <w:right w:val="single" w:sz="4" w:space="0" w:color="auto"/>
            </w:tcBorders>
            <w:shd w:val="clear" w:color="auto" w:fill="auto"/>
            <w:noWrap/>
            <w:vAlign w:val="bottom"/>
            <w:hideMark/>
          </w:tcPr>
          <w:p w14:paraId="4ADB6AE5" w14:textId="244E27C1" w:rsidR="009C528C" w:rsidRPr="00AD514F" w:rsidRDefault="009C528C" w:rsidP="009C528C">
            <w:pPr>
              <w:jc w:val="right"/>
              <w:rPr>
                <w:rFonts w:ascii="Barlow" w:hAnsi="Barlow" w:cstheme="minorHAnsi"/>
                <w:b/>
                <w:color w:val="000000"/>
                <w:sz w:val="20"/>
                <w:szCs w:val="20"/>
                <w:lang w:eastAsia="es-MX"/>
              </w:rPr>
            </w:pPr>
            <w:r w:rsidRPr="009C528C">
              <w:rPr>
                <w:rFonts w:ascii="Barlow" w:hAnsi="Barlow" w:cstheme="minorHAnsi"/>
                <w:color w:val="000000"/>
                <w:sz w:val="20"/>
                <w:szCs w:val="20"/>
                <w:lang w:eastAsia="es-MX"/>
              </w:rPr>
              <w:t>0.00</w:t>
            </w:r>
          </w:p>
        </w:tc>
        <w:tc>
          <w:tcPr>
            <w:tcW w:w="2268" w:type="dxa"/>
            <w:tcBorders>
              <w:top w:val="nil"/>
              <w:left w:val="nil"/>
              <w:bottom w:val="single" w:sz="4" w:space="0" w:color="auto"/>
              <w:right w:val="single" w:sz="4" w:space="0" w:color="auto"/>
            </w:tcBorders>
            <w:shd w:val="clear" w:color="auto" w:fill="auto"/>
            <w:noWrap/>
            <w:vAlign w:val="bottom"/>
            <w:hideMark/>
          </w:tcPr>
          <w:p w14:paraId="5EA0A4B6" w14:textId="20643D93" w:rsidR="009C528C" w:rsidRPr="00AD514F" w:rsidRDefault="009C528C" w:rsidP="009C528C">
            <w:pPr>
              <w:jc w:val="right"/>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 xml:space="preserve"> $ </w:t>
            </w:r>
            <w:r>
              <w:rPr>
                <w:rFonts w:ascii="Barlow" w:hAnsi="Barlow" w:cstheme="minorHAnsi"/>
                <w:b/>
                <w:color w:val="000000"/>
                <w:sz w:val="20"/>
                <w:szCs w:val="20"/>
                <w:lang w:eastAsia="es-MX"/>
              </w:rPr>
              <w:t>0</w:t>
            </w:r>
            <w:r w:rsidRPr="00AD514F">
              <w:rPr>
                <w:rFonts w:ascii="Barlow" w:hAnsi="Barlow" w:cstheme="minorHAnsi"/>
                <w:b/>
                <w:color w:val="000000"/>
                <w:sz w:val="20"/>
                <w:szCs w:val="20"/>
                <w:lang w:eastAsia="es-MX"/>
              </w:rPr>
              <w:t>.</w:t>
            </w:r>
            <w:r>
              <w:rPr>
                <w:rFonts w:ascii="Barlow" w:hAnsi="Barlow" w:cstheme="minorHAnsi"/>
                <w:b/>
                <w:color w:val="000000"/>
                <w:sz w:val="20"/>
                <w:szCs w:val="20"/>
                <w:lang w:eastAsia="es-MX"/>
              </w:rPr>
              <w:t>00</w:t>
            </w:r>
          </w:p>
        </w:tc>
      </w:tr>
      <w:tr w:rsidR="000D70E9" w:rsidRPr="00AD514F" w14:paraId="364702CC" w14:textId="77777777" w:rsidTr="001C07EE">
        <w:trPr>
          <w:trHeight w:val="215"/>
        </w:trPr>
        <w:tc>
          <w:tcPr>
            <w:tcW w:w="8217" w:type="dxa"/>
            <w:tcBorders>
              <w:top w:val="nil"/>
              <w:left w:val="single" w:sz="4" w:space="0" w:color="auto"/>
              <w:bottom w:val="single" w:sz="4" w:space="0" w:color="auto"/>
              <w:right w:val="single" w:sz="4" w:space="0" w:color="auto"/>
            </w:tcBorders>
            <w:shd w:val="clear" w:color="auto" w:fill="auto"/>
            <w:vAlign w:val="bottom"/>
          </w:tcPr>
          <w:p w14:paraId="322B664B" w14:textId="4E0D49F0" w:rsidR="000D70E9" w:rsidRPr="00AD514F" w:rsidRDefault="000D70E9" w:rsidP="000D70E9">
            <w:pPr>
              <w:rPr>
                <w:rFonts w:ascii="Barlow" w:hAnsi="Barlow" w:cstheme="minorHAnsi"/>
                <w:b/>
                <w:color w:val="000000"/>
                <w:sz w:val="20"/>
                <w:szCs w:val="20"/>
                <w:lang w:eastAsia="es-MX"/>
              </w:rPr>
            </w:pPr>
            <w:r>
              <w:rPr>
                <w:rFonts w:ascii="Barlow" w:hAnsi="Barlow" w:cstheme="minorHAnsi"/>
                <w:color w:val="000000"/>
                <w:sz w:val="20"/>
                <w:szCs w:val="20"/>
                <w:lang w:eastAsia="es-MX"/>
              </w:rPr>
              <w:t>Incremento</w:t>
            </w:r>
            <w:r>
              <w:rPr>
                <w:rFonts w:ascii="Barlow" w:hAnsi="Barlow" w:cstheme="minorHAnsi"/>
                <w:b/>
                <w:color w:val="000000"/>
                <w:sz w:val="20"/>
                <w:szCs w:val="20"/>
                <w:lang w:eastAsia="es-MX"/>
              </w:rPr>
              <w:t xml:space="preserve"> </w:t>
            </w:r>
            <w:r w:rsidRPr="00AD514F">
              <w:rPr>
                <w:rFonts w:ascii="Barlow" w:hAnsi="Barlow" w:cstheme="minorHAnsi"/>
                <w:color w:val="000000"/>
                <w:sz w:val="20"/>
                <w:szCs w:val="20"/>
                <w:lang w:eastAsia="es-MX"/>
              </w:rPr>
              <w:t>en cuentas por cobrar</w:t>
            </w:r>
            <w:r>
              <w:rPr>
                <w:rFonts w:ascii="Barlow" w:hAnsi="Barlow" w:cstheme="minorHAnsi"/>
                <w:color w:val="000000"/>
                <w:sz w:val="20"/>
                <w:szCs w:val="20"/>
                <w:lang w:eastAsia="es-MX"/>
              </w:rPr>
              <w:t xml:space="preserve">    </w:t>
            </w:r>
            <w:r w:rsidRPr="00AD514F">
              <w:rPr>
                <w:rFonts w:ascii="Barlow" w:hAnsi="Barlow" w:cstheme="minorHAnsi"/>
                <w:color w:val="000000"/>
                <w:sz w:val="20"/>
                <w:szCs w:val="20"/>
                <w:lang w:eastAsia="es-MX"/>
              </w:rPr>
              <w:t xml:space="preserve"> </w:t>
            </w:r>
          </w:p>
        </w:tc>
        <w:tc>
          <w:tcPr>
            <w:tcW w:w="2410" w:type="dxa"/>
            <w:tcBorders>
              <w:top w:val="nil"/>
              <w:left w:val="nil"/>
              <w:bottom w:val="single" w:sz="4" w:space="0" w:color="auto"/>
              <w:right w:val="single" w:sz="4" w:space="0" w:color="auto"/>
            </w:tcBorders>
            <w:shd w:val="clear" w:color="auto" w:fill="auto"/>
            <w:noWrap/>
          </w:tcPr>
          <w:p w14:paraId="46001640" w14:textId="7300C229" w:rsidR="000D70E9" w:rsidRPr="00213381" w:rsidRDefault="000D70E9" w:rsidP="000D70E9">
            <w:pPr>
              <w:jc w:val="right"/>
              <w:rPr>
                <w:rFonts w:ascii="Barlow" w:hAnsi="Barlow" w:cstheme="minorHAnsi"/>
                <w:color w:val="000000"/>
                <w:sz w:val="20"/>
                <w:szCs w:val="20"/>
                <w:lang w:eastAsia="es-MX"/>
              </w:rPr>
            </w:pPr>
            <w:r w:rsidRPr="001E1D61">
              <w:rPr>
                <w:rFonts w:ascii="Barlow" w:hAnsi="Barlow" w:cstheme="minorHAnsi"/>
                <w:color w:val="000000"/>
                <w:sz w:val="20"/>
                <w:szCs w:val="20"/>
                <w:lang w:eastAsia="es-MX"/>
              </w:rPr>
              <w:t>0.00</w:t>
            </w:r>
          </w:p>
        </w:tc>
        <w:tc>
          <w:tcPr>
            <w:tcW w:w="2268" w:type="dxa"/>
            <w:tcBorders>
              <w:top w:val="nil"/>
              <w:left w:val="nil"/>
              <w:bottom w:val="single" w:sz="4" w:space="0" w:color="auto"/>
              <w:right w:val="single" w:sz="4" w:space="0" w:color="auto"/>
            </w:tcBorders>
            <w:shd w:val="clear" w:color="auto" w:fill="auto"/>
            <w:noWrap/>
            <w:vAlign w:val="bottom"/>
          </w:tcPr>
          <w:p w14:paraId="0C626846" w14:textId="409AE7A0" w:rsidR="000D70E9" w:rsidRPr="009C528C" w:rsidRDefault="000D70E9" w:rsidP="000D70E9">
            <w:pPr>
              <w:jc w:val="right"/>
              <w:rPr>
                <w:rFonts w:ascii="Barlow" w:hAnsi="Barlow" w:cstheme="minorHAnsi"/>
                <w:color w:val="000000"/>
                <w:sz w:val="20"/>
                <w:szCs w:val="20"/>
                <w:lang w:eastAsia="es-MX"/>
              </w:rPr>
            </w:pPr>
            <w:r w:rsidRPr="009C528C">
              <w:rPr>
                <w:rFonts w:ascii="Barlow" w:hAnsi="Barlow" w:cstheme="minorHAnsi"/>
                <w:color w:val="000000"/>
                <w:sz w:val="20"/>
                <w:szCs w:val="20"/>
                <w:lang w:eastAsia="es-MX"/>
              </w:rPr>
              <w:t>0.00</w:t>
            </w:r>
          </w:p>
        </w:tc>
      </w:tr>
      <w:tr w:rsidR="000D70E9" w:rsidRPr="00AD514F" w14:paraId="3A59E8D0" w14:textId="77777777" w:rsidTr="001C07EE">
        <w:trPr>
          <w:trHeight w:val="215"/>
        </w:trPr>
        <w:tc>
          <w:tcPr>
            <w:tcW w:w="8217" w:type="dxa"/>
            <w:tcBorders>
              <w:top w:val="nil"/>
              <w:left w:val="single" w:sz="4" w:space="0" w:color="auto"/>
              <w:bottom w:val="single" w:sz="4" w:space="0" w:color="auto"/>
              <w:right w:val="single" w:sz="4" w:space="0" w:color="auto"/>
            </w:tcBorders>
            <w:shd w:val="clear" w:color="auto" w:fill="auto"/>
            <w:vAlign w:val="bottom"/>
          </w:tcPr>
          <w:p w14:paraId="5D431CE1" w14:textId="675ADD0F" w:rsidR="000D70E9" w:rsidRPr="00AD514F" w:rsidRDefault="000D70E9" w:rsidP="000D70E9">
            <w:pPr>
              <w:rPr>
                <w:rFonts w:ascii="Barlow" w:hAnsi="Barlow" w:cstheme="minorHAnsi"/>
                <w:b/>
                <w:color w:val="000000"/>
                <w:sz w:val="20"/>
                <w:szCs w:val="20"/>
                <w:lang w:eastAsia="es-MX"/>
              </w:rPr>
            </w:pPr>
            <w:r>
              <w:rPr>
                <w:rFonts w:ascii="Barlow" w:hAnsi="Barlow" w:cstheme="minorHAnsi"/>
                <w:color w:val="000000"/>
                <w:sz w:val="20"/>
                <w:szCs w:val="20"/>
                <w:lang w:eastAsia="es-MX"/>
              </w:rPr>
              <w:t>Incremento</w:t>
            </w:r>
            <w:r w:rsidRPr="00AD514F">
              <w:rPr>
                <w:rFonts w:ascii="Barlow" w:hAnsi="Barlow" w:cstheme="minorHAnsi"/>
                <w:color w:val="000000"/>
                <w:sz w:val="20"/>
                <w:szCs w:val="20"/>
                <w:lang w:eastAsia="es-MX"/>
              </w:rPr>
              <w:t xml:space="preserve">  </w:t>
            </w:r>
            <w:r>
              <w:rPr>
                <w:rFonts w:ascii="Barlow" w:hAnsi="Barlow" w:cstheme="minorHAnsi"/>
                <w:color w:val="000000"/>
                <w:sz w:val="20"/>
                <w:szCs w:val="20"/>
                <w:lang w:eastAsia="es-MX"/>
              </w:rPr>
              <w:t>de</w:t>
            </w:r>
            <w:r w:rsidRPr="00AD514F">
              <w:rPr>
                <w:rFonts w:ascii="Barlow" w:hAnsi="Barlow" w:cstheme="minorHAnsi"/>
                <w:color w:val="000000"/>
                <w:sz w:val="20"/>
                <w:szCs w:val="20"/>
                <w:lang w:eastAsia="es-MX"/>
              </w:rPr>
              <w:t xml:space="preserve"> p</w:t>
            </w:r>
            <w:r>
              <w:rPr>
                <w:rFonts w:ascii="Barlow" w:hAnsi="Barlow" w:cstheme="minorHAnsi"/>
                <w:color w:val="000000"/>
                <w:sz w:val="20"/>
                <w:szCs w:val="20"/>
                <w:lang w:eastAsia="es-MX"/>
              </w:rPr>
              <w:t xml:space="preserve">asivos     </w:t>
            </w:r>
            <w:r w:rsidRPr="00AD514F">
              <w:rPr>
                <w:rFonts w:ascii="Barlow" w:hAnsi="Barlow" w:cstheme="minorHAnsi"/>
                <w:color w:val="000000"/>
                <w:sz w:val="20"/>
                <w:szCs w:val="20"/>
                <w:lang w:eastAsia="es-MX"/>
              </w:rPr>
              <w:t xml:space="preserve"> </w:t>
            </w:r>
          </w:p>
        </w:tc>
        <w:tc>
          <w:tcPr>
            <w:tcW w:w="2410" w:type="dxa"/>
            <w:tcBorders>
              <w:top w:val="nil"/>
              <w:left w:val="nil"/>
              <w:bottom w:val="single" w:sz="4" w:space="0" w:color="auto"/>
              <w:right w:val="single" w:sz="4" w:space="0" w:color="auto"/>
            </w:tcBorders>
            <w:shd w:val="clear" w:color="auto" w:fill="auto"/>
            <w:noWrap/>
          </w:tcPr>
          <w:p w14:paraId="72B7DC98" w14:textId="3256ADBC" w:rsidR="000D70E9" w:rsidRPr="00F620D5" w:rsidRDefault="00C30BA3" w:rsidP="000D70E9">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 xml:space="preserve">$ </w:t>
            </w:r>
            <w:r w:rsidR="00EE1B6C">
              <w:rPr>
                <w:rFonts w:ascii="Barlow" w:hAnsi="Barlow" w:cstheme="minorHAnsi"/>
                <w:color w:val="000000"/>
                <w:sz w:val="20"/>
                <w:szCs w:val="20"/>
                <w:lang w:eastAsia="es-MX"/>
              </w:rPr>
              <w:t>91</w:t>
            </w:r>
            <w:r>
              <w:rPr>
                <w:rFonts w:ascii="Barlow" w:hAnsi="Barlow" w:cstheme="minorHAnsi"/>
                <w:color w:val="000000"/>
                <w:sz w:val="20"/>
                <w:szCs w:val="20"/>
                <w:lang w:eastAsia="es-MX"/>
              </w:rPr>
              <w:t>,3</w:t>
            </w:r>
            <w:r w:rsidR="00EE1B6C">
              <w:rPr>
                <w:rFonts w:ascii="Barlow" w:hAnsi="Barlow" w:cstheme="minorHAnsi"/>
                <w:color w:val="000000"/>
                <w:sz w:val="20"/>
                <w:szCs w:val="20"/>
                <w:lang w:eastAsia="es-MX"/>
              </w:rPr>
              <w:t>74</w:t>
            </w:r>
            <w:r w:rsidR="000D70E9" w:rsidRPr="001E1D61">
              <w:rPr>
                <w:rFonts w:ascii="Barlow" w:hAnsi="Barlow" w:cstheme="minorHAnsi"/>
                <w:color w:val="000000"/>
                <w:sz w:val="20"/>
                <w:szCs w:val="20"/>
                <w:lang w:eastAsia="es-MX"/>
              </w:rPr>
              <w:t>.</w:t>
            </w:r>
            <w:r w:rsidR="00EE1B6C">
              <w:rPr>
                <w:rFonts w:ascii="Barlow" w:hAnsi="Barlow" w:cstheme="minorHAnsi"/>
                <w:color w:val="000000"/>
                <w:sz w:val="20"/>
                <w:szCs w:val="20"/>
                <w:lang w:eastAsia="es-MX"/>
              </w:rPr>
              <w:t>64</w:t>
            </w:r>
          </w:p>
        </w:tc>
        <w:tc>
          <w:tcPr>
            <w:tcW w:w="2268" w:type="dxa"/>
            <w:tcBorders>
              <w:top w:val="nil"/>
              <w:left w:val="nil"/>
              <w:bottom w:val="single" w:sz="4" w:space="0" w:color="auto"/>
              <w:right w:val="single" w:sz="4" w:space="0" w:color="auto"/>
            </w:tcBorders>
            <w:shd w:val="clear" w:color="auto" w:fill="auto"/>
            <w:noWrap/>
          </w:tcPr>
          <w:p w14:paraId="1296B2E6" w14:textId="46695DDE" w:rsidR="000D70E9" w:rsidRPr="00AD514F" w:rsidRDefault="000D70E9" w:rsidP="000D70E9">
            <w:pPr>
              <w:jc w:val="right"/>
              <w:rPr>
                <w:rFonts w:ascii="Barlow" w:hAnsi="Barlow" w:cstheme="minorHAnsi"/>
                <w:b/>
                <w:color w:val="000000"/>
                <w:sz w:val="20"/>
                <w:szCs w:val="20"/>
                <w:lang w:eastAsia="es-MX"/>
              </w:rPr>
            </w:pPr>
            <w:r>
              <w:rPr>
                <w:rFonts w:ascii="Barlow" w:hAnsi="Barlow" w:cstheme="minorHAnsi"/>
                <w:color w:val="000000"/>
                <w:sz w:val="20"/>
                <w:szCs w:val="20"/>
                <w:lang w:eastAsia="es-MX"/>
              </w:rPr>
              <w:t>$ 11,048,271</w:t>
            </w:r>
            <w:r w:rsidRPr="00811401">
              <w:rPr>
                <w:rFonts w:ascii="Barlow" w:hAnsi="Barlow" w:cstheme="minorHAnsi"/>
                <w:color w:val="000000"/>
                <w:sz w:val="20"/>
                <w:szCs w:val="20"/>
                <w:lang w:eastAsia="es-MX"/>
              </w:rPr>
              <w:t>.</w:t>
            </w:r>
            <w:r>
              <w:rPr>
                <w:rFonts w:ascii="Barlow" w:hAnsi="Barlow" w:cstheme="minorHAnsi"/>
                <w:color w:val="000000"/>
                <w:sz w:val="20"/>
                <w:szCs w:val="20"/>
                <w:lang w:eastAsia="es-MX"/>
              </w:rPr>
              <w:t>19</w:t>
            </w:r>
          </w:p>
        </w:tc>
      </w:tr>
      <w:tr w:rsidR="000D70E9" w:rsidRPr="00AD514F" w14:paraId="233F8BA5" w14:textId="77777777" w:rsidTr="001C07EE">
        <w:trPr>
          <w:trHeight w:val="205"/>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26454370" w14:textId="7EC2206F" w:rsidR="000D70E9" w:rsidRPr="00AD514F" w:rsidRDefault="000D70E9" w:rsidP="000D70E9">
            <w:pPr>
              <w:rPr>
                <w:rFonts w:ascii="Barlow" w:hAnsi="Barlow" w:cstheme="minorHAnsi"/>
                <w:color w:val="000000"/>
                <w:sz w:val="20"/>
                <w:szCs w:val="20"/>
                <w:lang w:eastAsia="es-MX"/>
              </w:rPr>
            </w:pPr>
            <w:r w:rsidRPr="00AD514F">
              <w:rPr>
                <w:rFonts w:ascii="Barlow" w:hAnsi="Barlow" w:cstheme="minorHAnsi"/>
                <w:color w:val="000000"/>
                <w:sz w:val="20"/>
                <w:szCs w:val="20"/>
                <w:lang w:eastAsia="es-MX"/>
              </w:rPr>
              <w:t xml:space="preserve">Disminución </w:t>
            </w:r>
            <w:r>
              <w:rPr>
                <w:rFonts w:ascii="Barlow" w:hAnsi="Barlow" w:cstheme="minorHAnsi"/>
                <w:color w:val="000000"/>
                <w:sz w:val="20"/>
                <w:szCs w:val="20"/>
                <w:lang w:eastAsia="es-MX"/>
              </w:rPr>
              <w:t>de</w:t>
            </w:r>
            <w:r w:rsidRPr="00AD514F">
              <w:rPr>
                <w:rFonts w:ascii="Barlow" w:hAnsi="Barlow" w:cstheme="minorHAnsi"/>
                <w:color w:val="000000"/>
                <w:sz w:val="20"/>
                <w:szCs w:val="20"/>
                <w:lang w:eastAsia="es-MX"/>
              </w:rPr>
              <w:t xml:space="preserve"> p</w:t>
            </w:r>
            <w:r>
              <w:rPr>
                <w:rFonts w:ascii="Barlow" w:hAnsi="Barlow" w:cstheme="minorHAnsi"/>
                <w:color w:val="000000"/>
                <w:sz w:val="20"/>
                <w:szCs w:val="20"/>
                <w:lang w:eastAsia="es-MX"/>
              </w:rPr>
              <w:t xml:space="preserve">asivos     </w:t>
            </w:r>
            <w:r w:rsidRPr="00AD514F">
              <w:rPr>
                <w:rFonts w:ascii="Barlow" w:hAnsi="Barlow" w:cstheme="minorHAnsi"/>
                <w:color w:val="000000"/>
                <w:sz w:val="20"/>
                <w:szCs w:val="20"/>
                <w:lang w:eastAsia="es-MX"/>
              </w:rPr>
              <w:t xml:space="preserve"> </w:t>
            </w:r>
          </w:p>
        </w:tc>
        <w:tc>
          <w:tcPr>
            <w:tcW w:w="2410" w:type="dxa"/>
            <w:tcBorders>
              <w:top w:val="nil"/>
              <w:left w:val="nil"/>
              <w:bottom w:val="single" w:sz="4" w:space="0" w:color="auto"/>
              <w:right w:val="single" w:sz="4" w:space="0" w:color="auto"/>
            </w:tcBorders>
            <w:shd w:val="clear" w:color="auto" w:fill="auto"/>
            <w:noWrap/>
            <w:hideMark/>
          </w:tcPr>
          <w:p w14:paraId="4A38EB4A" w14:textId="028F7B25" w:rsidR="000D70E9" w:rsidRPr="00AD514F" w:rsidRDefault="00C30BA3" w:rsidP="000D70E9">
            <w:pPr>
              <w:jc w:val="right"/>
              <w:rPr>
                <w:rFonts w:ascii="Barlow" w:hAnsi="Barlow" w:cstheme="minorHAnsi"/>
                <w:color w:val="000000"/>
                <w:sz w:val="20"/>
                <w:szCs w:val="20"/>
                <w:lang w:eastAsia="es-MX"/>
              </w:rPr>
            </w:pPr>
            <w:r w:rsidRPr="001E1D61">
              <w:rPr>
                <w:rFonts w:ascii="Barlow" w:hAnsi="Barlow" w:cstheme="minorHAnsi"/>
                <w:color w:val="000000"/>
                <w:sz w:val="20"/>
                <w:szCs w:val="20"/>
                <w:lang w:eastAsia="es-MX"/>
              </w:rPr>
              <w:t>0.00</w:t>
            </w:r>
          </w:p>
        </w:tc>
        <w:tc>
          <w:tcPr>
            <w:tcW w:w="2268" w:type="dxa"/>
            <w:tcBorders>
              <w:top w:val="nil"/>
              <w:left w:val="nil"/>
              <w:bottom w:val="single" w:sz="4" w:space="0" w:color="auto"/>
              <w:right w:val="single" w:sz="4" w:space="0" w:color="auto"/>
            </w:tcBorders>
            <w:shd w:val="clear" w:color="auto" w:fill="auto"/>
            <w:noWrap/>
            <w:hideMark/>
          </w:tcPr>
          <w:p w14:paraId="04A75A4A" w14:textId="3978B353" w:rsidR="000D70E9" w:rsidRPr="00AD514F" w:rsidRDefault="000D70E9" w:rsidP="000D70E9">
            <w:pPr>
              <w:jc w:val="right"/>
              <w:rPr>
                <w:rFonts w:ascii="Barlow" w:hAnsi="Barlow" w:cstheme="minorHAnsi"/>
                <w:color w:val="000000"/>
                <w:sz w:val="20"/>
                <w:szCs w:val="20"/>
                <w:lang w:eastAsia="es-MX"/>
              </w:rPr>
            </w:pPr>
            <w:r w:rsidRPr="00811401">
              <w:rPr>
                <w:rFonts w:ascii="Barlow" w:hAnsi="Barlow" w:cstheme="minorHAnsi"/>
                <w:color w:val="000000"/>
                <w:sz w:val="20"/>
                <w:szCs w:val="20"/>
                <w:lang w:eastAsia="es-MX"/>
              </w:rPr>
              <w:t>0.00</w:t>
            </w:r>
          </w:p>
        </w:tc>
      </w:tr>
      <w:tr w:rsidR="000D70E9" w:rsidRPr="00AD514F" w14:paraId="13DD7916" w14:textId="77777777" w:rsidTr="001C07EE">
        <w:trPr>
          <w:trHeight w:val="153"/>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57DD0CB6" w14:textId="3798A6AD" w:rsidR="000D70E9" w:rsidRPr="00AD514F" w:rsidRDefault="000D70E9" w:rsidP="000D70E9">
            <w:pPr>
              <w:rPr>
                <w:rFonts w:ascii="Barlow" w:hAnsi="Barlow" w:cstheme="minorHAnsi"/>
                <w:color w:val="000000"/>
                <w:sz w:val="20"/>
                <w:szCs w:val="20"/>
                <w:lang w:eastAsia="es-MX"/>
              </w:rPr>
            </w:pPr>
            <w:r w:rsidRPr="00AD514F">
              <w:rPr>
                <w:rFonts w:ascii="Barlow" w:hAnsi="Barlow" w:cstheme="minorHAnsi"/>
                <w:color w:val="000000"/>
                <w:sz w:val="20"/>
                <w:szCs w:val="20"/>
                <w:lang w:eastAsia="es-MX"/>
              </w:rPr>
              <w:t>Reintegro de Recurso</w:t>
            </w:r>
            <w:r>
              <w:rPr>
                <w:rFonts w:ascii="Barlow" w:hAnsi="Barlow" w:cstheme="minorHAnsi"/>
                <w:color w:val="000000"/>
                <w:sz w:val="20"/>
                <w:szCs w:val="20"/>
                <w:lang w:eastAsia="es-MX"/>
              </w:rPr>
              <w:t xml:space="preserve"> </w:t>
            </w:r>
          </w:p>
        </w:tc>
        <w:tc>
          <w:tcPr>
            <w:tcW w:w="2410" w:type="dxa"/>
            <w:tcBorders>
              <w:top w:val="nil"/>
              <w:left w:val="nil"/>
              <w:bottom w:val="single" w:sz="4" w:space="0" w:color="auto"/>
              <w:right w:val="single" w:sz="4" w:space="0" w:color="auto"/>
            </w:tcBorders>
            <w:shd w:val="clear" w:color="auto" w:fill="auto"/>
            <w:noWrap/>
            <w:hideMark/>
          </w:tcPr>
          <w:p w14:paraId="563D7ECD" w14:textId="2CF1EE52" w:rsidR="000D70E9" w:rsidRPr="00AD514F" w:rsidRDefault="000D70E9" w:rsidP="000D70E9">
            <w:pPr>
              <w:jc w:val="right"/>
              <w:rPr>
                <w:rFonts w:ascii="Barlow" w:hAnsi="Barlow" w:cstheme="minorHAnsi"/>
                <w:color w:val="000000"/>
                <w:sz w:val="20"/>
                <w:szCs w:val="20"/>
                <w:lang w:eastAsia="es-MX"/>
              </w:rPr>
            </w:pPr>
            <w:r w:rsidRPr="001E1D61">
              <w:rPr>
                <w:rFonts w:ascii="Barlow" w:hAnsi="Barlow" w:cstheme="minorHAnsi"/>
                <w:color w:val="000000"/>
                <w:sz w:val="20"/>
                <w:szCs w:val="20"/>
                <w:lang w:eastAsia="es-MX"/>
              </w:rPr>
              <w:t>0.00</w:t>
            </w:r>
          </w:p>
        </w:tc>
        <w:tc>
          <w:tcPr>
            <w:tcW w:w="2268" w:type="dxa"/>
            <w:tcBorders>
              <w:top w:val="nil"/>
              <w:left w:val="nil"/>
              <w:bottom w:val="single" w:sz="4" w:space="0" w:color="auto"/>
              <w:right w:val="single" w:sz="4" w:space="0" w:color="auto"/>
            </w:tcBorders>
            <w:shd w:val="clear" w:color="auto" w:fill="auto"/>
            <w:noWrap/>
            <w:hideMark/>
          </w:tcPr>
          <w:p w14:paraId="103672C4" w14:textId="7E93E163" w:rsidR="000D70E9" w:rsidRPr="00AD514F" w:rsidRDefault="000D70E9" w:rsidP="000D70E9">
            <w:pPr>
              <w:jc w:val="right"/>
              <w:rPr>
                <w:rFonts w:ascii="Barlow" w:hAnsi="Barlow" w:cstheme="minorHAnsi"/>
                <w:color w:val="000000"/>
                <w:sz w:val="20"/>
                <w:szCs w:val="20"/>
                <w:lang w:eastAsia="es-MX"/>
              </w:rPr>
            </w:pPr>
            <w:r w:rsidRPr="00811401">
              <w:rPr>
                <w:rFonts w:ascii="Barlow" w:hAnsi="Barlow" w:cstheme="minorHAnsi"/>
                <w:color w:val="000000"/>
                <w:sz w:val="20"/>
                <w:szCs w:val="20"/>
                <w:lang w:eastAsia="es-MX"/>
              </w:rPr>
              <w:t>0.00</w:t>
            </w:r>
          </w:p>
        </w:tc>
      </w:tr>
      <w:tr w:rsidR="000D70E9" w:rsidRPr="003E52D9" w14:paraId="0328BB7E" w14:textId="77777777" w:rsidTr="00213381">
        <w:trPr>
          <w:trHeight w:val="58"/>
        </w:trPr>
        <w:tc>
          <w:tcPr>
            <w:tcW w:w="8217" w:type="dxa"/>
            <w:tcBorders>
              <w:top w:val="nil"/>
              <w:left w:val="single" w:sz="4" w:space="0" w:color="auto"/>
              <w:bottom w:val="single" w:sz="4" w:space="0" w:color="auto"/>
              <w:right w:val="single" w:sz="4" w:space="0" w:color="auto"/>
            </w:tcBorders>
            <w:shd w:val="clear" w:color="auto" w:fill="auto"/>
            <w:vAlign w:val="bottom"/>
            <w:hideMark/>
          </w:tcPr>
          <w:p w14:paraId="420F9E95" w14:textId="77777777" w:rsidR="000D70E9" w:rsidRPr="00AD514F" w:rsidRDefault="000D70E9" w:rsidP="000D70E9">
            <w:pPr>
              <w:rPr>
                <w:rFonts w:ascii="Barlow" w:hAnsi="Barlow" w:cstheme="minorHAnsi"/>
                <w:b/>
                <w:color w:val="000000"/>
                <w:sz w:val="20"/>
                <w:szCs w:val="20"/>
                <w:lang w:eastAsia="es-MX"/>
              </w:rPr>
            </w:pPr>
            <w:r w:rsidRPr="00AD514F">
              <w:rPr>
                <w:rFonts w:ascii="Barlow" w:hAnsi="Barlow" w:cstheme="minorHAnsi"/>
                <w:b/>
                <w:color w:val="000000"/>
                <w:sz w:val="20"/>
                <w:szCs w:val="20"/>
                <w:lang w:eastAsia="es-MX"/>
              </w:rPr>
              <w:t>Flujos de Efectivo Netos de las Actividades de Operación</w:t>
            </w:r>
          </w:p>
        </w:tc>
        <w:tc>
          <w:tcPr>
            <w:tcW w:w="2410" w:type="dxa"/>
            <w:tcBorders>
              <w:top w:val="nil"/>
              <w:left w:val="nil"/>
              <w:bottom w:val="single" w:sz="4" w:space="0" w:color="auto"/>
              <w:right w:val="single" w:sz="4" w:space="0" w:color="auto"/>
            </w:tcBorders>
            <w:shd w:val="clear" w:color="auto" w:fill="auto"/>
            <w:noWrap/>
            <w:vAlign w:val="bottom"/>
            <w:hideMark/>
          </w:tcPr>
          <w:p w14:paraId="6C438DF9" w14:textId="487897AE" w:rsidR="000D70E9" w:rsidRPr="00C30BA3" w:rsidRDefault="000D70E9" w:rsidP="00C30BA3">
            <w:pPr>
              <w:ind w:left="360"/>
              <w:jc w:val="right"/>
              <w:rPr>
                <w:rFonts w:ascii="Barlow" w:hAnsi="Barlow" w:cstheme="minorHAnsi"/>
                <w:b/>
                <w:color w:val="000000"/>
                <w:sz w:val="20"/>
                <w:szCs w:val="20"/>
                <w:lang w:eastAsia="es-MX"/>
              </w:rPr>
            </w:pPr>
            <w:r w:rsidRPr="00C30BA3">
              <w:rPr>
                <w:rFonts w:ascii="Barlow" w:hAnsi="Barlow" w:cstheme="minorHAnsi"/>
                <w:b/>
                <w:bCs/>
                <w:color w:val="000000"/>
                <w:sz w:val="20"/>
                <w:szCs w:val="20"/>
                <w:lang w:eastAsia="es-MX"/>
              </w:rPr>
              <w:t xml:space="preserve">$ </w:t>
            </w:r>
            <w:r w:rsidR="00EE1B6C">
              <w:rPr>
                <w:rFonts w:ascii="Barlow" w:hAnsi="Barlow" w:cstheme="minorHAnsi"/>
                <w:b/>
                <w:bCs/>
                <w:color w:val="000000"/>
                <w:sz w:val="20"/>
                <w:szCs w:val="20"/>
                <w:lang w:eastAsia="es-MX"/>
              </w:rPr>
              <w:t>91</w:t>
            </w:r>
            <w:r w:rsidRPr="00C30BA3">
              <w:rPr>
                <w:rFonts w:ascii="Barlow" w:hAnsi="Barlow" w:cstheme="minorHAnsi"/>
                <w:b/>
                <w:bCs/>
                <w:color w:val="000000"/>
                <w:sz w:val="20"/>
                <w:szCs w:val="20"/>
                <w:lang w:eastAsia="es-MX"/>
              </w:rPr>
              <w:t>,</w:t>
            </w:r>
            <w:r w:rsidR="00C30BA3">
              <w:rPr>
                <w:rFonts w:ascii="Barlow" w:hAnsi="Barlow" w:cstheme="minorHAnsi"/>
                <w:b/>
                <w:bCs/>
                <w:color w:val="000000"/>
                <w:sz w:val="20"/>
                <w:szCs w:val="20"/>
                <w:lang w:eastAsia="es-MX"/>
              </w:rPr>
              <w:t>3</w:t>
            </w:r>
            <w:r w:rsidR="00EE1B6C">
              <w:rPr>
                <w:rFonts w:ascii="Barlow" w:hAnsi="Barlow" w:cstheme="minorHAnsi"/>
                <w:b/>
                <w:bCs/>
                <w:color w:val="000000"/>
                <w:sz w:val="20"/>
                <w:szCs w:val="20"/>
                <w:lang w:eastAsia="es-MX"/>
              </w:rPr>
              <w:t>74</w:t>
            </w:r>
            <w:r w:rsidRPr="00C30BA3">
              <w:rPr>
                <w:rFonts w:ascii="Barlow" w:hAnsi="Barlow" w:cstheme="minorHAnsi"/>
                <w:b/>
                <w:bCs/>
                <w:color w:val="000000"/>
                <w:sz w:val="20"/>
                <w:szCs w:val="20"/>
                <w:lang w:eastAsia="es-MX"/>
              </w:rPr>
              <w:t>.</w:t>
            </w:r>
            <w:r w:rsidR="00EE1B6C">
              <w:rPr>
                <w:rFonts w:ascii="Barlow" w:hAnsi="Barlow" w:cstheme="minorHAnsi"/>
                <w:b/>
                <w:bCs/>
                <w:color w:val="000000"/>
                <w:sz w:val="20"/>
                <w:szCs w:val="20"/>
                <w:lang w:eastAsia="es-MX"/>
              </w:rPr>
              <w:t>64</w:t>
            </w:r>
          </w:p>
        </w:tc>
        <w:tc>
          <w:tcPr>
            <w:tcW w:w="2268" w:type="dxa"/>
            <w:tcBorders>
              <w:top w:val="nil"/>
              <w:left w:val="nil"/>
              <w:bottom w:val="single" w:sz="4" w:space="0" w:color="auto"/>
              <w:right w:val="single" w:sz="4" w:space="0" w:color="auto"/>
            </w:tcBorders>
            <w:shd w:val="clear" w:color="auto" w:fill="auto"/>
            <w:noWrap/>
            <w:vAlign w:val="bottom"/>
            <w:hideMark/>
          </w:tcPr>
          <w:p w14:paraId="76AA6D1C" w14:textId="2AFBB96D" w:rsidR="000D70E9" w:rsidRPr="00001A77" w:rsidRDefault="000D70E9" w:rsidP="000D70E9">
            <w:pPr>
              <w:jc w:val="right"/>
              <w:rPr>
                <w:rFonts w:ascii="Barlow" w:hAnsi="Barlow" w:cstheme="minorHAnsi"/>
                <w:b/>
                <w:color w:val="000000"/>
                <w:sz w:val="20"/>
                <w:szCs w:val="20"/>
                <w:lang w:eastAsia="es-MX"/>
              </w:rPr>
            </w:pPr>
            <w:r w:rsidRPr="00AD514F">
              <w:rPr>
                <w:rFonts w:ascii="Barlow" w:hAnsi="Barlow" w:cstheme="minorHAnsi"/>
                <w:b/>
                <w:bCs/>
                <w:color w:val="000000"/>
                <w:sz w:val="20"/>
                <w:szCs w:val="20"/>
                <w:lang w:eastAsia="es-MX"/>
              </w:rPr>
              <w:t xml:space="preserve">$ </w:t>
            </w:r>
            <w:r>
              <w:rPr>
                <w:rFonts w:ascii="Barlow" w:hAnsi="Barlow" w:cstheme="minorHAnsi"/>
                <w:b/>
                <w:bCs/>
                <w:color w:val="000000"/>
                <w:sz w:val="20"/>
                <w:szCs w:val="20"/>
                <w:lang w:eastAsia="es-MX"/>
              </w:rPr>
              <w:t>11,048,271</w:t>
            </w:r>
            <w:r w:rsidRPr="00AD514F">
              <w:rPr>
                <w:rFonts w:ascii="Barlow" w:hAnsi="Barlow" w:cstheme="minorHAnsi"/>
                <w:b/>
                <w:bCs/>
                <w:color w:val="000000"/>
                <w:sz w:val="20"/>
                <w:szCs w:val="20"/>
                <w:lang w:eastAsia="es-MX"/>
              </w:rPr>
              <w:t>.</w:t>
            </w:r>
            <w:r>
              <w:rPr>
                <w:rFonts w:ascii="Barlow" w:hAnsi="Barlow" w:cstheme="minorHAnsi"/>
                <w:b/>
                <w:bCs/>
                <w:color w:val="000000"/>
                <w:sz w:val="20"/>
                <w:szCs w:val="20"/>
                <w:lang w:eastAsia="es-MX"/>
              </w:rPr>
              <w:t>19</w:t>
            </w:r>
          </w:p>
        </w:tc>
      </w:tr>
    </w:tbl>
    <w:p w14:paraId="56F0B77D" w14:textId="77777777" w:rsidR="006F3BAB" w:rsidRPr="00AD514F" w:rsidRDefault="006F3BAB" w:rsidP="00FC4AA1">
      <w:pPr>
        <w:autoSpaceDE w:val="0"/>
        <w:autoSpaceDN w:val="0"/>
        <w:adjustRightInd w:val="0"/>
        <w:ind w:firstLine="708"/>
        <w:jc w:val="both"/>
        <w:rPr>
          <w:rFonts w:ascii="Barlow" w:hAnsi="Barlow" w:cstheme="minorHAnsi"/>
          <w:bCs/>
          <w:sz w:val="20"/>
          <w:szCs w:val="20"/>
        </w:rPr>
      </w:pPr>
    </w:p>
    <w:p w14:paraId="155873B5" w14:textId="77777777" w:rsidR="006F3BAB" w:rsidRDefault="006F3BAB" w:rsidP="00DA1E17">
      <w:pPr>
        <w:autoSpaceDE w:val="0"/>
        <w:autoSpaceDN w:val="0"/>
        <w:adjustRightInd w:val="0"/>
        <w:jc w:val="both"/>
        <w:rPr>
          <w:rFonts w:ascii="Barlow" w:hAnsi="Barlow" w:cstheme="minorHAnsi"/>
          <w:bCs/>
          <w:sz w:val="20"/>
          <w:szCs w:val="20"/>
        </w:rPr>
      </w:pPr>
    </w:p>
    <w:p w14:paraId="7BDBBB6E" w14:textId="77DDEA23" w:rsidR="006A5B85" w:rsidRDefault="00FE2956" w:rsidP="00DA1E17">
      <w:pPr>
        <w:autoSpaceDE w:val="0"/>
        <w:autoSpaceDN w:val="0"/>
        <w:adjustRightInd w:val="0"/>
        <w:jc w:val="both"/>
        <w:rPr>
          <w:rFonts w:ascii="Barlow" w:hAnsi="Barlow" w:cstheme="minorHAnsi"/>
          <w:b/>
          <w:sz w:val="20"/>
          <w:szCs w:val="20"/>
        </w:rPr>
      </w:pPr>
      <w:r w:rsidRPr="00AD514F">
        <w:rPr>
          <w:rFonts w:ascii="Barlow" w:hAnsi="Barlow" w:cstheme="minorHAnsi"/>
          <w:b/>
          <w:sz w:val="20"/>
          <w:szCs w:val="20"/>
        </w:rPr>
        <w:t>V) CONCILIACIÓN ENTRE LOS INGRESOS PRESUPUESTARIOS Y CONTABLES, ASI COMO ENTRE LOS EGRESOS PRESUPUESTARIOS Y</w:t>
      </w:r>
      <w:r w:rsidR="001A5DBF" w:rsidRPr="00AD514F">
        <w:rPr>
          <w:rFonts w:ascii="Barlow" w:hAnsi="Barlow" w:cstheme="minorHAnsi"/>
          <w:b/>
          <w:sz w:val="20"/>
          <w:szCs w:val="20"/>
        </w:rPr>
        <w:t xml:space="preserve"> LOS</w:t>
      </w:r>
      <w:r w:rsidRPr="00AD514F">
        <w:rPr>
          <w:rFonts w:ascii="Barlow" w:hAnsi="Barlow" w:cstheme="minorHAnsi"/>
          <w:b/>
          <w:sz w:val="20"/>
          <w:szCs w:val="20"/>
        </w:rPr>
        <w:t xml:space="preserve"> GASTOS CONTABLES.</w:t>
      </w:r>
    </w:p>
    <w:p w14:paraId="76CD04D1" w14:textId="77777777" w:rsidR="000769D2" w:rsidRDefault="000769D2" w:rsidP="00DA1E17">
      <w:pPr>
        <w:autoSpaceDE w:val="0"/>
        <w:autoSpaceDN w:val="0"/>
        <w:adjustRightInd w:val="0"/>
        <w:jc w:val="both"/>
        <w:rPr>
          <w:rFonts w:ascii="Barlow" w:hAnsi="Barlow" w:cstheme="minorHAnsi"/>
          <w:bCs/>
          <w:sz w:val="20"/>
          <w:szCs w:val="20"/>
        </w:rPr>
      </w:pPr>
    </w:p>
    <w:p w14:paraId="4BFBB406" w14:textId="43C2AE01" w:rsidR="00F7431E" w:rsidRPr="00FD08F0" w:rsidRDefault="008A37AF" w:rsidP="00F7431E">
      <w:pPr>
        <w:pStyle w:val="Prrafodelista"/>
        <w:numPr>
          <w:ilvl w:val="0"/>
          <w:numId w:val="11"/>
        </w:numPr>
        <w:autoSpaceDE w:val="0"/>
        <w:autoSpaceDN w:val="0"/>
        <w:adjustRightInd w:val="0"/>
        <w:spacing w:line="360" w:lineRule="auto"/>
        <w:jc w:val="both"/>
        <w:rPr>
          <w:rFonts w:ascii="Barlow" w:hAnsi="Barlow" w:cstheme="minorHAnsi"/>
          <w:sz w:val="20"/>
          <w:szCs w:val="20"/>
        </w:rPr>
      </w:pPr>
      <w:r w:rsidRPr="003E52D9">
        <w:rPr>
          <w:rFonts w:ascii="Barlow" w:hAnsi="Barlow" w:cstheme="minorHAnsi"/>
          <w:bCs/>
          <w:sz w:val="20"/>
          <w:szCs w:val="20"/>
        </w:rPr>
        <w:t xml:space="preserve">Conciliación de ingresos presupuestarios y contables del 1 </w:t>
      </w:r>
      <w:r>
        <w:rPr>
          <w:rFonts w:ascii="Barlow" w:hAnsi="Barlow" w:cstheme="minorHAnsi"/>
          <w:bCs/>
          <w:sz w:val="20"/>
          <w:szCs w:val="20"/>
        </w:rPr>
        <w:t xml:space="preserve">de enero </w:t>
      </w:r>
      <w:r w:rsidR="00D2266F">
        <w:rPr>
          <w:rFonts w:ascii="Barlow" w:hAnsi="Barlow" w:cstheme="minorHAnsi"/>
          <w:bCs/>
          <w:sz w:val="20"/>
          <w:szCs w:val="20"/>
        </w:rPr>
        <w:t xml:space="preserve">al </w:t>
      </w:r>
      <w:r w:rsidR="00EE1B6C">
        <w:rPr>
          <w:rFonts w:ascii="Barlow" w:hAnsi="Barlow" w:cstheme="minorHAnsi"/>
          <w:sz w:val="20"/>
          <w:szCs w:val="20"/>
        </w:rPr>
        <w:t>31 de marzo de 2025</w:t>
      </w:r>
    </w:p>
    <w:tbl>
      <w:tblPr>
        <w:tblpPr w:leftFromText="141" w:rightFromText="141" w:vertAnchor="text" w:horzAnchor="margin" w:tblpXSpec="center" w:tblpY="34"/>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
        <w:gridCol w:w="5647"/>
        <w:gridCol w:w="1276"/>
        <w:gridCol w:w="2126"/>
      </w:tblGrid>
      <w:tr w:rsidR="00AA132E" w:rsidRPr="003E52D9" w14:paraId="7C11274D" w14:textId="77777777" w:rsidTr="00B15152">
        <w:trPr>
          <w:trHeight w:val="167"/>
        </w:trPr>
        <w:tc>
          <w:tcPr>
            <w:tcW w:w="5807" w:type="dxa"/>
            <w:gridSpan w:val="2"/>
            <w:shd w:val="clear" w:color="000000" w:fill="C0C0C0"/>
            <w:vAlign w:val="center"/>
            <w:hideMark/>
          </w:tcPr>
          <w:p w14:paraId="318034C1"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1. Ingresos Presupuestarios</w:t>
            </w:r>
          </w:p>
        </w:tc>
        <w:tc>
          <w:tcPr>
            <w:tcW w:w="1276" w:type="dxa"/>
            <w:shd w:val="clear" w:color="auto" w:fill="BFBFBF" w:themeFill="background1" w:themeFillShade="BF"/>
            <w:vAlign w:val="center"/>
            <w:hideMark/>
          </w:tcPr>
          <w:p w14:paraId="1E749F17"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2126" w:type="dxa"/>
            <w:shd w:val="clear" w:color="000000" w:fill="C0C0C0"/>
            <w:vAlign w:val="center"/>
            <w:hideMark/>
          </w:tcPr>
          <w:p w14:paraId="7B07FA10" w14:textId="1207C828" w:rsidR="00AA132E" w:rsidRPr="003E52D9" w:rsidRDefault="00AA132E" w:rsidP="009C528C">
            <w:pPr>
              <w:ind w:right="-140"/>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 xml:space="preserve"> </w:t>
            </w:r>
            <w:r w:rsidR="009C528C">
              <w:rPr>
                <w:rFonts w:ascii="Barlow" w:hAnsi="Barlow" w:cstheme="minorHAnsi"/>
                <w:b/>
                <w:bCs/>
                <w:color w:val="000000"/>
                <w:sz w:val="20"/>
                <w:szCs w:val="20"/>
                <w:lang w:eastAsia="es-MX"/>
              </w:rPr>
              <w:t xml:space="preserve">          </w:t>
            </w:r>
            <w:r w:rsidR="00B15152">
              <w:rPr>
                <w:rFonts w:ascii="Barlow" w:hAnsi="Barlow" w:cstheme="minorHAnsi"/>
                <w:b/>
                <w:bCs/>
                <w:color w:val="000000"/>
                <w:sz w:val="20"/>
                <w:szCs w:val="20"/>
                <w:lang w:eastAsia="es-MX"/>
              </w:rPr>
              <w:t xml:space="preserve">$ </w:t>
            </w:r>
            <w:r w:rsidR="009C528C">
              <w:rPr>
                <w:rFonts w:ascii="Barlow" w:hAnsi="Barlow" w:cstheme="minorHAnsi"/>
                <w:b/>
                <w:bCs/>
                <w:color w:val="000000"/>
                <w:sz w:val="20"/>
                <w:szCs w:val="20"/>
                <w:lang w:eastAsia="es-MX"/>
              </w:rPr>
              <w:t>0</w:t>
            </w:r>
            <w:r w:rsidRPr="003E52D9">
              <w:rPr>
                <w:rFonts w:ascii="Barlow" w:hAnsi="Barlow" w:cstheme="minorHAnsi"/>
                <w:b/>
                <w:bCs/>
                <w:color w:val="000000"/>
                <w:sz w:val="20"/>
                <w:szCs w:val="20"/>
                <w:lang w:eastAsia="es-MX"/>
              </w:rPr>
              <w:t>.</w:t>
            </w:r>
            <w:r w:rsidR="009C528C">
              <w:rPr>
                <w:rFonts w:ascii="Barlow" w:hAnsi="Barlow" w:cstheme="minorHAnsi"/>
                <w:b/>
                <w:bCs/>
                <w:color w:val="000000"/>
                <w:sz w:val="20"/>
                <w:szCs w:val="20"/>
                <w:lang w:eastAsia="es-MX"/>
              </w:rPr>
              <w:t>0</w:t>
            </w:r>
            <w:r w:rsidR="009D4873">
              <w:rPr>
                <w:rFonts w:ascii="Barlow" w:hAnsi="Barlow" w:cstheme="minorHAnsi"/>
                <w:b/>
                <w:bCs/>
                <w:color w:val="000000"/>
                <w:sz w:val="20"/>
                <w:szCs w:val="20"/>
                <w:lang w:eastAsia="es-MX"/>
              </w:rPr>
              <w:t>0</w:t>
            </w:r>
          </w:p>
        </w:tc>
      </w:tr>
      <w:tr w:rsidR="00AA132E" w:rsidRPr="003E52D9" w14:paraId="62977491" w14:textId="77777777" w:rsidTr="00B15152">
        <w:trPr>
          <w:trHeight w:val="205"/>
        </w:trPr>
        <w:tc>
          <w:tcPr>
            <w:tcW w:w="5807" w:type="dxa"/>
            <w:gridSpan w:val="2"/>
            <w:shd w:val="clear" w:color="auto" w:fill="auto"/>
            <w:vAlign w:val="center"/>
            <w:hideMark/>
          </w:tcPr>
          <w:p w14:paraId="391DBFF7"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 Más ingresos contables no presupuestarios</w:t>
            </w:r>
          </w:p>
        </w:tc>
        <w:tc>
          <w:tcPr>
            <w:tcW w:w="1276" w:type="dxa"/>
            <w:shd w:val="clear" w:color="auto" w:fill="auto"/>
            <w:vAlign w:val="center"/>
            <w:hideMark/>
          </w:tcPr>
          <w:p w14:paraId="455A3E79"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2126" w:type="dxa"/>
            <w:shd w:val="clear" w:color="auto" w:fill="auto"/>
            <w:vAlign w:val="center"/>
            <w:hideMark/>
          </w:tcPr>
          <w:p w14:paraId="321B7655"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AA132E" w:rsidRPr="003E52D9" w14:paraId="598D9D89" w14:textId="77777777" w:rsidTr="00B15152">
        <w:trPr>
          <w:trHeight w:val="153"/>
        </w:trPr>
        <w:tc>
          <w:tcPr>
            <w:tcW w:w="160" w:type="dxa"/>
            <w:shd w:val="clear" w:color="auto" w:fill="auto"/>
            <w:vAlign w:val="center"/>
            <w:hideMark/>
          </w:tcPr>
          <w:p w14:paraId="675FC8C6"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60A6358F"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Incremento por variación de inventarios</w:t>
            </w:r>
          </w:p>
        </w:tc>
        <w:tc>
          <w:tcPr>
            <w:tcW w:w="1276" w:type="dxa"/>
            <w:shd w:val="clear" w:color="auto" w:fill="auto"/>
            <w:vAlign w:val="center"/>
            <w:hideMark/>
          </w:tcPr>
          <w:p w14:paraId="6361A2C9"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33AEF22E"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1769002B" w14:textId="77777777" w:rsidTr="00B15152">
        <w:trPr>
          <w:trHeight w:val="151"/>
        </w:trPr>
        <w:tc>
          <w:tcPr>
            <w:tcW w:w="160" w:type="dxa"/>
            <w:shd w:val="clear" w:color="auto" w:fill="auto"/>
            <w:vAlign w:val="center"/>
            <w:hideMark/>
          </w:tcPr>
          <w:p w14:paraId="28E16DE8" w14:textId="77777777" w:rsidR="00AA132E" w:rsidRPr="003E52D9" w:rsidRDefault="00AA132E" w:rsidP="00AA132E">
            <w:pPr>
              <w:jc w:val="both"/>
              <w:rPr>
                <w:rFonts w:ascii="Barlow" w:hAnsi="Barlow" w:cstheme="minorHAnsi"/>
                <w:color w:val="000000"/>
                <w:sz w:val="20"/>
                <w:szCs w:val="20"/>
                <w:lang w:eastAsia="es-MX"/>
              </w:rPr>
            </w:pPr>
          </w:p>
        </w:tc>
        <w:tc>
          <w:tcPr>
            <w:tcW w:w="5647" w:type="dxa"/>
            <w:shd w:val="clear" w:color="auto" w:fill="auto"/>
            <w:vAlign w:val="center"/>
            <w:hideMark/>
          </w:tcPr>
          <w:p w14:paraId="6B422EA7"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Disminución del exceso de provisiones</w:t>
            </w:r>
          </w:p>
        </w:tc>
        <w:tc>
          <w:tcPr>
            <w:tcW w:w="1276" w:type="dxa"/>
            <w:shd w:val="clear" w:color="auto" w:fill="auto"/>
            <w:vAlign w:val="center"/>
            <w:hideMark/>
          </w:tcPr>
          <w:p w14:paraId="6504A08C"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7D8FF9A4"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660BE7EB" w14:textId="77777777" w:rsidTr="00B15152">
        <w:trPr>
          <w:trHeight w:val="98"/>
        </w:trPr>
        <w:tc>
          <w:tcPr>
            <w:tcW w:w="160" w:type="dxa"/>
            <w:shd w:val="clear" w:color="auto" w:fill="auto"/>
            <w:vAlign w:val="center"/>
            <w:hideMark/>
          </w:tcPr>
          <w:p w14:paraId="32382134"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2E5E887B"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y beneficios varios</w:t>
            </w:r>
          </w:p>
        </w:tc>
        <w:tc>
          <w:tcPr>
            <w:tcW w:w="1276" w:type="dxa"/>
            <w:shd w:val="clear" w:color="auto" w:fill="auto"/>
            <w:vAlign w:val="center"/>
            <w:hideMark/>
          </w:tcPr>
          <w:p w14:paraId="7BA6A02F"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425C328B"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5C7C6387" w14:textId="77777777" w:rsidTr="00B15152">
        <w:trPr>
          <w:trHeight w:val="257"/>
        </w:trPr>
        <w:tc>
          <w:tcPr>
            <w:tcW w:w="5807" w:type="dxa"/>
            <w:gridSpan w:val="2"/>
            <w:shd w:val="clear" w:color="auto" w:fill="auto"/>
            <w:vAlign w:val="center"/>
            <w:hideMark/>
          </w:tcPr>
          <w:p w14:paraId="71CD1203" w14:textId="77777777" w:rsidR="00AA132E" w:rsidRPr="003E52D9" w:rsidRDefault="00AA132E" w:rsidP="00AA132E">
            <w:pPr>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contables no presupuestarios</w:t>
            </w:r>
          </w:p>
        </w:tc>
        <w:tc>
          <w:tcPr>
            <w:tcW w:w="1276" w:type="dxa"/>
            <w:shd w:val="clear" w:color="auto" w:fill="auto"/>
            <w:vAlign w:val="center"/>
            <w:hideMark/>
          </w:tcPr>
          <w:p w14:paraId="6338EFA7"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1A4ECF88"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4DCD5B5D" w14:textId="77777777" w:rsidTr="00B15152">
        <w:trPr>
          <w:trHeight w:val="149"/>
        </w:trPr>
        <w:tc>
          <w:tcPr>
            <w:tcW w:w="5807" w:type="dxa"/>
            <w:gridSpan w:val="2"/>
            <w:shd w:val="clear" w:color="auto" w:fill="auto"/>
            <w:vAlign w:val="center"/>
            <w:hideMark/>
          </w:tcPr>
          <w:p w14:paraId="2B032B0E"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3. Menos ingresos presupuestarios no contables</w:t>
            </w:r>
          </w:p>
        </w:tc>
        <w:tc>
          <w:tcPr>
            <w:tcW w:w="1276" w:type="dxa"/>
            <w:shd w:val="clear" w:color="auto" w:fill="auto"/>
            <w:vAlign w:val="center"/>
            <w:hideMark/>
          </w:tcPr>
          <w:p w14:paraId="339778FA"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2126" w:type="dxa"/>
            <w:shd w:val="clear" w:color="auto" w:fill="auto"/>
            <w:vAlign w:val="center"/>
            <w:hideMark/>
          </w:tcPr>
          <w:p w14:paraId="5508CDD6"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r>
      <w:tr w:rsidR="00AA132E" w:rsidRPr="003E52D9" w14:paraId="23835975" w14:textId="77777777" w:rsidTr="00B15152">
        <w:trPr>
          <w:trHeight w:val="239"/>
        </w:trPr>
        <w:tc>
          <w:tcPr>
            <w:tcW w:w="160" w:type="dxa"/>
            <w:shd w:val="clear" w:color="auto" w:fill="auto"/>
            <w:vAlign w:val="center"/>
            <w:hideMark/>
          </w:tcPr>
          <w:p w14:paraId="5A36E9B5"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07B0A650"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Productos de capital</w:t>
            </w:r>
          </w:p>
        </w:tc>
        <w:tc>
          <w:tcPr>
            <w:tcW w:w="1276" w:type="dxa"/>
            <w:shd w:val="clear" w:color="auto" w:fill="auto"/>
            <w:vAlign w:val="center"/>
            <w:hideMark/>
          </w:tcPr>
          <w:p w14:paraId="1EE91193"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6E53E4F4"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2A814AAD" w14:textId="77777777" w:rsidTr="00B15152">
        <w:trPr>
          <w:trHeight w:val="257"/>
        </w:trPr>
        <w:tc>
          <w:tcPr>
            <w:tcW w:w="160" w:type="dxa"/>
            <w:shd w:val="clear" w:color="auto" w:fill="auto"/>
            <w:vAlign w:val="center"/>
            <w:hideMark/>
          </w:tcPr>
          <w:p w14:paraId="010B97E1"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34CE32F5"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Aprovechamientos capital</w:t>
            </w:r>
          </w:p>
        </w:tc>
        <w:tc>
          <w:tcPr>
            <w:tcW w:w="1276" w:type="dxa"/>
            <w:shd w:val="clear" w:color="auto" w:fill="auto"/>
            <w:vAlign w:val="center"/>
            <w:hideMark/>
          </w:tcPr>
          <w:p w14:paraId="6585BEE3"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56F906A8"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749DB93A" w14:textId="77777777" w:rsidTr="00B15152">
        <w:trPr>
          <w:trHeight w:val="261"/>
        </w:trPr>
        <w:tc>
          <w:tcPr>
            <w:tcW w:w="160" w:type="dxa"/>
            <w:shd w:val="clear" w:color="auto" w:fill="auto"/>
            <w:vAlign w:val="center"/>
            <w:hideMark/>
          </w:tcPr>
          <w:p w14:paraId="3D1A9B0D"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647" w:type="dxa"/>
            <w:shd w:val="clear" w:color="auto" w:fill="auto"/>
            <w:vAlign w:val="center"/>
            <w:hideMark/>
          </w:tcPr>
          <w:p w14:paraId="40BB1126"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Ingresos derivados de financiamientos</w:t>
            </w:r>
          </w:p>
        </w:tc>
        <w:tc>
          <w:tcPr>
            <w:tcW w:w="1276" w:type="dxa"/>
            <w:shd w:val="clear" w:color="auto" w:fill="auto"/>
            <w:vAlign w:val="center"/>
            <w:hideMark/>
          </w:tcPr>
          <w:p w14:paraId="638DA6F5"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4C4B0222"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7D47FBE7" w14:textId="77777777" w:rsidTr="00B15152">
        <w:trPr>
          <w:trHeight w:val="123"/>
        </w:trPr>
        <w:tc>
          <w:tcPr>
            <w:tcW w:w="5807" w:type="dxa"/>
            <w:gridSpan w:val="2"/>
            <w:shd w:val="clear" w:color="auto" w:fill="auto"/>
            <w:vAlign w:val="center"/>
            <w:hideMark/>
          </w:tcPr>
          <w:p w14:paraId="61D7CEF8"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Ingresos presupuestarios no contables</w:t>
            </w:r>
          </w:p>
        </w:tc>
        <w:tc>
          <w:tcPr>
            <w:tcW w:w="1276" w:type="dxa"/>
            <w:shd w:val="clear" w:color="auto" w:fill="auto"/>
            <w:vAlign w:val="center"/>
            <w:hideMark/>
          </w:tcPr>
          <w:p w14:paraId="2F2BE553" w14:textId="77777777" w:rsidR="00AA132E" w:rsidRPr="003E52D9" w:rsidRDefault="00AA132E" w:rsidP="00AA132E">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2126" w:type="dxa"/>
            <w:shd w:val="clear" w:color="auto" w:fill="auto"/>
            <w:vAlign w:val="center"/>
            <w:hideMark/>
          </w:tcPr>
          <w:p w14:paraId="420963D7" w14:textId="77777777" w:rsidR="00AA132E" w:rsidRPr="003E52D9" w:rsidRDefault="00AA132E" w:rsidP="00AA132E">
            <w:pPr>
              <w:jc w:val="right"/>
              <w:rPr>
                <w:rFonts w:ascii="Barlow" w:hAnsi="Barlow" w:cstheme="minorHAnsi"/>
                <w:color w:val="000000"/>
                <w:sz w:val="20"/>
                <w:szCs w:val="20"/>
                <w:lang w:eastAsia="es-MX"/>
              </w:rPr>
            </w:pPr>
          </w:p>
        </w:tc>
      </w:tr>
      <w:tr w:rsidR="00AA132E" w:rsidRPr="003E52D9" w14:paraId="29AA9811" w14:textId="77777777" w:rsidTr="00B15152">
        <w:trPr>
          <w:trHeight w:val="348"/>
        </w:trPr>
        <w:tc>
          <w:tcPr>
            <w:tcW w:w="5807" w:type="dxa"/>
            <w:gridSpan w:val="2"/>
            <w:shd w:val="clear" w:color="000000" w:fill="C0C0C0"/>
            <w:vAlign w:val="center"/>
            <w:hideMark/>
          </w:tcPr>
          <w:p w14:paraId="4D97D417" w14:textId="77777777" w:rsidR="00AA132E" w:rsidRPr="003E52D9" w:rsidRDefault="00AA132E" w:rsidP="00AA132E">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4. Ingresos Contables (4 = 1 + 2 - 3)</w:t>
            </w:r>
          </w:p>
        </w:tc>
        <w:tc>
          <w:tcPr>
            <w:tcW w:w="1276" w:type="dxa"/>
            <w:shd w:val="clear" w:color="auto" w:fill="auto"/>
            <w:vAlign w:val="center"/>
            <w:hideMark/>
          </w:tcPr>
          <w:p w14:paraId="54B043E8" w14:textId="77777777" w:rsidR="00AA132E" w:rsidRPr="003E52D9" w:rsidRDefault="00AA132E" w:rsidP="00AA132E">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2126" w:type="dxa"/>
            <w:shd w:val="clear" w:color="000000" w:fill="C0C0C0"/>
            <w:vAlign w:val="center"/>
            <w:hideMark/>
          </w:tcPr>
          <w:p w14:paraId="0929F50D" w14:textId="1E933FEA" w:rsidR="00AA132E" w:rsidRPr="003E52D9" w:rsidRDefault="00AA132E" w:rsidP="009C528C">
            <w:pPr>
              <w:ind w:right="-140"/>
              <w:rPr>
                <w:rFonts w:ascii="Barlow" w:hAnsi="Barlow" w:cstheme="minorHAnsi"/>
                <w:b/>
                <w:bCs/>
                <w:color w:val="000000"/>
                <w:sz w:val="20"/>
                <w:szCs w:val="20"/>
                <w:lang w:eastAsia="es-MX"/>
              </w:rPr>
            </w:pPr>
            <w:r>
              <w:rPr>
                <w:rFonts w:ascii="Barlow" w:hAnsi="Barlow" w:cstheme="minorHAnsi"/>
                <w:b/>
                <w:bCs/>
                <w:color w:val="000000"/>
                <w:sz w:val="20"/>
                <w:szCs w:val="20"/>
                <w:lang w:eastAsia="es-MX"/>
              </w:rPr>
              <w:t xml:space="preserve"> </w:t>
            </w:r>
            <w:r w:rsidR="009C528C">
              <w:rPr>
                <w:rFonts w:ascii="Barlow" w:hAnsi="Barlow" w:cstheme="minorHAnsi"/>
                <w:b/>
                <w:bCs/>
                <w:color w:val="000000"/>
                <w:sz w:val="20"/>
                <w:szCs w:val="20"/>
                <w:lang w:eastAsia="es-MX"/>
              </w:rPr>
              <w:t xml:space="preserve">          </w:t>
            </w:r>
            <w:r w:rsidR="00B15152">
              <w:rPr>
                <w:rFonts w:ascii="Barlow" w:hAnsi="Barlow" w:cstheme="minorHAnsi"/>
                <w:b/>
                <w:bCs/>
                <w:color w:val="000000"/>
                <w:sz w:val="20"/>
                <w:szCs w:val="20"/>
                <w:lang w:eastAsia="es-MX"/>
              </w:rPr>
              <w:t xml:space="preserve">$ </w:t>
            </w:r>
            <w:r w:rsidR="009C528C">
              <w:rPr>
                <w:rFonts w:ascii="Barlow" w:hAnsi="Barlow" w:cstheme="minorHAnsi"/>
                <w:b/>
                <w:bCs/>
                <w:color w:val="000000"/>
                <w:sz w:val="20"/>
                <w:szCs w:val="20"/>
                <w:lang w:eastAsia="es-MX"/>
              </w:rPr>
              <w:t>0</w:t>
            </w:r>
            <w:r w:rsidRPr="003E52D9">
              <w:rPr>
                <w:rFonts w:ascii="Barlow" w:hAnsi="Barlow" w:cstheme="minorHAnsi"/>
                <w:b/>
                <w:bCs/>
                <w:color w:val="000000"/>
                <w:sz w:val="20"/>
                <w:szCs w:val="20"/>
                <w:lang w:eastAsia="es-MX"/>
              </w:rPr>
              <w:t>.</w:t>
            </w:r>
            <w:r w:rsidR="009D4873">
              <w:rPr>
                <w:rFonts w:ascii="Barlow" w:hAnsi="Barlow" w:cstheme="minorHAnsi"/>
                <w:b/>
                <w:bCs/>
                <w:color w:val="000000"/>
                <w:sz w:val="20"/>
                <w:szCs w:val="20"/>
                <w:lang w:eastAsia="es-MX"/>
              </w:rPr>
              <w:t>0</w:t>
            </w:r>
            <w:r w:rsidR="009C528C">
              <w:rPr>
                <w:rFonts w:ascii="Barlow" w:hAnsi="Barlow" w:cstheme="minorHAnsi"/>
                <w:b/>
                <w:bCs/>
                <w:color w:val="000000"/>
                <w:sz w:val="20"/>
                <w:szCs w:val="20"/>
                <w:lang w:eastAsia="es-MX"/>
              </w:rPr>
              <w:t>0</w:t>
            </w:r>
          </w:p>
        </w:tc>
      </w:tr>
    </w:tbl>
    <w:p w14:paraId="2DE78B0D" w14:textId="6BD21BD9" w:rsidR="00F33332" w:rsidRDefault="00F33332" w:rsidP="00DA1E17">
      <w:pPr>
        <w:autoSpaceDE w:val="0"/>
        <w:autoSpaceDN w:val="0"/>
        <w:adjustRightInd w:val="0"/>
        <w:jc w:val="both"/>
        <w:rPr>
          <w:rFonts w:ascii="Barlow" w:hAnsi="Barlow" w:cstheme="minorHAnsi"/>
          <w:bCs/>
          <w:sz w:val="20"/>
          <w:szCs w:val="20"/>
        </w:rPr>
      </w:pPr>
    </w:p>
    <w:p w14:paraId="768352D5" w14:textId="270DB116" w:rsidR="00AA132E" w:rsidRDefault="00AA132E" w:rsidP="00DA1E17">
      <w:pPr>
        <w:autoSpaceDE w:val="0"/>
        <w:autoSpaceDN w:val="0"/>
        <w:adjustRightInd w:val="0"/>
        <w:jc w:val="both"/>
        <w:rPr>
          <w:rFonts w:ascii="Barlow" w:hAnsi="Barlow" w:cstheme="minorHAnsi"/>
          <w:bCs/>
          <w:sz w:val="20"/>
          <w:szCs w:val="20"/>
        </w:rPr>
      </w:pPr>
    </w:p>
    <w:p w14:paraId="534F6EA2" w14:textId="77777777" w:rsidR="00AA132E" w:rsidRDefault="00AA132E" w:rsidP="00DA1E17">
      <w:pPr>
        <w:autoSpaceDE w:val="0"/>
        <w:autoSpaceDN w:val="0"/>
        <w:adjustRightInd w:val="0"/>
        <w:jc w:val="both"/>
        <w:rPr>
          <w:rFonts w:ascii="Barlow" w:hAnsi="Barlow" w:cstheme="minorHAnsi"/>
          <w:bCs/>
          <w:sz w:val="20"/>
          <w:szCs w:val="20"/>
        </w:rPr>
      </w:pPr>
    </w:p>
    <w:p w14:paraId="5069E530" w14:textId="098A322A" w:rsidR="00F33332" w:rsidRDefault="00F33332" w:rsidP="00DA1E17">
      <w:pPr>
        <w:autoSpaceDE w:val="0"/>
        <w:autoSpaceDN w:val="0"/>
        <w:adjustRightInd w:val="0"/>
        <w:jc w:val="both"/>
        <w:rPr>
          <w:rFonts w:ascii="Barlow" w:hAnsi="Barlow" w:cstheme="minorHAnsi"/>
          <w:bCs/>
          <w:sz w:val="20"/>
          <w:szCs w:val="20"/>
        </w:rPr>
      </w:pPr>
    </w:p>
    <w:p w14:paraId="15B332ED" w14:textId="16B57462" w:rsidR="00F33332" w:rsidRDefault="00F33332" w:rsidP="00DA1E17">
      <w:pPr>
        <w:autoSpaceDE w:val="0"/>
        <w:autoSpaceDN w:val="0"/>
        <w:adjustRightInd w:val="0"/>
        <w:jc w:val="both"/>
        <w:rPr>
          <w:rFonts w:ascii="Barlow" w:hAnsi="Barlow" w:cstheme="minorHAnsi"/>
          <w:bCs/>
          <w:sz w:val="20"/>
          <w:szCs w:val="20"/>
        </w:rPr>
      </w:pPr>
    </w:p>
    <w:p w14:paraId="4A3E959D" w14:textId="5DFE82D9" w:rsidR="00F33332" w:rsidRDefault="00F33332" w:rsidP="00DA1E17">
      <w:pPr>
        <w:autoSpaceDE w:val="0"/>
        <w:autoSpaceDN w:val="0"/>
        <w:adjustRightInd w:val="0"/>
        <w:jc w:val="both"/>
        <w:rPr>
          <w:rFonts w:ascii="Barlow" w:hAnsi="Barlow" w:cstheme="minorHAnsi"/>
          <w:bCs/>
          <w:sz w:val="20"/>
          <w:szCs w:val="20"/>
        </w:rPr>
      </w:pPr>
    </w:p>
    <w:p w14:paraId="07EE9E5F" w14:textId="683E4653" w:rsidR="00F33332" w:rsidRDefault="00F33332" w:rsidP="00DA1E17">
      <w:pPr>
        <w:autoSpaceDE w:val="0"/>
        <w:autoSpaceDN w:val="0"/>
        <w:adjustRightInd w:val="0"/>
        <w:jc w:val="both"/>
        <w:rPr>
          <w:rFonts w:ascii="Barlow" w:hAnsi="Barlow" w:cstheme="minorHAnsi"/>
          <w:bCs/>
          <w:sz w:val="20"/>
          <w:szCs w:val="20"/>
        </w:rPr>
      </w:pPr>
    </w:p>
    <w:p w14:paraId="381CD79D" w14:textId="4588665F" w:rsidR="00F33332" w:rsidRDefault="00F33332" w:rsidP="00DA1E17">
      <w:pPr>
        <w:autoSpaceDE w:val="0"/>
        <w:autoSpaceDN w:val="0"/>
        <w:adjustRightInd w:val="0"/>
        <w:jc w:val="both"/>
        <w:rPr>
          <w:rFonts w:ascii="Barlow" w:hAnsi="Barlow" w:cstheme="minorHAnsi"/>
          <w:bCs/>
          <w:sz w:val="20"/>
          <w:szCs w:val="20"/>
        </w:rPr>
      </w:pPr>
    </w:p>
    <w:p w14:paraId="1CCC172A" w14:textId="5CA17921" w:rsidR="00F33332" w:rsidRDefault="00F33332" w:rsidP="00DA1E17">
      <w:pPr>
        <w:autoSpaceDE w:val="0"/>
        <w:autoSpaceDN w:val="0"/>
        <w:adjustRightInd w:val="0"/>
        <w:jc w:val="both"/>
        <w:rPr>
          <w:rFonts w:ascii="Barlow" w:hAnsi="Barlow" w:cstheme="minorHAnsi"/>
          <w:bCs/>
          <w:sz w:val="20"/>
          <w:szCs w:val="20"/>
        </w:rPr>
      </w:pPr>
    </w:p>
    <w:p w14:paraId="39B0BCC8" w14:textId="77777777" w:rsidR="00F33332" w:rsidRDefault="00F33332" w:rsidP="00DA1E17">
      <w:pPr>
        <w:autoSpaceDE w:val="0"/>
        <w:autoSpaceDN w:val="0"/>
        <w:adjustRightInd w:val="0"/>
        <w:jc w:val="both"/>
        <w:rPr>
          <w:rFonts w:ascii="Barlow" w:hAnsi="Barlow" w:cstheme="minorHAnsi"/>
          <w:bCs/>
          <w:sz w:val="20"/>
          <w:szCs w:val="20"/>
        </w:rPr>
      </w:pPr>
    </w:p>
    <w:p w14:paraId="36134862" w14:textId="77777777" w:rsidR="00F33332" w:rsidRDefault="00F33332" w:rsidP="00DA1E17">
      <w:pPr>
        <w:autoSpaceDE w:val="0"/>
        <w:autoSpaceDN w:val="0"/>
        <w:adjustRightInd w:val="0"/>
        <w:jc w:val="both"/>
        <w:rPr>
          <w:rFonts w:ascii="Barlow" w:hAnsi="Barlow" w:cstheme="minorHAnsi"/>
          <w:bCs/>
          <w:sz w:val="20"/>
          <w:szCs w:val="20"/>
        </w:rPr>
      </w:pPr>
    </w:p>
    <w:p w14:paraId="1E0E2F09" w14:textId="684ED5D3" w:rsidR="00F873FD" w:rsidRDefault="00F873FD" w:rsidP="00DA1E17">
      <w:pPr>
        <w:autoSpaceDE w:val="0"/>
        <w:autoSpaceDN w:val="0"/>
        <w:adjustRightInd w:val="0"/>
        <w:jc w:val="both"/>
        <w:rPr>
          <w:rFonts w:ascii="Barlow" w:hAnsi="Barlow" w:cstheme="minorHAnsi"/>
          <w:bCs/>
          <w:sz w:val="20"/>
          <w:szCs w:val="20"/>
        </w:rPr>
      </w:pPr>
    </w:p>
    <w:p w14:paraId="1F0A96C4" w14:textId="74469C84" w:rsidR="006A5B85" w:rsidRDefault="006A5B85" w:rsidP="00DA1E17">
      <w:pPr>
        <w:autoSpaceDE w:val="0"/>
        <w:autoSpaceDN w:val="0"/>
        <w:adjustRightInd w:val="0"/>
        <w:jc w:val="both"/>
        <w:rPr>
          <w:rFonts w:ascii="Barlow" w:hAnsi="Barlow" w:cstheme="minorHAnsi"/>
          <w:bCs/>
          <w:sz w:val="20"/>
          <w:szCs w:val="20"/>
        </w:rPr>
      </w:pPr>
    </w:p>
    <w:p w14:paraId="53EF6073" w14:textId="182CA6C3" w:rsidR="006A5B85" w:rsidRDefault="006A5B85" w:rsidP="00DA1E17">
      <w:pPr>
        <w:autoSpaceDE w:val="0"/>
        <w:autoSpaceDN w:val="0"/>
        <w:adjustRightInd w:val="0"/>
        <w:jc w:val="both"/>
        <w:rPr>
          <w:rFonts w:ascii="Barlow" w:hAnsi="Barlow" w:cstheme="minorHAnsi"/>
          <w:bCs/>
          <w:sz w:val="20"/>
          <w:szCs w:val="20"/>
        </w:rPr>
      </w:pPr>
    </w:p>
    <w:p w14:paraId="2EB960ED" w14:textId="1E82AA87" w:rsidR="000769D2" w:rsidRPr="001A0A33" w:rsidRDefault="001A0A33" w:rsidP="001A0A33">
      <w:pPr>
        <w:pStyle w:val="Prrafodelista"/>
        <w:numPr>
          <w:ilvl w:val="0"/>
          <w:numId w:val="11"/>
        </w:numPr>
        <w:autoSpaceDE w:val="0"/>
        <w:autoSpaceDN w:val="0"/>
        <w:adjustRightInd w:val="0"/>
        <w:spacing w:line="360" w:lineRule="auto"/>
        <w:jc w:val="both"/>
        <w:rPr>
          <w:rFonts w:ascii="Barlow" w:hAnsi="Barlow" w:cstheme="minorHAnsi"/>
          <w:bCs/>
          <w:sz w:val="20"/>
          <w:szCs w:val="20"/>
        </w:rPr>
      </w:pPr>
      <w:r>
        <w:rPr>
          <w:rFonts w:ascii="Barlow" w:hAnsi="Barlow" w:cstheme="minorHAnsi"/>
          <w:bCs/>
          <w:sz w:val="20"/>
          <w:szCs w:val="20"/>
        </w:rPr>
        <w:lastRenderedPageBreak/>
        <w:t>C</w:t>
      </w:r>
      <w:r w:rsidR="000769D2" w:rsidRPr="000769D2">
        <w:rPr>
          <w:rFonts w:ascii="Barlow" w:hAnsi="Barlow" w:cstheme="minorHAnsi"/>
          <w:bCs/>
          <w:sz w:val="20"/>
          <w:szCs w:val="20"/>
        </w:rPr>
        <w:t xml:space="preserve">onciliación de Egresos presupuestarios y gastos contables del 1 de enero </w:t>
      </w:r>
      <w:r w:rsidR="00D2266F">
        <w:rPr>
          <w:rFonts w:ascii="Barlow" w:hAnsi="Barlow" w:cstheme="minorHAnsi"/>
          <w:bCs/>
          <w:sz w:val="20"/>
          <w:szCs w:val="20"/>
        </w:rPr>
        <w:t xml:space="preserve">al </w:t>
      </w:r>
      <w:r w:rsidR="00EE1B6C">
        <w:rPr>
          <w:rFonts w:ascii="Barlow" w:hAnsi="Barlow" w:cstheme="minorHAnsi"/>
          <w:sz w:val="20"/>
          <w:szCs w:val="20"/>
        </w:rPr>
        <w:t>31 de marzo de 2025</w:t>
      </w:r>
    </w:p>
    <w:tbl>
      <w:tblPr>
        <w:tblpPr w:leftFromText="141" w:rightFromText="141" w:vertAnchor="text" w:horzAnchor="margin" w:tblpXSpec="center" w:tblpY="59"/>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0"/>
        <w:gridCol w:w="5498"/>
        <w:gridCol w:w="1842"/>
        <w:gridCol w:w="1985"/>
      </w:tblGrid>
      <w:tr w:rsidR="006A3710" w:rsidRPr="003E52D9" w14:paraId="058219E7" w14:textId="77777777" w:rsidTr="006A3710">
        <w:trPr>
          <w:trHeight w:val="211"/>
        </w:trPr>
        <w:tc>
          <w:tcPr>
            <w:tcW w:w="6658" w:type="dxa"/>
            <w:gridSpan w:val="2"/>
            <w:shd w:val="clear" w:color="000000" w:fill="C0C0C0"/>
            <w:vAlign w:val="center"/>
            <w:hideMark/>
          </w:tcPr>
          <w:p w14:paraId="50BF19D8" w14:textId="77777777" w:rsidR="006A3710" w:rsidRPr="003E52D9" w:rsidRDefault="006A3710" w:rsidP="006A3710">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1. Total de egresos (presupuestarios)</w:t>
            </w:r>
          </w:p>
        </w:tc>
        <w:tc>
          <w:tcPr>
            <w:tcW w:w="1842" w:type="dxa"/>
            <w:shd w:val="clear" w:color="auto" w:fill="auto"/>
            <w:vAlign w:val="center"/>
            <w:hideMark/>
          </w:tcPr>
          <w:p w14:paraId="4E4F4883"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5" w:type="dxa"/>
            <w:shd w:val="clear" w:color="000000" w:fill="C0C0C0"/>
            <w:vAlign w:val="center"/>
            <w:hideMark/>
          </w:tcPr>
          <w:p w14:paraId="529DA9A6" w14:textId="61A4D131" w:rsidR="006A3710" w:rsidRPr="003E52D9" w:rsidRDefault="006A3710" w:rsidP="00253D6A">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w:t>
            </w:r>
            <w:r w:rsidR="00253D6A">
              <w:rPr>
                <w:rFonts w:ascii="Barlow" w:hAnsi="Barlow" w:cstheme="minorHAnsi"/>
                <w:b/>
                <w:bCs/>
                <w:color w:val="000000"/>
                <w:sz w:val="20"/>
                <w:szCs w:val="20"/>
                <w:lang w:eastAsia="es-MX"/>
              </w:rPr>
              <w:t>0</w:t>
            </w:r>
            <w:r>
              <w:rPr>
                <w:rFonts w:ascii="Barlow" w:hAnsi="Barlow" w:cstheme="minorHAnsi"/>
                <w:b/>
                <w:bCs/>
                <w:color w:val="000000"/>
                <w:sz w:val="20"/>
                <w:szCs w:val="20"/>
                <w:lang w:eastAsia="es-MX"/>
              </w:rPr>
              <w:t>.0</w:t>
            </w:r>
            <w:r w:rsidR="00253D6A">
              <w:rPr>
                <w:rFonts w:ascii="Barlow" w:hAnsi="Barlow" w:cstheme="minorHAnsi"/>
                <w:b/>
                <w:bCs/>
                <w:color w:val="000000"/>
                <w:sz w:val="20"/>
                <w:szCs w:val="20"/>
                <w:lang w:eastAsia="es-MX"/>
              </w:rPr>
              <w:t>0</w:t>
            </w:r>
          </w:p>
        </w:tc>
      </w:tr>
      <w:tr w:rsidR="006A3710" w:rsidRPr="003E52D9" w14:paraId="193F9AF3" w14:textId="77777777" w:rsidTr="006A3710">
        <w:trPr>
          <w:trHeight w:val="257"/>
        </w:trPr>
        <w:tc>
          <w:tcPr>
            <w:tcW w:w="6658" w:type="dxa"/>
            <w:gridSpan w:val="2"/>
            <w:shd w:val="clear" w:color="auto" w:fill="auto"/>
            <w:vAlign w:val="center"/>
            <w:hideMark/>
          </w:tcPr>
          <w:p w14:paraId="6B28692A" w14:textId="77777777" w:rsidR="006A3710" w:rsidRPr="003E52D9" w:rsidRDefault="006A3710" w:rsidP="006A3710">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2. Menos egresos presupuestarios no contables</w:t>
            </w:r>
          </w:p>
        </w:tc>
        <w:tc>
          <w:tcPr>
            <w:tcW w:w="1842" w:type="dxa"/>
            <w:shd w:val="clear" w:color="auto" w:fill="auto"/>
            <w:vAlign w:val="center"/>
            <w:hideMark/>
          </w:tcPr>
          <w:p w14:paraId="08575D95"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5" w:type="dxa"/>
            <w:shd w:val="clear" w:color="auto" w:fill="auto"/>
            <w:vAlign w:val="center"/>
            <w:hideMark/>
          </w:tcPr>
          <w:p w14:paraId="1AADD135" w14:textId="7F2CCC82" w:rsidR="006A3710" w:rsidRPr="003E52D9" w:rsidRDefault="006A3710" w:rsidP="00253D6A">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$ 0.</w:t>
            </w:r>
            <w:r w:rsidR="00253D6A">
              <w:rPr>
                <w:rFonts w:ascii="Barlow" w:hAnsi="Barlow" w:cstheme="minorHAnsi"/>
                <w:b/>
                <w:bCs/>
                <w:color w:val="000000"/>
                <w:sz w:val="20"/>
                <w:szCs w:val="20"/>
                <w:lang w:eastAsia="es-MX"/>
              </w:rPr>
              <w:t>00</w:t>
            </w:r>
            <w:r w:rsidRPr="003E52D9">
              <w:rPr>
                <w:rFonts w:ascii="Barlow" w:hAnsi="Barlow" w:cstheme="minorHAnsi"/>
                <w:b/>
                <w:bCs/>
                <w:color w:val="000000"/>
                <w:sz w:val="20"/>
                <w:szCs w:val="20"/>
                <w:lang w:eastAsia="es-MX"/>
              </w:rPr>
              <w:t xml:space="preserve"> </w:t>
            </w:r>
          </w:p>
        </w:tc>
      </w:tr>
      <w:tr w:rsidR="006A3710" w:rsidRPr="003E52D9" w14:paraId="3D7A3890" w14:textId="77777777" w:rsidTr="006A3710">
        <w:trPr>
          <w:trHeight w:val="156"/>
        </w:trPr>
        <w:tc>
          <w:tcPr>
            <w:tcW w:w="1160" w:type="dxa"/>
            <w:shd w:val="clear" w:color="auto" w:fill="auto"/>
            <w:vAlign w:val="center"/>
            <w:hideMark/>
          </w:tcPr>
          <w:p w14:paraId="382814B3"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4AEE83F"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Mobiliario y equipo de administración</w:t>
            </w:r>
          </w:p>
        </w:tc>
        <w:tc>
          <w:tcPr>
            <w:tcW w:w="1842" w:type="dxa"/>
            <w:shd w:val="clear" w:color="auto" w:fill="auto"/>
            <w:vAlign w:val="center"/>
            <w:hideMark/>
          </w:tcPr>
          <w:p w14:paraId="7510B531" w14:textId="77777777" w:rsidR="006A3710" w:rsidRPr="003E52D9" w:rsidRDefault="006A3710" w:rsidP="006A3710">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0.00</w:t>
            </w:r>
          </w:p>
        </w:tc>
        <w:tc>
          <w:tcPr>
            <w:tcW w:w="1985" w:type="dxa"/>
            <w:shd w:val="clear" w:color="auto" w:fill="auto"/>
            <w:vAlign w:val="center"/>
            <w:hideMark/>
          </w:tcPr>
          <w:p w14:paraId="1D03FFD4"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5C39586D" w14:textId="77777777" w:rsidTr="006A3710">
        <w:trPr>
          <w:trHeight w:val="201"/>
        </w:trPr>
        <w:tc>
          <w:tcPr>
            <w:tcW w:w="1160" w:type="dxa"/>
            <w:shd w:val="clear" w:color="auto" w:fill="auto"/>
            <w:vAlign w:val="center"/>
            <w:hideMark/>
          </w:tcPr>
          <w:p w14:paraId="14D8D045"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5CBAA661"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Mobiliario y equipo educacional y recreativo</w:t>
            </w:r>
          </w:p>
        </w:tc>
        <w:tc>
          <w:tcPr>
            <w:tcW w:w="1842" w:type="dxa"/>
            <w:shd w:val="clear" w:color="auto" w:fill="auto"/>
            <w:hideMark/>
          </w:tcPr>
          <w:p w14:paraId="7F8DC3BB" w14:textId="77777777" w:rsidR="006A3710" w:rsidRPr="003E52D9" w:rsidRDefault="006A3710" w:rsidP="006A3710">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Pr="000A3B73">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985" w:type="dxa"/>
            <w:shd w:val="clear" w:color="auto" w:fill="auto"/>
            <w:hideMark/>
          </w:tcPr>
          <w:p w14:paraId="7C9ADDBB"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197B2C2D" w14:textId="77777777" w:rsidTr="006A3710">
        <w:trPr>
          <w:trHeight w:val="248"/>
        </w:trPr>
        <w:tc>
          <w:tcPr>
            <w:tcW w:w="1160" w:type="dxa"/>
            <w:shd w:val="clear" w:color="auto" w:fill="auto"/>
            <w:vAlign w:val="center"/>
            <w:hideMark/>
          </w:tcPr>
          <w:p w14:paraId="1F02336D"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327BB0AB"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Equipo e instrumental médico y de laboratorio</w:t>
            </w:r>
          </w:p>
        </w:tc>
        <w:tc>
          <w:tcPr>
            <w:tcW w:w="1842" w:type="dxa"/>
            <w:shd w:val="clear" w:color="auto" w:fill="auto"/>
            <w:hideMark/>
          </w:tcPr>
          <w:p w14:paraId="4E356251" w14:textId="77777777" w:rsidR="006A3710" w:rsidRPr="003E52D9" w:rsidRDefault="006A3710" w:rsidP="006A3710">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Pr="00474FEE">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985" w:type="dxa"/>
            <w:shd w:val="clear" w:color="auto" w:fill="auto"/>
            <w:hideMark/>
          </w:tcPr>
          <w:p w14:paraId="7109A13A" w14:textId="77777777" w:rsidR="006A3710" w:rsidRPr="003E52D9" w:rsidRDefault="006A3710" w:rsidP="006A3710">
            <w:pPr>
              <w:jc w:val="right"/>
              <w:rPr>
                <w:rFonts w:ascii="Barlow" w:hAnsi="Barlow" w:cstheme="minorHAnsi"/>
                <w:color w:val="000000"/>
                <w:sz w:val="20"/>
                <w:szCs w:val="20"/>
                <w:lang w:eastAsia="es-MX"/>
              </w:rPr>
            </w:pPr>
          </w:p>
        </w:tc>
      </w:tr>
      <w:tr w:rsidR="00253D6A" w:rsidRPr="003E52D9" w14:paraId="3F66B9CC" w14:textId="77777777" w:rsidTr="001C07EE">
        <w:trPr>
          <w:trHeight w:val="109"/>
        </w:trPr>
        <w:tc>
          <w:tcPr>
            <w:tcW w:w="1160" w:type="dxa"/>
            <w:shd w:val="clear" w:color="auto" w:fill="auto"/>
            <w:vAlign w:val="center"/>
            <w:hideMark/>
          </w:tcPr>
          <w:p w14:paraId="255A88CD" w14:textId="77777777" w:rsidR="00253D6A" w:rsidRPr="003E52D9" w:rsidRDefault="00253D6A" w:rsidP="00253D6A">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1D3EDAC5" w14:textId="77777777" w:rsidR="00253D6A" w:rsidRPr="003E52D9" w:rsidRDefault="00253D6A" w:rsidP="00253D6A">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Vehículos y equipo de transporte</w:t>
            </w:r>
          </w:p>
        </w:tc>
        <w:tc>
          <w:tcPr>
            <w:tcW w:w="1842" w:type="dxa"/>
            <w:shd w:val="clear" w:color="auto" w:fill="auto"/>
            <w:hideMark/>
          </w:tcPr>
          <w:p w14:paraId="0F5B772F" w14:textId="19204D23" w:rsidR="00253D6A" w:rsidRPr="003E52D9" w:rsidRDefault="00253D6A" w:rsidP="00253D6A">
            <w:pPr>
              <w:jc w:val="right"/>
              <w:rPr>
                <w:rFonts w:ascii="Barlow" w:hAnsi="Barlow" w:cstheme="minorHAnsi"/>
                <w:color w:val="000000"/>
                <w:sz w:val="20"/>
                <w:szCs w:val="20"/>
                <w:lang w:eastAsia="es-MX"/>
              </w:rPr>
            </w:pPr>
            <w:r w:rsidRPr="003A4D74">
              <w:rPr>
                <w:rFonts w:ascii="Barlow" w:hAnsi="Barlow" w:cstheme="minorHAnsi"/>
                <w:color w:val="000000"/>
                <w:sz w:val="20"/>
                <w:szCs w:val="20"/>
                <w:lang w:eastAsia="es-MX"/>
              </w:rPr>
              <w:t>0.00</w:t>
            </w:r>
          </w:p>
        </w:tc>
        <w:tc>
          <w:tcPr>
            <w:tcW w:w="1985" w:type="dxa"/>
            <w:shd w:val="clear" w:color="auto" w:fill="auto"/>
            <w:vAlign w:val="center"/>
            <w:hideMark/>
          </w:tcPr>
          <w:p w14:paraId="42F801B8" w14:textId="77777777" w:rsidR="00253D6A" w:rsidRPr="003E52D9" w:rsidRDefault="00253D6A" w:rsidP="00253D6A">
            <w:pPr>
              <w:jc w:val="right"/>
              <w:rPr>
                <w:rFonts w:ascii="Barlow" w:hAnsi="Barlow" w:cstheme="minorHAnsi"/>
                <w:color w:val="000000"/>
                <w:sz w:val="20"/>
                <w:szCs w:val="20"/>
                <w:lang w:eastAsia="es-MX"/>
              </w:rPr>
            </w:pPr>
          </w:p>
        </w:tc>
      </w:tr>
      <w:tr w:rsidR="00253D6A" w:rsidRPr="003E52D9" w14:paraId="1AE3C7DA" w14:textId="77777777" w:rsidTr="001C07EE">
        <w:trPr>
          <w:trHeight w:val="155"/>
        </w:trPr>
        <w:tc>
          <w:tcPr>
            <w:tcW w:w="1160" w:type="dxa"/>
            <w:shd w:val="clear" w:color="auto" w:fill="auto"/>
            <w:vAlign w:val="center"/>
            <w:hideMark/>
          </w:tcPr>
          <w:p w14:paraId="62F2ABA9" w14:textId="77777777" w:rsidR="00253D6A" w:rsidRPr="003E52D9" w:rsidRDefault="00253D6A" w:rsidP="00253D6A">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12B06975" w14:textId="77777777" w:rsidR="00253D6A" w:rsidRPr="003E52D9" w:rsidRDefault="00253D6A" w:rsidP="00253D6A">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Equipo de defensa y seguridad</w:t>
            </w:r>
          </w:p>
        </w:tc>
        <w:tc>
          <w:tcPr>
            <w:tcW w:w="1842" w:type="dxa"/>
            <w:shd w:val="clear" w:color="auto" w:fill="auto"/>
            <w:hideMark/>
          </w:tcPr>
          <w:p w14:paraId="14CA7909" w14:textId="2124E3B1" w:rsidR="00253D6A" w:rsidRPr="003E52D9" w:rsidRDefault="00253D6A" w:rsidP="00253D6A">
            <w:pPr>
              <w:jc w:val="right"/>
              <w:rPr>
                <w:rFonts w:ascii="Barlow" w:hAnsi="Barlow" w:cstheme="minorHAnsi"/>
                <w:color w:val="000000"/>
                <w:sz w:val="20"/>
                <w:szCs w:val="20"/>
                <w:lang w:eastAsia="es-MX"/>
              </w:rPr>
            </w:pPr>
            <w:r w:rsidRPr="003A4D74">
              <w:rPr>
                <w:rFonts w:ascii="Barlow" w:hAnsi="Barlow" w:cstheme="minorHAnsi"/>
                <w:color w:val="000000"/>
                <w:sz w:val="20"/>
                <w:szCs w:val="20"/>
                <w:lang w:eastAsia="es-MX"/>
              </w:rPr>
              <w:t>0.00</w:t>
            </w:r>
          </w:p>
        </w:tc>
        <w:tc>
          <w:tcPr>
            <w:tcW w:w="1985" w:type="dxa"/>
            <w:shd w:val="clear" w:color="auto" w:fill="auto"/>
            <w:vAlign w:val="center"/>
            <w:hideMark/>
          </w:tcPr>
          <w:p w14:paraId="36920558" w14:textId="77777777" w:rsidR="00253D6A" w:rsidRPr="003E52D9" w:rsidRDefault="00253D6A" w:rsidP="00253D6A">
            <w:pPr>
              <w:jc w:val="right"/>
              <w:rPr>
                <w:rFonts w:ascii="Barlow" w:hAnsi="Barlow" w:cstheme="minorHAnsi"/>
                <w:color w:val="000000"/>
                <w:sz w:val="20"/>
                <w:szCs w:val="20"/>
                <w:lang w:eastAsia="es-MX"/>
              </w:rPr>
            </w:pPr>
          </w:p>
        </w:tc>
      </w:tr>
      <w:tr w:rsidR="00253D6A" w:rsidRPr="003E52D9" w14:paraId="51A24B2F" w14:textId="77777777" w:rsidTr="001C07EE">
        <w:trPr>
          <w:trHeight w:val="201"/>
        </w:trPr>
        <w:tc>
          <w:tcPr>
            <w:tcW w:w="1160" w:type="dxa"/>
            <w:shd w:val="clear" w:color="auto" w:fill="auto"/>
            <w:vAlign w:val="center"/>
            <w:hideMark/>
          </w:tcPr>
          <w:p w14:paraId="2F76C998" w14:textId="77777777" w:rsidR="00253D6A" w:rsidRPr="003E52D9" w:rsidRDefault="00253D6A" w:rsidP="00253D6A">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7B20860F" w14:textId="77777777" w:rsidR="00253D6A" w:rsidRPr="003E52D9" w:rsidRDefault="00253D6A" w:rsidP="00253D6A">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Maquinaria, otros equipos y herramientas</w:t>
            </w:r>
          </w:p>
        </w:tc>
        <w:tc>
          <w:tcPr>
            <w:tcW w:w="1842" w:type="dxa"/>
            <w:shd w:val="clear" w:color="auto" w:fill="auto"/>
            <w:hideMark/>
          </w:tcPr>
          <w:p w14:paraId="29C3F658" w14:textId="6981B30F" w:rsidR="00253D6A" w:rsidRPr="003E52D9" w:rsidRDefault="00253D6A" w:rsidP="00253D6A">
            <w:pPr>
              <w:jc w:val="right"/>
              <w:rPr>
                <w:rFonts w:ascii="Barlow" w:hAnsi="Barlow" w:cstheme="minorHAnsi"/>
                <w:color w:val="000000"/>
                <w:sz w:val="20"/>
                <w:szCs w:val="20"/>
                <w:lang w:eastAsia="es-MX"/>
              </w:rPr>
            </w:pPr>
            <w:r w:rsidRPr="003A4D74">
              <w:rPr>
                <w:rFonts w:ascii="Barlow" w:hAnsi="Barlow" w:cstheme="minorHAnsi"/>
                <w:color w:val="000000"/>
                <w:sz w:val="20"/>
                <w:szCs w:val="20"/>
                <w:lang w:eastAsia="es-MX"/>
              </w:rPr>
              <w:t>0.00</w:t>
            </w:r>
          </w:p>
        </w:tc>
        <w:tc>
          <w:tcPr>
            <w:tcW w:w="1985" w:type="dxa"/>
            <w:shd w:val="clear" w:color="auto" w:fill="auto"/>
            <w:vAlign w:val="center"/>
            <w:hideMark/>
          </w:tcPr>
          <w:p w14:paraId="5DCE6269" w14:textId="77777777" w:rsidR="00253D6A" w:rsidRPr="003E52D9" w:rsidRDefault="00253D6A" w:rsidP="00253D6A">
            <w:pPr>
              <w:jc w:val="right"/>
              <w:rPr>
                <w:rFonts w:ascii="Barlow" w:hAnsi="Barlow" w:cstheme="minorHAnsi"/>
                <w:color w:val="000000"/>
                <w:sz w:val="20"/>
                <w:szCs w:val="20"/>
                <w:lang w:eastAsia="es-MX"/>
              </w:rPr>
            </w:pPr>
          </w:p>
        </w:tc>
      </w:tr>
      <w:tr w:rsidR="006A3710" w:rsidRPr="003E52D9" w14:paraId="4E085057" w14:textId="77777777" w:rsidTr="006A3710">
        <w:trPr>
          <w:trHeight w:val="105"/>
        </w:trPr>
        <w:tc>
          <w:tcPr>
            <w:tcW w:w="1160" w:type="dxa"/>
            <w:shd w:val="clear" w:color="auto" w:fill="auto"/>
            <w:vAlign w:val="center"/>
            <w:hideMark/>
          </w:tcPr>
          <w:p w14:paraId="5A2B1946"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42756C0B"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Activos biológicos</w:t>
            </w:r>
          </w:p>
        </w:tc>
        <w:tc>
          <w:tcPr>
            <w:tcW w:w="1842" w:type="dxa"/>
            <w:shd w:val="clear" w:color="auto" w:fill="auto"/>
            <w:vAlign w:val="center"/>
            <w:hideMark/>
          </w:tcPr>
          <w:p w14:paraId="2DBEC521"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0A9D4262"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0324626E" w14:textId="77777777" w:rsidTr="006A3710">
        <w:trPr>
          <w:trHeight w:val="48"/>
        </w:trPr>
        <w:tc>
          <w:tcPr>
            <w:tcW w:w="1160" w:type="dxa"/>
            <w:shd w:val="clear" w:color="auto" w:fill="auto"/>
            <w:vAlign w:val="center"/>
            <w:hideMark/>
          </w:tcPr>
          <w:p w14:paraId="2FFEEFED"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6247142A"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Bienes inmuebles</w:t>
            </w:r>
          </w:p>
        </w:tc>
        <w:tc>
          <w:tcPr>
            <w:tcW w:w="1842" w:type="dxa"/>
            <w:shd w:val="clear" w:color="auto" w:fill="auto"/>
            <w:vAlign w:val="center"/>
            <w:hideMark/>
          </w:tcPr>
          <w:p w14:paraId="5BDD6A85"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584C534C"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14A3556F" w14:textId="77777777" w:rsidTr="006A3710">
        <w:trPr>
          <w:trHeight w:val="55"/>
        </w:trPr>
        <w:tc>
          <w:tcPr>
            <w:tcW w:w="1160" w:type="dxa"/>
            <w:shd w:val="clear" w:color="auto" w:fill="auto"/>
            <w:vAlign w:val="center"/>
            <w:hideMark/>
          </w:tcPr>
          <w:p w14:paraId="25E0C4F1"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3AF0271F"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Activos intangibles</w:t>
            </w:r>
          </w:p>
        </w:tc>
        <w:tc>
          <w:tcPr>
            <w:tcW w:w="1842" w:type="dxa"/>
            <w:shd w:val="clear" w:color="auto" w:fill="auto"/>
            <w:vAlign w:val="center"/>
            <w:hideMark/>
          </w:tcPr>
          <w:p w14:paraId="2A19AB60" w14:textId="77777777" w:rsidR="006A3710" w:rsidRPr="003E52D9" w:rsidRDefault="006A3710" w:rsidP="006A3710">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0.00</w:t>
            </w:r>
          </w:p>
        </w:tc>
        <w:tc>
          <w:tcPr>
            <w:tcW w:w="1985" w:type="dxa"/>
            <w:shd w:val="clear" w:color="auto" w:fill="auto"/>
            <w:vAlign w:val="center"/>
            <w:hideMark/>
          </w:tcPr>
          <w:p w14:paraId="35D056EB"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6C93A33B" w14:textId="77777777" w:rsidTr="006A3710">
        <w:trPr>
          <w:trHeight w:val="230"/>
        </w:trPr>
        <w:tc>
          <w:tcPr>
            <w:tcW w:w="1160" w:type="dxa"/>
            <w:shd w:val="clear" w:color="auto" w:fill="auto"/>
            <w:vAlign w:val="center"/>
            <w:hideMark/>
          </w:tcPr>
          <w:p w14:paraId="5911318E"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03A6F134"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Obra pública en bienes propios</w:t>
            </w:r>
          </w:p>
        </w:tc>
        <w:tc>
          <w:tcPr>
            <w:tcW w:w="1842" w:type="dxa"/>
            <w:shd w:val="clear" w:color="auto" w:fill="auto"/>
            <w:hideMark/>
          </w:tcPr>
          <w:p w14:paraId="367FF87C" w14:textId="77777777" w:rsidR="006A3710" w:rsidRPr="003E52D9" w:rsidRDefault="006A3710" w:rsidP="006A3710">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w:t>
            </w:r>
            <w:r w:rsidRPr="00806912">
              <w:rPr>
                <w:rFonts w:ascii="Barlow" w:hAnsi="Barlow" w:cstheme="minorHAnsi"/>
                <w:color w:val="000000"/>
                <w:sz w:val="20"/>
                <w:szCs w:val="20"/>
                <w:lang w:eastAsia="es-MX"/>
              </w:rPr>
              <w:t>.</w:t>
            </w:r>
            <w:r>
              <w:rPr>
                <w:rFonts w:ascii="Barlow" w:hAnsi="Barlow" w:cstheme="minorHAnsi"/>
                <w:color w:val="000000"/>
                <w:sz w:val="20"/>
                <w:szCs w:val="20"/>
                <w:lang w:eastAsia="es-MX"/>
              </w:rPr>
              <w:t>00</w:t>
            </w:r>
          </w:p>
        </w:tc>
        <w:tc>
          <w:tcPr>
            <w:tcW w:w="1985" w:type="dxa"/>
            <w:shd w:val="clear" w:color="auto" w:fill="auto"/>
            <w:hideMark/>
          </w:tcPr>
          <w:p w14:paraId="666C8769"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2EFC3D60" w14:textId="77777777" w:rsidTr="006A3710">
        <w:trPr>
          <w:trHeight w:val="133"/>
        </w:trPr>
        <w:tc>
          <w:tcPr>
            <w:tcW w:w="6658" w:type="dxa"/>
            <w:gridSpan w:val="2"/>
            <w:shd w:val="clear" w:color="auto" w:fill="auto"/>
            <w:vAlign w:val="center"/>
            <w:hideMark/>
          </w:tcPr>
          <w:p w14:paraId="76E9F156"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Egresos Presupuestales No Contables</w:t>
            </w:r>
          </w:p>
        </w:tc>
        <w:tc>
          <w:tcPr>
            <w:tcW w:w="1842" w:type="dxa"/>
            <w:shd w:val="clear" w:color="auto" w:fill="auto"/>
            <w:vAlign w:val="center"/>
            <w:hideMark/>
          </w:tcPr>
          <w:p w14:paraId="07DC6775"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2D79A6AE"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659CD3BF" w14:textId="77777777" w:rsidTr="006A3710">
        <w:trPr>
          <w:trHeight w:val="121"/>
        </w:trPr>
        <w:tc>
          <w:tcPr>
            <w:tcW w:w="6658" w:type="dxa"/>
            <w:gridSpan w:val="2"/>
            <w:shd w:val="clear" w:color="auto" w:fill="auto"/>
            <w:vAlign w:val="center"/>
            <w:hideMark/>
          </w:tcPr>
          <w:p w14:paraId="1DCB4F63" w14:textId="77777777" w:rsidR="006A3710" w:rsidRPr="003E52D9" w:rsidRDefault="006A3710" w:rsidP="006A3710">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3. Más gastos contables no presupuestales</w:t>
            </w:r>
          </w:p>
        </w:tc>
        <w:tc>
          <w:tcPr>
            <w:tcW w:w="1842" w:type="dxa"/>
            <w:shd w:val="clear" w:color="auto" w:fill="auto"/>
            <w:vAlign w:val="center"/>
            <w:hideMark/>
          </w:tcPr>
          <w:p w14:paraId="1BB155B2"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5" w:type="dxa"/>
            <w:shd w:val="clear" w:color="auto" w:fill="auto"/>
            <w:vAlign w:val="center"/>
            <w:hideMark/>
          </w:tcPr>
          <w:p w14:paraId="7D314123" w14:textId="246C2120" w:rsidR="006A3710" w:rsidRPr="003E52D9" w:rsidRDefault="006A3710" w:rsidP="00253D6A">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$ 0.</w:t>
            </w:r>
            <w:r w:rsidR="00253D6A">
              <w:rPr>
                <w:rFonts w:ascii="Barlow" w:hAnsi="Barlow" w:cstheme="minorHAnsi"/>
                <w:b/>
                <w:bCs/>
                <w:color w:val="000000"/>
                <w:sz w:val="20"/>
                <w:szCs w:val="20"/>
                <w:lang w:eastAsia="es-MX"/>
              </w:rPr>
              <w:t>00</w:t>
            </w:r>
          </w:p>
        </w:tc>
      </w:tr>
      <w:tr w:rsidR="006A3710" w:rsidRPr="003E52D9" w14:paraId="7F85537F" w14:textId="77777777" w:rsidTr="006A3710">
        <w:trPr>
          <w:trHeight w:val="389"/>
        </w:trPr>
        <w:tc>
          <w:tcPr>
            <w:tcW w:w="1160" w:type="dxa"/>
            <w:shd w:val="clear" w:color="auto" w:fill="auto"/>
            <w:vAlign w:val="center"/>
            <w:hideMark/>
          </w:tcPr>
          <w:p w14:paraId="4C74464A"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23B9610C"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Estimaciones, depreciaciones, deterioros, obsolescencia y amortizaciones</w:t>
            </w:r>
          </w:p>
        </w:tc>
        <w:tc>
          <w:tcPr>
            <w:tcW w:w="1842" w:type="dxa"/>
            <w:shd w:val="clear" w:color="auto" w:fill="auto"/>
            <w:vAlign w:val="center"/>
            <w:hideMark/>
          </w:tcPr>
          <w:p w14:paraId="19CCCCDF"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60DC53BD"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1CB4E2EA" w14:textId="77777777" w:rsidTr="006A3710">
        <w:trPr>
          <w:trHeight w:val="202"/>
        </w:trPr>
        <w:tc>
          <w:tcPr>
            <w:tcW w:w="1160" w:type="dxa"/>
            <w:shd w:val="clear" w:color="auto" w:fill="auto"/>
            <w:vAlign w:val="center"/>
            <w:hideMark/>
          </w:tcPr>
          <w:p w14:paraId="38E1272C"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30A89C86"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Provisiones</w:t>
            </w:r>
          </w:p>
        </w:tc>
        <w:tc>
          <w:tcPr>
            <w:tcW w:w="1842" w:type="dxa"/>
            <w:shd w:val="clear" w:color="auto" w:fill="auto"/>
            <w:vAlign w:val="center"/>
            <w:hideMark/>
          </w:tcPr>
          <w:p w14:paraId="4F899CD7"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6D52CDFA"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7D4ED5EE" w14:textId="77777777" w:rsidTr="006A3710">
        <w:trPr>
          <w:trHeight w:val="234"/>
        </w:trPr>
        <w:tc>
          <w:tcPr>
            <w:tcW w:w="1160" w:type="dxa"/>
            <w:shd w:val="clear" w:color="auto" w:fill="auto"/>
            <w:vAlign w:val="center"/>
            <w:hideMark/>
          </w:tcPr>
          <w:p w14:paraId="6271DE7B"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5498" w:type="dxa"/>
            <w:shd w:val="clear" w:color="auto" w:fill="auto"/>
            <w:vAlign w:val="center"/>
            <w:hideMark/>
          </w:tcPr>
          <w:p w14:paraId="45710CB8"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Gastos</w:t>
            </w:r>
          </w:p>
        </w:tc>
        <w:tc>
          <w:tcPr>
            <w:tcW w:w="1842" w:type="dxa"/>
            <w:shd w:val="clear" w:color="auto" w:fill="auto"/>
            <w:vAlign w:val="center"/>
            <w:hideMark/>
          </w:tcPr>
          <w:p w14:paraId="1D01C83C" w14:textId="53A258E8" w:rsidR="006A3710" w:rsidRPr="003E52D9" w:rsidRDefault="00253D6A" w:rsidP="006A3710">
            <w:pPr>
              <w:jc w:val="right"/>
              <w:rPr>
                <w:rFonts w:ascii="Barlow" w:hAnsi="Barlow" w:cstheme="minorHAnsi"/>
                <w:color w:val="000000"/>
                <w:sz w:val="20"/>
                <w:szCs w:val="20"/>
                <w:lang w:eastAsia="es-MX"/>
              </w:rPr>
            </w:pPr>
            <w:r>
              <w:rPr>
                <w:rFonts w:ascii="Barlow" w:hAnsi="Barlow" w:cstheme="minorHAnsi"/>
                <w:color w:val="000000"/>
                <w:sz w:val="20"/>
                <w:szCs w:val="20"/>
                <w:lang w:eastAsia="es-MX"/>
              </w:rPr>
              <w:t>0.00</w:t>
            </w:r>
          </w:p>
        </w:tc>
        <w:tc>
          <w:tcPr>
            <w:tcW w:w="1985" w:type="dxa"/>
            <w:shd w:val="clear" w:color="auto" w:fill="auto"/>
            <w:vAlign w:val="center"/>
            <w:hideMark/>
          </w:tcPr>
          <w:p w14:paraId="686B7405"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25092431" w14:textId="77777777" w:rsidTr="006A3710">
        <w:trPr>
          <w:trHeight w:val="123"/>
        </w:trPr>
        <w:tc>
          <w:tcPr>
            <w:tcW w:w="6658" w:type="dxa"/>
            <w:gridSpan w:val="2"/>
            <w:shd w:val="clear" w:color="auto" w:fill="auto"/>
            <w:vAlign w:val="center"/>
            <w:hideMark/>
          </w:tcPr>
          <w:p w14:paraId="5471FDCD" w14:textId="77777777" w:rsidR="006A3710" w:rsidRPr="003E52D9" w:rsidRDefault="006A3710" w:rsidP="006A3710">
            <w:pPr>
              <w:jc w:val="both"/>
              <w:rPr>
                <w:rFonts w:ascii="Barlow" w:hAnsi="Barlow" w:cstheme="minorHAnsi"/>
                <w:color w:val="000000"/>
                <w:sz w:val="20"/>
                <w:szCs w:val="20"/>
                <w:lang w:eastAsia="es-MX"/>
              </w:rPr>
            </w:pPr>
            <w:r w:rsidRPr="003E52D9">
              <w:rPr>
                <w:rFonts w:ascii="Barlow" w:hAnsi="Barlow" w:cstheme="minorHAnsi"/>
                <w:color w:val="000000"/>
                <w:sz w:val="20"/>
                <w:szCs w:val="20"/>
                <w:lang w:eastAsia="es-MX"/>
              </w:rPr>
              <w:t>Otros Gastos Contables No Presupuestales</w:t>
            </w:r>
          </w:p>
        </w:tc>
        <w:tc>
          <w:tcPr>
            <w:tcW w:w="1842" w:type="dxa"/>
            <w:shd w:val="clear" w:color="auto" w:fill="auto"/>
            <w:vAlign w:val="center"/>
            <w:hideMark/>
          </w:tcPr>
          <w:p w14:paraId="34228281"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0.00</w:t>
            </w:r>
          </w:p>
        </w:tc>
        <w:tc>
          <w:tcPr>
            <w:tcW w:w="1985" w:type="dxa"/>
            <w:shd w:val="clear" w:color="auto" w:fill="auto"/>
            <w:vAlign w:val="center"/>
            <w:hideMark/>
          </w:tcPr>
          <w:p w14:paraId="2AF57152" w14:textId="77777777" w:rsidR="006A3710" w:rsidRPr="003E52D9" w:rsidRDefault="006A3710" w:rsidP="006A3710">
            <w:pPr>
              <w:jc w:val="right"/>
              <w:rPr>
                <w:rFonts w:ascii="Barlow" w:hAnsi="Barlow" w:cstheme="minorHAnsi"/>
                <w:color w:val="000000"/>
                <w:sz w:val="20"/>
                <w:szCs w:val="20"/>
                <w:lang w:eastAsia="es-MX"/>
              </w:rPr>
            </w:pPr>
          </w:p>
        </w:tc>
      </w:tr>
      <w:tr w:rsidR="006A3710" w:rsidRPr="003E52D9" w14:paraId="3FBA21E3" w14:textId="77777777" w:rsidTr="006A3710">
        <w:trPr>
          <w:trHeight w:val="120"/>
        </w:trPr>
        <w:tc>
          <w:tcPr>
            <w:tcW w:w="6658" w:type="dxa"/>
            <w:gridSpan w:val="2"/>
            <w:shd w:val="clear" w:color="000000" w:fill="C0C0C0"/>
            <w:vAlign w:val="center"/>
            <w:hideMark/>
          </w:tcPr>
          <w:p w14:paraId="6ABE37A0" w14:textId="77777777" w:rsidR="006A3710" w:rsidRPr="003E52D9" w:rsidRDefault="006A3710" w:rsidP="006A3710">
            <w:pPr>
              <w:jc w:val="both"/>
              <w:rPr>
                <w:rFonts w:ascii="Barlow" w:hAnsi="Barlow" w:cstheme="minorHAnsi"/>
                <w:b/>
                <w:bCs/>
                <w:color w:val="000000"/>
                <w:sz w:val="20"/>
                <w:szCs w:val="20"/>
                <w:lang w:eastAsia="es-MX"/>
              </w:rPr>
            </w:pPr>
            <w:r w:rsidRPr="003E52D9">
              <w:rPr>
                <w:rFonts w:ascii="Barlow" w:hAnsi="Barlow" w:cstheme="minorHAnsi"/>
                <w:b/>
                <w:bCs/>
                <w:color w:val="000000"/>
                <w:sz w:val="20"/>
                <w:szCs w:val="20"/>
                <w:lang w:eastAsia="es-MX"/>
              </w:rPr>
              <w:t>4. Total de Gasto Contable (4 = 1 - 2 + 3)</w:t>
            </w:r>
          </w:p>
        </w:tc>
        <w:tc>
          <w:tcPr>
            <w:tcW w:w="1842" w:type="dxa"/>
            <w:shd w:val="clear" w:color="auto" w:fill="auto"/>
            <w:vAlign w:val="center"/>
            <w:hideMark/>
          </w:tcPr>
          <w:p w14:paraId="1E68EE70" w14:textId="77777777" w:rsidR="006A3710" w:rsidRPr="003E52D9" w:rsidRDefault="006A3710" w:rsidP="006A3710">
            <w:pPr>
              <w:jc w:val="right"/>
              <w:rPr>
                <w:rFonts w:ascii="Barlow" w:hAnsi="Barlow" w:cstheme="minorHAnsi"/>
                <w:color w:val="000000"/>
                <w:sz w:val="20"/>
                <w:szCs w:val="20"/>
                <w:lang w:eastAsia="es-MX"/>
              </w:rPr>
            </w:pPr>
            <w:r w:rsidRPr="003E52D9">
              <w:rPr>
                <w:rFonts w:ascii="Barlow" w:hAnsi="Barlow" w:cstheme="minorHAnsi"/>
                <w:color w:val="000000"/>
                <w:sz w:val="20"/>
                <w:szCs w:val="20"/>
                <w:lang w:eastAsia="es-MX"/>
              </w:rPr>
              <w:t> </w:t>
            </w:r>
          </w:p>
        </w:tc>
        <w:tc>
          <w:tcPr>
            <w:tcW w:w="1985" w:type="dxa"/>
            <w:shd w:val="clear" w:color="000000" w:fill="C0C0C0"/>
            <w:vAlign w:val="center"/>
            <w:hideMark/>
          </w:tcPr>
          <w:p w14:paraId="3A8FF516" w14:textId="012EAE56" w:rsidR="006A3710" w:rsidRPr="003E52D9" w:rsidRDefault="00253D6A" w:rsidP="006A3710">
            <w:pPr>
              <w:jc w:val="right"/>
              <w:rPr>
                <w:rFonts w:ascii="Barlow" w:hAnsi="Barlow" w:cstheme="minorHAnsi"/>
                <w:b/>
                <w:bCs/>
                <w:color w:val="000000"/>
                <w:sz w:val="20"/>
                <w:szCs w:val="20"/>
                <w:lang w:eastAsia="es-MX"/>
              </w:rPr>
            </w:pPr>
            <w:r>
              <w:rPr>
                <w:rFonts w:ascii="Barlow" w:hAnsi="Barlow" w:cstheme="minorHAnsi"/>
                <w:b/>
                <w:bCs/>
                <w:color w:val="000000"/>
                <w:sz w:val="20"/>
                <w:szCs w:val="20"/>
                <w:lang w:eastAsia="es-MX"/>
              </w:rPr>
              <w:t>$0.00</w:t>
            </w:r>
          </w:p>
        </w:tc>
      </w:tr>
    </w:tbl>
    <w:p w14:paraId="7553C193" w14:textId="77777777" w:rsidR="007326D2" w:rsidRPr="007326D2" w:rsidRDefault="007326D2" w:rsidP="007326D2">
      <w:pPr>
        <w:autoSpaceDE w:val="0"/>
        <w:autoSpaceDN w:val="0"/>
        <w:adjustRightInd w:val="0"/>
        <w:spacing w:line="360" w:lineRule="auto"/>
        <w:jc w:val="both"/>
        <w:rPr>
          <w:rFonts w:ascii="Barlow" w:hAnsi="Barlow" w:cstheme="minorHAnsi"/>
          <w:sz w:val="20"/>
          <w:szCs w:val="20"/>
        </w:rPr>
      </w:pPr>
    </w:p>
    <w:p w14:paraId="064ED1BC" w14:textId="77777777" w:rsidR="00954904" w:rsidRPr="00FE2956" w:rsidRDefault="00954904" w:rsidP="00FE2956">
      <w:pPr>
        <w:autoSpaceDE w:val="0"/>
        <w:autoSpaceDN w:val="0"/>
        <w:adjustRightInd w:val="0"/>
        <w:spacing w:line="360" w:lineRule="auto"/>
        <w:jc w:val="both"/>
        <w:rPr>
          <w:rFonts w:ascii="Barlow" w:hAnsi="Barlow" w:cstheme="minorHAnsi"/>
          <w:sz w:val="20"/>
          <w:szCs w:val="20"/>
        </w:rPr>
      </w:pPr>
    </w:p>
    <w:p w14:paraId="18D0CD86" w14:textId="77777777" w:rsidR="00954904" w:rsidRDefault="00954904" w:rsidP="004A08F3">
      <w:pPr>
        <w:pStyle w:val="Prrafodelista"/>
        <w:autoSpaceDE w:val="0"/>
        <w:autoSpaceDN w:val="0"/>
        <w:adjustRightInd w:val="0"/>
        <w:spacing w:line="360" w:lineRule="auto"/>
        <w:ind w:left="1068"/>
        <w:jc w:val="both"/>
        <w:rPr>
          <w:rFonts w:ascii="Barlow" w:hAnsi="Barlow" w:cstheme="minorHAnsi"/>
          <w:sz w:val="20"/>
          <w:szCs w:val="20"/>
        </w:rPr>
      </w:pPr>
    </w:p>
    <w:p w14:paraId="1D695850" w14:textId="77777777" w:rsidR="00954904" w:rsidRDefault="00954904" w:rsidP="004A08F3">
      <w:pPr>
        <w:pStyle w:val="Prrafodelista"/>
        <w:autoSpaceDE w:val="0"/>
        <w:autoSpaceDN w:val="0"/>
        <w:adjustRightInd w:val="0"/>
        <w:spacing w:line="360" w:lineRule="auto"/>
        <w:ind w:left="1068"/>
        <w:jc w:val="both"/>
        <w:rPr>
          <w:rFonts w:ascii="Barlow" w:hAnsi="Barlow" w:cstheme="minorHAnsi"/>
          <w:sz w:val="20"/>
          <w:szCs w:val="20"/>
        </w:rPr>
      </w:pPr>
    </w:p>
    <w:p w14:paraId="6D6DA53D" w14:textId="5C3B358A" w:rsidR="00954904" w:rsidRDefault="00954904" w:rsidP="004A08F3">
      <w:pPr>
        <w:pStyle w:val="Prrafodelista"/>
        <w:autoSpaceDE w:val="0"/>
        <w:autoSpaceDN w:val="0"/>
        <w:adjustRightInd w:val="0"/>
        <w:spacing w:line="360" w:lineRule="auto"/>
        <w:ind w:left="1068"/>
        <w:jc w:val="both"/>
        <w:rPr>
          <w:rFonts w:ascii="Barlow" w:hAnsi="Barlow" w:cstheme="minorHAnsi"/>
          <w:sz w:val="20"/>
          <w:szCs w:val="20"/>
        </w:rPr>
      </w:pPr>
    </w:p>
    <w:p w14:paraId="6681CE97" w14:textId="1CDF606F" w:rsidR="00FE2956" w:rsidRDefault="00FE2956" w:rsidP="004A08F3">
      <w:pPr>
        <w:pStyle w:val="Prrafodelista"/>
        <w:autoSpaceDE w:val="0"/>
        <w:autoSpaceDN w:val="0"/>
        <w:adjustRightInd w:val="0"/>
        <w:spacing w:line="360" w:lineRule="auto"/>
        <w:ind w:left="1068"/>
        <w:jc w:val="both"/>
        <w:rPr>
          <w:rFonts w:ascii="Barlow" w:hAnsi="Barlow" w:cstheme="minorHAnsi"/>
          <w:sz w:val="20"/>
          <w:szCs w:val="20"/>
        </w:rPr>
      </w:pPr>
    </w:p>
    <w:p w14:paraId="4083332E" w14:textId="044F2FAD" w:rsidR="00FE2956" w:rsidRDefault="00FE2956" w:rsidP="004A08F3">
      <w:pPr>
        <w:pStyle w:val="Prrafodelista"/>
        <w:autoSpaceDE w:val="0"/>
        <w:autoSpaceDN w:val="0"/>
        <w:adjustRightInd w:val="0"/>
        <w:spacing w:line="360" w:lineRule="auto"/>
        <w:ind w:left="1068"/>
        <w:jc w:val="both"/>
        <w:rPr>
          <w:rFonts w:ascii="Barlow" w:hAnsi="Barlow" w:cstheme="minorHAnsi"/>
          <w:sz w:val="20"/>
          <w:szCs w:val="20"/>
        </w:rPr>
      </w:pPr>
    </w:p>
    <w:p w14:paraId="7553D081" w14:textId="7BE1F2EA" w:rsidR="008254AF" w:rsidRDefault="008254AF" w:rsidP="00C4137E">
      <w:pPr>
        <w:autoSpaceDE w:val="0"/>
        <w:autoSpaceDN w:val="0"/>
        <w:adjustRightInd w:val="0"/>
        <w:spacing w:line="360" w:lineRule="auto"/>
        <w:ind w:left="708"/>
        <w:jc w:val="both"/>
        <w:rPr>
          <w:rFonts w:ascii="Barlow" w:hAnsi="Barlow" w:cstheme="minorHAnsi"/>
          <w:bCs/>
          <w:sz w:val="20"/>
          <w:szCs w:val="20"/>
        </w:rPr>
      </w:pPr>
    </w:p>
    <w:p w14:paraId="2630FECF" w14:textId="40AC1228"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244162E6" w14:textId="7B7BC746"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5698D1B2" w14:textId="3FB190E0"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1A0FBAD8" w14:textId="687F9F4C"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030F149C" w14:textId="74964AA8"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44BB12C2" w14:textId="57CB7378"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33199803" w14:textId="77E987A0"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5504EB7A" w14:textId="592C8840" w:rsidR="007326D2" w:rsidRDefault="007326D2" w:rsidP="00C4137E">
      <w:pPr>
        <w:autoSpaceDE w:val="0"/>
        <w:autoSpaceDN w:val="0"/>
        <w:adjustRightInd w:val="0"/>
        <w:spacing w:line="360" w:lineRule="auto"/>
        <w:ind w:left="708"/>
        <w:jc w:val="both"/>
        <w:rPr>
          <w:rFonts w:ascii="Barlow" w:hAnsi="Barlow" w:cstheme="minorHAnsi"/>
          <w:bCs/>
          <w:sz w:val="20"/>
          <w:szCs w:val="20"/>
        </w:rPr>
      </w:pPr>
    </w:p>
    <w:p w14:paraId="1C73DFFC" w14:textId="24648D22" w:rsidR="00FD08F0" w:rsidRDefault="00FD08F0" w:rsidP="00C4137E">
      <w:pPr>
        <w:autoSpaceDE w:val="0"/>
        <w:autoSpaceDN w:val="0"/>
        <w:adjustRightInd w:val="0"/>
        <w:spacing w:line="360" w:lineRule="auto"/>
        <w:ind w:left="708"/>
        <w:jc w:val="both"/>
        <w:rPr>
          <w:rFonts w:ascii="Barlow" w:hAnsi="Barlow" w:cstheme="minorHAnsi"/>
          <w:bCs/>
          <w:sz w:val="20"/>
          <w:szCs w:val="20"/>
        </w:rPr>
      </w:pPr>
    </w:p>
    <w:p w14:paraId="408708E0" w14:textId="176C43B5" w:rsidR="00FD08F0" w:rsidRDefault="00FD08F0" w:rsidP="00C4137E">
      <w:pPr>
        <w:autoSpaceDE w:val="0"/>
        <w:autoSpaceDN w:val="0"/>
        <w:adjustRightInd w:val="0"/>
        <w:spacing w:line="360" w:lineRule="auto"/>
        <w:ind w:left="708"/>
        <w:jc w:val="both"/>
        <w:rPr>
          <w:rFonts w:ascii="Barlow" w:hAnsi="Barlow" w:cstheme="minorHAnsi"/>
          <w:bCs/>
          <w:sz w:val="20"/>
          <w:szCs w:val="20"/>
        </w:rPr>
      </w:pPr>
    </w:p>
    <w:p w14:paraId="2F6E316D" w14:textId="316ADEB1" w:rsidR="00FD08F0" w:rsidRDefault="00FD08F0" w:rsidP="00C4137E">
      <w:pPr>
        <w:autoSpaceDE w:val="0"/>
        <w:autoSpaceDN w:val="0"/>
        <w:adjustRightInd w:val="0"/>
        <w:spacing w:line="360" w:lineRule="auto"/>
        <w:ind w:left="708"/>
        <w:jc w:val="both"/>
        <w:rPr>
          <w:rFonts w:ascii="Barlow" w:hAnsi="Barlow" w:cstheme="minorHAnsi"/>
          <w:bCs/>
          <w:sz w:val="20"/>
          <w:szCs w:val="20"/>
        </w:rPr>
      </w:pPr>
    </w:p>
    <w:p w14:paraId="6BEDF9B3" w14:textId="77777777" w:rsidR="00FD08F0" w:rsidRDefault="00FD08F0" w:rsidP="00C4137E">
      <w:pPr>
        <w:autoSpaceDE w:val="0"/>
        <w:autoSpaceDN w:val="0"/>
        <w:adjustRightInd w:val="0"/>
        <w:spacing w:line="360" w:lineRule="auto"/>
        <w:ind w:left="708"/>
        <w:jc w:val="both"/>
        <w:rPr>
          <w:rFonts w:ascii="Barlow" w:hAnsi="Barlow" w:cstheme="minorHAnsi"/>
          <w:bCs/>
          <w:sz w:val="20"/>
          <w:szCs w:val="20"/>
        </w:rPr>
      </w:pPr>
    </w:p>
    <w:p w14:paraId="6331F868" w14:textId="1894F4AD" w:rsidR="00251A08" w:rsidRPr="00F7431E" w:rsidRDefault="00251A08" w:rsidP="005652E6">
      <w:pPr>
        <w:pStyle w:val="Prrafodelista"/>
        <w:numPr>
          <w:ilvl w:val="0"/>
          <w:numId w:val="7"/>
        </w:numPr>
        <w:spacing w:after="200"/>
        <w:jc w:val="center"/>
        <w:rPr>
          <w:rFonts w:ascii="Barlow" w:hAnsi="Barlow" w:cstheme="minorHAnsi"/>
          <w:b/>
          <w:sz w:val="20"/>
          <w:szCs w:val="20"/>
        </w:rPr>
      </w:pPr>
      <w:bookmarkStart w:id="13" w:name="m25"/>
      <w:bookmarkEnd w:id="13"/>
      <w:r w:rsidRPr="005652E6">
        <w:rPr>
          <w:rFonts w:ascii="Barlow" w:hAnsi="Barlow" w:cstheme="minorHAnsi"/>
          <w:b/>
          <w:sz w:val="20"/>
          <w:szCs w:val="20"/>
        </w:rPr>
        <w:lastRenderedPageBreak/>
        <w:t xml:space="preserve">NOTAS DE </w:t>
      </w:r>
      <w:r w:rsidRPr="00F7431E">
        <w:rPr>
          <w:rFonts w:ascii="Barlow" w:hAnsi="Barlow" w:cstheme="minorHAnsi"/>
          <w:b/>
          <w:sz w:val="20"/>
          <w:szCs w:val="20"/>
        </w:rPr>
        <w:t>MEMORIA</w:t>
      </w:r>
      <w:r w:rsidR="00110A0C" w:rsidRPr="00F7431E">
        <w:rPr>
          <w:rFonts w:ascii="Barlow" w:hAnsi="Barlow" w:cstheme="minorHAnsi"/>
          <w:b/>
          <w:sz w:val="20"/>
          <w:szCs w:val="20"/>
        </w:rPr>
        <w:t xml:space="preserve"> (CUENTAS DE ORDEN)</w:t>
      </w:r>
    </w:p>
    <w:p w14:paraId="26B1F113" w14:textId="77777777" w:rsidR="00BC1145" w:rsidRPr="00F7431E" w:rsidRDefault="00BC1145" w:rsidP="00BC1145">
      <w:pPr>
        <w:autoSpaceDE w:val="0"/>
        <w:autoSpaceDN w:val="0"/>
        <w:adjustRightInd w:val="0"/>
        <w:jc w:val="both"/>
        <w:rPr>
          <w:rFonts w:ascii="Barlow" w:hAnsi="Barlow" w:cstheme="minorHAnsi"/>
          <w:sz w:val="20"/>
          <w:szCs w:val="20"/>
        </w:rPr>
      </w:pPr>
      <w:r w:rsidRPr="00F7431E">
        <w:rPr>
          <w:rFonts w:ascii="Barlow" w:hAnsi="Barlow" w:cstheme="minorHAnsi"/>
          <w:bCs/>
          <w:sz w:val="20"/>
          <w:szCs w:val="20"/>
        </w:rPr>
        <w:t>Los saldos de las cuentas de orden contables y presupuestales se presentan a continuación</w:t>
      </w:r>
      <w:r w:rsidRPr="00F7431E">
        <w:rPr>
          <w:rFonts w:ascii="Barlow" w:hAnsi="Barlow" w:cstheme="minorHAnsi"/>
          <w:sz w:val="20"/>
          <w:szCs w:val="20"/>
        </w:rPr>
        <w:t>:</w:t>
      </w:r>
    </w:p>
    <w:p w14:paraId="42691A20" w14:textId="77777777" w:rsidR="00FE1B07" w:rsidRPr="00F22C96" w:rsidRDefault="00FE1B07" w:rsidP="00096F24">
      <w:pPr>
        <w:autoSpaceDE w:val="0"/>
        <w:autoSpaceDN w:val="0"/>
        <w:adjustRightInd w:val="0"/>
        <w:jc w:val="both"/>
        <w:rPr>
          <w:rFonts w:ascii="Barlow" w:hAnsi="Barlow" w:cstheme="minorHAnsi"/>
          <w:bCs/>
          <w:sz w:val="8"/>
          <w:szCs w:val="20"/>
        </w:rPr>
      </w:pPr>
    </w:p>
    <w:p w14:paraId="468A98C4" w14:textId="7B6AE5AD" w:rsidR="00FE1B07" w:rsidRPr="00F7431E" w:rsidRDefault="00FE1B07" w:rsidP="00FE1B07">
      <w:pPr>
        <w:numPr>
          <w:ilvl w:val="0"/>
          <w:numId w:val="6"/>
        </w:numPr>
        <w:autoSpaceDE w:val="0"/>
        <w:autoSpaceDN w:val="0"/>
        <w:adjustRightInd w:val="0"/>
        <w:jc w:val="both"/>
        <w:rPr>
          <w:rFonts w:ascii="Barlow" w:hAnsi="Barlow" w:cstheme="minorHAnsi"/>
          <w:b/>
          <w:bCs/>
          <w:sz w:val="20"/>
          <w:szCs w:val="20"/>
        </w:rPr>
      </w:pPr>
      <w:r w:rsidRPr="00F7431E">
        <w:rPr>
          <w:rFonts w:ascii="Barlow" w:hAnsi="Barlow" w:cstheme="minorHAnsi"/>
          <w:b/>
          <w:bCs/>
          <w:sz w:val="20"/>
          <w:szCs w:val="20"/>
        </w:rPr>
        <w:t>Cuentas de Orden contables.</w:t>
      </w:r>
    </w:p>
    <w:p w14:paraId="15E719BD" w14:textId="4EFA23E5" w:rsidR="00110A0C" w:rsidRPr="00F22C96" w:rsidRDefault="00110A0C" w:rsidP="00096F24">
      <w:pPr>
        <w:autoSpaceDE w:val="0"/>
        <w:autoSpaceDN w:val="0"/>
        <w:adjustRightInd w:val="0"/>
        <w:jc w:val="both"/>
        <w:rPr>
          <w:rFonts w:ascii="Barlow" w:hAnsi="Barlow" w:cstheme="minorHAnsi"/>
          <w:bCs/>
          <w:sz w:val="8"/>
          <w:szCs w:val="20"/>
        </w:rPr>
      </w:pPr>
    </w:p>
    <w:p w14:paraId="54551D06" w14:textId="164E24C5" w:rsidR="000A53B7" w:rsidRDefault="000A53B7" w:rsidP="00096F24">
      <w:pPr>
        <w:autoSpaceDE w:val="0"/>
        <w:autoSpaceDN w:val="0"/>
        <w:adjustRightInd w:val="0"/>
        <w:jc w:val="both"/>
        <w:rPr>
          <w:rFonts w:ascii="Barlow" w:hAnsi="Barlow" w:cstheme="minorHAnsi"/>
          <w:bCs/>
          <w:sz w:val="20"/>
          <w:szCs w:val="20"/>
        </w:rPr>
      </w:pPr>
      <w:r w:rsidRPr="00F7431E">
        <w:rPr>
          <w:rFonts w:ascii="Barlow" w:hAnsi="Barlow" w:cstheme="minorHAnsi"/>
          <w:bCs/>
          <w:sz w:val="20"/>
          <w:szCs w:val="20"/>
        </w:rPr>
        <w:t xml:space="preserve">Cabe aclarar que a la fecha el Fondo de Seguridad Pública del Estado de Yucatán no cuenta con saldo en cuentas de orden contables que afecten o modifiquen el balance y que su incorporación en libros sea necesaria con fines de recordatorio contable, de control y en general sobre los aspectos administrativos, o bien, para </w:t>
      </w:r>
      <w:r w:rsidR="00096F24" w:rsidRPr="00F7431E">
        <w:rPr>
          <w:rFonts w:ascii="Barlow" w:hAnsi="Barlow" w:cstheme="minorHAnsi"/>
          <w:bCs/>
          <w:sz w:val="20"/>
          <w:szCs w:val="20"/>
        </w:rPr>
        <w:t>consignar sus derechos o responsabilidades contingentes que puedan, o no, presentarse en futuro.</w:t>
      </w:r>
    </w:p>
    <w:p w14:paraId="234B5BAB" w14:textId="77777777" w:rsidR="00D41DC0" w:rsidRDefault="00D41DC0" w:rsidP="00096F24">
      <w:pPr>
        <w:autoSpaceDE w:val="0"/>
        <w:autoSpaceDN w:val="0"/>
        <w:adjustRightInd w:val="0"/>
        <w:jc w:val="both"/>
        <w:rPr>
          <w:rFonts w:ascii="Barlow" w:hAnsi="Barlow" w:cstheme="minorHAnsi"/>
          <w:bCs/>
          <w:sz w:val="20"/>
          <w:szCs w:val="20"/>
        </w:rPr>
      </w:pPr>
    </w:p>
    <w:p w14:paraId="6A4A64BF" w14:textId="29CA918B" w:rsidR="00D41DC0" w:rsidRPr="00F7431E" w:rsidRDefault="00D41DC0" w:rsidP="00D41DC0">
      <w:pPr>
        <w:numPr>
          <w:ilvl w:val="0"/>
          <w:numId w:val="6"/>
        </w:numPr>
        <w:autoSpaceDE w:val="0"/>
        <w:autoSpaceDN w:val="0"/>
        <w:adjustRightInd w:val="0"/>
        <w:jc w:val="both"/>
        <w:rPr>
          <w:rFonts w:ascii="Barlow" w:hAnsi="Barlow" w:cstheme="minorHAnsi"/>
          <w:b/>
          <w:bCs/>
          <w:sz w:val="20"/>
          <w:szCs w:val="20"/>
        </w:rPr>
      </w:pPr>
      <w:r w:rsidRPr="00F7431E">
        <w:rPr>
          <w:rFonts w:ascii="Barlow" w:hAnsi="Barlow" w:cstheme="minorHAnsi"/>
          <w:b/>
          <w:bCs/>
          <w:sz w:val="20"/>
          <w:szCs w:val="20"/>
        </w:rPr>
        <w:t xml:space="preserve">Cuentas de Orden </w:t>
      </w:r>
      <w:r>
        <w:rPr>
          <w:rFonts w:ascii="Barlow" w:hAnsi="Barlow" w:cstheme="minorHAnsi"/>
          <w:b/>
          <w:bCs/>
          <w:sz w:val="20"/>
          <w:szCs w:val="20"/>
        </w:rPr>
        <w:t>presupuestario</w:t>
      </w:r>
      <w:r w:rsidRPr="00F7431E">
        <w:rPr>
          <w:rFonts w:ascii="Barlow" w:hAnsi="Barlow" w:cstheme="minorHAnsi"/>
          <w:b/>
          <w:bCs/>
          <w:sz w:val="20"/>
          <w:szCs w:val="20"/>
        </w:rPr>
        <w:t>.</w:t>
      </w:r>
    </w:p>
    <w:p w14:paraId="4307DB9D" w14:textId="77777777" w:rsidR="00D41DC0" w:rsidRPr="00F22C96" w:rsidRDefault="00D41DC0" w:rsidP="00D41DC0">
      <w:pPr>
        <w:autoSpaceDE w:val="0"/>
        <w:autoSpaceDN w:val="0"/>
        <w:adjustRightInd w:val="0"/>
        <w:jc w:val="both"/>
        <w:rPr>
          <w:rFonts w:ascii="Barlow" w:hAnsi="Barlow" w:cstheme="minorHAnsi"/>
          <w:bCs/>
          <w:sz w:val="8"/>
          <w:szCs w:val="20"/>
        </w:rPr>
      </w:pPr>
    </w:p>
    <w:p w14:paraId="1F80E2EA" w14:textId="22ED6B30" w:rsidR="00D41DC0" w:rsidRDefault="00D41DC0" w:rsidP="00D41DC0">
      <w:pPr>
        <w:autoSpaceDE w:val="0"/>
        <w:autoSpaceDN w:val="0"/>
        <w:adjustRightInd w:val="0"/>
        <w:jc w:val="both"/>
        <w:rPr>
          <w:rFonts w:ascii="Barlow" w:hAnsi="Barlow" w:cstheme="minorHAnsi"/>
          <w:bCs/>
          <w:sz w:val="20"/>
          <w:szCs w:val="20"/>
        </w:rPr>
      </w:pPr>
      <w:r w:rsidRPr="00F7431E">
        <w:rPr>
          <w:rFonts w:ascii="Barlow" w:hAnsi="Barlow" w:cstheme="minorHAnsi"/>
          <w:bCs/>
          <w:sz w:val="20"/>
          <w:szCs w:val="20"/>
        </w:rPr>
        <w:t>Cabe aclarar que a la fecha el Fondo de Seguridad Pública del Estado de Yucatán no cuenta con</w:t>
      </w:r>
      <w:r>
        <w:rPr>
          <w:rFonts w:ascii="Barlow" w:hAnsi="Barlow" w:cstheme="minorHAnsi"/>
          <w:bCs/>
          <w:sz w:val="20"/>
          <w:szCs w:val="20"/>
        </w:rPr>
        <w:t xml:space="preserve"> saldo en cuentas de orden presupuestario</w:t>
      </w:r>
      <w:r w:rsidRPr="00F7431E">
        <w:rPr>
          <w:rFonts w:ascii="Barlow" w:hAnsi="Barlow" w:cstheme="minorHAnsi"/>
          <w:bCs/>
          <w:sz w:val="20"/>
          <w:szCs w:val="20"/>
        </w:rPr>
        <w:t xml:space="preserve"> que afecten o modifiquen el balance</w:t>
      </w:r>
      <w:r>
        <w:rPr>
          <w:rFonts w:ascii="Barlow" w:hAnsi="Barlow" w:cstheme="minorHAnsi"/>
          <w:bCs/>
          <w:sz w:val="20"/>
          <w:szCs w:val="20"/>
        </w:rPr>
        <w:t xml:space="preserve"> o información presupuestal</w:t>
      </w:r>
      <w:r w:rsidRPr="00F7431E">
        <w:rPr>
          <w:rFonts w:ascii="Barlow" w:hAnsi="Barlow" w:cstheme="minorHAnsi"/>
          <w:bCs/>
          <w:sz w:val="20"/>
          <w:szCs w:val="20"/>
        </w:rPr>
        <w:t xml:space="preserve"> y que su incorporación en libros sea necesaria con fines de recordatorio contable</w:t>
      </w:r>
      <w:r>
        <w:rPr>
          <w:rFonts w:ascii="Barlow" w:hAnsi="Barlow" w:cstheme="minorHAnsi"/>
          <w:bCs/>
          <w:sz w:val="20"/>
          <w:szCs w:val="20"/>
        </w:rPr>
        <w:t xml:space="preserve"> o presupuestal</w:t>
      </w:r>
      <w:r w:rsidRPr="00F7431E">
        <w:rPr>
          <w:rFonts w:ascii="Barlow" w:hAnsi="Barlow" w:cstheme="minorHAnsi"/>
          <w:bCs/>
          <w:sz w:val="20"/>
          <w:szCs w:val="20"/>
        </w:rPr>
        <w:t>, de control y en general sobre los aspectos administrativos, o bien, para consignar sus derechos o responsabilidades contingentes que puedan, o no, presentarse en futuro.</w:t>
      </w:r>
    </w:p>
    <w:p w14:paraId="1D088105" w14:textId="77777777" w:rsidR="00D41DC0" w:rsidRDefault="00D41DC0" w:rsidP="00096F24">
      <w:pPr>
        <w:autoSpaceDE w:val="0"/>
        <w:autoSpaceDN w:val="0"/>
        <w:adjustRightInd w:val="0"/>
        <w:jc w:val="both"/>
        <w:rPr>
          <w:rFonts w:ascii="Barlow" w:hAnsi="Barlow" w:cstheme="minorHAnsi"/>
          <w:bCs/>
          <w:sz w:val="20"/>
          <w:szCs w:val="20"/>
        </w:rPr>
      </w:pPr>
    </w:p>
    <w:p w14:paraId="214B0DA2" w14:textId="77777777" w:rsidR="00576B21" w:rsidRDefault="00576B21" w:rsidP="00FC4AA1">
      <w:pPr>
        <w:autoSpaceDE w:val="0"/>
        <w:autoSpaceDN w:val="0"/>
        <w:adjustRightInd w:val="0"/>
        <w:jc w:val="both"/>
        <w:rPr>
          <w:rFonts w:ascii="Barlow" w:hAnsi="Barlow" w:cstheme="minorHAnsi"/>
          <w:color w:val="000000"/>
          <w:sz w:val="20"/>
          <w:szCs w:val="20"/>
          <w:lang w:eastAsia="es-MX"/>
        </w:rPr>
      </w:pPr>
      <w:bookmarkStart w:id="14" w:name="m15"/>
      <w:bookmarkEnd w:id="14"/>
    </w:p>
    <w:p w14:paraId="5756BA12" w14:textId="77777777" w:rsidR="00576B21" w:rsidRDefault="00576B21" w:rsidP="00FC4AA1">
      <w:pPr>
        <w:autoSpaceDE w:val="0"/>
        <w:autoSpaceDN w:val="0"/>
        <w:adjustRightInd w:val="0"/>
        <w:jc w:val="both"/>
        <w:rPr>
          <w:rFonts w:ascii="Barlow" w:hAnsi="Barlow" w:cstheme="minorHAnsi"/>
          <w:color w:val="000000"/>
          <w:sz w:val="20"/>
          <w:szCs w:val="20"/>
          <w:lang w:eastAsia="es-MX"/>
        </w:rPr>
      </w:pPr>
    </w:p>
    <w:p w14:paraId="380E7444" w14:textId="7B24AB60" w:rsidR="00FC4AA1" w:rsidRDefault="00FC4AA1" w:rsidP="00FC4AA1">
      <w:pPr>
        <w:autoSpaceDE w:val="0"/>
        <w:autoSpaceDN w:val="0"/>
        <w:adjustRightInd w:val="0"/>
        <w:jc w:val="both"/>
        <w:rPr>
          <w:rFonts w:asciiTheme="minorHAnsi" w:hAnsiTheme="minorHAnsi" w:cstheme="minorHAnsi"/>
          <w:noProof/>
          <w:lang w:eastAsia="es-MX"/>
        </w:rPr>
      </w:pPr>
      <w:r w:rsidRPr="003E52D9">
        <w:rPr>
          <w:rFonts w:ascii="Barlow" w:hAnsi="Barlow" w:cstheme="minorHAnsi"/>
          <w:color w:val="000000"/>
          <w:sz w:val="20"/>
          <w:szCs w:val="20"/>
          <w:lang w:eastAsia="es-MX"/>
        </w:rPr>
        <w:t>Bajo protesta de decir verdad declaramos que los Estados Financieros y sus Notas</w:t>
      </w:r>
      <w:r w:rsidR="00A302A5">
        <w:rPr>
          <w:rFonts w:ascii="Barlow" w:hAnsi="Barlow" w:cstheme="minorHAnsi"/>
          <w:color w:val="000000"/>
          <w:sz w:val="20"/>
          <w:szCs w:val="20"/>
          <w:lang w:eastAsia="es-MX"/>
        </w:rPr>
        <w:t>,</w:t>
      </w:r>
      <w:r w:rsidRPr="003E52D9">
        <w:rPr>
          <w:rFonts w:ascii="Barlow" w:hAnsi="Barlow" w:cstheme="minorHAnsi"/>
          <w:color w:val="000000"/>
          <w:sz w:val="20"/>
          <w:szCs w:val="20"/>
          <w:lang w:eastAsia="es-MX"/>
        </w:rPr>
        <w:t xml:space="preserve"> son razonablemente correctos y </w:t>
      </w:r>
      <w:r>
        <w:rPr>
          <w:rFonts w:ascii="Barlow" w:hAnsi="Barlow" w:cstheme="minorHAnsi"/>
          <w:color w:val="000000"/>
          <w:sz w:val="20"/>
          <w:szCs w:val="20"/>
          <w:lang w:eastAsia="es-MX"/>
        </w:rPr>
        <w:t xml:space="preserve">son </w:t>
      </w:r>
      <w:r w:rsidRPr="003E52D9">
        <w:rPr>
          <w:rFonts w:ascii="Barlow" w:hAnsi="Barlow" w:cstheme="minorHAnsi"/>
          <w:color w:val="000000"/>
          <w:sz w:val="20"/>
          <w:szCs w:val="20"/>
          <w:lang w:eastAsia="es-MX"/>
        </w:rPr>
        <w:t>responsabilidad del emisor.</w:t>
      </w:r>
      <w:r w:rsidR="00F22C96" w:rsidRPr="00F22C96">
        <w:rPr>
          <w:rFonts w:asciiTheme="minorHAnsi" w:hAnsiTheme="minorHAnsi" w:cstheme="minorHAnsi"/>
          <w:noProof/>
          <w:lang w:eastAsia="es-MX"/>
        </w:rPr>
        <w:t xml:space="preserve"> </w:t>
      </w:r>
    </w:p>
    <w:p w14:paraId="4F2295E4" w14:textId="1B9A3190" w:rsidR="001A0A33" w:rsidRDefault="001A0A33" w:rsidP="00FC4AA1">
      <w:pPr>
        <w:autoSpaceDE w:val="0"/>
        <w:autoSpaceDN w:val="0"/>
        <w:adjustRightInd w:val="0"/>
        <w:jc w:val="both"/>
        <w:rPr>
          <w:rFonts w:asciiTheme="minorHAnsi" w:hAnsiTheme="minorHAnsi" w:cstheme="minorHAnsi"/>
          <w:noProof/>
          <w:lang w:eastAsia="es-MX"/>
        </w:rPr>
      </w:pPr>
    </w:p>
    <w:p w14:paraId="4E9E38E4" w14:textId="6ECAF4F7" w:rsidR="001A0A33" w:rsidRDefault="001A0A33" w:rsidP="00FC4AA1">
      <w:pPr>
        <w:autoSpaceDE w:val="0"/>
        <w:autoSpaceDN w:val="0"/>
        <w:adjustRightInd w:val="0"/>
        <w:jc w:val="both"/>
        <w:rPr>
          <w:rFonts w:asciiTheme="minorHAnsi" w:hAnsiTheme="minorHAnsi" w:cstheme="minorHAnsi"/>
          <w:noProof/>
          <w:lang w:eastAsia="es-MX"/>
        </w:rPr>
      </w:pPr>
    </w:p>
    <w:p w14:paraId="26F963DD" w14:textId="17C15447" w:rsidR="001A0A33" w:rsidRPr="003E52D9" w:rsidRDefault="001A0A33" w:rsidP="00FC4AA1">
      <w:pPr>
        <w:autoSpaceDE w:val="0"/>
        <w:autoSpaceDN w:val="0"/>
        <w:adjustRightInd w:val="0"/>
        <w:jc w:val="both"/>
        <w:rPr>
          <w:rFonts w:ascii="Barlow" w:hAnsi="Barlow" w:cstheme="minorHAnsi"/>
          <w:b/>
          <w:sz w:val="20"/>
          <w:szCs w:val="20"/>
        </w:rPr>
      </w:pPr>
    </w:p>
    <w:sectPr w:rsidR="001A0A33" w:rsidRPr="003E52D9" w:rsidSect="003E52D9">
      <w:footerReference w:type="even" r:id="rId8"/>
      <w:footerReference w:type="default" r:id="rId9"/>
      <w:pgSz w:w="15840" w:h="12240" w:orient="landscape" w:code="1"/>
      <w:pgMar w:top="2835" w:right="1134" w:bottom="1701" w:left="1134" w:header="142"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1B1A45" w14:textId="77777777" w:rsidR="00B64929" w:rsidRDefault="00B64929" w:rsidP="00DA679B">
      <w:r>
        <w:separator/>
      </w:r>
    </w:p>
  </w:endnote>
  <w:endnote w:type="continuationSeparator" w:id="0">
    <w:p w14:paraId="7B39295F" w14:textId="77777777" w:rsidR="00B64929" w:rsidRDefault="00B64929"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rlow">
    <w:altName w:val="Barlow"/>
    <w:panose1 w:val="000005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5E546" w14:textId="77777777" w:rsidR="00B83705" w:rsidRDefault="00B837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C796D71" w14:textId="77777777" w:rsidR="00B83705" w:rsidRDefault="00B8370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E6732" w14:textId="77777777" w:rsidR="00B83705" w:rsidRDefault="00B83705"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EB96D" w14:textId="77777777" w:rsidR="00B64929" w:rsidRDefault="00B64929" w:rsidP="00DA679B">
      <w:r>
        <w:separator/>
      </w:r>
    </w:p>
  </w:footnote>
  <w:footnote w:type="continuationSeparator" w:id="0">
    <w:p w14:paraId="5D2636BA" w14:textId="77777777" w:rsidR="00B64929" w:rsidRDefault="00B64929"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3DEE"/>
    <w:multiLevelType w:val="hybridMultilevel"/>
    <w:tmpl w:val="D5F6F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C7506A"/>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8DC70B7"/>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A7C4C73"/>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670D11"/>
    <w:multiLevelType w:val="multilevel"/>
    <w:tmpl w:val="5D7A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BE6CB9"/>
    <w:multiLevelType w:val="hybridMultilevel"/>
    <w:tmpl w:val="3848A46A"/>
    <w:lvl w:ilvl="0" w:tplc="D3CCCDF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985DCC"/>
    <w:multiLevelType w:val="hybridMultilevel"/>
    <w:tmpl w:val="39E69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6F12AA"/>
    <w:multiLevelType w:val="hybridMultilevel"/>
    <w:tmpl w:val="6336A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3A4F85"/>
    <w:multiLevelType w:val="hybridMultilevel"/>
    <w:tmpl w:val="F4F29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BB3847"/>
    <w:multiLevelType w:val="multilevel"/>
    <w:tmpl w:val="5D7A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BE7845"/>
    <w:multiLevelType w:val="hybridMultilevel"/>
    <w:tmpl w:val="F28C8692"/>
    <w:lvl w:ilvl="0" w:tplc="5844BF0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97F2436"/>
    <w:multiLevelType w:val="hybridMultilevel"/>
    <w:tmpl w:val="B23896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F66974"/>
    <w:multiLevelType w:val="hybridMultilevel"/>
    <w:tmpl w:val="AB56A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8841C4"/>
    <w:multiLevelType w:val="hybridMultilevel"/>
    <w:tmpl w:val="56DC9B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62D420E9"/>
    <w:multiLevelType w:val="hybridMultilevel"/>
    <w:tmpl w:val="9CF261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69E01C5"/>
    <w:multiLevelType w:val="hybridMultilevel"/>
    <w:tmpl w:val="1752FC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CB5821"/>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23" w15:restartNumberingAfterBreak="0">
    <w:nsid w:val="7C9959CA"/>
    <w:multiLevelType w:val="hybridMultilevel"/>
    <w:tmpl w:val="9364FCCE"/>
    <w:lvl w:ilvl="0" w:tplc="6C66F0DA">
      <w:numFmt w:val="bullet"/>
      <w:lvlText w:val="-"/>
      <w:lvlJc w:val="left"/>
      <w:pPr>
        <w:ind w:left="720" w:hanging="360"/>
      </w:pPr>
      <w:rPr>
        <w:rFonts w:ascii="Barlow" w:eastAsia="Times New Roman" w:hAnsi="Barlow"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9"/>
  </w:num>
  <w:num w:numId="4">
    <w:abstractNumId w:val="13"/>
  </w:num>
  <w:num w:numId="5">
    <w:abstractNumId w:val="21"/>
  </w:num>
  <w:num w:numId="6">
    <w:abstractNumId w:val="0"/>
  </w:num>
  <w:num w:numId="7">
    <w:abstractNumId w:val="5"/>
  </w:num>
  <w:num w:numId="8">
    <w:abstractNumId w:val="18"/>
  </w:num>
  <w:num w:numId="9">
    <w:abstractNumId w:val="20"/>
  </w:num>
  <w:num w:numId="10">
    <w:abstractNumId w:val="22"/>
  </w:num>
  <w:num w:numId="11">
    <w:abstractNumId w:val="12"/>
  </w:num>
  <w:num w:numId="12">
    <w:abstractNumId w:val="3"/>
  </w:num>
  <w:num w:numId="13">
    <w:abstractNumId w:val="15"/>
  </w:num>
  <w:num w:numId="14">
    <w:abstractNumId w:val="6"/>
  </w:num>
  <w:num w:numId="15">
    <w:abstractNumId w:val="7"/>
  </w:num>
  <w:num w:numId="16">
    <w:abstractNumId w:val="10"/>
  </w:num>
  <w:num w:numId="17">
    <w:abstractNumId w:val="16"/>
  </w:num>
  <w:num w:numId="18">
    <w:abstractNumId w:val="19"/>
  </w:num>
  <w:num w:numId="19">
    <w:abstractNumId w:val="14"/>
  </w:num>
  <w:num w:numId="20">
    <w:abstractNumId w:val="2"/>
  </w:num>
  <w:num w:numId="21">
    <w:abstractNumId w:val="1"/>
  </w:num>
  <w:num w:numId="22">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4"/>
  </w:num>
  <w:num w:numId="2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07D1"/>
    <w:rsid w:val="00001A77"/>
    <w:rsid w:val="0000375A"/>
    <w:rsid w:val="000041B9"/>
    <w:rsid w:val="00004F8E"/>
    <w:rsid w:val="00005ABB"/>
    <w:rsid w:val="00005D4F"/>
    <w:rsid w:val="000064EA"/>
    <w:rsid w:val="00006FA0"/>
    <w:rsid w:val="000109BC"/>
    <w:rsid w:val="0001275E"/>
    <w:rsid w:val="0001315A"/>
    <w:rsid w:val="0001378A"/>
    <w:rsid w:val="000144F5"/>
    <w:rsid w:val="0001625D"/>
    <w:rsid w:val="00016AF8"/>
    <w:rsid w:val="000171F1"/>
    <w:rsid w:val="0001792B"/>
    <w:rsid w:val="00020429"/>
    <w:rsid w:val="00026DF4"/>
    <w:rsid w:val="00027142"/>
    <w:rsid w:val="0003112E"/>
    <w:rsid w:val="00031CA1"/>
    <w:rsid w:val="000320C2"/>
    <w:rsid w:val="00032BB1"/>
    <w:rsid w:val="000336F3"/>
    <w:rsid w:val="0003650E"/>
    <w:rsid w:val="000404D4"/>
    <w:rsid w:val="00040F2F"/>
    <w:rsid w:val="00042929"/>
    <w:rsid w:val="0004371F"/>
    <w:rsid w:val="00044391"/>
    <w:rsid w:val="0004525B"/>
    <w:rsid w:val="00050210"/>
    <w:rsid w:val="00051C2B"/>
    <w:rsid w:val="00052C47"/>
    <w:rsid w:val="000544A3"/>
    <w:rsid w:val="00055DF3"/>
    <w:rsid w:val="0006186C"/>
    <w:rsid w:val="000630C9"/>
    <w:rsid w:val="0006428F"/>
    <w:rsid w:val="00064C4F"/>
    <w:rsid w:val="00066D03"/>
    <w:rsid w:val="0007023B"/>
    <w:rsid w:val="000702DD"/>
    <w:rsid w:val="00072BD6"/>
    <w:rsid w:val="000755FF"/>
    <w:rsid w:val="0007594B"/>
    <w:rsid w:val="00075A43"/>
    <w:rsid w:val="000760AB"/>
    <w:rsid w:val="000769D2"/>
    <w:rsid w:val="00081753"/>
    <w:rsid w:val="00082456"/>
    <w:rsid w:val="000831D9"/>
    <w:rsid w:val="000832BD"/>
    <w:rsid w:val="00084CEB"/>
    <w:rsid w:val="000854D4"/>
    <w:rsid w:val="00087D4B"/>
    <w:rsid w:val="00093686"/>
    <w:rsid w:val="00096F24"/>
    <w:rsid w:val="000A1C1B"/>
    <w:rsid w:val="000A1E6D"/>
    <w:rsid w:val="000A1FCF"/>
    <w:rsid w:val="000A302E"/>
    <w:rsid w:val="000A427F"/>
    <w:rsid w:val="000A4558"/>
    <w:rsid w:val="000A53B7"/>
    <w:rsid w:val="000A578A"/>
    <w:rsid w:val="000A7362"/>
    <w:rsid w:val="000A7471"/>
    <w:rsid w:val="000A78A6"/>
    <w:rsid w:val="000B1288"/>
    <w:rsid w:val="000B3057"/>
    <w:rsid w:val="000B5133"/>
    <w:rsid w:val="000B61E7"/>
    <w:rsid w:val="000B73EE"/>
    <w:rsid w:val="000C0FBD"/>
    <w:rsid w:val="000C189E"/>
    <w:rsid w:val="000C4DE4"/>
    <w:rsid w:val="000C7C7D"/>
    <w:rsid w:val="000D04AA"/>
    <w:rsid w:val="000D0DD7"/>
    <w:rsid w:val="000D16E3"/>
    <w:rsid w:val="000D5D69"/>
    <w:rsid w:val="000D61D6"/>
    <w:rsid w:val="000D691D"/>
    <w:rsid w:val="000D70E9"/>
    <w:rsid w:val="000E294F"/>
    <w:rsid w:val="000E3167"/>
    <w:rsid w:val="000E3825"/>
    <w:rsid w:val="000E45CD"/>
    <w:rsid w:val="000E4FB8"/>
    <w:rsid w:val="000E5AAA"/>
    <w:rsid w:val="000E654E"/>
    <w:rsid w:val="000F1D87"/>
    <w:rsid w:val="000F54E0"/>
    <w:rsid w:val="000F564F"/>
    <w:rsid w:val="000F764C"/>
    <w:rsid w:val="001060BF"/>
    <w:rsid w:val="00106441"/>
    <w:rsid w:val="00107192"/>
    <w:rsid w:val="001071D3"/>
    <w:rsid w:val="001100EC"/>
    <w:rsid w:val="001105EC"/>
    <w:rsid w:val="00110A0C"/>
    <w:rsid w:val="00110B2A"/>
    <w:rsid w:val="001121C1"/>
    <w:rsid w:val="00112D72"/>
    <w:rsid w:val="001160EF"/>
    <w:rsid w:val="001161A5"/>
    <w:rsid w:val="00117463"/>
    <w:rsid w:val="00121CEB"/>
    <w:rsid w:val="00122129"/>
    <w:rsid w:val="001238F2"/>
    <w:rsid w:val="00124DC2"/>
    <w:rsid w:val="00127518"/>
    <w:rsid w:val="00127C1E"/>
    <w:rsid w:val="00131F6F"/>
    <w:rsid w:val="001320CB"/>
    <w:rsid w:val="00142ACD"/>
    <w:rsid w:val="0014716A"/>
    <w:rsid w:val="00147CEC"/>
    <w:rsid w:val="00150FE4"/>
    <w:rsid w:val="00151391"/>
    <w:rsid w:val="001547A3"/>
    <w:rsid w:val="00155916"/>
    <w:rsid w:val="001573D2"/>
    <w:rsid w:val="00157A4C"/>
    <w:rsid w:val="00157A67"/>
    <w:rsid w:val="00160462"/>
    <w:rsid w:val="00161F42"/>
    <w:rsid w:val="00162791"/>
    <w:rsid w:val="00163F0C"/>
    <w:rsid w:val="00164977"/>
    <w:rsid w:val="00164BDE"/>
    <w:rsid w:val="00165E3F"/>
    <w:rsid w:val="00167B72"/>
    <w:rsid w:val="001720C0"/>
    <w:rsid w:val="00174D6C"/>
    <w:rsid w:val="00174EA7"/>
    <w:rsid w:val="0017605A"/>
    <w:rsid w:val="00183C54"/>
    <w:rsid w:val="001844AE"/>
    <w:rsid w:val="00184B9D"/>
    <w:rsid w:val="00185164"/>
    <w:rsid w:val="001851E1"/>
    <w:rsid w:val="00185700"/>
    <w:rsid w:val="00185FB7"/>
    <w:rsid w:val="00186762"/>
    <w:rsid w:val="00190D31"/>
    <w:rsid w:val="00191A0A"/>
    <w:rsid w:val="00192C39"/>
    <w:rsid w:val="001933DA"/>
    <w:rsid w:val="001938E0"/>
    <w:rsid w:val="00196319"/>
    <w:rsid w:val="00196D8B"/>
    <w:rsid w:val="00197818"/>
    <w:rsid w:val="001A0A33"/>
    <w:rsid w:val="001A1132"/>
    <w:rsid w:val="001A1578"/>
    <w:rsid w:val="001A1640"/>
    <w:rsid w:val="001A31D3"/>
    <w:rsid w:val="001A5DBF"/>
    <w:rsid w:val="001B320E"/>
    <w:rsid w:val="001B389A"/>
    <w:rsid w:val="001B4122"/>
    <w:rsid w:val="001B698E"/>
    <w:rsid w:val="001C0345"/>
    <w:rsid w:val="001C07EE"/>
    <w:rsid w:val="001C1E2F"/>
    <w:rsid w:val="001C2700"/>
    <w:rsid w:val="001C466C"/>
    <w:rsid w:val="001C5AEC"/>
    <w:rsid w:val="001C652E"/>
    <w:rsid w:val="001C67F9"/>
    <w:rsid w:val="001C6AD4"/>
    <w:rsid w:val="001C6E76"/>
    <w:rsid w:val="001C7401"/>
    <w:rsid w:val="001E0215"/>
    <w:rsid w:val="001E14E2"/>
    <w:rsid w:val="001E1596"/>
    <w:rsid w:val="001E163C"/>
    <w:rsid w:val="001E25D0"/>
    <w:rsid w:val="001E2682"/>
    <w:rsid w:val="001E6396"/>
    <w:rsid w:val="001F1975"/>
    <w:rsid w:val="001F51A3"/>
    <w:rsid w:val="001F768D"/>
    <w:rsid w:val="001F7AFC"/>
    <w:rsid w:val="0020086C"/>
    <w:rsid w:val="00202C8E"/>
    <w:rsid w:val="00202F32"/>
    <w:rsid w:val="00204084"/>
    <w:rsid w:val="00205062"/>
    <w:rsid w:val="00206C6B"/>
    <w:rsid w:val="00206E21"/>
    <w:rsid w:val="00212556"/>
    <w:rsid w:val="00213220"/>
    <w:rsid w:val="00213381"/>
    <w:rsid w:val="0021389A"/>
    <w:rsid w:val="00213CFF"/>
    <w:rsid w:val="00216493"/>
    <w:rsid w:val="00216AAE"/>
    <w:rsid w:val="00216AF8"/>
    <w:rsid w:val="002214BB"/>
    <w:rsid w:val="002214C9"/>
    <w:rsid w:val="002220F8"/>
    <w:rsid w:val="00222282"/>
    <w:rsid w:val="002225C3"/>
    <w:rsid w:val="00222762"/>
    <w:rsid w:val="00222F7D"/>
    <w:rsid w:val="00230693"/>
    <w:rsid w:val="002317FA"/>
    <w:rsid w:val="00233782"/>
    <w:rsid w:val="00234B5D"/>
    <w:rsid w:val="002354AF"/>
    <w:rsid w:val="00235DDB"/>
    <w:rsid w:val="00235F55"/>
    <w:rsid w:val="0023603E"/>
    <w:rsid w:val="0023705C"/>
    <w:rsid w:val="00240562"/>
    <w:rsid w:val="00240C3B"/>
    <w:rsid w:val="002410F5"/>
    <w:rsid w:val="0024117A"/>
    <w:rsid w:val="0024531E"/>
    <w:rsid w:val="002458BE"/>
    <w:rsid w:val="00245CFB"/>
    <w:rsid w:val="00246190"/>
    <w:rsid w:val="002512C8"/>
    <w:rsid w:val="00251A08"/>
    <w:rsid w:val="00252CC4"/>
    <w:rsid w:val="00252FF2"/>
    <w:rsid w:val="00253AED"/>
    <w:rsid w:val="00253D6A"/>
    <w:rsid w:val="002562DC"/>
    <w:rsid w:val="002563E6"/>
    <w:rsid w:val="00256443"/>
    <w:rsid w:val="00257165"/>
    <w:rsid w:val="0025728F"/>
    <w:rsid w:val="0025785D"/>
    <w:rsid w:val="0026180B"/>
    <w:rsid w:val="00262465"/>
    <w:rsid w:val="00265EF8"/>
    <w:rsid w:val="002662AF"/>
    <w:rsid w:val="00267590"/>
    <w:rsid w:val="002679A0"/>
    <w:rsid w:val="00270896"/>
    <w:rsid w:val="00271D04"/>
    <w:rsid w:val="002772BC"/>
    <w:rsid w:val="002824F9"/>
    <w:rsid w:val="00283B4C"/>
    <w:rsid w:val="00284283"/>
    <w:rsid w:val="00286DA2"/>
    <w:rsid w:val="0029084C"/>
    <w:rsid w:val="00290ED6"/>
    <w:rsid w:val="00291770"/>
    <w:rsid w:val="002920B2"/>
    <w:rsid w:val="002940B3"/>
    <w:rsid w:val="0029681E"/>
    <w:rsid w:val="002A2A09"/>
    <w:rsid w:val="002A2B78"/>
    <w:rsid w:val="002A49EE"/>
    <w:rsid w:val="002A4BE8"/>
    <w:rsid w:val="002A56A5"/>
    <w:rsid w:val="002A6A34"/>
    <w:rsid w:val="002B4062"/>
    <w:rsid w:val="002B4C8F"/>
    <w:rsid w:val="002B4F5C"/>
    <w:rsid w:val="002C10A6"/>
    <w:rsid w:val="002C1A37"/>
    <w:rsid w:val="002C2D08"/>
    <w:rsid w:val="002C2EBB"/>
    <w:rsid w:val="002C663F"/>
    <w:rsid w:val="002D0BE6"/>
    <w:rsid w:val="002D1448"/>
    <w:rsid w:val="002D2B5B"/>
    <w:rsid w:val="002D3464"/>
    <w:rsid w:val="002D41C8"/>
    <w:rsid w:val="002D4AD6"/>
    <w:rsid w:val="002D5C7D"/>
    <w:rsid w:val="002D773E"/>
    <w:rsid w:val="002D7C5C"/>
    <w:rsid w:val="002E06C8"/>
    <w:rsid w:val="002E1A3A"/>
    <w:rsid w:val="002E2183"/>
    <w:rsid w:val="002E378E"/>
    <w:rsid w:val="002E6169"/>
    <w:rsid w:val="002F14F7"/>
    <w:rsid w:val="002F1F80"/>
    <w:rsid w:val="002F2493"/>
    <w:rsid w:val="002F2940"/>
    <w:rsid w:val="002F58BA"/>
    <w:rsid w:val="002F5EEE"/>
    <w:rsid w:val="002F6128"/>
    <w:rsid w:val="003047DD"/>
    <w:rsid w:val="003049F3"/>
    <w:rsid w:val="00306BEA"/>
    <w:rsid w:val="003102BA"/>
    <w:rsid w:val="003105B5"/>
    <w:rsid w:val="00311488"/>
    <w:rsid w:val="00313196"/>
    <w:rsid w:val="0031449C"/>
    <w:rsid w:val="00314C97"/>
    <w:rsid w:val="003153C1"/>
    <w:rsid w:val="00325FD1"/>
    <w:rsid w:val="003301EC"/>
    <w:rsid w:val="0033205B"/>
    <w:rsid w:val="003327BB"/>
    <w:rsid w:val="00333CF3"/>
    <w:rsid w:val="003347B0"/>
    <w:rsid w:val="00335CAE"/>
    <w:rsid w:val="003368F6"/>
    <w:rsid w:val="00342161"/>
    <w:rsid w:val="0034445C"/>
    <w:rsid w:val="003467F7"/>
    <w:rsid w:val="0035079D"/>
    <w:rsid w:val="003509EC"/>
    <w:rsid w:val="00353DC5"/>
    <w:rsid w:val="00355B44"/>
    <w:rsid w:val="003565AD"/>
    <w:rsid w:val="00357F62"/>
    <w:rsid w:val="0036136E"/>
    <w:rsid w:val="00361866"/>
    <w:rsid w:val="003619F5"/>
    <w:rsid w:val="003624BD"/>
    <w:rsid w:val="003645D0"/>
    <w:rsid w:val="00365E23"/>
    <w:rsid w:val="003661A9"/>
    <w:rsid w:val="00373189"/>
    <w:rsid w:val="00373A1D"/>
    <w:rsid w:val="003756FA"/>
    <w:rsid w:val="00376949"/>
    <w:rsid w:val="003814C1"/>
    <w:rsid w:val="00381AA1"/>
    <w:rsid w:val="00383F3D"/>
    <w:rsid w:val="00387981"/>
    <w:rsid w:val="00387C59"/>
    <w:rsid w:val="00390587"/>
    <w:rsid w:val="00391A0E"/>
    <w:rsid w:val="00392142"/>
    <w:rsid w:val="00392D11"/>
    <w:rsid w:val="003931EB"/>
    <w:rsid w:val="00393442"/>
    <w:rsid w:val="003947A5"/>
    <w:rsid w:val="00397A3F"/>
    <w:rsid w:val="00397FC3"/>
    <w:rsid w:val="003A1D93"/>
    <w:rsid w:val="003A2BC1"/>
    <w:rsid w:val="003A2D42"/>
    <w:rsid w:val="003A2D4F"/>
    <w:rsid w:val="003A6427"/>
    <w:rsid w:val="003A6B9E"/>
    <w:rsid w:val="003A6E8F"/>
    <w:rsid w:val="003A7680"/>
    <w:rsid w:val="003B1778"/>
    <w:rsid w:val="003B18B6"/>
    <w:rsid w:val="003B2462"/>
    <w:rsid w:val="003B3B5A"/>
    <w:rsid w:val="003B4964"/>
    <w:rsid w:val="003B4B84"/>
    <w:rsid w:val="003B5D3C"/>
    <w:rsid w:val="003B60CA"/>
    <w:rsid w:val="003C1D54"/>
    <w:rsid w:val="003C6EFC"/>
    <w:rsid w:val="003D0924"/>
    <w:rsid w:val="003D1793"/>
    <w:rsid w:val="003D33E2"/>
    <w:rsid w:val="003D5B75"/>
    <w:rsid w:val="003D61D4"/>
    <w:rsid w:val="003D7C6A"/>
    <w:rsid w:val="003E193F"/>
    <w:rsid w:val="003E2039"/>
    <w:rsid w:val="003E4E9A"/>
    <w:rsid w:val="003E52D9"/>
    <w:rsid w:val="003E5BD2"/>
    <w:rsid w:val="003F40BF"/>
    <w:rsid w:val="003F434D"/>
    <w:rsid w:val="003F4C7A"/>
    <w:rsid w:val="0040153B"/>
    <w:rsid w:val="00401EBA"/>
    <w:rsid w:val="00401FD4"/>
    <w:rsid w:val="0040708F"/>
    <w:rsid w:val="00407B2E"/>
    <w:rsid w:val="00410493"/>
    <w:rsid w:val="004126B9"/>
    <w:rsid w:val="004127AA"/>
    <w:rsid w:val="004162FE"/>
    <w:rsid w:val="00424140"/>
    <w:rsid w:val="0042723A"/>
    <w:rsid w:val="00434BB8"/>
    <w:rsid w:val="0043560D"/>
    <w:rsid w:val="0043704A"/>
    <w:rsid w:val="00440A84"/>
    <w:rsid w:val="004451A9"/>
    <w:rsid w:val="00453440"/>
    <w:rsid w:val="00453458"/>
    <w:rsid w:val="00453B11"/>
    <w:rsid w:val="00453E01"/>
    <w:rsid w:val="00454BA9"/>
    <w:rsid w:val="00455288"/>
    <w:rsid w:val="00456620"/>
    <w:rsid w:val="004568A1"/>
    <w:rsid w:val="00461136"/>
    <w:rsid w:val="00464119"/>
    <w:rsid w:val="004651D3"/>
    <w:rsid w:val="004658EE"/>
    <w:rsid w:val="00467283"/>
    <w:rsid w:val="00471335"/>
    <w:rsid w:val="0047465B"/>
    <w:rsid w:val="00476DB9"/>
    <w:rsid w:val="00477944"/>
    <w:rsid w:val="00481155"/>
    <w:rsid w:val="00482399"/>
    <w:rsid w:val="00482B06"/>
    <w:rsid w:val="00482B0C"/>
    <w:rsid w:val="004832E5"/>
    <w:rsid w:val="0048331C"/>
    <w:rsid w:val="00484D69"/>
    <w:rsid w:val="00485542"/>
    <w:rsid w:val="00485CDE"/>
    <w:rsid w:val="00490849"/>
    <w:rsid w:val="00493297"/>
    <w:rsid w:val="00493D45"/>
    <w:rsid w:val="0049715B"/>
    <w:rsid w:val="004A08F3"/>
    <w:rsid w:val="004A1023"/>
    <w:rsid w:val="004A2419"/>
    <w:rsid w:val="004B0334"/>
    <w:rsid w:val="004B203A"/>
    <w:rsid w:val="004B41AF"/>
    <w:rsid w:val="004B426C"/>
    <w:rsid w:val="004B6928"/>
    <w:rsid w:val="004C1C8B"/>
    <w:rsid w:val="004C2203"/>
    <w:rsid w:val="004C5F9E"/>
    <w:rsid w:val="004C732F"/>
    <w:rsid w:val="004C7A21"/>
    <w:rsid w:val="004D075A"/>
    <w:rsid w:val="004D258E"/>
    <w:rsid w:val="004D780F"/>
    <w:rsid w:val="004E1DA3"/>
    <w:rsid w:val="004E48D3"/>
    <w:rsid w:val="004E7F0F"/>
    <w:rsid w:val="004F22A7"/>
    <w:rsid w:val="004F40EF"/>
    <w:rsid w:val="004F4949"/>
    <w:rsid w:val="004F7965"/>
    <w:rsid w:val="00500544"/>
    <w:rsid w:val="00501A41"/>
    <w:rsid w:val="005026A0"/>
    <w:rsid w:val="005049AE"/>
    <w:rsid w:val="00505431"/>
    <w:rsid w:val="005108BB"/>
    <w:rsid w:val="00510B4B"/>
    <w:rsid w:val="00512E42"/>
    <w:rsid w:val="00512ECE"/>
    <w:rsid w:val="00515A02"/>
    <w:rsid w:val="00517419"/>
    <w:rsid w:val="005211AD"/>
    <w:rsid w:val="00522850"/>
    <w:rsid w:val="005228DC"/>
    <w:rsid w:val="00524FEF"/>
    <w:rsid w:val="005321F9"/>
    <w:rsid w:val="005351F8"/>
    <w:rsid w:val="0053617C"/>
    <w:rsid w:val="00543730"/>
    <w:rsid w:val="00544C10"/>
    <w:rsid w:val="00550847"/>
    <w:rsid w:val="00550D70"/>
    <w:rsid w:val="005546DC"/>
    <w:rsid w:val="00560EAD"/>
    <w:rsid w:val="005624F2"/>
    <w:rsid w:val="00563060"/>
    <w:rsid w:val="0056330B"/>
    <w:rsid w:val="00564227"/>
    <w:rsid w:val="005652E6"/>
    <w:rsid w:val="00565897"/>
    <w:rsid w:val="0056667B"/>
    <w:rsid w:val="00566C42"/>
    <w:rsid w:val="0057093C"/>
    <w:rsid w:val="005720ED"/>
    <w:rsid w:val="00575261"/>
    <w:rsid w:val="00576B21"/>
    <w:rsid w:val="00580968"/>
    <w:rsid w:val="00580E5E"/>
    <w:rsid w:val="00581B69"/>
    <w:rsid w:val="00583C6C"/>
    <w:rsid w:val="005848A4"/>
    <w:rsid w:val="00584A11"/>
    <w:rsid w:val="0058504F"/>
    <w:rsid w:val="0058535B"/>
    <w:rsid w:val="00585774"/>
    <w:rsid w:val="00590F1A"/>
    <w:rsid w:val="00590F35"/>
    <w:rsid w:val="0059395B"/>
    <w:rsid w:val="00594E85"/>
    <w:rsid w:val="005967AD"/>
    <w:rsid w:val="005A0960"/>
    <w:rsid w:val="005A2D1D"/>
    <w:rsid w:val="005A3097"/>
    <w:rsid w:val="005A3DE1"/>
    <w:rsid w:val="005A4A11"/>
    <w:rsid w:val="005A4A75"/>
    <w:rsid w:val="005A5195"/>
    <w:rsid w:val="005A5E02"/>
    <w:rsid w:val="005B042C"/>
    <w:rsid w:val="005B0A62"/>
    <w:rsid w:val="005B1480"/>
    <w:rsid w:val="005B17D0"/>
    <w:rsid w:val="005B5581"/>
    <w:rsid w:val="005B5927"/>
    <w:rsid w:val="005B6DF2"/>
    <w:rsid w:val="005B7570"/>
    <w:rsid w:val="005C0C8F"/>
    <w:rsid w:val="005C28A8"/>
    <w:rsid w:val="005C386B"/>
    <w:rsid w:val="005C534E"/>
    <w:rsid w:val="005C5E74"/>
    <w:rsid w:val="005D055C"/>
    <w:rsid w:val="005D2C5C"/>
    <w:rsid w:val="005D6501"/>
    <w:rsid w:val="005E0839"/>
    <w:rsid w:val="005E1BAD"/>
    <w:rsid w:val="005E29D9"/>
    <w:rsid w:val="005E46EF"/>
    <w:rsid w:val="005E4E30"/>
    <w:rsid w:val="005E6003"/>
    <w:rsid w:val="005F0D38"/>
    <w:rsid w:val="005F268C"/>
    <w:rsid w:val="005F30D3"/>
    <w:rsid w:val="005F3621"/>
    <w:rsid w:val="005F603F"/>
    <w:rsid w:val="00600CF0"/>
    <w:rsid w:val="006036B8"/>
    <w:rsid w:val="00603B37"/>
    <w:rsid w:val="00604919"/>
    <w:rsid w:val="00606462"/>
    <w:rsid w:val="00613430"/>
    <w:rsid w:val="006139CB"/>
    <w:rsid w:val="0062340E"/>
    <w:rsid w:val="006240D9"/>
    <w:rsid w:val="00630DA9"/>
    <w:rsid w:val="00632474"/>
    <w:rsid w:val="006329D5"/>
    <w:rsid w:val="0063397B"/>
    <w:rsid w:val="00633C8F"/>
    <w:rsid w:val="006354A8"/>
    <w:rsid w:val="006373FF"/>
    <w:rsid w:val="00640719"/>
    <w:rsid w:val="00642CC8"/>
    <w:rsid w:val="0064330A"/>
    <w:rsid w:val="00644BEC"/>
    <w:rsid w:val="00647114"/>
    <w:rsid w:val="00647299"/>
    <w:rsid w:val="00650DDC"/>
    <w:rsid w:val="0065182A"/>
    <w:rsid w:val="00651D0A"/>
    <w:rsid w:val="006532F3"/>
    <w:rsid w:val="00655F59"/>
    <w:rsid w:val="006608DD"/>
    <w:rsid w:val="00662428"/>
    <w:rsid w:val="00664DEE"/>
    <w:rsid w:val="006659F7"/>
    <w:rsid w:val="00671B20"/>
    <w:rsid w:val="006720EF"/>
    <w:rsid w:val="00672BB0"/>
    <w:rsid w:val="00672CB0"/>
    <w:rsid w:val="00673B01"/>
    <w:rsid w:val="00675509"/>
    <w:rsid w:val="0067650C"/>
    <w:rsid w:val="00677289"/>
    <w:rsid w:val="00677F9F"/>
    <w:rsid w:val="006826C9"/>
    <w:rsid w:val="00683597"/>
    <w:rsid w:val="00683F90"/>
    <w:rsid w:val="0068442C"/>
    <w:rsid w:val="00686872"/>
    <w:rsid w:val="00687BDF"/>
    <w:rsid w:val="00690CBD"/>
    <w:rsid w:val="006922D5"/>
    <w:rsid w:val="006933D0"/>
    <w:rsid w:val="00693BE1"/>
    <w:rsid w:val="00694603"/>
    <w:rsid w:val="0069477C"/>
    <w:rsid w:val="006954A4"/>
    <w:rsid w:val="00696718"/>
    <w:rsid w:val="006967F4"/>
    <w:rsid w:val="006A0BB0"/>
    <w:rsid w:val="006A26B5"/>
    <w:rsid w:val="006A3710"/>
    <w:rsid w:val="006A4DF8"/>
    <w:rsid w:val="006A5B85"/>
    <w:rsid w:val="006A6419"/>
    <w:rsid w:val="006A6D32"/>
    <w:rsid w:val="006A714B"/>
    <w:rsid w:val="006B117A"/>
    <w:rsid w:val="006B1A44"/>
    <w:rsid w:val="006B248C"/>
    <w:rsid w:val="006B4C79"/>
    <w:rsid w:val="006B65F8"/>
    <w:rsid w:val="006B75D9"/>
    <w:rsid w:val="006B77E6"/>
    <w:rsid w:val="006B7DA5"/>
    <w:rsid w:val="006C346C"/>
    <w:rsid w:val="006C4D57"/>
    <w:rsid w:val="006C4E4C"/>
    <w:rsid w:val="006C5C1A"/>
    <w:rsid w:val="006C656E"/>
    <w:rsid w:val="006C73FB"/>
    <w:rsid w:val="006D5236"/>
    <w:rsid w:val="006D7A04"/>
    <w:rsid w:val="006E1089"/>
    <w:rsid w:val="006E1D92"/>
    <w:rsid w:val="006E2687"/>
    <w:rsid w:val="006E3356"/>
    <w:rsid w:val="006F0767"/>
    <w:rsid w:val="006F1389"/>
    <w:rsid w:val="006F34DE"/>
    <w:rsid w:val="006F3BAB"/>
    <w:rsid w:val="006F57BF"/>
    <w:rsid w:val="006F631C"/>
    <w:rsid w:val="006F6703"/>
    <w:rsid w:val="006F7510"/>
    <w:rsid w:val="00705583"/>
    <w:rsid w:val="007064CB"/>
    <w:rsid w:val="00706E8B"/>
    <w:rsid w:val="00710140"/>
    <w:rsid w:val="0071143C"/>
    <w:rsid w:val="00711783"/>
    <w:rsid w:val="0071299C"/>
    <w:rsid w:val="00712AB6"/>
    <w:rsid w:val="00713F85"/>
    <w:rsid w:val="007161F2"/>
    <w:rsid w:val="00716E21"/>
    <w:rsid w:val="00717B86"/>
    <w:rsid w:val="007203AB"/>
    <w:rsid w:val="0072194E"/>
    <w:rsid w:val="00721A11"/>
    <w:rsid w:val="00723BCC"/>
    <w:rsid w:val="00723D9B"/>
    <w:rsid w:val="00725A48"/>
    <w:rsid w:val="007277F4"/>
    <w:rsid w:val="00727A0D"/>
    <w:rsid w:val="00727D89"/>
    <w:rsid w:val="00731788"/>
    <w:rsid w:val="007321A5"/>
    <w:rsid w:val="007326D2"/>
    <w:rsid w:val="0073282A"/>
    <w:rsid w:val="00733988"/>
    <w:rsid w:val="00733A68"/>
    <w:rsid w:val="007345D7"/>
    <w:rsid w:val="00734839"/>
    <w:rsid w:val="0073632D"/>
    <w:rsid w:val="007368E9"/>
    <w:rsid w:val="007401F7"/>
    <w:rsid w:val="00740B81"/>
    <w:rsid w:val="00740FB7"/>
    <w:rsid w:val="007420B0"/>
    <w:rsid w:val="007464D4"/>
    <w:rsid w:val="00746655"/>
    <w:rsid w:val="00746907"/>
    <w:rsid w:val="00747DC6"/>
    <w:rsid w:val="00754336"/>
    <w:rsid w:val="0076163D"/>
    <w:rsid w:val="00765652"/>
    <w:rsid w:val="00770D84"/>
    <w:rsid w:val="00771C84"/>
    <w:rsid w:val="00773AA9"/>
    <w:rsid w:val="00773C5F"/>
    <w:rsid w:val="00775193"/>
    <w:rsid w:val="0077593D"/>
    <w:rsid w:val="00775CDD"/>
    <w:rsid w:val="00777001"/>
    <w:rsid w:val="00780474"/>
    <w:rsid w:val="0078237E"/>
    <w:rsid w:val="007824F2"/>
    <w:rsid w:val="00784295"/>
    <w:rsid w:val="007848F3"/>
    <w:rsid w:val="007855B7"/>
    <w:rsid w:val="007855F5"/>
    <w:rsid w:val="00785D65"/>
    <w:rsid w:val="007900C8"/>
    <w:rsid w:val="00790F0E"/>
    <w:rsid w:val="00795A81"/>
    <w:rsid w:val="00796054"/>
    <w:rsid w:val="007A0046"/>
    <w:rsid w:val="007A18D1"/>
    <w:rsid w:val="007A230C"/>
    <w:rsid w:val="007A26A2"/>
    <w:rsid w:val="007A27BB"/>
    <w:rsid w:val="007A45B6"/>
    <w:rsid w:val="007A4E92"/>
    <w:rsid w:val="007A6BA1"/>
    <w:rsid w:val="007A716A"/>
    <w:rsid w:val="007A7DD6"/>
    <w:rsid w:val="007B0620"/>
    <w:rsid w:val="007B3B3E"/>
    <w:rsid w:val="007C2BB7"/>
    <w:rsid w:val="007C360F"/>
    <w:rsid w:val="007C3F9B"/>
    <w:rsid w:val="007C478E"/>
    <w:rsid w:val="007C5329"/>
    <w:rsid w:val="007C57AC"/>
    <w:rsid w:val="007C5B18"/>
    <w:rsid w:val="007C789A"/>
    <w:rsid w:val="007D06BB"/>
    <w:rsid w:val="007D09B8"/>
    <w:rsid w:val="007D0F52"/>
    <w:rsid w:val="007D1AC9"/>
    <w:rsid w:val="007D4946"/>
    <w:rsid w:val="007D6679"/>
    <w:rsid w:val="007D6C10"/>
    <w:rsid w:val="007D7165"/>
    <w:rsid w:val="007D7342"/>
    <w:rsid w:val="007E063F"/>
    <w:rsid w:val="007E47C6"/>
    <w:rsid w:val="007E5CED"/>
    <w:rsid w:val="007E7D58"/>
    <w:rsid w:val="007F0420"/>
    <w:rsid w:val="007F050E"/>
    <w:rsid w:val="007F1C9E"/>
    <w:rsid w:val="007F2F3B"/>
    <w:rsid w:val="008000B9"/>
    <w:rsid w:val="00800557"/>
    <w:rsid w:val="00803BD8"/>
    <w:rsid w:val="00804593"/>
    <w:rsid w:val="00807223"/>
    <w:rsid w:val="00812110"/>
    <w:rsid w:val="00812E20"/>
    <w:rsid w:val="0081748B"/>
    <w:rsid w:val="008177BB"/>
    <w:rsid w:val="00817958"/>
    <w:rsid w:val="00817F23"/>
    <w:rsid w:val="00820879"/>
    <w:rsid w:val="00820CF1"/>
    <w:rsid w:val="00820F2E"/>
    <w:rsid w:val="00823027"/>
    <w:rsid w:val="008254AF"/>
    <w:rsid w:val="0082734A"/>
    <w:rsid w:val="008273DF"/>
    <w:rsid w:val="00833D98"/>
    <w:rsid w:val="00834141"/>
    <w:rsid w:val="008360E7"/>
    <w:rsid w:val="00840D05"/>
    <w:rsid w:val="00842987"/>
    <w:rsid w:val="00842ED5"/>
    <w:rsid w:val="00847294"/>
    <w:rsid w:val="0084764A"/>
    <w:rsid w:val="00847863"/>
    <w:rsid w:val="00847BB2"/>
    <w:rsid w:val="008515B8"/>
    <w:rsid w:val="00852D69"/>
    <w:rsid w:val="00852EB6"/>
    <w:rsid w:val="00854D74"/>
    <w:rsid w:val="00855CEE"/>
    <w:rsid w:val="00860E23"/>
    <w:rsid w:val="0086191D"/>
    <w:rsid w:val="008659A4"/>
    <w:rsid w:val="00866AC7"/>
    <w:rsid w:val="00871611"/>
    <w:rsid w:val="00872E71"/>
    <w:rsid w:val="0088235E"/>
    <w:rsid w:val="008832B7"/>
    <w:rsid w:val="00883E17"/>
    <w:rsid w:val="00883EF1"/>
    <w:rsid w:val="00885AA8"/>
    <w:rsid w:val="008861E4"/>
    <w:rsid w:val="00886595"/>
    <w:rsid w:val="008911FC"/>
    <w:rsid w:val="00891D16"/>
    <w:rsid w:val="0089345E"/>
    <w:rsid w:val="00893495"/>
    <w:rsid w:val="0089545A"/>
    <w:rsid w:val="00895C70"/>
    <w:rsid w:val="00895DA8"/>
    <w:rsid w:val="00896D10"/>
    <w:rsid w:val="00897CF9"/>
    <w:rsid w:val="008A0458"/>
    <w:rsid w:val="008A065E"/>
    <w:rsid w:val="008A1B61"/>
    <w:rsid w:val="008A1D20"/>
    <w:rsid w:val="008A304E"/>
    <w:rsid w:val="008A37AF"/>
    <w:rsid w:val="008A6353"/>
    <w:rsid w:val="008A76C8"/>
    <w:rsid w:val="008B1A84"/>
    <w:rsid w:val="008B5AFA"/>
    <w:rsid w:val="008B620B"/>
    <w:rsid w:val="008B6E6D"/>
    <w:rsid w:val="008C2780"/>
    <w:rsid w:val="008C40BA"/>
    <w:rsid w:val="008C7EDD"/>
    <w:rsid w:val="008D0360"/>
    <w:rsid w:val="008D1226"/>
    <w:rsid w:val="008D1660"/>
    <w:rsid w:val="008D6053"/>
    <w:rsid w:val="008D7A2C"/>
    <w:rsid w:val="008E31D7"/>
    <w:rsid w:val="008E456C"/>
    <w:rsid w:val="008E48E4"/>
    <w:rsid w:val="008E5D0C"/>
    <w:rsid w:val="008E6222"/>
    <w:rsid w:val="008E64F7"/>
    <w:rsid w:val="008F232E"/>
    <w:rsid w:val="008F6E97"/>
    <w:rsid w:val="00903D82"/>
    <w:rsid w:val="00905802"/>
    <w:rsid w:val="009067A0"/>
    <w:rsid w:val="00906A55"/>
    <w:rsid w:val="00906F33"/>
    <w:rsid w:val="0090791D"/>
    <w:rsid w:val="00910BA3"/>
    <w:rsid w:val="0091151C"/>
    <w:rsid w:val="00912A40"/>
    <w:rsid w:val="0091551B"/>
    <w:rsid w:val="0091567C"/>
    <w:rsid w:val="00915960"/>
    <w:rsid w:val="00920914"/>
    <w:rsid w:val="0092157F"/>
    <w:rsid w:val="00926119"/>
    <w:rsid w:val="00933C7C"/>
    <w:rsid w:val="0093585E"/>
    <w:rsid w:val="00937885"/>
    <w:rsid w:val="00944EAC"/>
    <w:rsid w:val="00945B9F"/>
    <w:rsid w:val="00950B8F"/>
    <w:rsid w:val="00950F98"/>
    <w:rsid w:val="009522FC"/>
    <w:rsid w:val="00954904"/>
    <w:rsid w:val="00954DFF"/>
    <w:rsid w:val="00955EF9"/>
    <w:rsid w:val="009571C1"/>
    <w:rsid w:val="009579AC"/>
    <w:rsid w:val="00961E03"/>
    <w:rsid w:val="00962E2B"/>
    <w:rsid w:val="0096557A"/>
    <w:rsid w:val="0097130F"/>
    <w:rsid w:val="00972AF0"/>
    <w:rsid w:val="00973D06"/>
    <w:rsid w:val="00976106"/>
    <w:rsid w:val="00980392"/>
    <w:rsid w:val="0098050B"/>
    <w:rsid w:val="009863B6"/>
    <w:rsid w:val="009902A8"/>
    <w:rsid w:val="00990C30"/>
    <w:rsid w:val="00991A96"/>
    <w:rsid w:val="00991EFD"/>
    <w:rsid w:val="009922E0"/>
    <w:rsid w:val="00992712"/>
    <w:rsid w:val="009952B3"/>
    <w:rsid w:val="009A1145"/>
    <w:rsid w:val="009A2466"/>
    <w:rsid w:val="009A2770"/>
    <w:rsid w:val="009A2F11"/>
    <w:rsid w:val="009A47C0"/>
    <w:rsid w:val="009A4A45"/>
    <w:rsid w:val="009B2088"/>
    <w:rsid w:val="009B25EF"/>
    <w:rsid w:val="009B3FAA"/>
    <w:rsid w:val="009B4C56"/>
    <w:rsid w:val="009B5ACD"/>
    <w:rsid w:val="009B76DE"/>
    <w:rsid w:val="009B7816"/>
    <w:rsid w:val="009B7A20"/>
    <w:rsid w:val="009C148A"/>
    <w:rsid w:val="009C3FBD"/>
    <w:rsid w:val="009C4317"/>
    <w:rsid w:val="009C4FA9"/>
    <w:rsid w:val="009C528C"/>
    <w:rsid w:val="009C5399"/>
    <w:rsid w:val="009C5616"/>
    <w:rsid w:val="009C77EE"/>
    <w:rsid w:val="009D116A"/>
    <w:rsid w:val="009D290F"/>
    <w:rsid w:val="009D3345"/>
    <w:rsid w:val="009D3BFD"/>
    <w:rsid w:val="009D4873"/>
    <w:rsid w:val="009D77C0"/>
    <w:rsid w:val="009F0039"/>
    <w:rsid w:val="009F0C64"/>
    <w:rsid w:val="009F0E24"/>
    <w:rsid w:val="009F176D"/>
    <w:rsid w:val="009F268A"/>
    <w:rsid w:val="009F7C28"/>
    <w:rsid w:val="00A01402"/>
    <w:rsid w:val="00A01697"/>
    <w:rsid w:val="00A02BBD"/>
    <w:rsid w:val="00A02EF3"/>
    <w:rsid w:val="00A039EC"/>
    <w:rsid w:val="00A042CB"/>
    <w:rsid w:val="00A056CF"/>
    <w:rsid w:val="00A14EB7"/>
    <w:rsid w:val="00A160E8"/>
    <w:rsid w:val="00A17B33"/>
    <w:rsid w:val="00A22499"/>
    <w:rsid w:val="00A2263F"/>
    <w:rsid w:val="00A26B77"/>
    <w:rsid w:val="00A302A5"/>
    <w:rsid w:val="00A31DFE"/>
    <w:rsid w:val="00A334A7"/>
    <w:rsid w:val="00A35F8B"/>
    <w:rsid w:val="00A37D94"/>
    <w:rsid w:val="00A40306"/>
    <w:rsid w:val="00A41EA1"/>
    <w:rsid w:val="00A4470F"/>
    <w:rsid w:val="00A44D38"/>
    <w:rsid w:val="00A4575D"/>
    <w:rsid w:val="00A537B4"/>
    <w:rsid w:val="00A53F75"/>
    <w:rsid w:val="00A5482B"/>
    <w:rsid w:val="00A563A1"/>
    <w:rsid w:val="00A56D65"/>
    <w:rsid w:val="00A573B9"/>
    <w:rsid w:val="00A574F8"/>
    <w:rsid w:val="00A6005C"/>
    <w:rsid w:val="00A61393"/>
    <w:rsid w:val="00A6204D"/>
    <w:rsid w:val="00A66BFF"/>
    <w:rsid w:val="00A67FAE"/>
    <w:rsid w:val="00A70892"/>
    <w:rsid w:val="00A72851"/>
    <w:rsid w:val="00A77C37"/>
    <w:rsid w:val="00A77C6D"/>
    <w:rsid w:val="00A8429E"/>
    <w:rsid w:val="00A84E26"/>
    <w:rsid w:val="00A91048"/>
    <w:rsid w:val="00A92A01"/>
    <w:rsid w:val="00A92B97"/>
    <w:rsid w:val="00A9325D"/>
    <w:rsid w:val="00A938CB"/>
    <w:rsid w:val="00A95038"/>
    <w:rsid w:val="00A9555F"/>
    <w:rsid w:val="00AA132E"/>
    <w:rsid w:val="00AA14F8"/>
    <w:rsid w:val="00AA1D9A"/>
    <w:rsid w:val="00AA3BB3"/>
    <w:rsid w:val="00AA433D"/>
    <w:rsid w:val="00AA55FA"/>
    <w:rsid w:val="00AA7F21"/>
    <w:rsid w:val="00AB046A"/>
    <w:rsid w:val="00AB0980"/>
    <w:rsid w:val="00AB180F"/>
    <w:rsid w:val="00AB2A30"/>
    <w:rsid w:val="00AC03FC"/>
    <w:rsid w:val="00AC3DDF"/>
    <w:rsid w:val="00AC4021"/>
    <w:rsid w:val="00AC6314"/>
    <w:rsid w:val="00AC6FFC"/>
    <w:rsid w:val="00AC7064"/>
    <w:rsid w:val="00AC79B9"/>
    <w:rsid w:val="00AD04A4"/>
    <w:rsid w:val="00AD04E7"/>
    <w:rsid w:val="00AD3205"/>
    <w:rsid w:val="00AD514F"/>
    <w:rsid w:val="00AD5FCD"/>
    <w:rsid w:val="00AD620F"/>
    <w:rsid w:val="00AD6F64"/>
    <w:rsid w:val="00AD7F6D"/>
    <w:rsid w:val="00AE1837"/>
    <w:rsid w:val="00AE5989"/>
    <w:rsid w:val="00AE67CC"/>
    <w:rsid w:val="00AF0286"/>
    <w:rsid w:val="00AF0D82"/>
    <w:rsid w:val="00AF286E"/>
    <w:rsid w:val="00AF61A9"/>
    <w:rsid w:val="00AF7A05"/>
    <w:rsid w:val="00B01582"/>
    <w:rsid w:val="00B01C82"/>
    <w:rsid w:val="00B02C77"/>
    <w:rsid w:val="00B03829"/>
    <w:rsid w:val="00B04CC0"/>
    <w:rsid w:val="00B05B00"/>
    <w:rsid w:val="00B07414"/>
    <w:rsid w:val="00B07B07"/>
    <w:rsid w:val="00B135E4"/>
    <w:rsid w:val="00B13DDD"/>
    <w:rsid w:val="00B1506B"/>
    <w:rsid w:val="00B15152"/>
    <w:rsid w:val="00B1785F"/>
    <w:rsid w:val="00B265F6"/>
    <w:rsid w:val="00B3121F"/>
    <w:rsid w:val="00B3253A"/>
    <w:rsid w:val="00B33A99"/>
    <w:rsid w:val="00B36F69"/>
    <w:rsid w:val="00B37AE5"/>
    <w:rsid w:val="00B419D7"/>
    <w:rsid w:val="00B43200"/>
    <w:rsid w:val="00B43732"/>
    <w:rsid w:val="00B4383E"/>
    <w:rsid w:val="00B43D54"/>
    <w:rsid w:val="00B56903"/>
    <w:rsid w:val="00B61106"/>
    <w:rsid w:val="00B6242D"/>
    <w:rsid w:val="00B62852"/>
    <w:rsid w:val="00B64609"/>
    <w:rsid w:val="00B64929"/>
    <w:rsid w:val="00B65305"/>
    <w:rsid w:val="00B66F45"/>
    <w:rsid w:val="00B70A06"/>
    <w:rsid w:val="00B71F24"/>
    <w:rsid w:val="00B76817"/>
    <w:rsid w:val="00B8021D"/>
    <w:rsid w:val="00B803AD"/>
    <w:rsid w:val="00B81BA7"/>
    <w:rsid w:val="00B81E09"/>
    <w:rsid w:val="00B82925"/>
    <w:rsid w:val="00B83254"/>
    <w:rsid w:val="00B83705"/>
    <w:rsid w:val="00B85569"/>
    <w:rsid w:val="00B85591"/>
    <w:rsid w:val="00B85B4E"/>
    <w:rsid w:val="00B85C58"/>
    <w:rsid w:val="00B86B8A"/>
    <w:rsid w:val="00B93DE4"/>
    <w:rsid w:val="00BA0EE8"/>
    <w:rsid w:val="00BA18D0"/>
    <w:rsid w:val="00BA1D34"/>
    <w:rsid w:val="00BA2A87"/>
    <w:rsid w:val="00BA6327"/>
    <w:rsid w:val="00BA6774"/>
    <w:rsid w:val="00BB19F5"/>
    <w:rsid w:val="00BB2487"/>
    <w:rsid w:val="00BB2DB4"/>
    <w:rsid w:val="00BB33BA"/>
    <w:rsid w:val="00BB42BE"/>
    <w:rsid w:val="00BC1145"/>
    <w:rsid w:val="00BC4943"/>
    <w:rsid w:val="00BC4BFC"/>
    <w:rsid w:val="00BC4EE1"/>
    <w:rsid w:val="00BC5D72"/>
    <w:rsid w:val="00BC6213"/>
    <w:rsid w:val="00BC6B9F"/>
    <w:rsid w:val="00BC6C2B"/>
    <w:rsid w:val="00BC78D6"/>
    <w:rsid w:val="00BD0CB7"/>
    <w:rsid w:val="00BD289F"/>
    <w:rsid w:val="00BD2D2F"/>
    <w:rsid w:val="00BD4CFF"/>
    <w:rsid w:val="00BD63EC"/>
    <w:rsid w:val="00BD6515"/>
    <w:rsid w:val="00BD70FC"/>
    <w:rsid w:val="00BE03B2"/>
    <w:rsid w:val="00BE4BE2"/>
    <w:rsid w:val="00BE65A2"/>
    <w:rsid w:val="00BF0153"/>
    <w:rsid w:val="00BF01CA"/>
    <w:rsid w:val="00BF1DCF"/>
    <w:rsid w:val="00BF33E6"/>
    <w:rsid w:val="00BF44AD"/>
    <w:rsid w:val="00BF458F"/>
    <w:rsid w:val="00BF4FDC"/>
    <w:rsid w:val="00BF525A"/>
    <w:rsid w:val="00BF6CAF"/>
    <w:rsid w:val="00BF7969"/>
    <w:rsid w:val="00C003CF"/>
    <w:rsid w:val="00C038BF"/>
    <w:rsid w:val="00C0622D"/>
    <w:rsid w:val="00C1115B"/>
    <w:rsid w:val="00C138A5"/>
    <w:rsid w:val="00C1466B"/>
    <w:rsid w:val="00C16C44"/>
    <w:rsid w:val="00C225EF"/>
    <w:rsid w:val="00C24CD4"/>
    <w:rsid w:val="00C24ED3"/>
    <w:rsid w:val="00C2531C"/>
    <w:rsid w:val="00C26766"/>
    <w:rsid w:val="00C3082A"/>
    <w:rsid w:val="00C30BA3"/>
    <w:rsid w:val="00C32258"/>
    <w:rsid w:val="00C332FB"/>
    <w:rsid w:val="00C401ED"/>
    <w:rsid w:val="00C40725"/>
    <w:rsid w:val="00C40954"/>
    <w:rsid w:val="00C4137E"/>
    <w:rsid w:val="00C41B4B"/>
    <w:rsid w:val="00C42F46"/>
    <w:rsid w:val="00C44983"/>
    <w:rsid w:val="00C4584A"/>
    <w:rsid w:val="00C45FFB"/>
    <w:rsid w:val="00C509FF"/>
    <w:rsid w:val="00C52856"/>
    <w:rsid w:val="00C52AA5"/>
    <w:rsid w:val="00C53F1B"/>
    <w:rsid w:val="00C6048B"/>
    <w:rsid w:val="00C6085E"/>
    <w:rsid w:val="00C62654"/>
    <w:rsid w:val="00C64420"/>
    <w:rsid w:val="00C646EE"/>
    <w:rsid w:val="00C6672E"/>
    <w:rsid w:val="00C66E9A"/>
    <w:rsid w:val="00C674C1"/>
    <w:rsid w:val="00C7270A"/>
    <w:rsid w:val="00C73605"/>
    <w:rsid w:val="00C73BA2"/>
    <w:rsid w:val="00C73E79"/>
    <w:rsid w:val="00C7418A"/>
    <w:rsid w:val="00C75B72"/>
    <w:rsid w:val="00C7696E"/>
    <w:rsid w:val="00C80F2F"/>
    <w:rsid w:val="00C81D32"/>
    <w:rsid w:val="00C8254D"/>
    <w:rsid w:val="00C85063"/>
    <w:rsid w:val="00C850B8"/>
    <w:rsid w:val="00C86740"/>
    <w:rsid w:val="00C86886"/>
    <w:rsid w:val="00C90CF3"/>
    <w:rsid w:val="00C912E5"/>
    <w:rsid w:val="00C91C14"/>
    <w:rsid w:val="00C91D4B"/>
    <w:rsid w:val="00C93FAF"/>
    <w:rsid w:val="00C93FCF"/>
    <w:rsid w:val="00C955D7"/>
    <w:rsid w:val="00C96219"/>
    <w:rsid w:val="00C96BD5"/>
    <w:rsid w:val="00CA20D3"/>
    <w:rsid w:val="00CA36B1"/>
    <w:rsid w:val="00CA4BFB"/>
    <w:rsid w:val="00CA7800"/>
    <w:rsid w:val="00CA7FA5"/>
    <w:rsid w:val="00CA7FF4"/>
    <w:rsid w:val="00CB3AD4"/>
    <w:rsid w:val="00CB7A0D"/>
    <w:rsid w:val="00CC3AF1"/>
    <w:rsid w:val="00CC5928"/>
    <w:rsid w:val="00CC6C37"/>
    <w:rsid w:val="00CD00D9"/>
    <w:rsid w:val="00CD09B7"/>
    <w:rsid w:val="00CD2B6A"/>
    <w:rsid w:val="00CD30AC"/>
    <w:rsid w:val="00CD391B"/>
    <w:rsid w:val="00CD4405"/>
    <w:rsid w:val="00CD5739"/>
    <w:rsid w:val="00CD63AA"/>
    <w:rsid w:val="00CD7254"/>
    <w:rsid w:val="00CE0174"/>
    <w:rsid w:val="00CE236D"/>
    <w:rsid w:val="00CE25C8"/>
    <w:rsid w:val="00CE3092"/>
    <w:rsid w:val="00CE34D8"/>
    <w:rsid w:val="00CE35B8"/>
    <w:rsid w:val="00CE3717"/>
    <w:rsid w:val="00CE50C8"/>
    <w:rsid w:val="00CE62D1"/>
    <w:rsid w:val="00CE724E"/>
    <w:rsid w:val="00CF1CF7"/>
    <w:rsid w:val="00CF207A"/>
    <w:rsid w:val="00CF3009"/>
    <w:rsid w:val="00CF4A41"/>
    <w:rsid w:val="00CF4B48"/>
    <w:rsid w:val="00CF5765"/>
    <w:rsid w:val="00CF5EFE"/>
    <w:rsid w:val="00CF6FAB"/>
    <w:rsid w:val="00CF7FBF"/>
    <w:rsid w:val="00D01A42"/>
    <w:rsid w:val="00D02723"/>
    <w:rsid w:val="00D05CDA"/>
    <w:rsid w:val="00D110DD"/>
    <w:rsid w:val="00D20015"/>
    <w:rsid w:val="00D2266F"/>
    <w:rsid w:val="00D2382F"/>
    <w:rsid w:val="00D24AC0"/>
    <w:rsid w:val="00D258C6"/>
    <w:rsid w:val="00D25E67"/>
    <w:rsid w:val="00D265A1"/>
    <w:rsid w:val="00D26D1D"/>
    <w:rsid w:val="00D26EBE"/>
    <w:rsid w:val="00D27415"/>
    <w:rsid w:val="00D30E1D"/>
    <w:rsid w:val="00D32281"/>
    <w:rsid w:val="00D33A8E"/>
    <w:rsid w:val="00D35180"/>
    <w:rsid w:val="00D356ED"/>
    <w:rsid w:val="00D3693E"/>
    <w:rsid w:val="00D36EA1"/>
    <w:rsid w:val="00D3760C"/>
    <w:rsid w:val="00D37AF1"/>
    <w:rsid w:val="00D41DC0"/>
    <w:rsid w:val="00D42613"/>
    <w:rsid w:val="00D42A85"/>
    <w:rsid w:val="00D433EA"/>
    <w:rsid w:val="00D456B7"/>
    <w:rsid w:val="00D45902"/>
    <w:rsid w:val="00D4661A"/>
    <w:rsid w:val="00D46C51"/>
    <w:rsid w:val="00D52C18"/>
    <w:rsid w:val="00D54564"/>
    <w:rsid w:val="00D55B9F"/>
    <w:rsid w:val="00D62038"/>
    <w:rsid w:val="00D624AC"/>
    <w:rsid w:val="00D632AD"/>
    <w:rsid w:val="00D64FF2"/>
    <w:rsid w:val="00D65420"/>
    <w:rsid w:val="00D65B44"/>
    <w:rsid w:val="00D65C1D"/>
    <w:rsid w:val="00D70FEB"/>
    <w:rsid w:val="00D738C3"/>
    <w:rsid w:val="00D747A1"/>
    <w:rsid w:val="00D747BF"/>
    <w:rsid w:val="00D77372"/>
    <w:rsid w:val="00D8106F"/>
    <w:rsid w:val="00D83798"/>
    <w:rsid w:val="00D84843"/>
    <w:rsid w:val="00D86383"/>
    <w:rsid w:val="00D87616"/>
    <w:rsid w:val="00D9176F"/>
    <w:rsid w:val="00D9194F"/>
    <w:rsid w:val="00D94A15"/>
    <w:rsid w:val="00D95211"/>
    <w:rsid w:val="00D952BE"/>
    <w:rsid w:val="00D95E65"/>
    <w:rsid w:val="00D961E1"/>
    <w:rsid w:val="00DA0411"/>
    <w:rsid w:val="00DA1519"/>
    <w:rsid w:val="00DA1E17"/>
    <w:rsid w:val="00DA3FD5"/>
    <w:rsid w:val="00DA4136"/>
    <w:rsid w:val="00DA4698"/>
    <w:rsid w:val="00DA679B"/>
    <w:rsid w:val="00DA79E3"/>
    <w:rsid w:val="00DA7A82"/>
    <w:rsid w:val="00DB046E"/>
    <w:rsid w:val="00DB0D2C"/>
    <w:rsid w:val="00DB162B"/>
    <w:rsid w:val="00DB25FF"/>
    <w:rsid w:val="00DB2B36"/>
    <w:rsid w:val="00DB3B03"/>
    <w:rsid w:val="00DB45CB"/>
    <w:rsid w:val="00DB5E38"/>
    <w:rsid w:val="00DB6BFE"/>
    <w:rsid w:val="00DC07A3"/>
    <w:rsid w:val="00DC5194"/>
    <w:rsid w:val="00DC6566"/>
    <w:rsid w:val="00DC7CA6"/>
    <w:rsid w:val="00DD0BB7"/>
    <w:rsid w:val="00DD3BD4"/>
    <w:rsid w:val="00DD3D28"/>
    <w:rsid w:val="00DD40EF"/>
    <w:rsid w:val="00DD5CDA"/>
    <w:rsid w:val="00DD5E18"/>
    <w:rsid w:val="00DD643F"/>
    <w:rsid w:val="00DD6AD1"/>
    <w:rsid w:val="00DD738B"/>
    <w:rsid w:val="00DD7698"/>
    <w:rsid w:val="00DE0733"/>
    <w:rsid w:val="00DE1C4D"/>
    <w:rsid w:val="00DE3218"/>
    <w:rsid w:val="00DE5A28"/>
    <w:rsid w:val="00DE5C93"/>
    <w:rsid w:val="00DE7BDE"/>
    <w:rsid w:val="00DF06E0"/>
    <w:rsid w:val="00DF240E"/>
    <w:rsid w:val="00DF308F"/>
    <w:rsid w:val="00DF3706"/>
    <w:rsid w:val="00DF4686"/>
    <w:rsid w:val="00DF5487"/>
    <w:rsid w:val="00DF5A50"/>
    <w:rsid w:val="00DF5F30"/>
    <w:rsid w:val="00DF7D5B"/>
    <w:rsid w:val="00DF7FB5"/>
    <w:rsid w:val="00E02187"/>
    <w:rsid w:val="00E02B40"/>
    <w:rsid w:val="00E045F8"/>
    <w:rsid w:val="00E047C9"/>
    <w:rsid w:val="00E06903"/>
    <w:rsid w:val="00E069DF"/>
    <w:rsid w:val="00E06E3B"/>
    <w:rsid w:val="00E1436E"/>
    <w:rsid w:val="00E15260"/>
    <w:rsid w:val="00E15E81"/>
    <w:rsid w:val="00E17AD4"/>
    <w:rsid w:val="00E17E25"/>
    <w:rsid w:val="00E20254"/>
    <w:rsid w:val="00E20BDB"/>
    <w:rsid w:val="00E23F20"/>
    <w:rsid w:val="00E24F8E"/>
    <w:rsid w:val="00E25EFA"/>
    <w:rsid w:val="00E30669"/>
    <w:rsid w:val="00E30C2B"/>
    <w:rsid w:val="00E315E5"/>
    <w:rsid w:val="00E32B30"/>
    <w:rsid w:val="00E330AD"/>
    <w:rsid w:val="00E34064"/>
    <w:rsid w:val="00E351D8"/>
    <w:rsid w:val="00E359F3"/>
    <w:rsid w:val="00E35F67"/>
    <w:rsid w:val="00E3678C"/>
    <w:rsid w:val="00E37615"/>
    <w:rsid w:val="00E3797B"/>
    <w:rsid w:val="00E37B27"/>
    <w:rsid w:val="00E40079"/>
    <w:rsid w:val="00E40D88"/>
    <w:rsid w:val="00E42A29"/>
    <w:rsid w:val="00E43A85"/>
    <w:rsid w:val="00E45D53"/>
    <w:rsid w:val="00E51E16"/>
    <w:rsid w:val="00E54FC9"/>
    <w:rsid w:val="00E552BE"/>
    <w:rsid w:val="00E55617"/>
    <w:rsid w:val="00E56522"/>
    <w:rsid w:val="00E5714B"/>
    <w:rsid w:val="00E57749"/>
    <w:rsid w:val="00E605B4"/>
    <w:rsid w:val="00E61547"/>
    <w:rsid w:val="00E75EA5"/>
    <w:rsid w:val="00E76F0C"/>
    <w:rsid w:val="00E776EC"/>
    <w:rsid w:val="00E832A4"/>
    <w:rsid w:val="00E836C7"/>
    <w:rsid w:val="00E84A31"/>
    <w:rsid w:val="00E84BF4"/>
    <w:rsid w:val="00E85B69"/>
    <w:rsid w:val="00E91FB0"/>
    <w:rsid w:val="00E95372"/>
    <w:rsid w:val="00E96B29"/>
    <w:rsid w:val="00EA6DDD"/>
    <w:rsid w:val="00EA7AFA"/>
    <w:rsid w:val="00EB30EA"/>
    <w:rsid w:val="00EB3BC3"/>
    <w:rsid w:val="00EC07DC"/>
    <w:rsid w:val="00EC2D0D"/>
    <w:rsid w:val="00EC39DE"/>
    <w:rsid w:val="00EC3D8E"/>
    <w:rsid w:val="00EC517C"/>
    <w:rsid w:val="00EC51B0"/>
    <w:rsid w:val="00EC5EA4"/>
    <w:rsid w:val="00EC73C7"/>
    <w:rsid w:val="00ED15E1"/>
    <w:rsid w:val="00ED3C33"/>
    <w:rsid w:val="00ED5FBD"/>
    <w:rsid w:val="00ED7F4D"/>
    <w:rsid w:val="00EE0DE5"/>
    <w:rsid w:val="00EE1544"/>
    <w:rsid w:val="00EE1999"/>
    <w:rsid w:val="00EE1B6C"/>
    <w:rsid w:val="00EE3538"/>
    <w:rsid w:val="00EE3C6B"/>
    <w:rsid w:val="00EE4C9A"/>
    <w:rsid w:val="00EE4D62"/>
    <w:rsid w:val="00EE624F"/>
    <w:rsid w:val="00EE7D38"/>
    <w:rsid w:val="00EF15F0"/>
    <w:rsid w:val="00EF24C7"/>
    <w:rsid w:val="00EF4F94"/>
    <w:rsid w:val="00EF585F"/>
    <w:rsid w:val="00EF6745"/>
    <w:rsid w:val="00EF796F"/>
    <w:rsid w:val="00F02290"/>
    <w:rsid w:val="00F03944"/>
    <w:rsid w:val="00F03FB4"/>
    <w:rsid w:val="00F07FE8"/>
    <w:rsid w:val="00F13098"/>
    <w:rsid w:val="00F13E54"/>
    <w:rsid w:val="00F14D6A"/>
    <w:rsid w:val="00F15390"/>
    <w:rsid w:val="00F22AF0"/>
    <w:rsid w:val="00F22C96"/>
    <w:rsid w:val="00F2495B"/>
    <w:rsid w:val="00F25530"/>
    <w:rsid w:val="00F279AA"/>
    <w:rsid w:val="00F27E6E"/>
    <w:rsid w:val="00F31A47"/>
    <w:rsid w:val="00F33332"/>
    <w:rsid w:val="00F34865"/>
    <w:rsid w:val="00F35EEA"/>
    <w:rsid w:val="00F40BB3"/>
    <w:rsid w:val="00F40DE1"/>
    <w:rsid w:val="00F42728"/>
    <w:rsid w:val="00F439F8"/>
    <w:rsid w:val="00F43A15"/>
    <w:rsid w:val="00F447FA"/>
    <w:rsid w:val="00F45401"/>
    <w:rsid w:val="00F4625A"/>
    <w:rsid w:val="00F51832"/>
    <w:rsid w:val="00F52013"/>
    <w:rsid w:val="00F52D19"/>
    <w:rsid w:val="00F54E96"/>
    <w:rsid w:val="00F54EC0"/>
    <w:rsid w:val="00F55414"/>
    <w:rsid w:val="00F5643D"/>
    <w:rsid w:val="00F56712"/>
    <w:rsid w:val="00F569A4"/>
    <w:rsid w:val="00F57CBB"/>
    <w:rsid w:val="00F608F4"/>
    <w:rsid w:val="00F620D5"/>
    <w:rsid w:val="00F62E25"/>
    <w:rsid w:val="00F65B29"/>
    <w:rsid w:val="00F66A3F"/>
    <w:rsid w:val="00F67407"/>
    <w:rsid w:val="00F67ABD"/>
    <w:rsid w:val="00F708A1"/>
    <w:rsid w:val="00F7130B"/>
    <w:rsid w:val="00F73CB9"/>
    <w:rsid w:val="00F7431E"/>
    <w:rsid w:val="00F75709"/>
    <w:rsid w:val="00F77421"/>
    <w:rsid w:val="00F7773E"/>
    <w:rsid w:val="00F829E4"/>
    <w:rsid w:val="00F8348C"/>
    <w:rsid w:val="00F84ABC"/>
    <w:rsid w:val="00F873FD"/>
    <w:rsid w:val="00F91142"/>
    <w:rsid w:val="00F915B2"/>
    <w:rsid w:val="00F9305A"/>
    <w:rsid w:val="00F95B60"/>
    <w:rsid w:val="00F97100"/>
    <w:rsid w:val="00FA104C"/>
    <w:rsid w:val="00FA502F"/>
    <w:rsid w:val="00FA5917"/>
    <w:rsid w:val="00FA798C"/>
    <w:rsid w:val="00FB03FA"/>
    <w:rsid w:val="00FB1788"/>
    <w:rsid w:val="00FB40F0"/>
    <w:rsid w:val="00FB4A74"/>
    <w:rsid w:val="00FC4A66"/>
    <w:rsid w:val="00FC4AA1"/>
    <w:rsid w:val="00FC56EE"/>
    <w:rsid w:val="00FD032C"/>
    <w:rsid w:val="00FD08F0"/>
    <w:rsid w:val="00FD0DCD"/>
    <w:rsid w:val="00FD35D2"/>
    <w:rsid w:val="00FD4A95"/>
    <w:rsid w:val="00FD531B"/>
    <w:rsid w:val="00FD6A69"/>
    <w:rsid w:val="00FD6E2C"/>
    <w:rsid w:val="00FE045F"/>
    <w:rsid w:val="00FE1B07"/>
    <w:rsid w:val="00FE2480"/>
    <w:rsid w:val="00FE2956"/>
    <w:rsid w:val="00FE4257"/>
    <w:rsid w:val="00FE4583"/>
    <w:rsid w:val="00FE47D1"/>
    <w:rsid w:val="00FE4BDF"/>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81DF0"/>
  <w15:docId w15:val="{07C0AE55-7F81-4256-8391-71964E5E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1"/>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qFormat/>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297491864">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0033619">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1938490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996500421">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28068014">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1695357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513836478">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1889144">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2145937">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6CE63-409F-47FD-A941-45DF5051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4533</Words>
  <Characters>24932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Eduar Raul Chi Santana</cp:lastModifiedBy>
  <cp:revision>2</cp:revision>
  <cp:lastPrinted>2024-07-13T00:00:00Z</cp:lastPrinted>
  <dcterms:created xsi:type="dcterms:W3CDTF">2025-04-24T21:08:00Z</dcterms:created>
  <dcterms:modified xsi:type="dcterms:W3CDTF">2025-04-24T21:08:00Z</dcterms:modified>
</cp:coreProperties>
</file>