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71" w:rsidRPr="004172D7" w:rsidRDefault="005A7371" w:rsidP="005A7371">
      <w:pPr>
        <w:spacing w:line="360" w:lineRule="auto"/>
        <w:jc w:val="center"/>
        <w:rPr>
          <w:rFonts w:ascii="Lato" w:hAnsi="Lato" w:cs="Arial"/>
          <w:b/>
          <w:sz w:val="20"/>
          <w:szCs w:val="20"/>
        </w:rPr>
      </w:pPr>
      <w:bookmarkStart w:id="0" w:name="_GoBack"/>
      <w:r w:rsidRPr="004172D7">
        <w:rPr>
          <w:rFonts w:ascii="Lato" w:hAnsi="Lato" w:cs="Arial"/>
          <w:b/>
          <w:sz w:val="20"/>
          <w:szCs w:val="20"/>
        </w:rPr>
        <w:t>Notas a los Estados Financieros</w:t>
      </w:r>
    </w:p>
    <w:p w:rsidR="005A7371" w:rsidRPr="004172D7" w:rsidRDefault="005A7371" w:rsidP="005A7371">
      <w:pPr>
        <w:spacing w:line="360" w:lineRule="auto"/>
        <w:jc w:val="center"/>
        <w:rPr>
          <w:rFonts w:ascii="Lato" w:hAnsi="Lato" w:cs="Arial"/>
          <w:b/>
          <w:sz w:val="20"/>
          <w:szCs w:val="20"/>
        </w:rPr>
      </w:pPr>
      <w:r w:rsidRPr="004172D7">
        <w:rPr>
          <w:rFonts w:ascii="Lato" w:hAnsi="Lato" w:cs="Arial"/>
          <w:b/>
          <w:sz w:val="20"/>
          <w:szCs w:val="20"/>
        </w:rPr>
        <w:t>Al 31 de marzo de 2025</w:t>
      </w:r>
    </w:p>
    <w:p w:rsidR="005A7371" w:rsidRPr="004172D7" w:rsidRDefault="005A7371" w:rsidP="005A7371">
      <w:pPr>
        <w:spacing w:line="360" w:lineRule="auto"/>
        <w:jc w:val="center"/>
        <w:rPr>
          <w:rFonts w:ascii="Lato" w:hAnsi="Lato" w:cs="Arial"/>
          <w:b/>
          <w:sz w:val="20"/>
          <w:szCs w:val="20"/>
        </w:rPr>
      </w:pPr>
      <w:r w:rsidRPr="004172D7">
        <w:rPr>
          <w:rFonts w:ascii="Lato" w:hAnsi="Lato" w:cs="Arial"/>
          <w:b/>
          <w:sz w:val="20"/>
          <w:szCs w:val="20"/>
        </w:rPr>
        <w:t>(Cifras en Pesos)</w:t>
      </w:r>
    </w:p>
    <w:p w:rsidR="005A7371" w:rsidRPr="004172D7" w:rsidRDefault="005A7371" w:rsidP="005A7371">
      <w:pPr>
        <w:spacing w:line="360" w:lineRule="auto"/>
        <w:jc w:val="center"/>
        <w:rPr>
          <w:rFonts w:ascii="Lato" w:hAnsi="Lato" w:cs="Arial"/>
          <w:b/>
          <w:sz w:val="20"/>
          <w:szCs w:val="20"/>
        </w:rPr>
      </w:pPr>
    </w:p>
    <w:p w:rsidR="005A7371" w:rsidRPr="004172D7" w:rsidRDefault="005A7371" w:rsidP="005A7371">
      <w:pPr>
        <w:rPr>
          <w:rFonts w:ascii="Lato" w:hAnsi="Lato" w:cs="Arial"/>
          <w:b/>
          <w:sz w:val="20"/>
          <w:szCs w:val="20"/>
        </w:rPr>
      </w:pPr>
      <w:r w:rsidRPr="004172D7">
        <w:rPr>
          <w:rFonts w:ascii="Lato" w:hAnsi="Lato" w:cs="Arial"/>
          <w:b/>
          <w:sz w:val="20"/>
          <w:szCs w:val="20"/>
        </w:rPr>
        <w:t>Ente Público: FIDEICOMISO FONDO YUCATÁN</w:t>
      </w:r>
    </w:p>
    <w:p w:rsidR="00051164" w:rsidRPr="004172D7" w:rsidRDefault="00051164" w:rsidP="00051164">
      <w:pPr>
        <w:jc w:val="center"/>
        <w:rPr>
          <w:rFonts w:ascii="Lato" w:hAnsi="Lato"/>
          <w:b/>
          <w:sz w:val="20"/>
          <w:szCs w:val="20"/>
        </w:rPr>
      </w:pPr>
      <w:r w:rsidRPr="004172D7">
        <w:rPr>
          <w:rFonts w:ascii="Lato" w:hAnsi="Lato"/>
          <w:b/>
          <w:sz w:val="20"/>
          <w:szCs w:val="20"/>
        </w:rPr>
        <w:t>NOTAS DE GESTION ADMINISTRATIVA</w:t>
      </w:r>
    </w:p>
    <w:p w:rsidR="00051164" w:rsidRPr="004172D7" w:rsidRDefault="00051164" w:rsidP="00051164">
      <w:pPr>
        <w:jc w:val="center"/>
        <w:rPr>
          <w:rFonts w:ascii="Lato" w:hAnsi="Lato"/>
          <w:b/>
          <w:sz w:val="20"/>
          <w:szCs w:val="20"/>
        </w:rPr>
      </w:pPr>
      <w:r w:rsidRPr="004172D7">
        <w:rPr>
          <w:rFonts w:ascii="Lato" w:hAnsi="Lato"/>
          <w:b/>
          <w:sz w:val="20"/>
          <w:szCs w:val="20"/>
        </w:rPr>
        <w:t>NOTA 1</w:t>
      </w:r>
    </w:p>
    <w:p w:rsidR="00051164" w:rsidRPr="004172D7" w:rsidRDefault="00051164" w:rsidP="00051164">
      <w:pPr>
        <w:jc w:val="center"/>
        <w:rPr>
          <w:rFonts w:ascii="Lato" w:hAnsi="Lato"/>
          <w:b/>
          <w:sz w:val="20"/>
          <w:szCs w:val="20"/>
        </w:rPr>
      </w:pPr>
      <w:r w:rsidRPr="004172D7">
        <w:rPr>
          <w:rFonts w:ascii="Lato" w:hAnsi="Lato"/>
          <w:b/>
          <w:sz w:val="20"/>
          <w:szCs w:val="20"/>
        </w:rPr>
        <w:t>AUTORIZACION E HISTORIA</w:t>
      </w:r>
    </w:p>
    <w:p w:rsidR="00A34BCA" w:rsidRPr="004172D7" w:rsidRDefault="00A34BCA" w:rsidP="00A34BCA">
      <w:pPr>
        <w:jc w:val="both"/>
        <w:rPr>
          <w:rFonts w:ascii="Lato" w:hAnsi="Lato"/>
          <w:sz w:val="20"/>
          <w:szCs w:val="20"/>
        </w:rPr>
      </w:pPr>
      <w:r w:rsidRPr="004172D7">
        <w:rPr>
          <w:rFonts w:ascii="Lato" w:hAnsi="Lato"/>
          <w:sz w:val="20"/>
          <w:szCs w:val="20"/>
        </w:rPr>
        <w:t>El Fideicomiso Fondo Yucatán fue constituido el 19 de julio de 2012, según convenio celebrado entre el Gobierno del Estado de Yucatán como fideicomitente y Nacional Financiera, S.N.C. como fiduciaria.</w:t>
      </w:r>
    </w:p>
    <w:p w:rsidR="00A34BCA" w:rsidRPr="004172D7" w:rsidRDefault="00A34BCA" w:rsidP="00A34BCA">
      <w:pPr>
        <w:jc w:val="both"/>
        <w:rPr>
          <w:rFonts w:ascii="Lato" w:hAnsi="Lato"/>
          <w:sz w:val="20"/>
          <w:szCs w:val="20"/>
        </w:rPr>
      </w:pPr>
      <w:r w:rsidRPr="004172D7">
        <w:rPr>
          <w:rFonts w:ascii="Lato" w:hAnsi="Lato"/>
          <w:sz w:val="20"/>
          <w:szCs w:val="20"/>
        </w:rPr>
        <w:t xml:space="preserve">El Articulo 4 </w:t>
      </w:r>
      <w:proofErr w:type="spellStart"/>
      <w:r w:rsidRPr="004172D7">
        <w:rPr>
          <w:rFonts w:ascii="Lato" w:hAnsi="Lato"/>
          <w:sz w:val="20"/>
          <w:szCs w:val="20"/>
        </w:rPr>
        <w:t>Fracc</w:t>
      </w:r>
      <w:proofErr w:type="spellEnd"/>
      <w:r w:rsidRPr="004172D7">
        <w:rPr>
          <w:rFonts w:ascii="Lato" w:hAnsi="Lato"/>
          <w:sz w:val="20"/>
          <w:szCs w:val="20"/>
        </w:rPr>
        <w:t xml:space="preserve"> XII de la Ley de General de Contabilidad Gubernamental, establece que son Entes Públicos: 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p w:rsidR="00051164" w:rsidRPr="004172D7" w:rsidRDefault="00A34BCA" w:rsidP="00A34BCA">
      <w:pPr>
        <w:jc w:val="both"/>
        <w:rPr>
          <w:rFonts w:ascii="Lato" w:hAnsi="Lato"/>
          <w:sz w:val="20"/>
          <w:szCs w:val="20"/>
        </w:rPr>
      </w:pPr>
      <w:r w:rsidRPr="004172D7">
        <w:rPr>
          <w:rFonts w:ascii="Lato" w:hAnsi="Lato"/>
          <w:sz w:val="20"/>
          <w:szCs w:val="20"/>
        </w:rPr>
        <w:t xml:space="preserve">La duración del </w:t>
      </w:r>
      <w:r w:rsidR="00DF50DE" w:rsidRPr="004172D7">
        <w:rPr>
          <w:rFonts w:ascii="Lato" w:hAnsi="Lato"/>
          <w:sz w:val="20"/>
          <w:szCs w:val="20"/>
        </w:rPr>
        <w:t>Fondo Yucatán</w:t>
      </w:r>
      <w:r w:rsidRPr="004172D7">
        <w:rPr>
          <w:rFonts w:ascii="Lato" w:hAnsi="Lato"/>
          <w:sz w:val="20"/>
          <w:szCs w:val="20"/>
        </w:rPr>
        <w:t xml:space="preserve"> será la máxima que permitan las leyes para cumplir con los fines del mismo y podrá extinguirse por cualquiera de las causas previstas en el artículo 392 de la Ley General de Títulos y Operaciones de Crédito, reservándose expresamente el fideicomitente la facultad de revocarlo, siempre y cuando no existan obligaciones a cargo del patrimonio del </w:t>
      </w:r>
      <w:r w:rsidR="00DF50DE" w:rsidRPr="004172D7">
        <w:rPr>
          <w:rFonts w:ascii="Lato" w:hAnsi="Lato"/>
          <w:sz w:val="20"/>
          <w:szCs w:val="20"/>
        </w:rPr>
        <w:t>Fondo Yucatán</w:t>
      </w:r>
      <w:r w:rsidRPr="004172D7">
        <w:rPr>
          <w:rFonts w:ascii="Lato" w:hAnsi="Lato"/>
          <w:sz w:val="20"/>
          <w:szCs w:val="20"/>
        </w:rPr>
        <w:t xml:space="preserve"> y sin perjuicio de los derechos que correspondan a terceros</w:t>
      </w:r>
    </w:p>
    <w:p w:rsidR="00804A77" w:rsidRPr="004172D7" w:rsidRDefault="00804A77" w:rsidP="00A34BCA">
      <w:pPr>
        <w:jc w:val="both"/>
        <w:rPr>
          <w:rFonts w:ascii="Lato" w:hAnsi="Lato"/>
          <w:sz w:val="20"/>
          <w:szCs w:val="20"/>
        </w:rPr>
      </w:pPr>
    </w:p>
    <w:p w:rsidR="00804A77" w:rsidRPr="004172D7" w:rsidRDefault="00804A77" w:rsidP="00A34BCA">
      <w:pPr>
        <w:jc w:val="both"/>
        <w:rPr>
          <w:rFonts w:ascii="Lato" w:hAnsi="Lato"/>
          <w:sz w:val="20"/>
          <w:szCs w:val="20"/>
        </w:rPr>
      </w:pPr>
    </w:p>
    <w:p w:rsidR="00804A77" w:rsidRPr="004172D7" w:rsidRDefault="00804A77" w:rsidP="00A34BCA">
      <w:pPr>
        <w:jc w:val="both"/>
        <w:rPr>
          <w:rFonts w:ascii="Lato" w:hAnsi="Lato"/>
          <w:sz w:val="20"/>
          <w:szCs w:val="20"/>
        </w:rPr>
      </w:pPr>
    </w:p>
    <w:p w:rsidR="00051164" w:rsidRPr="004172D7" w:rsidRDefault="00051164" w:rsidP="00051164">
      <w:pPr>
        <w:jc w:val="center"/>
        <w:rPr>
          <w:rFonts w:ascii="Lato" w:hAnsi="Lato"/>
          <w:b/>
          <w:sz w:val="20"/>
          <w:szCs w:val="20"/>
        </w:rPr>
      </w:pPr>
      <w:r w:rsidRPr="004172D7">
        <w:rPr>
          <w:rFonts w:ascii="Lato" w:hAnsi="Lato"/>
          <w:b/>
          <w:sz w:val="20"/>
          <w:szCs w:val="20"/>
        </w:rPr>
        <w:lastRenderedPageBreak/>
        <w:t>NOTA 2</w:t>
      </w:r>
    </w:p>
    <w:p w:rsidR="00051164" w:rsidRPr="004172D7" w:rsidRDefault="00051164" w:rsidP="00051164">
      <w:pPr>
        <w:jc w:val="center"/>
        <w:rPr>
          <w:rFonts w:ascii="Lato" w:hAnsi="Lato"/>
          <w:b/>
          <w:sz w:val="20"/>
          <w:szCs w:val="20"/>
        </w:rPr>
      </w:pPr>
      <w:r w:rsidRPr="004172D7">
        <w:rPr>
          <w:rFonts w:ascii="Lato" w:hAnsi="Lato"/>
          <w:b/>
          <w:sz w:val="20"/>
          <w:szCs w:val="20"/>
        </w:rPr>
        <w:t>PANORAMA ECONOMICO-FINANCIERO</w:t>
      </w:r>
    </w:p>
    <w:p w:rsidR="00051164" w:rsidRPr="004172D7" w:rsidRDefault="00DF50DE" w:rsidP="008F1B7E">
      <w:pPr>
        <w:jc w:val="both"/>
        <w:rPr>
          <w:rFonts w:ascii="Lato" w:hAnsi="Lato"/>
          <w:b/>
          <w:sz w:val="20"/>
          <w:szCs w:val="20"/>
        </w:rPr>
      </w:pPr>
      <w:r w:rsidRPr="004172D7">
        <w:rPr>
          <w:rFonts w:ascii="Lato" w:hAnsi="Lato"/>
          <w:sz w:val="20"/>
          <w:szCs w:val="20"/>
        </w:rPr>
        <w:t>El Fondo Yucatán</w:t>
      </w:r>
      <w:r w:rsidR="00051164" w:rsidRPr="004172D7">
        <w:rPr>
          <w:rFonts w:ascii="Lato" w:hAnsi="Lato"/>
          <w:sz w:val="20"/>
          <w:szCs w:val="20"/>
        </w:rPr>
        <w:t xml:space="preserve"> </w:t>
      </w:r>
      <w:r w:rsidR="007B608A" w:rsidRPr="004172D7">
        <w:rPr>
          <w:rFonts w:ascii="Lato" w:hAnsi="Lato"/>
          <w:sz w:val="20"/>
          <w:szCs w:val="20"/>
        </w:rPr>
        <w:t>opera bajo condiciones económico-financieras seguras y estables puesto que todas las decisiones que se toman son expuestas a la sesión de comité y las mismas son aprobadas, en su caso, y siempre tomado en consideración la salvaguarda y protección de los recursos del Estado.</w:t>
      </w:r>
    </w:p>
    <w:p w:rsidR="00051164" w:rsidRPr="004172D7" w:rsidRDefault="00051164" w:rsidP="00051164">
      <w:pPr>
        <w:jc w:val="center"/>
        <w:rPr>
          <w:rFonts w:ascii="Lato" w:hAnsi="Lato"/>
          <w:b/>
          <w:sz w:val="20"/>
          <w:szCs w:val="20"/>
        </w:rPr>
      </w:pPr>
      <w:r w:rsidRPr="004172D7">
        <w:rPr>
          <w:rFonts w:ascii="Lato" w:hAnsi="Lato"/>
          <w:b/>
          <w:sz w:val="20"/>
          <w:szCs w:val="20"/>
        </w:rPr>
        <w:t>NOTA 3</w:t>
      </w:r>
    </w:p>
    <w:p w:rsidR="00051164" w:rsidRPr="004172D7" w:rsidRDefault="00051164" w:rsidP="00051164">
      <w:pPr>
        <w:jc w:val="center"/>
        <w:rPr>
          <w:rFonts w:ascii="Lato" w:hAnsi="Lato"/>
          <w:b/>
          <w:sz w:val="20"/>
          <w:szCs w:val="20"/>
        </w:rPr>
      </w:pPr>
      <w:r w:rsidRPr="004172D7">
        <w:rPr>
          <w:rFonts w:ascii="Lato" w:hAnsi="Lato"/>
          <w:b/>
          <w:sz w:val="20"/>
          <w:szCs w:val="20"/>
        </w:rPr>
        <w:t>ORGANIZACIÓN Y OBJETO SOCIAL</w:t>
      </w:r>
    </w:p>
    <w:p w:rsidR="00226F17" w:rsidRPr="004172D7" w:rsidRDefault="00226F17" w:rsidP="00226F17">
      <w:pPr>
        <w:jc w:val="both"/>
        <w:rPr>
          <w:rFonts w:ascii="Lato" w:hAnsi="Lato"/>
          <w:sz w:val="20"/>
          <w:szCs w:val="20"/>
        </w:rPr>
      </w:pPr>
      <w:r w:rsidRPr="004172D7">
        <w:rPr>
          <w:rFonts w:ascii="Lato" w:hAnsi="Lato"/>
          <w:sz w:val="20"/>
          <w:szCs w:val="20"/>
        </w:rPr>
        <w:t>La finalida</w:t>
      </w:r>
      <w:r w:rsidRPr="004172D7">
        <w:rPr>
          <w:rFonts w:ascii="Lato" w:hAnsi="Lato" w:cs="Tahoma"/>
          <w:sz w:val="20"/>
          <w:szCs w:val="20"/>
        </w:rPr>
        <w:t>d</w:t>
      </w:r>
      <w:r w:rsidRPr="004172D7">
        <w:rPr>
          <w:rFonts w:ascii="Lato" w:hAnsi="Lato"/>
          <w:sz w:val="20"/>
          <w:szCs w:val="20"/>
        </w:rPr>
        <w:t xml:space="preserve"> de este FIDEICOMISO es contar con un instrumento que le permita la administración e inversión de los recursos en numerario que conformarán un fondo destinado a sufragar erogaciones para efectos de cubrir el costo de la ejecución de las acciones que permitan impulsar, apoyar, fomentar, promover y ejecutar con la participación de los sectores público, privado y social el desarrollo de programas productivos, industriales, agrícolas, agroindustriales, comerciales, sociales, de infraestructura, tecnológicos. turísticos, educativos de comercio exterior. tanto que permitan fomentar la importación y exportación, y de cualquier sector que contribuya al desarrollo integral del Estado de Yucatán, asimismo, otorgar a las empresas de Yucatán, a través de los Fideicomisos sectorizados de las Dependencias y Entidades del Gobierno del Estado de Yucatán, apoyos e incentivos recuperables y no recuperables en los términos que instruya el Comité Técnico y sus Reglas de Operación.</w:t>
      </w:r>
    </w:p>
    <w:p w:rsidR="00051164" w:rsidRPr="004172D7" w:rsidRDefault="00051164" w:rsidP="00051164">
      <w:pPr>
        <w:jc w:val="center"/>
        <w:rPr>
          <w:rFonts w:ascii="Lato" w:hAnsi="Lato"/>
          <w:b/>
          <w:sz w:val="20"/>
          <w:szCs w:val="20"/>
        </w:rPr>
      </w:pPr>
      <w:r w:rsidRPr="004172D7">
        <w:rPr>
          <w:rFonts w:ascii="Lato" w:hAnsi="Lato"/>
          <w:b/>
          <w:sz w:val="20"/>
          <w:szCs w:val="20"/>
        </w:rPr>
        <w:t>NOTA 4</w:t>
      </w:r>
    </w:p>
    <w:p w:rsidR="00051164" w:rsidRPr="004172D7" w:rsidRDefault="00051164" w:rsidP="00051164">
      <w:pPr>
        <w:jc w:val="center"/>
        <w:rPr>
          <w:rFonts w:ascii="Lato" w:hAnsi="Lato"/>
          <w:b/>
          <w:sz w:val="20"/>
          <w:szCs w:val="20"/>
        </w:rPr>
      </w:pPr>
      <w:r w:rsidRPr="004172D7">
        <w:rPr>
          <w:rFonts w:ascii="Lato" w:hAnsi="Lato"/>
          <w:b/>
          <w:sz w:val="20"/>
          <w:szCs w:val="20"/>
        </w:rPr>
        <w:t>BASES DE PREPARACION DE LOS ESTADOS FINANCIEROS</w:t>
      </w:r>
    </w:p>
    <w:p w:rsidR="00051164" w:rsidRPr="004172D7" w:rsidRDefault="00051164" w:rsidP="00051164">
      <w:pPr>
        <w:jc w:val="both"/>
        <w:rPr>
          <w:rFonts w:ascii="Lato" w:hAnsi="Lato"/>
          <w:sz w:val="20"/>
          <w:szCs w:val="20"/>
        </w:rPr>
      </w:pPr>
      <w:r w:rsidRPr="004172D7">
        <w:rPr>
          <w:rFonts w:ascii="Lato" w:hAnsi="Lato"/>
          <w:sz w:val="20"/>
          <w:szCs w:val="20"/>
        </w:rPr>
        <w:t xml:space="preserve">Para la preparación de los Estados Financieros se tomó como base la Ley </w:t>
      </w:r>
      <w:r w:rsidR="00312256" w:rsidRPr="004172D7">
        <w:rPr>
          <w:rFonts w:ascii="Lato" w:hAnsi="Lato"/>
          <w:sz w:val="20"/>
          <w:szCs w:val="20"/>
        </w:rPr>
        <w:t xml:space="preserve">General </w:t>
      </w:r>
      <w:r w:rsidRPr="004172D7">
        <w:rPr>
          <w:rFonts w:ascii="Lato" w:hAnsi="Lato"/>
          <w:sz w:val="20"/>
          <w:szCs w:val="20"/>
        </w:rPr>
        <w:t>de Contabilidad Gubernamental, así como también la normatividad emitida por le CONAC y las disposiciones legales aplicables.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jc w:val="center"/>
        <w:rPr>
          <w:rFonts w:ascii="Lato" w:hAnsi="Lato"/>
          <w:b/>
          <w:sz w:val="20"/>
          <w:szCs w:val="20"/>
        </w:rPr>
      </w:pPr>
      <w:r w:rsidRPr="004172D7">
        <w:rPr>
          <w:rFonts w:ascii="Lato" w:hAnsi="Lato"/>
          <w:b/>
          <w:sz w:val="20"/>
          <w:szCs w:val="20"/>
        </w:rPr>
        <w:t>POSTULADOS BASICOS</w:t>
      </w:r>
    </w:p>
    <w:p w:rsidR="00051164" w:rsidRPr="004172D7" w:rsidRDefault="00051164" w:rsidP="00051164">
      <w:pPr>
        <w:rPr>
          <w:rFonts w:ascii="Lato" w:hAnsi="Lato"/>
          <w:b/>
          <w:sz w:val="20"/>
          <w:szCs w:val="20"/>
        </w:rPr>
      </w:pPr>
      <w:r w:rsidRPr="004172D7">
        <w:rPr>
          <w:rFonts w:ascii="Lato" w:hAnsi="Lato"/>
          <w:b/>
          <w:sz w:val="20"/>
          <w:szCs w:val="20"/>
        </w:rPr>
        <w:t>Sustancia Económica</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 xml:space="preserve">Los ingresos y gastos </w:t>
      </w:r>
      <w:r w:rsidR="00226F17" w:rsidRPr="004172D7">
        <w:rPr>
          <w:rFonts w:ascii="Lato" w:hAnsi="Lato"/>
          <w:sz w:val="20"/>
          <w:szCs w:val="20"/>
        </w:rPr>
        <w:t xml:space="preserve">se </w:t>
      </w:r>
      <w:r w:rsidRPr="004172D7">
        <w:rPr>
          <w:rFonts w:ascii="Lato" w:hAnsi="Lato"/>
          <w:sz w:val="20"/>
          <w:szCs w:val="20"/>
        </w:rPr>
        <w:t>reconoc</w:t>
      </w:r>
      <w:r w:rsidR="00226F17" w:rsidRPr="004172D7">
        <w:rPr>
          <w:rFonts w:ascii="Lato" w:hAnsi="Lato"/>
          <w:sz w:val="20"/>
          <w:szCs w:val="20"/>
        </w:rPr>
        <w:t>en</w:t>
      </w:r>
      <w:r w:rsidRPr="004172D7">
        <w:rPr>
          <w:rFonts w:ascii="Lato" w:hAnsi="Lato"/>
          <w:sz w:val="20"/>
          <w:szCs w:val="20"/>
        </w:rPr>
        <w:t xml:space="preserve"> en el momento en que fueron realizados y ejercidos, respectivamente y se encuentran registrados de acuerdo con los criterios de la Ley General de Contabilidad Gubernamental, las Normas Emitidas por el CONAC, La Ley de Presupuesto y Contabilidad Gubernamental.</w:t>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Entes Públicos</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lastRenderedPageBreak/>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Existencia Permanente</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rPr>
          <w:rFonts w:ascii="Lato" w:hAnsi="Lato"/>
          <w:sz w:val="20"/>
          <w:szCs w:val="20"/>
        </w:rPr>
      </w:pPr>
      <w:r w:rsidRPr="004172D7">
        <w:rPr>
          <w:rFonts w:ascii="Lato" w:hAnsi="Lato"/>
          <w:sz w:val="20"/>
          <w:szCs w:val="20"/>
        </w:rPr>
        <w:t xml:space="preserve">La duración de </w:t>
      </w:r>
      <w:r w:rsidR="00DF50DE" w:rsidRPr="004172D7">
        <w:rPr>
          <w:rFonts w:ascii="Lato" w:hAnsi="Lato"/>
          <w:sz w:val="20"/>
          <w:szCs w:val="20"/>
        </w:rPr>
        <w:t>El Fondo Yucatán</w:t>
      </w:r>
      <w:r w:rsidRPr="004172D7">
        <w:rPr>
          <w:rFonts w:ascii="Lato" w:hAnsi="Lato"/>
          <w:sz w:val="20"/>
          <w:szCs w:val="20"/>
        </w:rPr>
        <w:t xml:space="preserve"> será la máxima que permitan las leyes para cumplir con los fines del mismo.</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Revelación Suficiente</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 xml:space="preserve">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w:t>
      </w:r>
      <w:r w:rsidR="00DF50DE" w:rsidRPr="004172D7">
        <w:rPr>
          <w:rFonts w:ascii="Lato" w:hAnsi="Lato"/>
          <w:sz w:val="20"/>
          <w:szCs w:val="20"/>
        </w:rPr>
        <w:t>El Fondo Yucatán</w:t>
      </w:r>
      <w:r w:rsidRPr="004172D7">
        <w:rPr>
          <w:rFonts w:ascii="Lato" w:hAnsi="Lato"/>
          <w:sz w:val="20"/>
          <w:szCs w:val="20"/>
        </w:rPr>
        <w:t>.</w:t>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Importancia Relativa</w:t>
      </w:r>
    </w:p>
    <w:p w:rsidR="00051164" w:rsidRPr="004172D7" w:rsidRDefault="00051164" w:rsidP="00051164">
      <w:pPr>
        <w:jc w:val="both"/>
        <w:rPr>
          <w:rFonts w:ascii="Lato" w:hAnsi="Lato"/>
          <w:sz w:val="20"/>
          <w:szCs w:val="20"/>
        </w:rPr>
      </w:pPr>
      <w:r w:rsidRPr="004172D7">
        <w:rPr>
          <w:rFonts w:ascii="Lato" w:hAnsi="Lato"/>
          <w:sz w:val="20"/>
          <w:szCs w:val="20"/>
        </w:rPr>
        <w:t xml:space="preserve">La información financiera presentada de </w:t>
      </w:r>
      <w:r w:rsidR="00DF50DE" w:rsidRPr="004172D7">
        <w:rPr>
          <w:rFonts w:ascii="Lato" w:hAnsi="Lato"/>
          <w:sz w:val="20"/>
          <w:szCs w:val="20"/>
        </w:rPr>
        <w:t>El Fondo Yucatán</w:t>
      </w:r>
      <w:r w:rsidRPr="004172D7">
        <w:rPr>
          <w:rFonts w:ascii="Lato" w:hAnsi="Lato"/>
          <w:sz w:val="20"/>
          <w:szCs w:val="20"/>
        </w:rPr>
        <w:t xml:space="preserve"> no tiene riesgo debido a alguna omisión o presentación errónea en sus importes que afecte la percepción de los usuarios de dicha información, en relación con la rendición de cuentas, la fiscalización y la toma de decisiones.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t>Periodo Contable</w:t>
      </w:r>
    </w:p>
    <w:p w:rsidR="00051164" w:rsidRPr="004172D7" w:rsidRDefault="00051164" w:rsidP="00051164">
      <w:pPr>
        <w:rPr>
          <w:rFonts w:ascii="Lato" w:hAnsi="Lato"/>
          <w:sz w:val="20"/>
          <w:szCs w:val="20"/>
        </w:rPr>
      </w:pPr>
      <w:r w:rsidRPr="004172D7">
        <w:rPr>
          <w:rFonts w:ascii="Lato" w:hAnsi="Lato"/>
          <w:sz w:val="20"/>
          <w:szCs w:val="20"/>
        </w:rPr>
        <w:t>Las Operaciones que dieron origen a los Estados Financieros corresponden al ejercicio presupuestal comprendido del 01 de enero al 31 de diciembre de 202</w:t>
      </w:r>
      <w:r w:rsidR="00D309DF" w:rsidRPr="004172D7">
        <w:rPr>
          <w:rFonts w:ascii="Lato" w:hAnsi="Lato"/>
          <w:sz w:val="20"/>
          <w:szCs w:val="20"/>
        </w:rPr>
        <w:t>5</w:t>
      </w:r>
      <w:r w:rsidRPr="004172D7">
        <w:rPr>
          <w:rFonts w:ascii="Lato" w:hAnsi="Lato"/>
          <w:sz w:val="20"/>
          <w:szCs w:val="20"/>
        </w:rPr>
        <w:t>.</w:t>
      </w:r>
    </w:p>
    <w:p w:rsidR="00051164" w:rsidRPr="004172D7" w:rsidRDefault="00051164" w:rsidP="00051164">
      <w:pPr>
        <w:rPr>
          <w:rFonts w:ascii="Lato" w:hAnsi="Lato"/>
          <w:b/>
          <w:sz w:val="20"/>
          <w:szCs w:val="20"/>
        </w:rPr>
      </w:pPr>
      <w:r w:rsidRPr="004172D7">
        <w:rPr>
          <w:rFonts w:ascii="Lato" w:hAnsi="Lato"/>
          <w:b/>
          <w:sz w:val="20"/>
          <w:szCs w:val="20"/>
        </w:rPr>
        <w:t>Valuación</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Las Operaciones Contables que se presentan fueron registradas a su valor histórico de adquisición sin incluir efectos de re-evaluación por inflación, así como también, todas las operaciones se registraron en moneda nacional.</w:t>
      </w:r>
    </w:p>
    <w:p w:rsidR="00051164" w:rsidRPr="004172D7" w:rsidRDefault="00051164" w:rsidP="00051164">
      <w:pPr>
        <w:rPr>
          <w:rFonts w:ascii="Lato" w:hAnsi="Lato"/>
          <w:b/>
          <w:sz w:val="20"/>
          <w:szCs w:val="20"/>
        </w:rPr>
      </w:pPr>
      <w:r w:rsidRPr="004172D7">
        <w:rPr>
          <w:rFonts w:ascii="Lato" w:hAnsi="Lato"/>
          <w:b/>
          <w:sz w:val="20"/>
          <w:szCs w:val="20"/>
        </w:rPr>
        <w:t>Dualidad Económica</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Todos los ingresos que se tiene en este período se deben principalmente a las Transferencia que se recibieron del Ejecutivo, no se tuvo alguna aportación por parte de los mismos, ni crédito alguno con alguna institución financiera, por los que la estructura financiera se mantiene igual, reflejando los movimientos en los Activos por la cuenta bancaria y los Bienes Muebles adquiridos, y en el patrimonio generado un ahorro según se muestra en el Estado de Actividades.</w:t>
      </w:r>
      <w:r w:rsidRPr="004172D7">
        <w:rPr>
          <w:rFonts w:ascii="Lato" w:hAnsi="Lato"/>
          <w:sz w:val="20"/>
          <w:szCs w:val="20"/>
        </w:rPr>
        <w:tab/>
      </w:r>
    </w:p>
    <w:p w:rsidR="00051164" w:rsidRPr="004172D7" w:rsidRDefault="00051164" w:rsidP="00051164">
      <w:pPr>
        <w:rPr>
          <w:rFonts w:ascii="Lato" w:hAnsi="Lato"/>
          <w:b/>
          <w:sz w:val="20"/>
          <w:szCs w:val="20"/>
        </w:rPr>
      </w:pPr>
      <w:r w:rsidRPr="004172D7">
        <w:rPr>
          <w:rFonts w:ascii="Lato" w:hAnsi="Lato"/>
          <w:b/>
          <w:sz w:val="20"/>
          <w:szCs w:val="20"/>
        </w:rPr>
        <w:lastRenderedPageBreak/>
        <w:t>Consistencia</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r>
    </w:p>
    <w:p w:rsidR="00051164" w:rsidRPr="004172D7" w:rsidRDefault="00051164" w:rsidP="00051164">
      <w:pPr>
        <w:jc w:val="both"/>
        <w:rPr>
          <w:rFonts w:ascii="Lato" w:hAnsi="Lato"/>
          <w:sz w:val="20"/>
          <w:szCs w:val="20"/>
        </w:rPr>
      </w:pPr>
      <w:r w:rsidRPr="004172D7">
        <w:rPr>
          <w:rFonts w:ascii="Lato" w:hAnsi="Lato"/>
          <w:sz w:val="20"/>
          <w:szCs w:val="20"/>
        </w:rPr>
        <w:t xml:space="preserve">El método de registro de las operaciones de </w:t>
      </w:r>
      <w:r w:rsidR="00DF50DE" w:rsidRPr="004172D7">
        <w:rPr>
          <w:rFonts w:ascii="Lato" w:hAnsi="Lato"/>
          <w:sz w:val="20"/>
          <w:szCs w:val="20"/>
        </w:rPr>
        <w:t>El Fondo Yucatán</w:t>
      </w:r>
      <w:r w:rsidRPr="004172D7">
        <w:rPr>
          <w:rFonts w:ascii="Lato" w:hAnsi="Lato"/>
          <w:sz w:val="20"/>
          <w:szCs w:val="20"/>
        </w:rPr>
        <w:t xml:space="preserve"> se realizó de acuerdo a la Normatividad Vigente y se aplicaran de la misma forma en todas las operaciones similares en los ejercicios subsecuentes, aunque podrán variar dependiendo de algún cambio que se dé ya sea por modificaciones a la Ley o de las Normas.</w:t>
      </w:r>
      <w:r w:rsidRPr="004172D7">
        <w:rPr>
          <w:rFonts w:ascii="Lato" w:hAnsi="Lato"/>
          <w:sz w:val="20"/>
          <w:szCs w:val="20"/>
        </w:rPr>
        <w:tab/>
      </w:r>
    </w:p>
    <w:p w:rsidR="00BD12A8" w:rsidRPr="004172D7" w:rsidRDefault="00BD12A8" w:rsidP="00BD12A8">
      <w:pPr>
        <w:jc w:val="center"/>
        <w:rPr>
          <w:rFonts w:ascii="Lato" w:hAnsi="Lato"/>
          <w:b/>
          <w:sz w:val="20"/>
          <w:szCs w:val="20"/>
        </w:rPr>
      </w:pPr>
      <w:r w:rsidRPr="004172D7">
        <w:rPr>
          <w:rFonts w:ascii="Lato" w:hAnsi="Lato"/>
          <w:b/>
          <w:sz w:val="20"/>
          <w:szCs w:val="20"/>
        </w:rPr>
        <w:t>NOTA 5</w:t>
      </w:r>
    </w:p>
    <w:p w:rsidR="00BD12A8" w:rsidRPr="004172D7" w:rsidRDefault="00BD12A8" w:rsidP="00A1627F">
      <w:pPr>
        <w:spacing w:after="0"/>
        <w:jc w:val="center"/>
        <w:rPr>
          <w:rFonts w:ascii="Lato" w:hAnsi="Lato"/>
          <w:b/>
          <w:sz w:val="20"/>
          <w:szCs w:val="20"/>
        </w:rPr>
      </w:pPr>
      <w:r w:rsidRPr="004172D7">
        <w:rPr>
          <w:rFonts w:ascii="Lato" w:hAnsi="Lato"/>
          <w:b/>
          <w:sz w:val="20"/>
          <w:szCs w:val="20"/>
        </w:rPr>
        <w:t>POLITICAS DE CONTABILIDAD SIGNIFICATIVAS</w:t>
      </w:r>
    </w:p>
    <w:p w:rsidR="00BD12A8" w:rsidRPr="004172D7" w:rsidRDefault="00BD12A8" w:rsidP="00A1627F">
      <w:pPr>
        <w:spacing w:after="0"/>
        <w:jc w:val="both"/>
        <w:rPr>
          <w:rFonts w:ascii="Lato" w:hAnsi="Lato"/>
          <w:sz w:val="20"/>
          <w:szCs w:val="20"/>
        </w:rPr>
      </w:pPr>
      <w:r w:rsidRPr="004172D7">
        <w:rPr>
          <w:rFonts w:ascii="Lato" w:hAnsi="Lato"/>
          <w:sz w:val="20"/>
          <w:szCs w:val="20"/>
        </w:rPr>
        <w:t>a) Registro de los Ingresos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226F17" w:rsidP="00A1627F">
      <w:pPr>
        <w:spacing w:after="0"/>
        <w:jc w:val="both"/>
        <w:rPr>
          <w:rFonts w:ascii="Lato" w:hAnsi="Lato"/>
          <w:sz w:val="20"/>
          <w:szCs w:val="20"/>
        </w:rPr>
      </w:pPr>
      <w:r w:rsidRPr="004172D7">
        <w:rPr>
          <w:rFonts w:ascii="Lato" w:hAnsi="Lato"/>
          <w:sz w:val="20"/>
          <w:szCs w:val="20"/>
        </w:rPr>
        <w:t>Los Ingresos provienen de lo</w:t>
      </w:r>
      <w:r w:rsidR="00BD12A8" w:rsidRPr="004172D7">
        <w:rPr>
          <w:rFonts w:ascii="Lato" w:hAnsi="Lato"/>
          <w:sz w:val="20"/>
          <w:szCs w:val="20"/>
        </w:rPr>
        <w:t xml:space="preserve">s </w:t>
      </w:r>
      <w:r w:rsidRPr="004172D7">
        <w:rPr>
          <w:rFonts w:ascii="Lato" w:hAnsi="Lato"/>
          <w:sz w:val="20"/>
          <w:szCs w:val="20"/>
        </w:rPr>
        <w:t>rendimientos</w:t>
      </w:r>
      <w:r w:rsidR="00BD12A8" w:rsidRPr="004172D7">
        <w:rPr>
          <w:rFonts w:ascii="Lato" w:hAnsi="Lato"/>
          <w:sz w:val="20"/>
          <w:szCs w:val="20"/>
        </w:rPr>
        <w:t xml:space="preserve"> </w:t>
      </w:r>
      <w:r w:rsidRPr="004172D7">
        <w:rPr>
          <w:rFonts w:ascii="Lato" w:hAnsi="Lato"/>
          <w:sz w:val="20"/>
          <w:szCs w:val="20"/>
        </w:rPr>
        <w:t>de las inversiones realizadas por la Fiduciaria</w:t>
      </w:r>
      <w:r w:rsidR="00BD12A8" w:rsidRPr="004172D7">
        <w:rPr>
          <w:rFonts w:ascii="Lato" w:hAnsi="Lato"/>
          <w:sz w:val="20"/>
          <w:szCs w:val="20"/>
        </w:rPr>
        <w:t xml:space="preserve">. </w:t>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b) Registro de los Egresos.</w:t>
      </w:r>
    </w:p>
    <w:p w:rsidR="00BD12A8" w:rsidRPr="004172D7" w:rsidRDefault="00BD12A8" w:rsidP="00A1627F">
      <w:pPr>
        <w:spacing w:after="0"/>
        <w:jc w:val="both"/>
        <w:rPr>
          <w:rFonts w:ascii="Lato" w:hAnsi="Lato"/>
          <w:sz w:val="20"/>
          <w:szCs w:val="20"/>
        </w:rPr>
      </w:pPr>
      <w:r w:rsidRPr="004172D7">
        <w:rPr>
          <w:rFonts w:ascii="Lato" w:hAnsi="Lato"/>
          <w:sz w:val="20"/>
          <w:szCs w:val="20"/>
        </w:rPr>
        <w:t>Los egresos se registran en el momento que efectúa el gasto o en la emisión del Cheque y se le anexa los documentos que amparan la adquisición de los bienes o la prestación del servicio.</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Las adquisiciones de materiales y suministros son consideradas directamente como egresos y su utilización es generalmente inmediata.</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c) Registro Contable</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A1627F">
      <w:pPr>
        <w:spacing w:after="0"/>
        <w:jc w:val="both"/>
        <w:rPr>
          <w:rFonts w:ascii="Lato" w:hAnsi="Lato"/>
          <w:sz w:val="20"/>
          <w:szCs w:val="20"/>
        </w:rPr>
      </w:pPr>
      <w:r w:rsidRPr="004172D7">
        <w:rPr>
          <w:rFonts w:ascii="Lato" w:hAnsi="Lato"/>
          <w:sz w:val="20"/>
          <w:szCs w:val="20"/>
        </w:rPr>
        <w:t>En el registro contable intervienen los siguientes departamentos: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A1627F">
      <w:pPr>
        <w:spacing w:after="0"/>
        <w:jc w:val="both"/>
        <w:rPr>
          <w:rFonts w:ascii="Lato" w:hAnsi="Lato"/>
          <w:sz w:val="20"/>
          <w:szCs w:val="20"/>
        </w:rPr>
      </w:pPr>
    </w:p>
    <w:p w:rsidR="00051164" w:rsidRPr="004172D7" w:rsidRDefault="00BD12A8" w:rsidP="00A1627F">
      <w:pPr>
        <w:spacing w:after="0"/>
        <w:jc w:val="both"/>
        <w:rPr>
          <w:rFonts w:ascii="Lato" w:hAnsi="Lato"/>
          <w:sz w:val="20"/>
          <w:szCs w:val="20"/>
        </w:rPr>
      </w:pPr>
      <w:r w:rsidRPr="004172D7">
        <w:rPr>
          <w:rFonts w:ascii="Lato" w:hAnsi="Lato"/>
          <w:sz w:val="20"/>
          <w:szCs w:val="20"/>
        </w:rPr>
        <w:t xml:space="preserve">Departamento de Contabilidad. - Es responsable del registro contable de todas las operaciones de </w:t>
      </w:r>
      <w:r w:rsidR="00DF50DE" w:rsidRPr="004172D7">
        <w:rPr>
          <w:rFonts w:ascii="Lato" w:hAnsi="Lato"/>
          <w:sz w:val="20"/>
          <w:szCs w:val="20"/>
        </w:rPr>
        <w:t>El Fondo Yucatán</w:t>
      </w:r>
      <w:r w:rsidRPr="004172D7">
        <w:rPr>
          <w:rFonts w:ascii="Lato" w:hAnsi="Lato"/>
          <w:sz w:val="20"/>
          <w:szCs w:val="20"/>
        </w:rPr>
        <w:t xml:space="preserve">, así como de la custodia de la documentación soporte de dichas operaciones, emitir los Estados Financieros de </w:t>
      </w:r>
      <w:r w:rsidR="00DF50DE" w:rsidRPr="004172D7">
        <w:rPr>
          <w:rFonts w:ascii="Lato" w:hAnsi="Lato"/>
          <w:sz w:val="20"/>
          <w:szCs w:val="20"/>
        </w:rPr>
        <w:t>El Fondo Yucatán</w:t>
      </w:r>
      <w:r w:rsidRPr="004172D7">
        <w:rPr>
          <w:rFonts w:ascii="Lato" w:hAnsi="Lato"/>
          <w:sz w:val="20"/>
          <w:szCs w:val="20"/>
        </w:rPr>
        <w:t xml:space="preserve"> y enviar a las diferentes interesadas para su revisión e integración a la cuenta pública.</w:t>
      </w:r>
    </w:p>
    <w:p w:rsidR="00BD12A8" w:rsidRPr="004172D7" w:rsidRDefault="00BD12A8" w:rsidP="00BD12A8">
      <w:pPr>
        <w:jc w:val="center"/>
        <w:rPr>
          <w:rFonts w:ascii="Lato" w:hAnsi="Lato"/>
          <w:b/>
          <w:sz w:val="20"/>
          <w:szCs w:val="20"/>
        </w:rPr>
      </w:pPr>
      <w:r w:rsidRPr="004172D7">
        <w:rPr>
          <w:rFonts w:ascii="Lato" w:hAnsi="Lato"/>
          <w:b/>
          <w:sz w:val="20"/>
          <w:szCs w:val="20"/>
        </w:rPr>
        <w:t>NOTA 6</w:t>
      </w:r>
    </w:p>
    <w:p w:rsidR="00BD12A8" w:rsidRPr="004172D7" w:rsidRDefault="00BD12A8" w:rsidP="00BD12A8">
      <w:pPr>
        <w:jc w:val="center"/>
        <w:rPr>
          <w:rFonts w:ascii="Lato" w:hAnsi="Lato"/>
          <w:b/>
          <w:sz w:val="20"/>
          <w:szCs w:val="20"/>
        </w:rPr>
      </w:pPr>
      <w:r w:rsidRPr="004172D7">
        <w:rPr>
          <w:rFonts w:ascii="Lato" w:hAnsi="Lato"/>
          <w:b/>
          <w:sz w:val="20"/>
          <w:szCs w:val="20"/>
        </w:rPr>
        <w:t>POSICION EN MONEDA EXTRANJERA Y PROTECCION POR RIESGO CAMBIARIO</w:t>
      </w:r>
    </w:p>
    <w:p w:rsidR="00BD12A8" w:rsidRPr="004172D7" w:rsidRDefault="00DF50DE" w:rsidP="008F1B7E">
      <w:pPr>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tiene operaciones en moneda extranjera por lo que no necesita de algún método de protección de riesgo por variaciones en el tipo de cambio.</w:t>
      </w:r>
    </w:p>
    <w:p w:rsidR="00BD12A8" w:rsidRPr="004172D7" w:rsidRDefault="00BD12A8" w:rsidP="00BD12A8">
      <w:pPr>
        <w:jc w:val="center"/>
        <w:rPr>
          <w:rFonts w:ascii="Lato" w:hAnsi="Lato"/>
          <w:b/>
          <w:sz w:val="20"/>
          <w:szCs w:val="20"/>
        </w:rPr>
      </w:pPr>
      <w:r w:rsidRPr="004172D7">
        <w:rPr>
          <w:rFonts w:ascii="Lato" w:hAnsi="Lato"/>
          <w:b/>
          <w:sz w:val="20"/>
          <w:szCs w:val="20"/>
        </w:rPr>
        <w:t>NOTA 7</w:t>
      </w:r>
    </w:p>
    <w:p w:rsidR="00BD12A8" w:rsidRPr="004172D7" w:rsidRDefault="00BD12A8" w:rsidP="00BD12A8">
      <w:pPr>
        <w:jc w:val="center"/>
        <w:rPr>
          <w:rFonts w:ascii="Lato" w:hAnsi="Lato"/>
          <w:b/>
          <w:sz w:val="20"/>
          <w:szCs w:val="20"/>
        </w:rPr>
      </w:pPr>
      <w:r w:rsidRPr="004172D7">
        <w:rPr>
          <w:rFonts w:ascii="Lato" w:hAnsi="Lato"/>
          <w:b/>
          <w:sz w:val="20"/>
          <w:szCs w:val="20"/>
        </w:rPr>
        <w:t>REPORTE ANALITICO DEL ACTIVO</w:t>
      </w:r>
    </w:p>
    <w:p w:rsidR="00BD12A8" w:rsidRPr="004172D7" w:rsidRDefault="00BD12A8" w:rsidP="00BD12A8">
      <w:pPr>
        <w:jc w:val="both"/>
        <w:rPr>
          <w:rFonts w:ascii="Lato" w:hAnsi="Lato"/>
          <w:sz w:val="20"/>
          <w:szCs w:val="20"/>
        </w:rPr>
      </w:pPr>
      <w:r w:rsidRPr="004172D7">
        <w:rPr>
          <w:rFonts w:ascii="Lato" w:hAnsi="Lato"/>
          <w:sz w:val="20"/>
          <w:szCs w:val="20"/>
        </w:rPr>
        <w:lastRenderedPageBreak/>
        <w:t>Los Activos Fijos se presentan valuados a su precio de adquisición, Las depreciaciones se acumulan por el método de línea recta y en base a las siguientes tasas anuales:</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10"/>
      </w:tblGrid>
      <w:tr w:rsidR="00BD12A8" w:rsidRPr="004172D7" w:rsidTr="00EF3A70">
        <w:trPr>
          <w:trHeight w:val="255"/>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Concepto</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w:t>
            </w:r>
          </w:p>
        </w:tc>
      </w:tr>
      <w:tr w:rsidR="00BD12A8" w:rsidRPr="004172D7" w:rsidTr="00EF3A70">
        <w:trPr>
          <w:trHeight w:val="474"/>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Mobiliario y Equipo de Administración</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10 y 33.33</w:t>
            </w:r>
          </w:p>
        </w:tc>
      </w:tr>
      <w:tr w:rsidR="00BD12A8" w:rsidRPr="004172D7" w:rsidTr="00EF3A70">
        <w:trPr>
          <w:trHeight w:val="425"/>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Equipo de Transporte</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20</w:t>
            </w:r>
          </w:p>
        </w:tc>
      </w:tr>
      <w:tr w:rsidR="00BD12A8" w:rsidRPr="004172D7" w:rsidTr="00EF3A70">
        <w:trPr>
          <w:trHeight w:val="425"/>
          <w:jc w:val="center"/>
        </w:trPr>
        <w:tc>
          <w:tcPr>
            <w:tcW w:w="5637" w:type="dxa"/>
            <w:shd w:val="clear" w:color="auto" w:fill="auto"/>
          </w:tcPr>
          <w:p w:rsidR="00BD12A8" w:rsidRPr="004172D7" w:rsidRDefault="00BD12A8" w:rsidP="00EF3A70">
            <w:pPr>
              <w:rPr>
                <w:rFonts w:ascii="Lato" w:hAnsi="Lato"/>
                <w:sz w:val="20"/>
                <w:szCs w:val="20"/>
              </w:rPr>
            </w:pPr>
            <w:r w:rsidRPr="004172D7">
              <w:rPr>
                <w:rFonts w:ascii="Lato" w:hAnsi="Lato"/>
                <w:sz w:val="20"/>
                <w:szCs w:val="20"/>
              </w:rPr>
              <w:t>Sistemas de aire Acondicionado, Calefacción y Refrigeración</w:t>
            </w:r>
          </w:p>
        </w:tc>
        <w:tc>
          <w:tcPr>
            <w:tcW w:w="1410" w:type="dxa"/>
            <w:shd w:val="clear" w:color="auto" w:fill="auto"/>
          </w:tcPr>
          <w:p w:rsidR="00BD12A8" w:rsidRPr="004172D7" w:rsidRDefault="00BD12A8" w:rsidP="00EF3A70">
            <w:pPr>
              <w:jc w:val="center"/>
              <w:rPr>
                <w:rFonts w:ascii="Lato" w:hAnsi="Lato"/>
                <w:sz w:val="20"/>
                <w:szCs w:val="20"/>
              </w:rPr>
            </w:pPr>
            <w:r w:rsidRPr="004172D7">
              <w:rPr>
                <w:rFonts w:ascii="Lato" w:hAnsi="Lato"/>
                <w:sz w:val="20"/>
                <w:szCs w:val="20"/>
              </w:rPr>
              <w:t>10</w:t>
            </w:r>
          </w:p>
        </w:tc>
      </w:tr>
    </w:tbl>
    <w:p w:rsidR="00BD12A8" w:rsidRPr="004172D7" w:rsidRDefault="00BD12A8" w:rsidP="00BD12A8">
      <w:pPr>
        <w:jc w:val="center"/>
        <w:rPr>
          <w:rFonts w:ascii="Lato" w:hAnsi="Lato"/>
          <w:b/>
          <w:sz w:val="20"/>
          <w:szCs w:val="20"/>
        </w:rPr>
      </w:pPr>
    </w:p>
    <w:p w:rsidR="00BD12A8" w:rsidRPr="004172D7" w:rsidRDefault="00BD12A8" w:rsidP="00BD12A8">
      <w:pPr>
        <w:jc w:val="center"/>
        <w:rPr>
          <w:rFonts w:ascii="Lato" w:hAnsi="Lato"/>
          <w:b/>
          <w:sz w:val="20"/>
          <w:szCs w:val="20"/>
        </w:rPr>
      </w:pPr>
      <w:r w:rsidRPr="004172D7">
        <w:rPr>
          <w:rFonts w:ascii="Lato" w:hAnsi="Lato"/>
          <w:b/>
          <w:sz w:val="20"/>
          <w:szCs w:val="20"/>
        </w:rPr>
        <w:t>NOTA 8</w:t>
      </w:r>
    </w:p>
    <w:p w:rsidR="00BD12A8" w:rsidRPr="004172D7" w:rsidRDefault="00BD12A8" w:rsidP="00BD12A8">
      <w:pPr>
        <w:jc w:val="center"/>
        <w:rPr>
          <w:rFonts w:ascii="Lato" w:hAnsi="Lato"/>
          <w:b/>
          <w:sz w:val="20"/>
          <w:szCs w:val="20"/>
        </w:rPr>
      </w:pPr>
      <w:r w:rsidRPr="004172D7">
        <w:rPr>
          <w:rFonts w:ascii="Lato" w:hAnsi="Lato"/>
          <w:b/>
          <w:sz w:val="20"/>
          <w:szCs w:val="20"/>
        </w:rPr>
        <w:t>FIDEICOMISOS, MANDATOS Y ANALOGOS</w:t>
      </w:r>
    </w:p>
    <w:p w:rsidR="00BD12A8" w:rsidRPr="004172D7" w:rsidRDefault="00226F17" w:rsidP="008F1B7E">
      <w:pPr>
        <w:jc w:val="both"/>
        <w:rPr>
          <w:rFonts w:ascii="Lato" w:hAnsi="Lato"/>
          <w:sz w:val="20"/>
          <w:szCs w:val="20"/>
        </w:rPr>
      </w:pPr>
      <w:r w:rsidRPr="004172D7">
        <w:rPr>
          <w:rFonts w:ascii="Lato" w:hAnsi="Lato"/>
          <w:sz w:val="20"/>
          <w:szCs w:val="20"/>
        </w:rPr>
        <w:t xml:space="preserve">El Fondo Yucatán </w:t>
      </w:r>
      <w:r w:rsidR="00BD12A8" w:rsidRPr="004172D7">
        <w:rPr>
          <w:rFonts w:ascii="Lato" w:hAnsi="Lato"/>
          <w:sz w:val="20"/>
          <w:szCs w:val="20"/>
        </w:rPr>
        <w:t>no posee fideicomisos, mandatos o análogos.</w:t>
      </w:r>
    </w:p>
    <w:p w:rsidR="00BD12A8" w:rsidRPr="004172D7" w:rsidRDefault="00BD12A8" w:rsidP="00BD12A8">
      <w:pPr>
        <w:jc w:val="center"/>
        <w:rPr>
          <w:rFonts w:ascii="Lato" w:hAnsi="Lato"/>
          <w:b/>
          <w:sz w:val="20"/>
          <w:szCs w:val="20"/>
        </w:rPr>
      </w:pPr>
      <w:r w:rsidRPr="004172D7">
        <w:rPr>
          <w:rFonts w:ascii="Lato" w:hAnsi="Lato"/>
          <w:b/>
          <w:sz w:val="20"/>
          <w:szCs w:val="20"/>
        </w:rPr>
        <w:t>NOTA 9</w:t>
      </w:r>
    </w:p>
    <w:p w:rsidR="00BD12A8" w:rsidRPr="004172D7" w:rsidRDefault="00BD12A8" w:rsidP="00BD12A8">
      <w:pPr>
        <w:jc w:val="center"/>
        <w:rPr>
          <w:rFonts w:ascii="Lato" w:hAnsi="Lato"/>
          <w:b/>
          <w:sz w:val="20"/>
          <w:szCs w:val="20"/>
        </w:rPr>
      </w:pPr>
      <w:r w:rsidRPr="004172D7">
        <w:rPr>
          <w:rFonts w:ascii="Lato" w:hAnsi="Lato"/>
          <w:b/>
          <w:sz w:val="20"/>
          <w:szCs w:val="20"/>
        </w:rPr>
        <w:t>REPORTE DE RECAUDACION</w:t>
      </w:r>
    </w:p>
    <w:p w:rsidR="00BD12A8" w:rsidRPr="004172D7" w:rsidRDefault="00DF50DE" w:rsidP="008F1B7E">
      <w:pPr>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recauda ningún tipo de contribución, motivo por el cual no se informa situación alguna en esta nota.</w:t>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p>
    <w:p w:rsidR="004C0DE4" w:rsidRPr="004172D7" w:rsidRDefault="004C0DE4" w:rsidP="00BD12A8">
      <w:pPr>
        <w:jc w:val="center"/>
        <w:rPr>
          <w:rFonts w:ascii="Lato" w:hAnsi="Lato"/>
          <w:b/>
          <w:sz w:val="20"/>
          <w:szCs w:val="20"/>
        </w:rPr>
      </w:pPr>
    </w:p>
    <w:p w:rsidR="00BD12A8" w:rsidRPr="004172D7" w:rsidRDefault="00BD12A8" w:rsidP="00BD12A8">
      <w:pPr>
        <w:jc w:val="center"/>
        <w:rPr>
          <w:rFonts w:ascii="Lato" w:hAnsi="Lato"/>
          <w:b/>
          <w:sz w:val="20"/>
          <w:szCs w:val="20"/>
        </w:rPr>
      </w:pPr>
      <w:r w:rsidRPr="004172D7">
        <w:rPr>
          <w:rFonts w:ascii="Lato" w:hAnsi="Lato"/>
          <w:b/>
          <w:sz w:val="20"/>
          <w:szCs w:val="20"/>
        </w:rPr>
        <w:t>NOTA 10</w:t>
      </w:r>
    </w:p>
    <w:p w:rsidR="00BD12A8" w:rsidRPr="004172D7" w:rsidRDefault="00BD12A8" w:rsidP="00BD12A8">
      <w:pPr>
        <w:jc w:val="center"/>
        <w:rPr>
          <w:rFonts w:ascii="Lato" w:hAnsi="Lato"/>
          <w:b/>
          <w:sz w:val="20"/>
          <w:szCs w:val="20"/>
        </w:rPr>
      </w:pPr>
      <w:r w:rsidRPr="004172D7">
        <w:rPr>
          <w:rFonts w:ascii="Lato" w:hAnsi="Lato"/>
          <w:b/>
          <w:sz w:val="20"/>
          <w:szCs w:val="20"/>
        </w:rPr>
        <w:t>INFORMACION SOBRE LA DEUDA Y EL REPORTE ANALITICO DE LA DEUDA</w:t>
      </w:r>
    </w:p>
    <w:p w:rsidR="00BD12A8" w:rsidRPr="004172D7" w:rsidRDefault="00DF50DE" w:rsidP="008F1B7E">
      <w:pPr>
        <w:spacing w:line="360" w:lineRule="auto"/>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tiene contratado algún tipo de deuda pública por lo que no se reporta información en esta nota.</w:t>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r w:rsidR="00BD12A8" w:rsidRPr="004172D7">
        <w:rPr>
          <w:rFonts w:ascii="Lato" w:hAnsi="Lato"/>
          <w:sz w:val="20"/>
          <w:szCs w:val="20"/>
        </w:rPr>
        <w:tab/>
      </w:r>
    </w:p>
    <w:p w:rsidR="00BD12A8" w:rsidRPr="004172D7" w:rsidRDefault="00BD12A8" w:rsidP="00BD12A8">
      <w:pPr>
        <w:jc w:val="center"/>
        <w:rPr>
          <w:rFonts w:ascii="Lato" w:hAnsi="Lato"/>
          <w:b/>
          <w:sz w:val="20"/>
          <w:szCs w:val="20"/>
        </w:rPr>
      </w:pPr>
      <w:r w:rsidRPr="004172D7">
        <w:rPr>
          <w:rFonts w:ascii="Lato" w:hAnsi="Lato"/>
          <w:b/>
          <w:sz w:val="20"/>
          <w:szCs w:val="20"/>
        </w:rPr>
        <w:t>NOTA 11</w:t>
      </w:r>
    </w:p>
    <w:p w:rsidR="00BD12A8" w:rsidRPr="004172D7" w:rsidRDefault="00BD12A8" w:rsidP="00BD12A8">
      <w:pPr>
        <w:jc w:val="center"/>
        <w:rPr>
          <w:rFonts w:ascii="Lato" w:hAnsi="Lato"/>
          <w:b/>
          <w:sz w:val="20"/>
          <w:szCs w:val="20"/>
        </w:rPr>
      </w:pPr>
      <w:r w:rsidRPr="004172D7">
        <w:rPr>
          <w:rFonts w:ascii="Lato" w:hAnsi="Lato"/>
          <w:b/>
          <w:sz w:val="20"/>
          <w:szCs w:val="20"/>
        </w:rPr>
        <w:lastRenderedPageBreak/>
        <w:t>CALIFICACIONES OTORGADAS</w:t>
      </w:r>
    </w:p>
    <w:p w:rsidR="00BD12A8" w:rsidRPr="004172D7" w:rsidRDefault="00DF50DE" w:rsidP="008F1B7E">
      <w:pPr>
        <w:spacing w:line="360" w:lineRule="auto"/>
        <w:jc w:val="both"/>
        <w:rPr>
          <w:rFonts w:ascii="Lato" w:hAnsi="Lato"/>
          <w:sz w:val="20"/>
          <w:szCs w:val="20"/>
        </w:rPr>
      </w:pPr>
      <w:r w:rsidRPr="004172D7">
        <w:rPr>
          <w:rFonts w:ascii="Lato" w:hAnsi="Lato"/>
          <w:sz w:val="20"/>
          <w:szCs w:val="20"/>
        </w:rPr>
        <w:t>El Fondo Yucatán</w:t>
      </w:r>
      <w:r w:rsidR="00BD12A8" w:rsidRPr="004172D7">
        <w:rPr>
          <w:rFonts w:ascii="Lato" w:hAnsi="Lato"/>
          <w:sz w:val="20"/>
          <w:szCs w:val="20"/>
        </w:rPr>
        <w:t xml:space="preserve"> no ha sido sujeto de alguna evaluación que le otorgara calificación crediticia por lo que no se reporta información en esta nota.</w:t>
      </w:r>
      <w:r w:rsidR="00BD12A8" w:rsidRPr="004172D7">
        <w:rPr>
          <w:rFonts w:ascii="Lato" w:hAnsi="Lato"/>
          <w:sz w:val="20"/>
          <w:szCs w:val="20"/>
        </w:rPr>
        <w:tab/>
      </w:r>
      <w:r w:rsidR="00BD12A8" w:rsidRPr="004172D7">
        <w:rPr>
          <w:rFonts w:ascii="Lato" w:hAnsi="Lato"/>
          <w:sz w:val="20"/>
          <w:szCs w:val="20"/>
        </w:rPr>
        <w:tab/>
      </w:r>
    </w:p>
    <w:p w:rsidR="00BD12A8" w:rsidRPr="004172D7" w:rsidRDefault="00BD12A8" w:rsidP="00BD12A8">
      <w:pPr>
        <w:spacing w:line="360" w:lineRule="auto"/>
        <w:jc w:val="center"/>
        <w:rPr>
          <w:rFonts w:ascii="Lato" w:hAnsi="Lato"/>
          <w:b/>
          <w:sz w:val="20"/>
          <w:szCs w:val="20"/>
        </w:rPr>
      </w:pPr>
      <w:r w:rsidRPr="004172D7">
        <w:rPr>
          <w:rFonts w:ascii="Lato" w:hAnsi="Lato"/>
          <w:b/>
          <w:sz w:val="20"/>
          <w:szCs w:val="20"/>
        </w:rPr>
        <w:t>NOTA 12</w:t>
      </w:r>
    </w:p>
    <w:p w:rsidR="00BD12A8" w:rsidRPr="004172D7" w:rsidRDefault="00BD12A8" w:rsidP="00BD12A8">
      <w:pPr>
        <w:jc w:val="center"/>
        <w:rPr>
          <w:rFonts w:ascii="Lato" w:hAnsi="Lato"/>
          <w:b/>
          <w:sz w:val="20"/>
          <w:szCs w:val="20"/>
        </w:rPr>
      </w:pPr>
      <w:r w:rsidRPr="004172D7">
        <w:rPr>
          <w:rFonts w:ascii="Lato" w:hAnsi="Lato"/>
          <w:b/>
          <w:sz w:val="20"/>
          <w:szCs w:val="20"/>
        </w:rPr>
        <w:t>PROCESOS DE MEJORA</w:t>
      </w:r>
    </w:p>
    <w:p w:rsidR="00BD12A8" w:rsidRPr="004172D7" w:rsidRDefault="00BD12A8" w:rsidP="008F1B7E">
      <w:pPr>
        <w:jc w:val="both"/>
        <w:rPr>
          <w:rFonts w:ascii="Lato" w:hAnsi="Lato"/>
          <w:sz w:val="20"/>
          <w:szCs w:val="20"/>
        </w:rPr>
      </w:pPr>
      <w:r w:rsidRPr="004172D7">
        <w:rPr>
          <w:rFonts w:ascii="Lato" w:hAnsi="Lato"/>
          <w:sz w:val="20"/>
          <w:szCs w:val="20"/>
        </w:rPr>
        <w:t xml:space="preserve">Las políticas de control que maneja </w:t>
      </w:r>
      <w:r w:rsidR="00DF50DE" w:rsidRPr="004172D7">
        <w:rPr>
          <w:rFonts w:ascii="Lato" w:hAnsi="Lato"/>
          <w:sz w:val="20"/>
          <w:szCs w:val="20"/>
        </w:rPr>
        <w:t>El Fondo Yucatán</w:t>
      </w:r>
      <w:r w:rsidRPr="004172D7">
        <w:rPr>
          <w:rFonts w:ascii="Lato" w:hAnsi="Lato"/>
          <w:sz w:val="20"/>
          <w:szCs w:val="20"/>
        </w:rPr>
        <w:t xml:space="preserve"> son las que establece La Gerencia General y que están previamente autorizadas por el Consejo de Administración, fuera de eso no existe política alguna que establecer.</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BD12A8" w:rsidRPr="004172D7" w:rsidRDefault="00BD12A8" w:rsidP="00BD12A8">
      <w:pPr>
        <w:jc w:val="center"/>
        <w:rPr>
          <w:rFonts w:ascii="Lato" w:hAnsi="Lato"/>
          <w:b/>
          <w:sz w:val="20"/>
          <w:szCs w:val="20"/>
        </w:rPr>
      </w:pPr>
      <w:r w:rsidRPr="004172D7">
        <w:rPr>
          <w:rFonts w:ascii="Lato" w:hAnsi="Lato"/>
          <w:b/>
          <w:sz w:val="20"/>
          <w:szCs w:val="20"/>
        </w:rPr>
        <w:t>NOTA 1</w:t>
      </w:r>
      <w:r w:rsidR="00DE6743" w:rsidRPr="004172D7">
        <w:rPr>
          <w:rFonts w:ascii="Lato" w:hAnsi="Lato"/>
          <w:b/>
          <w:sz w:val="20"/>
          <w:szCs w:val="20"/>
        </w:rPr>
        <w:t>3</w:t>
      </w:r>
    </w:p>
    <w:p w:rsidR="00DE6743" w:rsidRPr="004172D7" w:rsidRDefault="00BD12A8" w:rsidP="00DE6743">
      <w:pPr>
        <w:jc w:val="center"/>
        <w:rPr>
          <w:rFonts w:ascii="Lato" w:hAnsi="Lato"/>
          <w:b/>
          <w:sz w:val="20"/>
          <w:szCs w:val="20"/>
        </w:rPr>
      </w:pPr>
      <w:r w:rsidRPr="004172D7">
        <w:rPr>
          <w:rFonts w:ascii="Lato" w:hAnsi="Lato"/>
          <w:b/>
          <w:sz w:val="20"/>
          <w:szCs w:val="20"/>
        </w:rPr>
        <w:t>INFORMACION POR SEGMENTOS</w:t>
      </w:r>
    </w:p>
    <w:p w:rsidR="00DE6743" w:rsidRPr="004172D7" w:rsidRDefault="00DE6743" w:rsidP="008F1B7E">
      <w:pPr>
        <w:jc w:val="both"/>
        <w:rPr>
          <w:rFonts w:ascii="Lato" w:hAnsi="Lato"/>
          <w:b/>
          <w:sz w:val="20"/>
          <w:szCs w:val="20"/>
        </w:rPr>
      </w:pPr>
      <w:r w:rsidRPr="004172D7">
        <w:rPr>
          <w:rFonts w:ascii="Lato" w:hAnsi="Lato"/>
          <w:sz w:val="20"/>
          <w:szCs w:val="20"/>
        </w:rPr>
        <w:t xml:space="preserve">Debido al volumen de operaciones que tiene </w:t>
      </w:r>
      <w:r w:rsidR="00DF50DE" w:rsidRPr="004172D7">
        <w:rPr>
          <w:rFonts w:ascii="Lato" w:hAnsi="Lato"/>
          <w:sz w:val="20"/>
          <w:szCs w:val="20"/>
        </w:rPr>
        <w:t>El Fondo Yucatán</w:t>
      </w:r>
      <w:r w:rsidRPr="004172D7">
        <w:rPr>
          <w:rFonts w:ascii="Lato" w:hAnsi="Lato"/>
          <w:sz w:val="20"/>
          <w:szCs w:val="20"/>
        </w:rPr>
        <w:t>, no se ve en la necesidad de presentar la i</w:t>
      </w:r>
      <w:r w:rsidR="00A1627F" w:rsidRPr="004172D7">
        <w:rPr>
          <w:rFonts w:ascii="Lato" w:hAnsi="Lato"/>
          <w:sz w:val="20"/>
          <w:szCs w:val="20"/>
        </w:rPr>
        <w:t>nformación de manera segmentada, por lo que no se reporta información en esta nota.</w:t>
      </w:r>
    </w:p>
    <w:p w:rsidR="00DE6743" w:rsidRPr="004172D7" w:rsidRDefault="00DE6743" w:rsidP="00DE6743">
      <w:pPr>
        <w:jc w:val="center"/>
        <w:rPr>
          <w:rFonts w:ascii="Lato" w:hAnsi="Lato"/>
          <w:b/>
          <w:sz w:val="20"/>
          <w:szCs w:val="20"/>
        </w:rPr>
      </w:pPr>
      <w:r w:rsidRPr="004172D7">
        <w:rPr>
          <w:rFonts w:ascii="Lato" w:hAnsi="Lato"/>
          <w:b/>
          <w:sz w:val="20"/>
          <w:szCs w:val="20"/>
        </w:rPr>
        <w:t>NOTA 14</w:t>
      </w:r>
    </w:p>
    <w:p w:rsidR="00DE6743" w:rsidRPr="004172D7" w:rsidRDefault="00DE6743" w:rsidP="00DE6743">
      <w:pPr>
        <w:jc w:val="center"/>
        <w:rPr>
          <w:rFonts w:ascii="Lato" w:hAnsi="Lato"/>
          <w:b/>
          <w:sz w:val="20"/>
          <w:szCs w:val="20"/>
        </w:rPr>
      </w:pPr>
      <w:r w:rsidRPr="004172D7">
        <w:rPr>
          <w:rFonts w:ascii="Lato" w:hAnsi="Lato"/>
          <w:b/>
          <w:sz w:val="20"/>
          <w:szCs w:val="20"/>
        </w:rPr>
        <w:t xml:space="preserve">EVENTOS POSTERIORES AL CIERRE </w:t>
      </w:r>
    </w:p>
    <w:p w:rsidR="00BD12A8" w:rsidRPr="004172D7" w:rsidRDefault="00BD12A8" w:rsidP="008F1B7E">
      <w:pPr>
        <w:jc w:val="both"/>
        <w:rPr>
          <w:rFonts w:ascii="Lato" w:hAnsi="Lato"/>
          <w:sz w:val="20"/>
          <w:szCs w:val="20"/>
        </w:rPr>
      </w:pPr>
      <w:r w:rsidRPr="004172D7">
        <w:rPr>
          <w:rFonts w:ascii="Lato" w:hAnsi="Lato"/>
          <w:sz w:val="20"/>
          <w:szCs w:val="20"/>
        </w:rPr>
        <w:t xml:space="preserve">La información que presenta </w:t>
      </w:r>
      <w:r w:rsidR="00DF50DE" w:rsidRPr="004172D7">
        <w:rPr>
          <w:rFonts w:ascii="Lato" w:hAnsi="Lato"/>
          <w:sz w:val="20"/>
          <w:szCs w:val="20"/>
        </w:rPr>
        <w:t>El Fondo Yucatán</w:t>
      </w:r>
      <w:r w:rsidRPr="004172D7">
        <w:rPr>
          <w:rFonts w:ascii="Lato" w:hAnsi="Lato"/>
          <w:sz w:val="20"/>
          <w:szCs w:val="20"/>
        </w:rPr>
        <w:t xml:space="preserve"> no contiene ningún evento posterior que afecte económicamente al mismo por lo que no se r</w:t>
      </w:r>
      <w:r w:rsidR="00A1627F" w:rsidRPr="004172D7">
        <w:rPr>
          <w:rFonts w:ascii="Lato" w:hAnsi="Lato"/>
          <w:sz w:val="20"/>
          <w:szCs w:val="20"/>
        </w:rPr>
        <w:t>eporta información en esta nota, por lo que no se reporta información en esta nota.</w:t>
      </w:r>
    </w:p>
    <w:p w:rsidR="00DE6743" w:rsidRPr="004172D7" w:rsidRDefault="00DE6743" w:rsidP="00DE6743">
      <w:pPr>
        <w:jc w:val="center"/>
        <w:rPr>
          <w:rFonts w:ascii="Lato" w:hAnsi="Lato"/>
          <w:b/>
          <w:sz w:val="20"/>
          <w:szCs w:val="20"/>
        </w:rPr>
      </w:pPr>
      <w:r w:rsidRPr="004172D7">
        <w:rPr>
          <w:rFonts w:ascii="Lato" w:hAnsi="Lato"/>
          <w:b/>
          <w:sz w:val="20"/>
          <w:szCs w:val="20"/>
        </w:rPr>
        <w:t>NOTA 15</w:t>
      </w:r>
    </w:p>
    <w:p w:rsidR="00DE6743" w:rsidRPr="004172D7" w:rsidRDefault="00DE6743" w:rsidP="00DE6743">
      <w:pPr>
        <w:jc w:val="center"/>
        <w:rPr>
          <w:rFonts w:ascii="Lato" w:hAnsi="Lato"/>
          <w:b/>
          <w:sz w:val="20"/>
          <w:szCs w:val="20"/>
        </w:rPr>
      </w:pPr>
      <w:r w:rsidRPr="004172D7">
        <w:rPr>
          <w:rFonts w:ascii="Lato" w:hAnsi="Lato"/>
          <w:b/>
          <w:sz w:val="20"/>
          <w:szCs w:val="20"/>
        </w:rPr>
        <w:t>PARTES RELACIONADAS</w:t>
      </w:r>
    </w:p>
    <w:p w:rsidR="00DE6743" w:rsidRPr="004172D7" w:rsidRDefault="00DF50DE" w:rsidP="008F1B7E">
      <w:pPr>
        <w:jc w:val="both"/>
        <w:rPr>
          <w:rFonts w:ascii="Lato" w:hAnsi="Lato"/>
          <w:sz w:val="20"/>
          <w:szCs w:val="20"/>
        </w:rPr>
      </w:pPr>
      <w:r w:rsidRPr="004172D7">
        <w:rPr>
          <w:rFonts w:ascii="Lato" w:hAnsi="Lato"/>
          <w:sz w:val="20"/>
          <w:szCs w:val="20"/>
        </w:rPr>
        <w:t>El Fondo Yucatán</w:t>
      </w:r>
      <w:r w:rsidR="00DE6743" w:rsidRPr="004172D7">
        <w:rPr>
          <w:rFonts w:ascii="Lato" w:hAnsi="Lato"/>
          <w:sz w:val="20"/>
          <w:szCs w:val="20"/>
        </w:rPr>
        <w:t xml:space="preserve"> no realiza operaciones con partes relacionadas por lo que no se reporta información en esta nota.</w:t>
      </w:r>
    </w:p>
    <w:p w:rsidR="004C0DE4" w:rsidRPr="004172D7" w:rsidRDefault="004C0DE4" w:rsidP="004C0DE4">
      <w:pPr>
        <w:jc w:val="center"/>
        <w:rPr>
          <w:rFonts w:ascii="Lato" w:hAnsi="Lato"/>
          <w:b/>
          <w:sz w:val="20"/>
          <w:szCs w:val="20"/>
        </w:rPr>
      </w:pPr>
      <w:r w:rsidRPr="004172D7">
        <w:rPr>
          <w:rFonts w:ascii="Lato" w:hAnsi="Lato"/>
          <w:b/>
          <w:sz w:val="20"/>
          <w:szCs w:val="20"/>
        </w:rPr>
        <w:t>NOTA 16</w:t>
      </w:r>
    </w:p>
    <w:p w:rsidR="004C0DE4" w:rsidRPr="004172D7" w:rsidRDefault="004C0DE4" w:rsidP="004C0DE4">
      <w:pPr>
        <w:jc w:val="center"/>
        <w:rPr>
          <w:rFonts w:ascii="Lato" w:hAnsi="Lato"/>
          <w:b/>
          <w:sz w:val="20"/>
          <w:szCs w:val="20"/>
        </w:rPr>
      </w:pPr>
      <w:r w:rsidRPr="004172D7">
        <w:rPr>
          <w:rFonts w:ascii="Lato" w:hAnsi="Lato"/>
          <w:b/>
          <w:sz w:val="20"/>
          <w:szCs w:val="20"/>
        </w:rPr>
        <w:t>RESPONSABILIDAD SOBRE LA PRESENTACION RAZONABLE DE LA INFORMACION CONTABLE</w:t>
      </w:r>
    </w:p>
    <w:p w:rsidR="004C0DE4" w:rsidRPr="004172D7" w:rsidRDefault="004C0DE4" w:rsidP="008F1B7E">
      <w:pPr>
        <w:jc w:val="both"/>
        <w:rPr>
          <w:rFonts w:ascii="Lato" w:hAnsi="Lato"/>
          <w:sz w:val="20"/>
          <w:szCs w:val="20"/>
        </w:rPr>
      </w:pPr>
      <w:r w:rsidRPr="004172D7">
        <w:rPr>
          <w:rFonts w:ascii="Lato" w:hAnsi="Lato"/>
          <w:sz w:val="20"/>
          <w:szCs w:val="20"/>
        </w:rPr>
        <w:lastRenderedPageBreak/>
        <w:t xml:space="preserve">Los Estados Financieros y sus notas están debidamente firmados por el Representante Legal de </w:t>
      </w:r>
      <w:r w:rsidR="00DF50DE" w:rsidRPr="004172D7">
        <w:rPr>
          <w:rFonts w:ascii="Lato" w:hAnsi="Lato"/>
          <w:sz w:val="20"/>
          <w:szCs w:val="20"/>
        </w:rPr>
        <w:t>El Fondo Yucatán</w:t>
      </w:r>
      <w:r w:rsidRPr="004172D7">
        <w:rPr>
          <w:rFonts w:ascii="Lato" w:hAnsi="Lato"/>
          <w:sz w:val="20"/>
          <w:szCs w:val="20"/>
        </w:rPr>
        <w:t>.</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4C0DE4">
      <w:pPr>
        <w:rPr>
          <w:rFonts w:ascii="Lato" w:hAnsi="Lato"/>
          <w:sz w:val="20"/>
          <w:szCs w:val="20"/>
        </w:rPr>
      </w:pP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t xml:space="preserve">                           </w:t>
      </w:r>
    </w:p>
    <w:p w:rsidR="00051164" w:rsidRPr="004172D7" w:rsidRDefault="00051164" w:rsidP="00051164">
      <w:pPr>
        <w:jc w:val="center"/>
        <w:rPr>
          <w:rFonts w:ascii="Lato" w:hAnsi="Lato"/>
          <w:b/>
          <w:sz w:val="20"/>
          <w:szCs w:val="20"/>
        </w:rPr>
      </w:pPr>
      <w:r w:rsidRPr="004172D7">
        <w:rPr>
          <w:rFonts w:ascii="Lato" w:hAnsi="Lato"/>
          <w:b/>
          <w:sz w:val="20"/>
          <w:szCs w:val="20"/>
        </w:rPr>
        <w:t>NOTAS DE DESGLOSE</w:t>
      </w:r>
    </w:p>
    <w:p w:rsidR="008F1B7E" w:rsidRPr="004172D7" w:rsidRDefault="008F1B7E" w:rsidP="0006636C">
      <w:pPr>
        <w:pStyle w:val="Prrafodelista"/>
        <w:numPr>
          <w:ilvl w:val="0"/>
          <w:numId w:val="3"/>
        </w:numPr>
        <w:ind w:left="567" w:hanging="207"/>
        <w:jc w:val="center"/>
        <w:rPr>
          <w:rFonts w:ascii="Lato" w:hAnsi="Lato"/>
          <w:b/>
          <w:sz w:val="20"/>
          <w:szCs w:val="20"/>
        </w:rPr>
      </w:pPr>
      <w:r w:rsidRPr="004172D7">
        <w:rPr>
          <w:rFonts w:ascii="Lato" w:hAnsi="Lato"/>
          <w:b/>
          <w:sz w:val="20"/>
          <w:szCs w:val="20"/>
        </w:rPr>
        <w:t>NOTAS AL ESTADO DE ACTIVIDADES</w:t>
      </w:r>
    </w:p>
    <w:p w:rsidR="008F1B7E" w:rsidRPr="004172D7" w:rsidRDefault="008F1B7E" w:rsidP="008F1B7E">
      <w:pPr>
        <w:jc w:val="center"/>
        <w:rPr>
          <w:rFonts w:ascii="Lato" w:hAnsi="Lato"/>
          <w:b/>
          <w:sz w:val="20"/>
          <w:szCs w:val="20"/>
        </w:rPr>
      </w:pPr>
      <w:r w:rsidRPr="004172D7">
        <w:rPr>
          <w:rFonts w:ascii="Lato" w:hAnsi="Lato"/>
          <w:b/>
          <w:sz w:val="20"/>
          <w:szCs w:val="20"/>
        </w:rPr>
        <w:t xml:space="preserve">INGRESOS </w:t>
      </w:r>
      <w:r w:rsidR="00A1627F" w:rsidRPr="004172D7">
        <w:rPr>
          <w:rFonts w:ascii="Lato" w:hAnsi="Lato"/>
          <w:b/>
          <w:sz w:val="20"/>
          <w:szCs w:val="20"/>
        </w:rPr>
        <w:t>Y OTROS BENEFICIOS</w:t>
      </w:r>
    </w:p>
    <w:p w:rsidR="00D03EF2" w:rsidRPr="004172D7" w:rsidRDefault="00D03EF2" w:rsidP="00D03EF2">
      <w:pPr>
        <w:spacing w:after="0"/>
        <w:jc w:val="both"/>
        <w:rPr>
          <w:rFonts w:ascii="Lato" w:hAnsi="Lato" w:cs="Microsoft Sans Serif"/>
          <w:sz w:val="20"/>
          <w:szCs w:val="20"/>
        </w:rPr>
      </w:pPr>
      <w:r w:rsidRPr="004172D7">
        <w:rPr>
          <w:rFonts w:ascii="Lato" w:hAnsi="Lato" w:cs="Microsoft Sans Serif"/>
          <w:sz w:val="20"/>
          <w:szCs w:val="20"/>
        </w:rPr>
        <w:t>El Fondo Yucatán solo obtiene ingresos por el rubro de productos por los rendimientos de las inversiones que se realizaron en el período como se muestra en el cuadro siguiente:</w:t>
      </w:r>
    </w:p>
    <w:p w:rsidR="00D03EF2" w:rsidRPr="004172D7" w:rsidRDefault="00D03EF2" w:rsidP="00D03EF2">
      <w:pPr>
        <w:spacing w:after="0"/>
        <w:jc w:val="both"/>
        <w:rPr>
          <w:rFonts w:ascii="Lato" w:hAnsi="Lato" w:cs="Microsoft Sans Serif"/>
          <w:sz w:val="20"/>
          <w:szCs w:val="20"/>
        </w:rPr>
      </w:pPr>
    </w:p>
    <w:tbl>
      <w:tblPr>
        <w:tblW w:w="7489" w:type="dxa"/>
        <w:jc w:val="center"/>
        <w:tblCellMar>
          <w:left w:w="28" w:type="dxa"/>
          <w:right w:w="65" w:type="dxa"/>
        </w:tblCellMar>
        <w:tblLook w:val="04A0" w:firstRow="1" w:lastRow="0" w:firstColumn="1" w:lastColumn="0" w:noHBand="0" w:noVBand="1"/>
      </w:tblPr>
      <w:tblGrid>
        <w:gridCol w:w="6012"/>
        <w:gridCol w:w="1477"/>
      </w:tblGrid>
      <w:tr w:rsidR="00D03EF2" w:rsidRPr="004172D7" w:rsidTr="00D03EF2">
        <w:trPr>
          <w:trHeight w:val="276"/>
          <w:jc w:val="center"/>
        </w:trPr>
        <w:tc>
          <w:tcPr>
            <w:tcW w:w="6012" w:type="dxa"/>
            <w:tcBorders>
              <w:top w:val="single" w:sz="12" w:space="0" w:color="000000"/>
              <w:left w:val="single" w:sz="4" w:space="0" w:color="000000"/>
              <w:bottom w:val="single" w:sz="8" w:space="0" w:color="000000"/>
              <w:right w:val="nil"/>
            </w:tcBorders>
            <w:hideMark/>
          </w:tcPr>
          <w:p w:rsidR="00D03EF2" w:rsidRPr="004172D7" w:rsidRDefault="00D03EF2">
            <w:pPr>
              <w:spacing w:after="0" w:line="276" w:lineRule="auto"/>
              <w:jc w:val="center"/>
              <w:rPr>
                <w:rFonts w:ascii="Lato" w:eastAsia="Arial" w:hAnsi="Lato" w:cs="Arial"/>
                <w:color w:val="000000"/>
                <w:sz w:val="20"/>
                <w:szCs w:val="20"/>
                <w:lang w:eastAsia="es-MX"/>
              </w:rPr>
            </w:pPr>
            <w:r w:rsidRPr="004172D7">
              <w:rPr>
                <w:rFonts w:ascii="Lato" w:eastAsia="Arial" w:hAnsi="Lato" w:cs="Arial"/>
                <w:b/>
                <w:color w:val="000000"/>
                <w:sz w:val="20"/>
                <w:szCs w:val="20"/>
                <w:lang w:eastAsia="es-MX"/>
              </w:rPr>
              <w:t>Nombre</w:t>
            </w:r>
          </w:p>
        </w:tc>
        <w:tc>
          <w:tcPr>
            <w:tcW w:w="1477" w:type="dxa"/>
            <w:tcBorders>
              <w:top w:val="single" w:sz="8" w:space="0" w:color="000000"/>
              <w:left w:val="nil"/>
              <w:bottom w:val="single" w:sz="8" w:space="0" w:color="000000"/>
              <w:right w:val="single" w:sz="8" w:space="0" w:color="000000"/>
            </w:tcBorders>
            <w:hideMark/>
          </w:tcPr>
          <w:p w:rsidR="00D03EF2" w:rsidRPr="004172D7" w:rsidRDefault="00D03EF2">
            <w:pPr>
              <w:spacing w:after="0" w:line="276" w:lineRule="auto"/>
              <w:jc w:val="center"/>
              <w:rPr>
                <w:rFonts w:ascii="Lato" w:eastAsia="Arial" w:hAnsi="Lato" w:cs="Arial"/>
                <w:color w:val="000000"/>
                <w:sz w:val="20"/>
                <w:szCs w:val="20"/>
                <w:lang w:eastAsia="es-MX"/>
              </w:rPr>
            </w:pPr>
            <w:r w:rsidRPr="004172D7">
              <w:rPr>
                <w:rFonts w:ascii="Lato" w:eastAsia="Arial" w:hAnsi="Lato" w:cs="Arial"/>
                <w:b/>
                <w:color w:val="000000"/>
                <w:sz w:val="20"/>
                <w:szCs w:val="20"/>
                <w:lang w:eastAsia="es-MX"/>
              </w:rPr>
              <w:t>Importe</w:t>
            </w:r>
          </w:p>
        </w:tc>
      </w:tr>
      <w:tr w:rsidR="00D03EF2" w:rsidRPr="004172D7" w:rsidTr="00D03EF2">
        <w:trPr>
          <w:trHeight w:val="302"/>
          <w:jc w:val="center"/>
        </w:trPr>
        <w:tc>
          <w:tcPr>
            <w:tcW w:w="6012" w:type="dxa"/>
            <w:tcBorders>
              <w:top w:val="single" w:sz="8" w:space="0" w:color="000000"/>
              <w:left w:val="single" w:sz="4" w:space="0" w:color="000000"/>
              <w:bottom w:val="single" w:sz="4" w:space="0" w:color="000000"/>
              <w:right w:val="single" w:sz="4" w:space="0" w:color="000000"/>
            </w:tcBorders>
            <w:vAlign w:val="bottom"/>
            <w:hideMark/>
          </w:tcPr>
          <w:p w:rsidR="00D03EF2" w:rsidRPr="004172D7" w:rsidRDefault="00D03EF2">
            <w:pPr>
              <w:spacing w:after="0" w:line="276" w:lineRule="auto"/>
              <w:rPr>
                <w:rFonts w:ascii="Lato" w:eastAsia="Arial" w:hAnsi="Lato" w:cs="Arial"/>
                <w:color w:val="000000"/>
                <w:sz w:val="20"/>
                <w:szCs w:val="20"/>
                <w:lang w:eastAsia="es-MX"/>
              </w:rPr>
            </w:pPr>
            <w:r w:rsidRPr="004172D7">
              <w:rPr>
                <w:rFonts w:ascii="Lato" w:eastAsia="Arial" w:hAnsi="Lato" w:cs="Arial"/>
                <w:color w:val="000000"/>
                <w:sz w:val="20"/>
                <w:szCs w:val="20"/>
                <w:lang w:eastAsia="es-MX"/>
              </w:rPr>
              <w:t xml:space="preserve"> INGRESOS DE LAS I</w:t>
            </w:r>
            <w:r w:rsidR="000F45E5" w:rsidRPr="004172D7">
              <w:rPr>
                <w:rFonts w:ascii="Lato" w:eastAsia="Arial" w:hAnsi="Lato" w:cs="Arial"/>
                <w:color w:val="000000"/>
                <w:sz w:val="20"/>
                <w:szCs w:val="20"/>
                <w:lang w:eastAsia="es-MX"/>
              </w:rPr>
              <w:t>NVERSIONES Y CHEQUERAS DEL FY</w:t>
            </w:r>
          </w:p>
        </w:tc>
        <w:tc>
          <w:tcPr>
            <w:tcW w:w="1477" w:type="dxa"/>
            <w:tcBorders>
              <w:top w:val="single" w:sz="8" w:space="0" w:color="000000"/>
              <w:left w:val="single" w:sz="4" w:space="0" w:color="000000"/>
              <w:bottom w:val="single" w:sz="4" w:space="0" w:color="000000"/>
              <w:right w:val="single" w:sz="8" w:space="0" w:color="000000"/>
            </w:tcBorders>
            <w:vAlign w:val="bottom"/>
            <w:hideMark/>
          </w:tcPr>
          <w:p w:rsidR="00D03EF2" w:rsidRPr="004172D7" w:rsidRDefault="00D309DF" w:rsidP="00A55C5E">
            <w:pPr>
              <w:spacing w:after="0" w:line="276" w:lineRule="auto"/>
              <w:ind w:left="209"/>
              <w:jc w:val="right"/>
              <w:rPr>
                <w:rFonts w:ascii="Lato" w:eastAsia="Arial" w:hAnsi="Lato" w:cs="Arial"/>
                <w:color w:val="000000"/>
                <w:sz w:val="20"/>
                <w:szCs w:val="20"/>
                <w:lang w:eastAsia="es-MX"/>
              </w:rPr>
            </w:pPr>
            <w:r w:rsidRPr="004172D7">
              <w:rPr>
                <w:rFonts w:ascii="Lato" w:hAnsi="Lato" w:cs="Calibri"/>
                <w:color w:val="000000"/>
                <w:sz w:val="20"/>
                <w:szCs w:val="20"/>
                <w:lang w:eastAsia="es-MX"/>
              </w:rPr>
              <w:t>2,485.26</w:t>
            </w:r>
          </w:p>
        </w:tc>
      </w:tr>
    </w:tbl>
    <w:p w:rsidR="00D03EF2" w:rsidRPr="004172D7" w:rsidRDefault="00D03EF2" w:rsidP="000F45E5">
      <w:pPr>
        <w:spacing w:after="0" w:line="240" w:lineRule="auto"/>
        <w:ind w:left="2124"/>
        <w:rPr>
          <w:rFonts w:ascii="Lato" w:hAnsi="Lato"/>
          <w:b/>
          <w:sz w:val="20"/>
          <w:szCs w:val="20"/>
        </w:rPr>
      </w:pPr>
      <w:r w:rsidRPr="004172D7">
        <w:rPr>
          <w:rFonts w:ascii="Lato" w:hAnsi="Lato"/>
          <w:b/>
          <w:sz w:val="20"/>
          <w:szCs w:val="20"/>
        </w:rPr>
        <w:t xml:space="preserve">                                TOTAL DE INGRESOS POR PRODUCTOS</w:t>
      </w:r>
      <w:r w:rsidRPr="004172D7">
        <w:rPr>
          <w:rFonts w:ascii="Lato" w:hAnsi="Lato"/>
          <w:b/>
          <w:sz w:val="20"/>
          <w:szCs w:val="20"/>
        </w:rPr>
        <w:tab/>
      </w:r>
      <w:r w:rsidRPr="004172D7">
        <w:rPr>
          <w:rFonts w:ascii="Lato" w:hAnsi="Lato"/>
          <w:b/>
          <w:sz w:val="20"/>
          <w:szCs w:val="20"/>
        </w:rPr>
        <w:tab/>
      </w:r>
      <w:r w:rsidRPr="004172D7">
        <w:rPr>
          <w:rFonts w:ascii="Lato" w:hAnsi="Lato"/>
          <w:b/>
          <w:sz w:val="20"/>
          <w:szCs w:val="20"/>
        </w:rPr>
        <w:tab/>
        <w:t xml:space="preserve">                                $</w:t>
      </w:r>
      <w:r w:rsidRPr="004172D7">
        <w:rPr>
          <w:rFonts w:ascii="Lato" w:hAnsi="Lato"/>
          <w:sz w:val="20"/>
          <w:szCs w:val="20"/>
        </w:rPr>
        <w:t xml:space="preserve">  </w:t>
      </w:r>
      <w:r w:rsidR="000F45E5" w:rsidRPr="004172D7">
        <w:rPr>
          <w:rFonts w:ascii="Lato" w:hAnsi="Lato"/>
          <w:sz w:val="20"/>
          <w:szCs w:val="20"/>
        </w:rPr>
        <w:t xml:space="preserve"> </w:t>
      </w:r>
      <w:r w:rsidRPr="004172D7">
        <w:rPr>
          <w:rFonts w:ascii="Lato" w:hAnsi="Lato"/>
          <w:sz w:val="20"/>
          <w:szCs w:val="20"/>
        </w:rPr>
        <w:t xml:space="preserve">     </w:t>
      </w:r>
      <w:r w:rsidR="00037CD6" w:rsidRPr="004172D7">
        <w:rPr>
          <w:rFonts w:ascii="Lato" w:hAnsi="Lato"/>
          <w:b/>
          <w:sz w:val="20"/>
          <w:szCs w:val="20"/>
        </w:rPr>
        <w:t xml:space="preserve"> </w:t>
      </w:r>
      <w:r w:rsidR="00D22099" w:rsidRPr="004172D7">
        <w:rPr>
          <w:rFonts w:ascii="Lato" w:hAnsi="Lato"/>
          <w:b/>
          <w:sz w:val="20"/>
          <w:szCs w:val="20"/>
        </w:rPr>
        <w:t xml:space="preserve"> </w:t>
      </w:r>
      <w:r w:rsidR="0055181E" w:rsidRPr="004172D7">
        <w:rPr>
          <w:rFonts w:ascii="Lato" w:hAnsi="Lato"/>
          <w:b/>
          <w:sz w:val="20"/>
          <w:szCs w:val="20"/>
        </w:rPr>
        <w:t xml:space="preserve"> </w:t>
      </w:r>
      <w:r w:rsidR="000F45E5" w:rsidRPr="004172D7">
        <w:rPr>
          <w:rFonts w:ascii="Lato" w:hAnsi="Lato"/>
          <w:b/>
          <w:sz w:val="20"/>
          <w:szCs w:val="20"/>
        </w:rPr>
        <w:t xml:space="preserve"> </w:t>
      </w:r>
      <w:r w:rsidR="00D309DF" w:rsidRPr="004172D7">
        <w:rPr>
          <w:rFonts w:ascii="Lato" w:hAnsi="Lato"/>
          <w:b/>
          <w:sz w:val="20"/>
          <w:szCs w:val="20"/>
        </w:rPr>
        <w:t xml:space="preserve">  2</w:t>
      </w:r>
      <w:r w:rsidR="000F45E5" w:rsidRPr="004172D7">
        <w:rPr>
          <w:rFonts w:ascii="Lato" w:hAnsi="Lato"/>
          <w:b/>
          <w:sz w:val="20"/>
          <w:szCs w:val="20"/>
        </w:rPr>
        <w:t>,</w:t>
      </w:r>
      <w:r w:rsidR="00D309DF" w:rsidRPr="004172D7">
        <w:rPr>
          <w:rFonts w:ascii="Lato" w:hAnsi="Lato"/>
          <w:b/>
          <w:sz w:val="20"/>
          <w:szCs w:val="20"/>
        </w:rPr>
        <w:t>485</w:t>
      </w:r>
      <w:r w:rsidR="000F45E5" w:rsidRPr="004172D7">
        <w:rPr>
          <w:rFonts w:ascii="Lato" w:hAnsi="Lato"/>
          <w:b/>
          <w:sz w:val="20"/>
          <w:szCs w:val="20"/>
        </w:rPr>
        <w:t>.</w:t>
      </w:r>
      <w:r w:rsidR="00D309DF" w:rsidRPr="004172D7">
        <w:rPr>
          <w:rFonts w:ascii="Lato" w:hAnsi="Lato"/>
          <w:b/>
          <w:sz w:val="20"/>
          <w:szCs w:val="20"/>
        </w:rPr>
        <w:t>26</w:t>
      </w:r>
    </w:p>
    <w:p w:rsidR="00D03EF2" w:rsidRPr="004172D7" w:rsidRDefault="00D03EF2" w:rsidP="008F1B7E">
      <w:pPr>
        <w:jc w:val="center"/>
        <w:rPr>
          <w:rFonts w:ascii="Lato" w:hAnsi="Lato"/>
          <w:b/>
          <w:sz w:val="20"/>
          <w:szCs w:val="20"/>
        </w:rPr>
      </w:pPr>
    </w:p>
    <w:p w:rsidR="008F1B7E" w:rsidRPr="004172D7" w:rsidRDefault="008F1B7E" w:rsidP="008F1B7E">
      <w:pPr>
        <w:jc w:val="center"/>
        <w:rPr>
          <w:rFonts w:ascii="Lato" w:hAnsi="Lato" w:cs="Microsoft Sans Serif"/>
          <w:sz w:val="20"/>
          <w:szCs w:val="20"/>
        </w:rPr>
      </w:pPr>
      <w:r w:rsidRPr="004172D7">
        <w:rPr>
          <w:rFonts w:ascii="Lato" w:hAnsi="Lato" w:cs="Microsoft Sans Serif"/>
          <w:b/>
          <w:sz w:val="20"/>
          <w:szCs w:val="20"/>
        </w:rPr>
        <w:t>GASTOS Y OTRAS PÉRDIDAS</w:t>
      </w:r>
    </w:p>
    <w:p w:rsidR="008F1B7E" w:rsidRPr="004172D7" w:rsidRDefault="00DF50DE" w:rsidP="008F1B7E">
      <w:pPr>
        <w:tabs>
          <w:tab w:val="left" w:pos="2294"/>
        </w:tabs>
        <w:jc w:val="both"/>
        <w:rPr>
          <w:rFonts w:ascii="Lato" w:hAnsi="Lato" w:cs="Microsoft Sans Serif"/>
          <w:sz w:val="20"/>
          <w:szCs w:val="20"/>
        </w:rPr>
      </w:pPr>
      <w:r w:rsidRPr="004172D7">
        <w:rPr>
          <w:rFonts w:ascii="Lato" w:hAnsi="Lato" w:cs="Microsoft Sans Serif"/>
          <w:sz w:val="20"/>
          <w:szCs w:val="20"/>
        </w:rPr>
        <w:t>El Fondo Yucatán</w:t>
      </w:r>
      <w:r w:rsidR="008F1B7E" w:rsidRPr="004172D7">
        <w:rPr>
          <w:rFonts w:ascii="Lato" w:hAnsi="Lato" w:cs="Microsoft Sans Serif"/>
          <w:sz w:val="20"/>
          <w:szCs w:val="20"/>
        </w:rPr>
        <w:t xml:space="preserve"> detalla en la siguiente tabla el total de los gastos:</w:t>
      </w:r>
    </w:p>
    <w:p w:rsidR="00D03EF2" w:rsidRPr="004172D7" w:rsidRDefault="00D03EF2" w:rsidP="008F1B7E">
      <w:pPr>
        <w:tabs>
          <w:tab w:val="left" w:pos="2294"/>
        </w:tabs>
        <w:jc w:val="both"/>
        <w:rPr>
          <w:rFonts w:ascii="Lato" w:hAnsi="Lato" w:cs="Microsoft Sans Serif"/>
          <w:sz w:val="20"/>
          <w:szCs w:val="20"/>
        </w:r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913"/>
        <w:gridCol w:w="1733"/>
      </w:tblGrid>
      <w:tr w:rsidR="008F1B7E" w:rsidRPr="004172D7" w:rsidTr="00EF3A70">
        <w:trPr>
          <w:trHeight w:val="234"/>
          <w:jc w:val="center"/>
        </w:trPr>
        <w:tc>
          <w:tcPr>
            <w:tcW w:w="5767" w:type="dxa"/>
            <w:shd w:val="clear" w:color="auto" w:fill="BFBFBF"/>
          </w:tcPr>
          <w:p w:rsidR="008F1B7E" w:rsidRPr="004172D7" w:rsidRDefault="008F1B7E" w:rsidP="00EF3A70">
            <w:pPr>
              <w:tabs>
                <w:tab w:val="left" w:pos="2294"/>
              </w:tabs>
              <w:jc w:val="center"/>
              <w:rPr>
                <w:rFonts w:ascii="Lato" w:hAnsi="Lato" w:cs="Microsoft Sans Serif"/>
                <w:b/>
                <w:sz w:val="20"/>
                <w:szCs w:val="20"/>
              </w:rPr>
            </w:pPr>
            <w:r w:rsidRPr="004172D7">
              <w:rPr>
                <w:rFonts w:ascii="Lato" w:hAnsi="Lato" w:cs="Microsoft Sans Serif"/>
                <w:b/>
                <w:sz w:val="20"/>
                <w:szCs w:val="20"/>
              </w:rPr>
              <w:t>CAPITULO</w:t>
            </w:r>
          </w:p>
        </w:tc>
        <w:tc>
          <w:tcPr>
            <w:tcW w:w="3646" w:type="dxa"/>
            <w:gridSpan w:val="2"/>
            <w:shd w:val="clear" w:color="auto" w:fill="BFBFBF"/>
          </w:tcPr>
          <w:p w:rsidR="008F1B7E" w:rsidRPr="004172D7" w:rsidRDefault="008F1B7E" w:rsidP="00EF3A70">
            <w:pPr>
              <w:tabs>
                <w:tab w:val="left" w:pos="2294"/>
              </w:tabs>
              <w:jc w:val="center"/>
              <w:rPr>
                <w:rFonts w:ascii="Lato" w:hAnsi="Lato" w:cs="Microsoft Sans Serif"/>
                <w:b/>
                <w:sz w:val="20"/>
                <w:szCs w:val="20"/>
              </w:rPr>
            </w:pPr>
            <w:r w:rsidRPr="004172D7">
              <w:rPr>
                <w:rFonts w:ascii="Lato" w:hAnsi="Lato" w:cs="Microsoft Sans Serif"/>
                <w:b/>
                <w:sz w:val="20"/>
                <w:szCs w:val="20"/>
              </w:rPr>
              <w:t>10% o + DE TOTAL GASTO</w:t>
            </w:r>
          </w:p>
        </w:tc>
      </w:tr>
      <w:tr w:rsidR="008F1B7E" w:rsidRPr="004172D7" w:rsidTr="00D03EF2">
        <w:trPr>
          <w:trHeight w:val="234"/>
          <w:jc w:val="center"/>
        </w:trPr>
        <w:tc>
          <w:tcPr>
            <w:tcW w:w="5767" w:type="dxa"/>
          </w:tcPr>
          <w:p w:rsidR="008F1B7E" w:rsidRPr="004172D7" w:rsidRDefault="008F1B7E" w:rsidP="00EF3A70">
            <w:pPr>
              <w:tabs>
                <w:tab w:val="left" w:pos="2294"/>
              </w:tabs>
              <w:spacing w:after="0"/>
              <w:rPr>
                <w:rFonts w:ascii="Lato" w:hAnsi="Lato" w:cs="Microsoft Sans Serif"/>
                <w:b/>
                <w:sz w:val="20"/>
                <w:szCs w:val="20"/>
              </w:rPr>
            </w:pPr>
            <w:r w:rsidRPr="004172D7">
              <w:rPr>
                <w:rFonts w:ascii="Lato" w:hAnsi="Lato" w:cs="Microsoft Sans Serif"/>
                <w:b/>
                <w:sz w:val="20"/>
                <w:szCs w:val="20"/>
              </w:rPr>
              <w:t>5-1-1.  SERVICIOS PERSONALES</w:t>
            </w:r>
          </w:p>
        </w:tc>
        <w:tc>
          <w:tcPr>
            <w:tcW w:w="1913" w:type="dxa"/>
            <w:vMerge w:val="restart"/>
            <w:vAlign w:val="center"/>
          </w:tcPr>
          <w:p w:rsidR="008F1B7E" w:rsidRPr="004172D7" w:rsidRDefault="008F1B7E" w:rsidP="00EF3A70">
            <w:pPr>
              <w:tabs>
                <w:tab w:val="left" w:pos="2294"/>
              </w:tabs>
              <w:spacing w:after="0"/>
              <w:jc w:val="right"/>
              <w:rPr>
                <w:rFonts w:ascii="Lato" w:hAnsi="Lato" w:cs="Microsoft Sans Serif"/>
                <w:b/>
                <w:sz w:val="20"/>
                <w:szCs w:val="20"/>
              </w:rPr>
            </w:pPr>
            <w:r w:rsidRPr="004172D7">
              <w:rPr>
                <w:rFonts w:ascii="Lato" w:hAnsi="Lato" w:cs="Microsoft Sans Serif"/>
                <w:b/>
                <w:sz w:val="20"/>
                <w:szCs w:val="20"/>
              </w:rPr>
              <w:t>$     0.00</w:t>
            </w:r>
          </w:p>
        </w:tc>
        <w:tc>
          <w:tcPr>
            <w:tcW w:w="1733" w:type="dxa"/>
          </w:tcPr>
          <w:p w:rsidR="008F1B7E" w:rsidRPr="004172D7" w:rsidRDefault="008F1B7E" w:rsidP="00EF3A70">
            <w:pPr>
              <w:tabs>
                <w:tab w:val="left" w:pos="2294"/>
              </w:tabs>
              <w:spacing w:after="0"/>
              <w:rPr>
                <w:rFonts w:ascii="Lato" w:hAnsi="Lato" w:cs="Microsoft Sans Serif"/>
                <w:b/>
                <w:sz w:val="20"/>
                <w:szCs w:val="20"/>
              </w:rPr>
            </w:pPr>
          </w:p>
        </w:tc>
      </w:tr>
      <w:tr w:rsidR="008F1B7E" w:rsidRPr="004172D7" w:rsidTr="00D03EF2">
        <w:trPr>
          <w:trHeight w:val="234"/>
          <w:jc w:val="center"/>
        </w:trPr>
        <w:tc>
          <w:tcPr>
            <w:tcW w:w="5767" w:type="dxa"/>
          </w:tcPr>
          <w:p w:rsidR="008F1B7E" w:rsidRPr="004172D7" w:rsidRDefault="008F1B7E" w:rsidP="00EF3A70">
            <w:pPr>
              <w:tabs>
                <w:tab w:val="left" w:pos="2294"/>
              </w:tabs>
              <w:spacing w:after="0"/>
              <w:rPr>
                <w:rFonts w:ascii="Lato" w:hAnsi="Lato" w:cs="Microsoft Sans Serif"/>
                <w:sz w:val="20"/>
                <w:szCs w:val="20"/>
              </w:rPr>
            </w:pPr>
            <w:r w:rsidRPr="004172D7">
              <w:rPr>
                <w:rFonts w:ascii="Lato" w:hAnsi="Lato" w:cs="Microsoft Sans Serif"/>
                <w:sz w:val="20"/>
                <w:szCs w:val="20"/>
              </w:rPr>
              <w:t xml:space="preserve">5-1-1-1-0-00  Sueldo base al Personal  </w:t>
            </w:r>
          </w:p>
        </w:tc>
        <w:tc>
          <w:tcPr>
            <w:tcW w:w="1913" w:type="dxa"/>
            <w:vMerge/>
          </w:tcPr>
          <w:p w:rsidR="008F1B7E" w:rsidRPr="004172D7" w:rsidRDefault="008F1B7E" w:rsidP="00EF3A70">
            <w:pPr>
              <w:tabs>
                <w:tab w:val="left" w:pos="2294"/>
              </w:tabs>
              <w:spacing w:after="0"/>
              <w:jc w:val="right"/>
              <w:rPr>
                <w:rFonts w:ascii="Lato" w:hAnsi="Lato" w:cs="Microsoft Sans Serif"/>
                <w:sz w:val="20"/>
                <w:szCs w:val="20"/>
              </w:rPr>
            </w:pPr>
          </w:p>
        </w:tc>
        <w:tc>
          <w:tcPr>
            <w:tcW w:w="1733" w:type="dxa"/>
            <w:vAlign w:val="center"/>
          </w:tcPr>
          <w:p w:rsidR="008F1B7E" w:rsidRPr="004172D7" w:rsidRDefault="008F1B7E" w:rsidP="00EF3A70">
            <w:pPr>
              <w:tabs>
                <w:tab w:val="left" w:pos="2294"/>
              </w:tabs>
              <w:spacing w:after="0"/>
              <w:jc w:val="right"/>
              <w:rPr>
                <w:rFonts w:ascii="Lato" w:hAnsi="Lato" w:cs="Microsoft Sans Serif"/>
                <w:b/>
                <w:sz w:val="20"/>
                <w:szCs w:val="20"/>
              </w:rPr>
            </w:pPr>
            <w:r w:rsidRPr="004172D7">
              <w:rPr>
                <w:rFonts w:ascii="Lato" w:hAnsi="Lato" w:cs="Microsoft Sans Serif"/>
                <w:b/>
                <w:sz w:val="20"/>
                <w:szCs w:val="20"/>
              </w:rPr>
              <w:t>0.00</w:t>
            </w:r>
          </w:p>
        </w:tc>
      </w:tr>
      <w:tr w:rsidR="008F1B7E" w:rsidRPr="004172D7" w:rsidTr="00D03EF2">
        <w:trPr>
          <w:trHeight w:val="234"/>
          <w:jc w:val="center"/>
        </w:trPr>
        <w:tc>
          <w:tcPr>
            <w:tcW w:w="5767" w:type="dxa"/>
          </w:tcPr>
          <w:p w:rsidR="008F1B7E" w:rsidRPr="004172D7" w:rsidRDefault="008F1B7E" w:rsidP="00EF3A70">
            <w:pPr>
              <w:tabs>
                <w:tab w:val="left" w:pos="2294"/>
              </w:tabs>
              <w:spacing w:after="0"/>
              <w:rPr>
                <w:rFonts w:ascii="Lato" w:hAnsi="Lato" w:cs="Microsoft Sans Serif"/>
                <w:b/>
                <w:sz w:val="20"/>
                <w:szCs w:val="20"/>
              </w:rPr>
            </w:pPr>
            <w:r w:rsidRPr="004172D7">
              <w:rPr>
                <w:rFonts w:ascii="Lato" w:hAnsi="Lato" w:cs="Microsoft Sans Serif"/>
                <w:b/>
                <w:sz w:val="20"/>
                <w:szCs w:val="20"/>
              </w:rPr>
              <w:t>5-1-2.  MATERIALES Y SUMINISTROS</w:t>
            </w:r>
          </w:p>
        </w:tc>
        <w:tc>
          <w:tcPr>
            <w:tcW w:w="1913" w:type="dxa"/>
            <w:vMerge w:val="restart"/>
            <w:vAlign w:val="center"/>
          </w:tcPr>
          <w:p w:rsidR="008F1B7E" w:rsidRPr="004172D7" w:rsidRDefault="008F1B7E" w:rsidP="00EF3A70">
            <w:pPr>
              <w:tabs>
                <w:tab w:val="left" w:pos="2294"/>
              </w:tabs>
              <w:spacing w:after="0"/>
              <w:jc w:val="right"/>
              <w:rPr>
                <w:rFonts w:ascii="Lato" w:hAnsi="Lato" w:cs="Microsoft Sans Serif"/>
                <w:b/>
                <w:sz w:val="20"/>
                <w:szCs w:val="20"/>
              </w:rPr>
            </w:pPr>
            <w:r w:rsidRPr="004172D7">
              <w:rPr>
                <w:rFonts w:ascii="Lato" w:hAnsi="Lato" w:cs="Microsoft Sans Serif"/>
                <w:b/>
                <w:sz w:val="20"/>
                <w:szCs w:val="20"/>
              </w:rPr>
              <w:t>$     0.00</w:t>
            </w:r>
          </w:p>
        </w:tc>
        <w:tc>
          <w:tcPr>
            <w:tcW w:w="1733" w:type="dxa"/>
            <w:vAlign w:val="center"/>
          </w:tcPr>
          <w:p w:rsidR="008F1B7E" w:rsidRPr="004172D7" w:rsidRDefault="008F1B7E" w:rsidP="00EF3A70">
            <w:pPr>
              <w:tabs>
                <w:tab w:val="left" w:pos="2294"/>
              </w:tabs>
              <w:spacing w:after="0"/>
              <w:jc w:val="right"/>
              <w:rPr>
                <w:rFonts w:ascii="Lato" w:hAnsi="Lato" w:cs="Microsoft Sans Serif"/>
                <w:b/>
                <w:sz w:val="20"/>
                <w:szCs w:val="20"/>
              </w:rPr>
            </w:pPr>
          </w:p>
        </w:tc>
      </w:tr>
      <w:tr w:rsidR="008F1B7E" w:rsidRPr="004172D7" w:rsidTr="00D03EF2">
        <w:trPr>
          <w:trHeight w:val="212"/>
          <w:jc w:val="center"/>
        </w:trPr>
        <w:tc>
          <w:tcPr>
            <w:tcW w:w="5767" w:type="dxa"/>
          </w:tcPr>
          <w:p w:rsidR="008F1B7E" w:rsidRPr="004172D7" w:rsidRDefault="008F1B7E" w:rsidP="00EF3A70">
            <w:pPr>
              <w:tabs>
                <w:tab w:val="left" w:pos="2294"/>
              </w:tabs>
              <w:spacing w:after="0"/>
              <w:rPr>
                <w:rFonts w:ascii="Lato" w:hAnsi="Lato" w:cs="Microsoft Sans Serif"/>
                <w:sz w:val="20"/>
                <w:szCs w:val="20"/>
              </w:rPr>
            </w:pPr>
            <w:r w:rsidRPr="004172D7">
              <w:rPr>
                <w:rFonts w:ascii="Lato" w:hAnsi="Lato" w:cs="Microsoft Sans Serif"/>
                <w:sz w:val="20"/>
                <w:szCs w:val="20"/>
              </w:rPr>
              <w:t>5-1-2-6-0-00 Combustible y Lubricantes</w:t>
            </w:r>
          </w:p>
        </w:tc>
        <w:tc>
          <w:tcPr>
            <w:tcW w:w="1913" w:type="dxa"/>
            <w:vMerge/>
          </w:tcPr>
          <w:p w:rsidR="008F1B7E" w:rsidRPr="004172D7" w:rsidRDefault="008F1B7E" w:rsidP="00EF3A70">
            <w:pPr>
              <w:tabs>
                <w:tab w:val="left" w:pos="2294"/>
              </w:tabs>
              <w:spacing w:after="0"/>
              <w:jc w:val="right"/>
              <w:rPr>
                <w:rFonts w:ascii="Lato" w:hAnsi="Lato" w:cs="Microsoft Sans Serif"/>
                <w:sz w:val="20"/>
                <w:szCs w:val="20"/>
              </w:rPr>
            </w:pPr>
          </w:p>
        </w:tc>
        <w:tc>
          <w:tcPr>
            <w:tcW w:w="1733" w:type="dxa"/>
          </w:tcPr>
          <w:p w:rsidR="008F1B7E" w:rsidRPr="004172D7" w:rsidRDefault="008F1B7E" w:rsidP="00EF3A70">
            <w:pPr>
              <w:tabs>
                <w:tab w:val="left" w:pos="2294"/>
              </w:tabs>
              <w:spacing w:after="0"/>
              <w:jc w:val="right"/>
              <w:rPr>
                <w:rFonts w:ascii="Lato" w:hAnsi="Lato" w:cs="Microsoft Sans Serif"/>
                <w:b/>
                <w:sz w:val="20"/>
                <w:szCs w:val="20"/>
              </w:rPr>
            </w:pPr>
            <w:r w:rsidRPr="004172D7">
              <w:rPr>
                <w:rFonts w:ascii="Lato" w:hAnsi="Lato" w:cs="Microsoft Sans Serif"/>
                <w:b/>
                <w:sz w:val="20"/>
                <w:szCs w:val="20"/>
              </w:rPr>
              <w:t>0.00</w:t>
            </w:r>
          </w:p>
        </w:tc>
      </w:tr>
      <w:tr w:rsidR="008F1B7E" w:rsidRPr="004172D7" w:rsidTr="00D03EF2">
        <w:trPr>
          <w:trHeight w:val="234"/>
          <w:jc w:val="center"/>
        </w:trPr>
        <w:tc>
          <w:tcPr>
            <w:tcW w:w="5767" w:type="dxa"/>
          </w:tcPr>
          <w:p w:rsidR="008F1B7E" w:rsidRPr="004172D7" w:rsidRDefault="008F1B7E" w:rsidP="00EF3A70">
            <w:pPr>
              <w:tabs>
                <w:tab w:val="left" w:pos="2294"/>
              </w:tabs>
              <w:spacing w:after="0"/>
              <w:rPr>
                <w:rFonts w:ascii="Lato" w:hAnsi="Lato" w:cs="Microsoft Sans Serif"/>
                <w:b/>
                <w:sz w:val="20"/>
                <w:szCs w:val="20"/>
              </w:rPr>
            </w:pPr>
            <w:r w:rsidRPr="004172D7">
              <w:rPr>
                <w:rFonts w:ascii="Lato" w:hAnsi="Lato" w:cs="Microsoft Sans Serif"/>
                <w:b/>
                <w:sz w:val="20"/>
                <w:szCs w:val="20"/>
              </w:rPr>
              <w:t>5-1-3.  SERVICIOS GENERALES</w:t>
            </w:r>
          </w:p>
        </w:tc>
        <w:tc>
          <w:tcPr>
            <w:tcW w:w="1913" w:type="dxa"/>
            <w:vMerge w:val="restart"/>
            <w:vAlign w:val="center"/>
          </w:tcPr>
          <w:p w:rsidR="008F1B7E" w:rsidRPr="004172D7" w:rsidRDefault="008F1B7E" w:rsidP="00A55C5E">
            <w:pPr>
              <w:tabs>
                <w:tab w:val="left" w:pos="2294"/>
              </w:tabs>
              <w:spacing w:after="0"/>
              <w:jc w:val="right"/>
              <w:rPr>
                <w:rFonts w:ascii="Lato" w:hAnsi="Lato" w:cs="Microsoft Sans Serif"/>
                <w:sz w:val="20"/>
                <w:szCs w:val="20"/>
              </w:rPr>
            </w:pPr>
            <w:r w:rsidRPr="004172D7">
              <w:rPr>
                <w:rFonts w:ascii="Lato" w:hAnsi="Lato" w:cs="Microsoft Sans Serif"/>
                <w:b/>
                <w:sz w:val="20"/>
                <w:szCs w:val="20"/>
              </w:rPr>
              <w:t xml:space="preserve">$    </w:t>
            </w:r>
            <w:r w:rsidR="00D03EF2" w:rsidRPr="004172D7">
              <w:rPr>
                <w:rFonts w:ascii="Lato" w:hAnsi="Lato" w:cs="Microsoft Sans Serif"/>
                <w:b/>
                <w:sz w:val="20"/>
                <w:szCs w:val="20"/>
              </w:rPr>
              <w:t xml:space="preserve"> </w:t>
            </w:r>
            <w:r w:rsidR="00037CD6" w:rsidRPr="004172D7">
              <w:rPr>
                <w:rFonts w:ascii="Lato" w:hAnsi="Lato" w:cs="Microsoft Sans Serif"/>
                <w:b/>
                <w:sz w:val="20"/>
                <w:szCs w:val="20"/>
              </w:rPr>
              <w:t xml:space="preserve"> </w:t>
            </w:r>
            <w:r w:rsidR="00D22099" w:rsidRPr="004172D7">
              <w:rPr>
                <w:rFonts w:ascii="Lato" w:hAnsi="Lato" w:cs="Microsoft Sans Serif"/>
                <w:b/>
                <w:sz w:val="20"/>
                <w:szCs w:val="20"/>
              </w:rPr>
              <w:t xml:space="preserve"> </w:t>
            </w:r>
            <w:r w:rsidR="0055181E" w:rsidRPr="004172D7">
              <w:rPr>
                <w:rFonts w:ascii="Lato" w:hAnsi="Lato" w:cs="Microsoft Sans Serif"/>
                <w:b/>
                <w:sz w:val="20"/>
                <w:szCs w:val="20"/>
              </w:rPr>
              <w:t xml:space="preserve"> </w:t>
            </w:r>
            <w:r w:rsidR="000F45E5" w:rsidRPr="004172D7">
              <w:rPr>
                <w:rFonts w:ascii="Lato" w:hAnsi="Lato" w:cs="Microsoft Sans Serif"/>
                <w:b/>
                <w:sz w:val="20"/>
                <w:szCs w:val="20"/>
              </w:rPr>
              <w:t xml:space="preserve"> </w:t>
            </w:r>
            <w:r w:rsidR="00D309DF" w:rsidRPr="004172D7">
              <w:rPr>
                <w:rFonts w:ascii="Lato" w:hAnsi="Lato" w:cs="Microsoft Sans Serif"/>
                <w:b/>
                <w:sz w:val="20"/>
                <w:szCs w:val="20"/>
              </w:rPr>
              <w:t xml:space="preserve"> 132,653.98</w:t>
            </w:r>
          </w:p>
        </w:tc>
        <w:tc>
          <w:tcPr>
            <w:tcW w:w="1733" w:type="dxa"/>
          </w:tcPr>
          <w:p w:rsidR="008F1B7E" w:rsidRPr="004172D7" w:rsidRDefault="008F1B7E" w:rsidP="00EF3A70">
            <w:pPr>
              <w:tabs>
                <w:tab w:val="left" w:pos="2294"/>
              </w:tabs>
              <w:spacing w:after="0"/>
              <w:jc w:val="right"/>
              <w:rPr>
                <w:rFonts w:ascii="Lato" w:hAnsi="Lato" w:cs="Microsoft Sans Serif"/>
                <w:b/>
                <w:sz w:val="20"/>
                <w:szCs w:val="20"/>
              </w:rPr>
            </w:pPr>
          </w:p>
        </w:tc>
      </w:tr>
      <w:tr w:rsidR="008F1B7E" w:rsidRPr="004172D7" w:rsidTr="00D03EF2">
        <w:trPr>
          <w:trHeight w:val="234"/>
          <w:jc w:val="center"/>
        </w:trPr>
        <w:tc>
          <w:tcPr>
            <w:tcW w:w="5767" w:type="dxa"/>
          </w:tcPr>
          <w:p w:rsidR="008F1B7E" w:rsidRPr="004172D7" w:rsidRDefault="008F1B7E" w:rsidP="00EF3A70">
            <w:pPr>
              <w:tabs>
                <w:tab w:val="left" w:pos="2294"/>
              </w:tabs>
              <w:spacing w:after="0"/>
              <w:rPr>
                <w:rFonts w:ascii="Lato" w:hAnsi="Lato" w:cs="Microsoft Sans Serif"/>
                <w:sz w:val="20"/>
                <w:szCs w:val="20"/>
              </w:rPr>
            </w:pPr>
            <w:r w:rsidRPr="004172D7">
              <w:rPr>
                <w:rFonts w:ascii="Lato" w:hAnsi="Lato" w:cs="Microsoft Sans Serif"/>
                <w:sz w:val="20"/>
                <w:szCs w:val="20"/>
              </w:rPr>
              <w:lastRenderedPageBreak/>
              <w:t>5-1-3-3-0-00  Servicios Legales, de Contabilidad, Auditoría y Re</w:t>
            </w:r>
          </w:p>
        </w:tc>
        <w:tc>
          <w:tcPr>
            <w:tcW w:w="1913" w:type="dxa"/>
            <w:vMerge/>
          </w:tcPr>
          <w:p w:rsidR="008F1B7E" w:rsidRPr="004172D7" w:rsidRDefault="008F1B7E" w:rsidP="00EF3A70">
            <w:pPr>
              <w:tabs>
                <w:tab w:val="left" w:pos="2294"/>
              </w:tabs>
              <w:spacing w:after="0"/>
              <w:jc w:val="right"/>
              <w:rPr>
                <w:rFonts w:ascii="Lato" w:hAnsi="Lato" w:cs="Microsoft Sans Serif"/>
                <w:sz w:val="20"/>
                <w:szCs w:val="20"/>
              </w:rPr>
            </w:pPr>
          </w:p>
        </w:tc>
        <w:tc>
          <w:tcPr>
            <w:tcW w:w="1733" w:type="dxa"/>
          </w:tcPr>
          <w:p w:rsidR="008F1B7E" w:rsidRPr="004172D7" w:rsidRDefault="00D309DF" w:rsidP="00A55C5E">
            <w:pPr>
              <w:tabs>
                <w:tab w:val="left" w:pos="2294"/>
              </w:tabs>
              <w:spacing w:after="0"/>
              <w:jc w:val="right"/>
              <w:rPr>
                <w:rFonts w:ascii="Lato" w:hAnsi="Lato" w:cs="Microsoft Sans Serif"/>
                <w:b/>
                <w:sz w:val="20"/>
                <w:szCs w:val="20"/>
              </w:rPr>
            </w:pPr>
            <w:r w:rsidRPr="004172D7">
              <w:rPr>
                <w:rFonts w:ascii="Lato" w:hAnsi="Lato" w:cs="Microsoft Sans Serif"/>
                <w:b/>
                <w:sz w:val="20"/>
                <w:szCs w:val="20"/>
              </w:rPr>
              <w:t>132,653.98</w:t>
            </w:r>
          </w:p>
        </w:tc>
      </w:tr>
      <w:tr w:rsidR="008F1B7E" w:rsidRPr="004172D7" w:rsidTr="00D03EF2">
        <w:trPr>
          <w:trHeight w:val="353"/>
          <w:jc w:val="center"/>
        </w:trPr>
        <w:tc>
          <w:tcPr>
            <w:tcW w:w="5767" w:type="dxa"/>
          </w:tcPr>
          <w:p w:rsidR="008F1B7E" w:rsidRPr="004172D7" w:rsidRDefault="008F1B7E" w:rsidP="00EF3A70">
            <w:pPr>
              <w:tabs>
                <w:tab w:val="left" w:pos="2294"/>
              </w:tabs>
              <w:spacing w:after="0"/>
              <w:rPr>
                <w:rFonts w:ascii="Lato" w:hAnsi="Lato" w:cs="Microsoft Sans Serif"/>
                <w:b/>
                <w:sz w:val="20"/>
                <w:szCs w:val="20"/>
              </w:rPr>
            </w:pPr>
            <w:r w:rsidRPr="004172D7">
              <w:rPr>
                <w:rFonts w:ascii="Lato" w:hAnsi="Lato" w:cs="Microsoft Sans Serif"/>
                <w:b/>
                <w:sz w:val="20"/>
                <w:szCs w:val="20"/>
              </w:rPr>
              <w:lastRenderedPageBreak/>
              <w:t>5-5-1 ESTIMACIONES, DEPRECIACIONES, DET, OBSOL Y AMORTIZACIONES</w:t>
            </w:r>
          </w:p>
        </w:tc>
        <w:tc>
          <w:tcPr>
            <w:tcW w:w="1913" w:type="dxa"/>
          </w:tcPr>
          <w:p w:rsidR="008F1B7E" w:rsidRPr="004172D7" w:rsidRDefault="008F1B7E" w:rsidP="00EF3A70">
            <w:pPr>
              <w:tabs>
                <w:tab w:val="left" w:pos="2294"/>
              </w:tabs>
              <w:spacing w:after="0"/>
              <w:jc w:val="right"/>
              <w:rPr>
                <w:rFonts w:ascii="Lato" w:hAnsi="Lato" w:cs="Microsoft Sans Serif"/>
                <w:b/>
                <w:sz w:val="20"/>
                <w:szCs w:val="20"/>
              </w:rPr>
            </w:pPr>
            <w:r w:rsidRPr="004172D7">
              <w:rPr>
                <w:rFonts w:ascii="Lato" w:hAnsi="Lato" w:cs="Microsoft Sans Serif"/>
                <w:b/>
                <w:sz w:val="20"/>
                <w:szCs w:val="20"/>
              </w:rPr>
              <w:t>$     0.00</w:t>
            </w:r>
          </w:p>
        </w:tc>
        <w:tc>
          <w:tcPr>
            <w:tcW w:w="1733" w:type="dxa"/>
          </w:tcPr>
          <w:p w:rsidR="008F1B7E" w:rsidRPr="004172D7" w:rsidRDefault="008F1B7E" w:rsidP="00EF3A70">
            <w:pPr>
              <w:tabs>
                <w:tab w:val="left" w:pos="2294"/>
              </w:tabs>
              <w:spacing w:after="0"/>
              <w:jc w:val="right"/>
              <w:rPr>
                <w:rFonts w:ascii="Lato" w:hAnsi="Lato" w:cs="Microsoft Sans Serif"/>
                <w:b/>
                <w:sz w:val="20"/>
                <w:szCs w:val="20"/>
              </w:rPr>
            </w:pPr>
          </w:p>
        </w:tc>
      </w:tr>
      <w:tr w:rsidR="008F1B7E" w:rsidRPr="004172D7" w:rsidTr="00D03EF2">
        <w:trPr>
          <w:trHeight w:val="234"/>
          <w:jc w:val="center"/>
        </w:trPr>
        <w:tc>
          <w:tcPr>
            <w:tcW w:w="5767" w:type="dxa"/>
          </w:tcPr>
          <w:p w:rsidR="008F1B7E" w:rsidRPr="004172D7" w:rsidRDefault="008F1B7E" w:rsidP="00EF3A70">
            <w:pPr>
              <w:tabs>
                <w:tab w:val="left" w:pos="2294"/>
              </w:tabs>
              <w:spacing w:after="0"/>
              <w:jc w:val="center"/>
              <w:rPr>
                <w:rFonts w:ascii="Lato" w:hAnsi="Lato" w:cs="Microsoft Sans Serif"/>
                <w:b/>
                <w:sz w:val="20"/>
                <w:szCs w:val="20"/>
              </w:rPr>
            </w:pPr>
            <w:r w:rsidRPr="004172D7">
              <w:rPr>
                <w:rFonts w:ascii="Lato" w:hAnsi="Lato" w:cs="Microsoft Sans Serif"/>
                <w:b/>
                <w:sz w:val="20"/>
                <w:szCs w:val="20"/>
              </w:rPr>
              <w:t>TOTAL</w:t>
            </w:r>
          </w:p>
        </w:tc>
        <w:tc>
          <w:tcPr>
            <w:tcW w:w="1913" w:type="dxa"/>
          </w:tcPr>
          <w:p w:rsidR="008F1B7E" w:rsidRPr="004172D7" w:rsidRDefault="008F1B7E" w:rsidP="00365F45">
            <w:pPr>
              <w:tabs>
                <w:tab w:val="left" w:pos="2294"/>
              </w:tabs>
              <w:spacing w:after="0"/>
              <w:jc w:val="right"/>
              <w:rPr>
                <w:rFonts w:ascii="Lato" w:hAnsi="Lato" w:cs="Microsoft Sans Serif"/>
                <w:sz w:val="20"/>
                <w:szCs w:val="20"/>
              </w:rPr>
            </w:pPr>
            <w:r w:rsidRPr="004172D7">
              <w:rPr>
                <w:rFonts w:ascii="Lato" w:hAnsi="Lato" w:cs="Microsoft Sans Serif"/>
                <w:b/>
                <w:sz w:val="20"/>
                <w:szCs w:val="20"/>
              </w:rPr>
              <w:t xml:space="preserve">$    </w:t>
            </w:r>
            <w:r w:rsidR="00D03EF2" w:rsidRPr="004172D7">
              <w:rPr>
                <w:rFonts w:ascii="Lato" w:hAnsi="Lato" w:cs="Microsoft Sans Serif"/>
                <w:b/>
                <w:sz w:val="20"/>
                <w:szCs w:val="20"/>
              </w:rPr>
              <w:t xml:space="preserve"> </w:t>
            </w:r>
            <w:r w:rsidR="00037CD6" w:rsidRPr="004172D7">
              <w:rPr>
                <w:rFonts w:ascii="Lato" w:hAnsi="Lato" w:cs="Microsoft Sans Serif"/>
                <w:b/>
                <w:sz w:val="20"/>
                <w:szCs w:val="20"/>
              </w:rPr>
              <w:t xml:space="preserve"> </w:t>
            </w:r>
            <w:r w:rsidR="00D22099" w:rsidRPr="004172D7">
              <w:rPr>
                <w:rFonts w:ascii="Lato" w:hAnsi="Lato" w:cs="Microsoft Sans Serif"/>
                <w:b/>
                <w:sz w:val="20"/>
                <w:szCs w:val="20"/>
              </w:rPr>
              <w:t xml:space="preserve"> </w:t>
            </w:r>
            <w:r w:rsidR="0055181E" w:rsidRPr="004172D7">
              <w:rPr>
                <w:rFonts w:ascii="Lato" w:hAnsi="Lato" w:cs="Microsoft Sans Serif"/>
                <w:b/>
                <w:sz w:val="20"/>
                <w:szCs w:val="20"/>
              </w:rPr>
              <w:t xml:space="preserve"> </w:t>
            </w:r>
            <w:r w:rsidR="000F45E5" w:rsidRPr="004172D7">
              <w:rPr>
                <w:rFonts w:ascii="Lato" w:hAnsi="Lato" w:cs="Microsoft Sans Serif"/>
                <w:b/>
                <w:sz w:val="20"/>
                <w:szCs w:val="20"/>
              </w:rPr>
              <w:t xml:space="preserve"> </w:t>
            </w:r>
            <w:r w:rsidR="00D309DF" w:rsidRPr="004172D7">
              <w:rPr>
                <w:rFonts w:ascii="Lato" w:hAnsi="Lato" w:cs="Microsoft Sans Serif"/>
                <w:b/>
                <w:sz w:val="20"/>
                <w:szCs w:val="20"/>
              </w:rPr>
              <w:t xml:space="preserve"> 132,653.98</w:t>
            </w:r>
          </w:p>
        </w:tc>
        <w:tc>
          <w:tcPr>
            <w:tcW w:w="1733" w:type="dxa"/>
          </w:tcPr>
          <w:p w:rsidR="008F1B7E" w:rsidRPr="004172D7" w:rsidRDefault="008F1B7E" w:rsidP="00365F45">
            <w:pPr>
              <w:tabs>
                <w:tab w:val="left" w:pos="2294"/>
              </w:tabs>
              <w:spacing w:after="0"/>
              <w:jc w:val="right"/>
              <w:rPr>
                <w:rFonts w:ascii="Lato" w:hAnsi="Lato" w:cs="Microsoft Sans Serif"/>
                <w:b/>
                <w:sz w:val="20"/>
                <w:szCs w:val="20"/>
              </w:rPr>
            </w:pPr>
            <w:r w:rsidRPr="004172D7">
              <w:rPr>
                <w:rFonts w:ascii="Lato" w:hAnsi="Lato" w:cs="Microsoft Sans Serif"/>
                <w:b/>
                <w:sz w:val="20"/>
                <w:szCs w:val="20"/>
              </w:rPr>
              <w:t xml:space="preserve">$    </w:t>
            </w:r>
            <w:r w:rsidR="00D03EF2" w:rsidRPr="004172D7">
              <w:rPr>
                <w:rFonts w:ascii="Lato" w:hAnsi="Lato" w:cs="Microsoft Sans Serif"/>
                <w:b/>
                <w:sz w:val="20"/>
                <w:szCs w:val="20"/>
              </w:rPr>
              <w:t xml:space="preserve"> </w:t>
            </w:r>
            <w:r w:rsidR="00037CD6" w:rsidRPr="004172D7">
              <w:rPr>
                <w:rFonts w:ascii="Lato" w:hAnsi="Lato" w:cs="Microsoft Sans Serif"/>
                <w:b/>
                <w:sz w:val="20"/>
                <w:szCs w:val="20"/>
              </w:rPr>
              <w:t xml:space="preserve"> </w:t>
            </w:r>
            <w:r w:rsidR="00D22099" w:rsidRPr="004172D7">
              <w:rPr>
                <w:rFonts w:ascii="Lato" w:hAnsi="Lato" w:cs="Microsoft Sans Serif"/>
                <w:b/>
                <w:sz w:val="20"/>
                <w:szCs w:val="20"/>
              </w:rPr>
              <w:t xml:space="preserve"> </w:t>
            </w:r>
            <w:r w:rsidR="0055181E" w:rsidRPr="004172D7">
              <w:rPr>
                <w:rFonts w:ascii="Lato" w:hAnsi="Lato" w:cs="Microsoft Sans Serif"/>
                <w:b/>
                <w:sz w:val="20"/>
                <w:szCs w:val="20"/>
              </w:rPr>
              <w:t xml:space="preserve"> </w:t>
            </w:r>
            <w:r w:rsidR="000F45E5" w:rsidRPr="004172D7">
              <w:rPr>
                <w:rFonts w:ascii="Lato" w:hAnsi="Lato" w:cs="Microsoft Sans Serif"/>
                <w:b/>
                <w:sz w:val="20"/>
                <w:szCs w:val="20"/>
              </w:rPr>
              <w:t xml:space="preserve"> </w:t>
            </w:r>
            <w:r w:rsidR="00D309DF" w:rsidRPr="004172D7">
              <w:rPr>
                <w:rFonts w:ascii="Lato" w:hAnsi="Lato" w:cs="Microsoft Sans Serif"/>
                <w:b/>
                <w:sz w:val="20"/>
                <w:szCs w:val="20"/>
              </w:rPr>
              <w:t xml:space="preserve"> 132,653.98</w:t>
            </w:r>
          </w:p>
        </w:tc>
      </w:tr>
    </w:tbl>
    <w:p w:rsidR="008F1B7E" w:rsidRPr="004172D7" w:rsidRDefault="008F1B7E" w:rsidP="00051164">
      <w:pPr>
        <w:jc w:val="center"/>
        <w:rPr>
          <w:rFonts w:ascii="Lato" w:hAnsi="Lato"/>
          <w:b/>
          <w:sz w:val="20"/>
          <w:szCs w:val="20"/>
        </w:rPr>
      </w:pPr>
    </w:p>
    <w:p w:rsidR="00051164" w:rsidRPr="004172D7" w:rsidRDefault="00A1627F" w:rsidP="00051164">
      <w:pPr>
        <w:jc w:val="center"/>
        <w:rPr>
          <w:rFonts w:ascii="Lato" w:hAnsi="Lato"/>
          <w:b/>
          <w:sz w:val="20"/>
          <w:szCs w:val="20"/>
        </w:rPr>
      </w:pPr>
      <w:proofErr w:type="spellStart"/>
      <w:r w:rsidRPr="004172D7">
        <w:rPr>
          <w:rFonts w:ascii="Lato" w:hAnsi="Lato"/>
          <w:b/>
          <w:sz w:val="20"/>
          <w:szCs w:val="20"/>
        </w:rPr>
        <w:t>Ii</w:t>
      </w:r>
      <w:proofErr w:type="spellEnd"/>
      <w:r w:rsidRPr="004172D7">
        <w:rPr>
          <w:rFonts w:ascii="Lato" w:hAnsi="Lato"/>
          <w:b/>
          <w:sz w:val="20"/>
          <w:szCs w:val="20"/>
        </w:rPr>
        <w:t xml:space="preserve">) </w:t>
      </w:r>
      <w:r w:rsidR="00051164" w:rsidRPr="004172D7">
        <w:rPr>
          <w:rFonts w:ascii="Lato" w:hAnsi="Lato"/>
          <w:b/>
          <w:sz w:val="20"/>
          <w:szCs w:val="20"/>
        </w:rPr>
        <w:t>NOTAS AL ESTADO DE SITUACION FINANCIERA</w:t>
      </w:r>
    </w:p>
    <w:p w:rsidR="00051164" w:rsidRPr="004172D7" w:rsidRDefault="00051164" w:rsidP="00051164">
      <w:pPr>
        <w:jc w:val="center"/>
        <w:rPr>
          <w:rFonts w:ascii="Lato" w:hAnsi="Lato"/>
          <w:b/>
          <w:sz w:val="20"/>
          <w:szCs w:val="20"/>
        </w:rPr>
      </w:pPr>
      <w:r w:rsidRPr="004172D7">
        <w:rPr>
          <w:rFonts w:ascii="Lato" w:hAnsi="Lato"/>
          <w:b/>
          <w:sz w:val="20"/>
          <w:szCs w:val="20"/>
        </w:rPr>
        <w:t>EFECTIVO Y EQUIVALENTES</w:t>
      </w:r>
    </w:p>
    <w:p w:rsidR="00051164" w:rsidRPr="004172D7" w:rsidRDefault="00051164" w:rsidP="00051164">
      <w:pPr>
        <w:spacing w:after="0"/>
        <w:jc w:val="both"/>
        <w:rPr>
          <w:rFonts w:ascii="Lato" w:hAnsi="Lato"/>
          <w:sz w:val="20"/>
          <w:szCs w:val="20"/>
        </w:rPr>
      </w:pPr>
      <w:r w:rsidRPr="004172D7">
        <w:rPr>
          <w:rFonts w:ascii="Lato" w:hAnsi="Lato"/>
          <w:sz w:val="20"/>
          <w:szCs w:val="20"/>
        </w:rPr>
        <w:t xml:space="preserve">Este rubro está integrado por las cuentas bancarias </w:t>
      </w:r>
      <w:r w:rsidR="00EC0692" w:rsidRPr="004172D7">
        <w:rPr>
          <w:rFonts w:ascii="Lato" w:hAnsi="Lato"/>
          <w:sz w:val="20"/>
          <w:szCs w:val="20"/>
        </w:rPr>
        <w:t xml:space="preserve">y de inversión </w:t>
      </w:r>
      <w:r w:rsidRPr="004172D7">
        <w:rPr>
          <w:rFonts w:ascii="Lato" w:hAnsi="Lato"/>
          <w:sz w:val="20"/>
          <w:szCs w:val="20"/>
        </w:rPr>
        <w:t xml:space="preserve">de </w:t>
      </w:r>
      <w:r w:rsidR="00DF50DE" w:rsidRPr="004172D7">
        <w:rPr>
          <w:rFonts w:ascii="Lato" w:hAnsi="Lato"/>
          <w:sz w:val="20"/>
          <w:szCs w:val="20"/>
        </w:rPr>
        <w:t>El Fondo Yucatán</w:t>
      </w:r>
      <w:r w:rsidRPr="004172D7">
        <w:rPr>
          <w:rFonts w:ascii="Lato" w:hAnsi="Lato"/>
          <w:sz w:val="20"/>
          <w:szCs w:val="20"/>
        </w:rPr>
        <w:t xml:space="preserve"> se desglosan de la siguiente manera:</w:t>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sz w:val="20"/>
          <w:szCs w:val="20"/>
        </w:rPr>
        <w:tab/>
      </w:r>
    </w:p>
    <w:p w:rsidR="00051164" w:rsidRPr="004172D7" w:rsidRDefault="00051164" w:rsidP="00051164">
      <w:pPr>
        <w:spacing w:after="0"/>
        <w:jc w:val="center"/>
        <w:rPr>
          <w:rFonts w:ascii="Lato" w:hAnsi="Lato"/>
          <w:b/>
          <w:sz w:val="20"/>
          <w:szCs w:val="20"/>
        </w:rPr>
      </w:pPr>
      <w:r w:rsidRPr="004172D7">
        <w:rPr>
          <w:rFonts w:ascii="Lato" w:hAnsi="Lato"/>
          <w:b/>
          <w:sz w:val="20"/>
          <w:szCs w:val="20"/>
        </w:rPr>
        <w:t xml:space="preserve">CUENTAS DE </w:t>
      </w:r>
      <w:r w:rsidR="00EC0692" w:rsidRPr="004172D7">
        <w:rPr>
          <w:rFonts w:ascii="Lato" w:hAnsi="Lato"/>
          <w:b/>
          <w:sz w:val="20"/>
          <w:szCs w:val="20"/>
        </w:rPr>
        <w:t>INVERSION</w:t>
      </w:r>
    </w:p>
    <w:p w:rsidR="00051164" w:rsidRPr="004172D7" w:rsidRDefault="00051164" w:rsidP="00051164">
      <w:pPr>
        <w:spacing w:after="0"/>
        <w:jc w:val="center"/>
        <w:rPr>
          <w:rFonts w:ascii="Lato" w:hAnsi="Lato"/>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652"/>
        <w:gridCol w:w="1578"/>
      </w:tblGrid>
      <w:tr w:rsidR="00051164" w:rsidRPr="004172D7" w:rsidTr="00EF3A70">
        <w:trPr>
          <w:trHeight w:val="215"/>
          <w:jc w:val="center"/>
        </w:trPr>
        <w:tc>
          <w:tcPr>
            <w:tcW w:w="1695" w:type="dxa"/>
            <w:shd w:val="clear" w:color="auto" w:fill="auto"/>
          </w:tcPr>
          <w:p w:rsidR="00051164" w:rsidRPr="004172D7" w:rsidRDefault="00051164" w:rsidP="00EF3A70">
            <w:pPr>
              <w:spacing w:after="0" w:line="240" w:lineRule="auto"/>
              <w:jc w:val="center"/>
              <w:rPr>
                <w:rFonts w:ascii="Lato" w:hAnsi="Lato"/>
                <w:sz w:val="20"/>
                <w:szCs w:val="20"/>
              </w:rPr>
            </w:pPr>
            <w:r w:rsidRPr="004172D7">
              <w:rPr>
                <w:rFonts w:ascii="Lato" w:hAnsi="Lato"/>
                <w:sz w:val="20"/>
                <w:szCs w:val="20"/>
              </w:rPr>
              <w:t>No. Cuenta</w:t>
            </w:r>
          </w:p>
        </w:tc>
        <w:tc>
          <w:tcPr>
            <w:tcW w:w="4652" w:type="dxa"/>
            <w:shd w:val="clear" w:color="auto" w:fill="auto"/>
          </w:tcPr>
          <w:p w:rsidR="00051164" w:rsidRPr="004172D7" w:rsidRDefault="00051164" w:rsidP="00EF3A70">
            <w:pPr>
              <w:spacing w:after="0" w:line="240" w:lineRule="auto"/>
              <w:jc w:val="center"/>
              <w:rPr>
                <w:rFonts w:ascii="Lato" w:hAnsi="Lato"/>
                <w:sz w:val="20"/>
                <w:szCs w:val="20"/>
              </w:rPr>
            </w:pPr>
            <w:r w:rsidRPr="004172D7">
              <w:rPr>
                <w:rFonts w:ascii="Lato" w:hAnsi="Lato"/>
                <w:sz w:val="20"/>
                <w:szCs w:val="20"/>
              </w:rPr>
              <w:t>Banco</w:t>
            </w:r>
          </w:p>
        </w:tc>
        <w:tc>
          <w:tcPr>
            <w:tcW w:w="1578" w:type="dxa"/>
            <w:shd w:val="clear" w:color="auto" w:fill="auto"/>
          </w:tcPr>
          <w:p w:rsidR="00051164" w:rsidRPr="004172D7" w:rsidRDefault="00051164" w:rsidP="00EF3A70">
            <w:pPr>
              <w:spacing w:after="0" w:line="240" w:lineRule="auto"/>
              <w:jc w:val="center"/>
              <w:rPr>
                <w:rFonts w:ascii="Lato" w:hAnsi="Lato"/>
                <w:sz w:val="20"/>
                <w:szCs w:val="20"/>
              </w:rPr>
            </w:pPr>
            <w:r w:rsidRPr="004172D7">
              <w:rPr>
                <w:rFonts w:ascii="Lato" w:hAnsi="Lato"/>
                <w:sz w:val="20"/>
                <w:szCs w:val="20"/>
              </w:rPr>
              <w:t>Importe</w:t>
            </w:r>
          </w:p>
        </w:tc>
      </w:tr>
      <w:tr w:rsidR="00051164" w:rsidRPr="004172D7" w:rsidTr="00EF3A70">
        <w:trPr>
          <w:trHeight w:val="331"/>
          <w:jc w:val="center"/>
        </w:trPr>
        <w:tc>
          <w:tcPr>
            <w:tcW w:w="1695" w:type="dxa"/>
            <w:shd w:val="clear" w:color="auto" w:fill="auto"/>
          </w:tcPr>
          <w:p w:rsidR="00051164" w:rsidRPr="004172D7" w:rsidRDefault="00EC0692" w:rsidP="00EF3A70">
            <w:pPr>
              <w:spacing w:after="0" w:line="240" w:lineRule="auto"/>
              <w:jc w:val="right"/>
              <w:rPr>
                <w:rFonts w:ascii="Lato" w:hAnsi="Lato"/>
                <w:sz w:val="20"/>
                <w:szCs w:val="20"/>
              </w:rPr>
            </w:pPr>
            <w:r w:rsidRPr="004172D7">
              <w:rPr>
                <w:rFonts w:ascii="Lato" w:hAnsi="Lato"/>
                <w:sz w:val="20"/>
                <w:szCs w:val="20"/>
              </w:rPr>
              <w:t>F-80655</w:t>
            </w:r>
          </w:p>
        </w:tc>
        <w:tc>
          <w:tcPr>
            <w:tcW w:w="4652" w:type="dxa"/>
            <w:shd w:val="clear" w:color="auto" w:fill="auto"/>
          </w:tcPr>
          <w:p w:rsidR="00051164" w:rsidRPr="004172D7" w:rsidRDefault="00EC0692" w:rsidP="00EF3A70">
            <w:pPr>
              <w:spacing w:after="0" w:line="240" w:lineRule="auto"/>
              <w:rPr>
                <w:rFonts w:ascii="Lato" w:hAnsi="Lato"/>
                <w:sz w:val="20"/>
                <w:szCs w:val="20"/>
              </w:rPr>
            </w:pPr>
            <w:r w:rsidRPr="004172D7">
              <w:rPr>
                <w:rFonts w:ascii="Lato" w:hAnsi="Lato"/>
                <w:sz w:val="20"/>
                <w:szCs w:val="20"/>
              </w:rPr>
              <w:t>Contrato 80655 Fondo Yucatán</w:t>
            </w:r>
          </w:p>
        </w:tc>
        <w:tc>
          <w:tcPr>
            <w:tcW w:w="1578" w:type="dxa"/>
            <w:shd w:val="clear" w:color="auto" w:fill="auto"/>
          </w:tcPr>
          <w:p w:rsidR="00051164" w:rsidRPr="004172D7" w:rsidRDefault="00D309DF" w:rsidP="00A55C5E">
            <w:pPr>
              <w:jc w:val="right"/>
              <w:rPr>
                <w:rFonts w:ascii="Lato" w:hAnsi="Lato"/>
                <w:sz w:val="20"/>
                <w:szCs w:val="20"/>
              </w:rPr>
            </w:pPr>
            <w:r w:rsidRPr="004172D7">
              <w:rPr>
                <w:rFonts w:ascii="Lato" w:hAnsi="Lato"/>
                <w:sz w:val="20"/>
                <w:szCs w:val="20"/>
              </w:rPr>
              <w:t>54,707.47</w:t>
            </w:r>
          </w:p>
        </w:tc>
      </w:tr>
    </w:tbl>
    <w:p w:rsidR="00051164" w:rsidRPr="004172D7" w:rsidRDefault="00051164" w:rsidP="00051164">
      <w:pPr>
        <w:spacing w:after="0" w:line="240" w:lineRule="auto"/>
        <w:rPr>
          <w:rFonts w:ascii="Lato" w:hAnsi="Lato"/>
          <w:b/>
          <w:sz w:val="20"/>
          <w:szCs w:val="20"/>
        </w:rPr>
      </w:pPr>
      <w:r w:rsidRPr="004172D7">
        <w:rPr>
          <w:rFonts w:ascii="Lato" w:hAnsi="Lato"/>
          <w:sz w:val="20"/>
          <w:szCs w:val="20"/>
        </w:rPr>
        <w:tab/>
      </w:r>
      <w:r w:rsidRPr="004172D7">
        <w:rPr>
          <w:rFonts w:ascii="Lato" w:hAnsi="Lato"/>
          <w:sz w:val="20"/>
          <w:szCs w:val="20"/>
        </w:rPr>
        <w:tab/>
      </w:r>
      <w:r w:rsidRPr="004172D7">
        <w:rPr>
          <w:rFonts w:ascii="Lato" w:hAnsi="Lato"/>
          <w:sz w:val="20"/>
          <w:szCs w:val="20"/>
        </w:rPr>
        <w:tab/>
      </w:r>
      <w:r w:rsidRPr="004172D7">
        <w:rPr>
          <w:rFonts w:ascii="Lato" w:hAnsi="Lato"/>
          <w:b/>
          <w:sz w:val="20"/>
          <w:szCs w:val="20"/>
        </w:rPr>
        <w:t xml:space="preserve">          </w:t>
      </w:r>
    </w:p>
    <w:p w:rsidR="00051164" w:rsidRPr="004172D7" w:rsidRDefault="00051164" w:rsidP="000F45E5">
      <w:pPr>
        <w:spacing w:after="0" w:line="240" w:lineRule="auto"/>
        <w:ind w:left="4248" w:firstLine="708"/>
        <w:rPr>
          <w:rFonts w:ascii="Lato" w:hAnsi="Lato"/>
          <w:b/>
          <w:sz w:val="20"/>
          <w:szCs w:val="20"/>
        </w:rPr>
      </w:pPr>
      <w:r w:rsidRPr="004172D7">
        <w:rPr>
          <w:rFonts w:ascii="Lato" w:hAnsi="Lato"/>
          <w:b/>
          <w:sz w:val="20"/>
          <w:szCs w:val="20"/>
        </w:rPr>
        <w:t xml:space="preserve">                                             TOTAL, DE BANCOS           $       </w:t>
      </w:r>
      <w:r w:rsidR="00365F45" w:rsidRPr="004172D7">
        <w:rPr>
          <w:rFonts w:ascii="Lato" w:hAnsi="Lato"/>
          <w:b/>
          <w:sz w:val="20"/>
          <w:szCs w:val="20"/>
        </w:rPr>
        <w:t xml:space="preserve">    </w:t>
      </w:r>
      <w:r w:rsidR="0055181E" w:rsidRPr="004172D7">
        <w:rPr>
          <w:rFonts w:ascii="Lato" w:hAnsi="Lato"/>
          <w:b/>
          <w:sz w:val="20"/>
          <w:szCs w:val="20"/>
        </w:rPr>
        <w:t xml:space="preserve"> </w:t>
      </w:r>
      <w:r w:rsidR="000F45E5" w:rsidRPr="004172D7">
        <w:rPr>
          <w:rFonts w:ascii="Lato" w:hAnsi="Lato"/>
          <w:b/>
          <w:sz w:val="20"/>
          <w:szCs w:val="20"/>
        </w:rPr>
        <w:t xml:space="preserve"> </w:t>
      </w:r>
      <w:r w:rsidR="00D309DF" w:rsidRPr="004172D7">
        <w:rPr>
          <w:rFonts w:ascii="Lato" w:hAnsi="Lato"/>
          <w:b/>
          <w:sz w:val="20"/>
          <w:szCs w:val="20"/>
        </w:rPr>
        <w:t xml:space="preserve"> 54,707.47</w:t>
      </w:r>
    </w:p>
    <w:p w:rsidR="00051164" w:rsidRPr="004172D7" w:rsidRDefault="00051164" w:rsidP="00051164">
      <w:pPr>
        <w:spacing w:after="0" w:line="240" w:lineRule="auto"/>
        <w:ind w:left="2832" w:firstLine="708"/>
        <w:rPr>
          <w:rFonts w:ascii="Lato" w:eastAsia="Times New Roman" w:hAnsi="Lato" w:cs="Arial"/>
          <w:b/>
          <w:bCs/>
          <w:sz w:val="20"/>
          <w:szCs w:val="20"/>
          <w:lang w:eastAsia="es-MX"/>
        </w:rPr>
      </w:pPr>
      <w:r w:rsidRPr="004172D7">
        <w:rPr>
          <w:rFonts w:ascii="Lato" w:hAnsi="Lato"/>
          <w:b/>
          <w:sz w:val="20"/>
          <w:szCs w:val="20"/>
        </w:rPr>
        <w:t xml:space="preserve">                                         TOTAL, EFECTIVO Y EQUIVALENTES    </w:t>
      </w:r>
      <w:r w:rsidRPr="004172D7">
        <w:rPr>
          <w:rFonts w:ascii="Lato" w:eastAsia="Times New Roman" w:hAnsi="Lato" w:cs="Arial"/>
          <w:b/>
          <w:bCs/>
          <w:sz w:val="20"/>
          <w:szCs w:val="20"/>
          <w:lang w:eastAsia="es-MX"/>
        </w:rPr>
        <w:t xml:space="preserve"> </w:t>
      </w:r>
      <w:r w:rsidRPr="004172D7">
        <w:rPr>
          <w:rFonts w:ascii="Lato" w:eastAsia="Times New Roman" w:hAnsi="Lato" w:cs="Calibri"/>
          <w:b/>
          <w:bCs/>
          <w:sz w:val="20"/>
          <w:szCs w:val="20"/>
          <w:lang w:eastAsia="es-MX"/>
        </w:rPr>
        <w:t xml:space="preserve"> </w:t>
      </w:r>
      <w:r w:rsidR="00EC0692" w:rsidRPr="004172D7">
        <w:rPr>
          <w:rFonts w:ascii="Lato" w:eastAsia="Times New Roman" w:hAnsi="Lato" w:cs="Calibri"/>
          <w:b/>
          <w:bCs/>
          <w:sz w:val="20"/>
          <w:szCs w:val="20"/>
          <w:lang w:eastAsia="es-MX"/>
        </w:rPr>
        <w:t xml:space="preserve">            </w:t>
      </w:r>
      <w:r w:rsidRPr="004172D7">
        <w:rPr>
          <w:rFonts w:ascii="Lato" w:eastAsia="Times New Roman" w:hAnsi="Lato" w:cs="Calibri"/>
          <w:b/>
          <w:bCs/>
          <w:sz w:val="20"/>
          <w:szCs w:val="20"/>
          <w:lang w:eastAsia="es-MX"/>
        </w:rPr>
        <w:t xml:space="preserve">$ </w:t>
      </w:r>
      <w:r w:rsidR="00EC0692" w:rsidRPr="004172D7">
        <w:rPr>
          <w:rFonts w:ascii="Lato" w:eastAsia="Times New Roman" w:hAnsi="Lato" w:cs="Calibri"/>
          <w:b/>
          <w:bCs/>
          <w:sz w:val="20"/>
          <w:szCs w:val="20"/>
          <w:lang w:eastAsia="es-MX"/>
        </w:rPr>
        <w:t xml:space="preserve"> </w:t>
      </w:r>
      <w:r w:rsidRPr="004172D7">
        <w:rPr>
          <w:rFonts w:ascii="Lato" w:eastAsia="Times New Roman" w:hAnsi="Lato" w:cs="Calibri"/>
          <w:b/>
          <w:bCs/>
          <w:sz w:val="20"/>
          <w:szCs w:val="20"/>
          <w:lang w:eastAsia="es-MX"/>
        </w:rPr>
        <w:t xml:space="preserve">  </w:t>
      </w:r>
      <w:r w:rsidR="00365F45" w:rsidRPr="004172D7">
        <w:rPr>
          <w:rFonts w:ascii="Lato" w:eastAsia="Times New Roman" w:hAnsi="Lato" w:cs="Calibri"/>
          <w:b/>
          <w:bCs/>
          <w:sz w:val="20"/>
          <w:szCs w:val="20"/>
          <w:lang w:eastAsia="es-MX"/>
        </w:rPr>
        <w:t xml:space="preserve">    </w:t>
      </w:r>
      <w:r w:rsidR="00037CD6" w:rsidRPr="004172D7">
        <w:rPr>
          <w:rFonts w:ascii="Lato" w:eastAsia="Times New Roman" w:hAnsi="Lato" w:cs="Calibri"/>
          <w:b/>
          <w:bCs/>
          <w:sz w:val="20"/>
          <w:szCs w:val="20"/>
          <w:lang w:eastAsia="es-MX"/>
        </w:rPr>
        <w:t xml:space="preserve"> </w:t>
      </w:r>
      <w:r w:rsidR="00A55C5E" w:rsidRPr="004172D7">
        <w:rPr>
          <w:rFonts w:ascii="Lato" w:eastAsia="Times New Roman" w:hAnsi="Lato" w:cs="Calibri"/>
          <w:b/>
          <w:bCs/>
          <w:sz w:val="20"/>
          <w:szCs w:val="20"/>
          <w:lang w:eastAsia="es-MX"/>
        </w:rPr>
        <w:t xml:space="preserve"> </w:t>
      </w:r>
      <w:r w:rsidR="00D22099" w:rsidRPr="004172D7">
        <w:rPr>
          <w:rFonts w:ascii="Lato" w:eastAsia="Times New Roman" w:hAnsi="Lato" w:cs="Calibri"/>
          <w:b/>
          <w:bCs/>
          <w:sz w:val="20"/>
          <w:szCs w:val="20"/>
          <w:lang w:eastAsia="es-MX"/>
        </w:rPr>
        <w:t xml:space="preserve"> </w:t>
      </w:r>
      <w:r w:rsidR="0055181E" w:rsidRPr="004172D7">
        <w:rPr>
          <w:rFonts w:ascii="Lato" w:eastAsia="Times New Roman" w:hAnsi="Lato" w:cs="Calibri"/>
          <w:b/>
          <w:bCs/>
          <w:sz w:val="20"/>
          <w:szCs w:val="20"/>
          <w:lang w:eastAsia="es-MX"/>
        </w:rPr>
        <w:t xml:space="preserve"> </w:t>
      </w:r>
      <w:r w:rsidR="000F45E5" w:rsidRPr="004172D7">
        <w:rPr>
          <w:rFonts w:ascii="Lato" w:eastAsia="Times New Roman" w:hAnsi="Lato" w:cs="Calibri"/>
          <w:b/>
          <w:bCs/>
          <w:sz w:val="20"/>
          <w:szCs w:val="20"/>
          <w:lang w:eastAsia="es-MX"/>
        </w:rPr>
        <w:t xml:space="preserve"> </w:t>
      </w:r>
      <w:r w:rsidR="00D309DF" w:rsidRPr="004172D7">
        <w:rPr>
          <w:rFonts w:ascii="Lato" w:eastAsia="Times New Roman" w:hAnsi="Lato" w:cs="Calibri"/>
          <w:b/>
          <w:bCs/>
          <w:sz w:val="20"/>
          <w:szCs w:val="20"/>
          <w:lang w:eastAsia="es-MX"/>
        </w:rPr>
        <w:t xml:space="preserve"> 54,707.47</w:t>
      </w:r>
      <w:r w:rsidRPr="004172D7">
        <w:rPr>
          <w:rFonts w:ascii="Lato" w:eastAsia="Times New Roman" w:hAnsi="Lato" w:cs="Calibri"/>
          <w:b/>
          <w:bCs/>
          <w:sz w:val="20"/>
          <w:szCs w:val="20"/>
          <w:lang w:eastAsia="es-MX"/>
        </w:rPr>
        <w:tab/>
      </w:r>
    </w:p>
    <w:p w:rsidR="00051164" w:rsidRPr="004172D7" w:rsidRDefault="00051164" w:rsidP="00051164">
      <w:pPr>
        <w:spacing w:after="0"/>
        <w:rPr>
          <w:rFonts w:ascii="Lato" w:hAnsi="Lato"/>
          <w:b/>
          <w:sz w:val="20"/>
          <w:szCs w:val="20"/>
        </w:rPr>
      </w:pPr>
      <w:r w:rsidRPr="004172D7">
        <w:rPr>
          <w:rFonts w:ascii="Lato" w:hAnsi="Lato"/>
          <w:b/>
          <w:sz w:val="20"/>
          <w:szCs w:val="20"/>
        </w:rPr>
        <w:tab/>
      </w:r>
      <w:r w:rsidRPr="004172D7">
        <w:rPr>
          <w:rFonts w:ascii="Lato" w:hAnsi="Lato"/>
          <w:b/>
          <w:sz w:val="20"/>
          <w:szCs w:val="20"/>
        </w:rPr>
        <w:tab/>
      </w:r>
    </w:p>
    <w:p w:rsidR="00051164" w:rsidRPr="004172D7" w:rsidRDefault="00051164" w:rsidP="00051164">
      <w:pPr>
        <w:spacing w:after="120"/>
        <w:jc w:val="center"/>
        <w:rPr>
          <w:rFonts w:ascii="Lato" w:hAnsi="Lato"/>
          <w:b/>
          <w:sz w:val="20"/>
          <w:szCs w:val="20"/>
        </w:rPr>
      </w:pPr>
      <w:r w:rsidRPr="004172D7">
        <w:rPr>
          <w:rFonts w:ascii="Lato" w:hAnsi="Lato"/>
          <w:b/>
          <w:sz w:val="20"/>
          <w:szCs w:val="20"/>
        </w:rPr>
        <w:t>DERECHOS A RECIBIR EFECTIVO Y EQUIVALENTES Y BIENES O SERVICIOS A RECIBIR</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06636C" w:rsidP="00051164">
      <w:pPr>
        <w:spacing w:after="120"/>
        <w:jc w:val="center"/>
        <w:rPr>
          <w:rFonts w:ascii="Lato" w:hAnsi="Lato"/>
          <w:b/>
          <w:sz w:val="20"/>
          <w:szCs w:val="20"/>
        </w:rPr>
      </w:pPr>
      <w:r w:rsidRPr="004172D7">
        <w:rPr>
          <w:rFonts w:ascii="Lato" w:hAnsi="Lato"/>
          <w:b/>
          <w:sz w:val="20"/>
          <w:szCs w:val="20"/>
        </w:rPr>
        <w:t>INVENTARIOS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06636C" w:rsidRPr="004172D7" w:rsidRDefault="0006636C" w:rsidP="0006636C">
      <w:pPr>
        <w:spacing w:after="120"/>
        <w:jc w:val="center"/>
        <w:rPr>
          <w:rFonts w:ascii="Lato" w:hAnsi="Lato"/>
          <w:b/>
          <w:sz w:val="20"/>
          <w:szCs w:val="20"/>
        </w:rPr>
      </w:pPr>
      <w:r w:rsidRPr="004172D7">
        <w:rPr>
          <w:rFonts w:ascii="Lato" w:hAnsi="Lato"/>
          <w:b/>
          <w:sz w:val="20"/>
          <w:szCs w:val="20"/>
        </w:rPr>
        <w:t>ALMACENES</w:t>
      </w:r>
    </w:p>
    <w:p w:rsidR="0006636C" w:rsidRPr="004172D7" w:rsidRDefault="0006636C" w:rsidP="0006636C">
      <w:pPr>
        <w:spacing w:after="120"/>
        <w:jc w:val="center"/>
        <w:rPr>
          <w:rFonts w:ascii="Lato" w:hAnsi="Lato"/>
          <w:b/>
          <w:sz w:val="20"/>
          <w:szCs w:val="20"/>
        </w:rPr>
      </w:pPr>
      <w:r w:rsidRPr="004172D7">
        <w:rPr>
          <w:rFonts w:ascii="Lato" w:hAnsi="Lato"/>
          <w:sz w:val="20"/>
          <w:szCs w:val="20"/>
        </w:rPr>
        <w:t>SIN INFORMACION QUE REVELAR</w:t>
      </w:r>
    </w:p>
    <w:p w:rsidR="00051164" w:rsidRPr="004172D7" w:rsidRDefault="00051164" w:rsidP="00051164">
      <w:pPr>
        <w:spacing w:after="120"/>
        <w:jc w:val="center"/>
        <w:rPr>
          <w:rFonts w:ascii="Lato" w:hAnsi="Lato"/>
          <w:b/>
          <w:sz w:val="20"/>
          <w:szCs w:val="20"/>
        </w:rPr>
      </w:pPr>
      <w:r w:rsidRPr="004172D7">
        <w:rPr>
          <w:rFonts w:ascii="Lato" w:hAnsi="Lato"/>
          <w:b/>
          <w:sz w:val="20"/>
          <w:szCs w:val="20"/>
        </w:rPr>
        <w:lastRenderedPageBreak/>
        <w:t>INVERSIONES FINANCIERAS</w:t>
      </w:r>
    </w:p>
    <w:p w:rsidR="001C390A" w:rsidRPr="004172D7" w:rsidRDefault="001C390A" w:rsidP="001C390A">
      <w:pPr>
        <w:spacing w:after="120"/>
        <w:jc w:val="center"/>
        <w:rPr>
          <w:rFonts w:ascii="Lato" w:hAnsi="Lato"/>
          <w:b/>
          <w:sz w:val="20"/>
          <w:szCs w:val="20"/>
        </w:rPr>
      </w:pPr>
      <w:r w:rsidRPr="004172D7">
        <w:rPr>
          <w:rFonts w:ascii="Lato" w:hAnsi="Lato"/>
          <w:sz w:val="20"/>
          <w:szCs w:val="20"/>
        </w:rPr>
        <w:t>SIN INFORMACION QUE REVELAR</w:t>
      </w:r>
    </w:p>
    <w:p w:rsidR="00051164" w:rsidRPr="004172D7" w:rsidRDefault="00051164" w:rsidP="0006636C">
      <w:pPr>
        <w:spacing w:after="120"/>
        <w:jc w:val="center"/>
        <w:rPr>
          <w:rFonts w:ascii="Lato" w:hAnsi="Lato"/>
          <w:b/>
          <w:sz w:val="20"/>
          <w:szCs w:val="20"/>
        </w:rPr>
      </w:pPr>
      <w:r w:rsidRPr="004172D7">
        <w:rPr>
          <w:rFonts w:ascii="Lato" w:hAnsi="Lato"/>
          <w:b/>
          <w:sz w:val="20"/>
          <w:szCs w:val="20"/>
        </w:rPr>
        <w:t>FIDEICOMISOS, MANDATOS Y CONTRATOS ANALOGOS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820C61" w:rsidRPr="004172D7" w:rsidRDefault="00820C61" w:rsidP="00820C61">
      <w:pPr>
        <w:spacing w:after="120"/>
        <w:jc w:val="center"/>
        <w:rPr>
          <w:rFonts w:ascii="Lato" w:hAnsi="Lato"/>
          <w:b/>
          <w:sz w:val="20"/>
          <w:szCs w:val="20"/>
        </w:rPr>
      </w:pPr>
      <w:r w:rsidRPr="004172D7">
        <w:rPr>
          <w:rFonts w:ascii="Lato" w:hAnsi="Lato"/>
          <w:b/>
          <w:sz w:val="20"/>
          <w:szCs w:val="20"/>
        </w:rPr>
        <w:t>BIENES MUEBLES, INMUEBLES E INTANGIBLES</w:t>
      </w:r>
    </w:p>
    <w:p w:rsidR="00EC0692" w:rsidRPr="004172D7" w:rsidRDefault="00EC0692" w:rsidP="00EC0692">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051164" w:rsidP="00051164">
      <w:pPr>
        <w:jc w:val="center"/>
        <w:rPr>
          <w:rFonts w:ascii="Lato" w:hAnsi="Lato"/>
          <w:b/>
          <w:sz w:val="20"/>
          <w:szCs w:val="20"/>
        </w:rPr>
      </w:pPr>
      <w:r w:rsidRPr="004172D7">
        <w:rPr>
          <w:rFonts w:ascii="Lato" w:hAnsi="Lato"/>
          <w:b/>
          <w:sz w:val="20"/>
          <w:szCs w:val="20"/>
        </w:rPr>
        <w:t>ESTIMACIONES Y DETERIOROS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06636C" w:rsidRPr="004172D7" w:rsidRDefault="0006636C" w:rsidP="0006636C">
      <w:pPr>
        <w:jc w:val="center"/>
        <w:rPr>
          <w:rFonts w:ascii="Lato" w:hAnsi="Lato"/>
          <w:b/>
          <w:sz w:val="20"/>
          <w:szCs w:val="20"/>
        </w:rPr>
      </w:pPr>
      <w:r w:rsidRPr="004172D7">
        <w:rPr>
          <w:rFonts w:ascii="Lato" w:hAnsi="Lato"/>
          <w:b/>
          <w:sz w:val="20"/>
          <w:szCs w:val="20"/>
        </w:rPr>
        <w:t>OTROS ACTIVOS</w:t>
      </w:r>
    </w:p>
    <w:p w:rsidR="0006636C" w:rsidRPr="004172D7" w:rsidRDefault="0006636C" w:rsidP="0006636C">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051164" w:rsidP="00051164">
      <w:pPr>
        <w:spacing w:after="120"/>
        <w:jc w:val="center"/>
        <w:rPr>
          <w:rFonts w:ascii="Lato" w:hAnsi="Lato"/>
          <w:b/>
          <w:sz w:val="20"/>
          <w:szCs w:val="20"/>
        </w:rPr>
      </w:pPr>
      <w:r w:rsidRPr="004172D7">
        <w:rPr>
          <w:rFonts w:ascii="Lato" w:hAnsi="Lato"/>
          <w:b/>
          <w:sz w:val="20"/>
          <w:szCs w:val="20"/>
        </w:rPr>
        <w:t>PASIVO</w:t>
      </w:r>
    </w:p>
    <w:p w:rsidR="0006636C" w:rsidRPr="004172D7" w:rsidRDefault="00051164" w:rsidP="00051164">
      <w:pPr>
        <w:spacing w:after="120"/>
        <w:jc w:val="center"/>
        <w:rPr>
          <w:rFonts w:ascii="Lato" w:hAnsi="Lato"/>
          <w:b/>
          <w:sz w:val="20"/>
          <w:szCs w:val="20"/>
        </w:rPr>
      </w:pPr>
      <w:r w:rsidRPr="004172D7">
        <w:rPr>
          <w:rFonts w:ascii="Lato" w:hAnsi="Lato"/>
          <w:b/>
          <w:sz w:val="20"/>
          <w:szCs w:val="20"/>
        </w:rPr>
        <w:t>CUENTAS</w:t>
      </w:r>
      <w:r w:rsidR="0006636C" w:rsidRPr="004172D7">
        <w:rPr>
          <w:rFonts w:ascii="Lato" w:hAnsi="Lato"/>
          <w:b/>
          <w:sz w:val="20"/>
          <w:szCs w:val="20"/>
        </w:rPr>
        <w:t xml:space="preserve"> Y DOCUMENTOS </w:t>
      </w:r>
      <w:r w:rsidRPr="004172D7">
        <w:rPr>
          <w:rFonts w:ascii="Lato" w:hAnsi="Lato"/>
          <w:b/>
          <w:sz w:val="20"/>
          <w:szCs w:val="20"/>
        </w:rPr>
        <w:t>POR PAGAR</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06636C" w:rsidRPr="004172D7" w:rsidRDefault="0006636C" w:rsidP="00830D57">
      <w:pPr>
        <w:jc w:val="center"/>
        <w:rPr>
          <w:rFonts w:ascii="Lato" w:hAnsi="Lato"/>
          <w:b/>
          <w:sz w:val="20"/>
          <w:szCs w:val="20"/>
        </w:rPr>
      </w:pPr>
      <w:r w:rsidRPr="004172D7">
        <w:rPr>
          <w:rFonts w:ascii="Lato" w:hAnsi="Lato"/>
          <w:b/>
          <w:sz w:val="20"/>
          <w:szCs w:val="20"/>
        </w:rPr>
        <w:t>FONDOS Y BIENES DE TERCEROS EN GARANTÍA Y/O ADMINISTRACIÓN</w:t>
      </w:r>
    </w:p>
    <w:p w:rsidR="00051164" w:rsidRPr="004172D7" w:rsidRDefault="0006636C" w:rsidP="0006636C">
      <w:pPr>
        <w:spacing w:after="120"/>
        <w:jc w:val="center"/>
        <w:rPr>
          <w:rFonts w:ascii="Lato" w:hAnsi="Lato"/>
          <w:sz w:val="20"/>
          <w:szCs w:val="20"/>
        </w:rPr>
      </w:pPr>
      <w:r w:rsidRPr="004172D7">
        <w:rPr>
          <w:rFonts w:ascii="Lato" w:hAnsi="Lato"/>
          <w:sz w:val="20"/>
          <w:szCs w:val="20"/>
        </w:rPr>
        <w:t>SIN INFORMACION QUE REVELAR</w:t>
      </w:r>
    </w:p>
    <w:p w:rsidR="00051164" w:rsidRPr="004172D7" w:rsidRDefault="00830D57" w:rsidP="00051164">
      <w:pPr>
        <w:spacing w:after="120"/>
        <w:jc w:val="center"/>
        <w:rPr>
          <w:rFonts w:ascii="Lato" w:hAnsi="Lato"/>
          <w:b/>
          <w:sz w:val="20"/>
          <w:szCs w:val="20"/>
        </w:rPr>
      </w:pPr>
      <w:r w:rsidRPr="004172D7">
        <w:rPr>
          <w:rFonts w:ascii="Lato" w:hAnsi="Lato"/>
          <w:b/>
          <w:sz w:val="20"/>
          <w:szCs w:val="20"/>
        </w:rPr>
        <w:t>PASIVOS DIFERIDOS</w:t>
      </w:r>
    </w:p>
    <w:p w:rsidR="00051164" w:rsidRPr="004172D7" w:rsidRDefault="00051164" w:rsidP="00051164">
      <w:pPr>
        <w:spacing w:after="120"/>
        <w:jc w:val="center"/>
        <w:rPr>
          <w:rFonts w:ascii="Lato" w:hAnsi="Lato"/>
          <w:sz w:val="20"/>
          <w:szCs w:val="20"/>
        </w:rPr>
      </w:pPr>
      <w:r w:rsidRPr="004172D7">
        <w:rPr>
          <w:rFonts w:ascii="Lato" w:hAnsi="Lato"/>
          <w:sz w:val="20"/>
          <w:szCs w:val="20"/>
        </w:rPr>
        <w:t>SIN INFORMACION QUE REVELAR</w:t>
      </w:r>
    </w:p>
    <w:p w:rsidR="00830D57" w:rsidRPr="004172D7" w:rsidRDefault="00830D57" w:rsidP="00830D57">
      <w:pPr>
        <w:spacing w:after="120"/>
        <w:jc w:val="center"/>
        <w:rPr>
          <w:rFonts w:ascii="Lato" w:hAnsi="Lato"/>
          <w:b/>
          <w:sz w:val="20"/>
          <w:szCs w:val="20"/>
        </w:rPr>
      </w:pPr>
      <w:r w:rsidRPr="004172D7">
        <w:rPr>
          <w:rFonts w:ascii="Lato" w:hAnsi="Lato"/>
          <w:b/>
          <w:sz w:val="20"/>
          <w:szCs w:val="20"/>
        </w:rPr>
        <w:t>PROVISIONES</w:t>
      </w:r>
    </w:p>
    <w:p w:rsidR="00830D57" w:rsidRPr="004172D7" w:rsidRDefault="00830D57" w:rsidP="00830D57">
      <w:pPr>
        <w:spacing w:after="120"/>
        <w:jc w:val="center"/>
        <w:rPr>
          <w:rFonts w:ascii="Lato" w:hAnsi="Lato"/>
          <w:sz w:val="20"/>
          <w:szCs w:val="20"/>
        </w:rPr>
      </w:pPr>
      <w:r w:rsidRPr="004172D7">
        <w:rPr>
          <w:rFonts w:ascii="Lato" w:hAnsi="Lato"/>
          <w:sz w:val="20"/>
          <w:szCs w:val="20"/>
        </w:rPr>
        <w:t>SIN INFORMACION QUE REVELAR</w:t>
      </w:r>
    </w:p>
    <w:p w:rsidR="00830D57" w:rsidRPr="004172D7" w:rsidRDefault="00830D57" w:rsidP="00830D57">
      <w:pPr>
        <w:spacing w:after="120"/>
        <w:jc w:val="center"/>
        <w:rPr>
          <w:rFonts w:ascii="Lato" w:hAnsi="Lato"/>
          <w:b/>
          <w:sz w:val="20"/>
          <w:szCs w:val="20"/>
        </w:rPr>
      </w:pPr>
      <w:r w:rsidRPr="004172D7">
        <w:rPr>
          <w:rFonts w:ascii="Lato" w:hAnsi="Lato"/>
          <w:b/>
          <w:sz w:val="20"/>
          <w:szCs w:val="20"/>
        </w:rPr>
        <w:t>OTROS PASIVOS</w:t>
      </w:r>
    </w:p>
    <w:p w:rsidR="00830D57" w:rsidRPr="004172D7" w:rsidRDefault="00830D57" w:rsidP="00830D57">
      <w:pPr>
        <w:spacing w:after="120"/>
        <w:jc w:val="center"/>
        <w:rPr>
          <w:rFonts w:ascii="Lato" w:hAnsi="Lato"/>
          <w:sz w:val="20"/>
          <w:szCs w:val="20"/>
        </w:rPr>
      </w:pPr>
      <w:r w:rsidRPr="004172D7">
        <w:rPr>
          <w:rFonts w:ascii="Lato" w:hAnsi="Lato"/>
          <w:sz w:val="20"/>
          <w:szCs w:val="20"/>
        </w:rPr>
        <w:lastRenderedPageBreak/>
        <w:t>SIN INFORMACION QUE REVELAR</w:t>
      </w:r>
    </w:p>
    <w:p w:rsidR="00830D57" w:rsidRPr="004172D7" w:rsidRDefault="00830D57" w:rsidP="00051164">
      <w:pPr>
        <w:spacing w:after="120"/>
        <w:jc w:val="center"/>
        <w:rPr>
          <w:rFonts w:ascii="Lato" w:hAnsi="Lato"/>
          <w:sz w:val="20"/>
          <w:szCs w:val="20"/>
        </w:rPr>
      </w:pPr>
    </w:p>
    <w:p w:rsidR="00051164" w:rsidRPr="004172D7" w:rsidRDefault="00830D57" w:rsidP="00051164">
      <w:pPr>
        <w:jc w:val="center"/>
        <w:rPr>
          <w:rFonts w:ascii="Lato" w:hAnsi="Lato"/>
          <w:b/>
          <w:sz w:val="20"/>
          <w:szCs w:val="20"/>
        </w:rPr>
      </w:pPr>
      <w:r w:rsidRPr="004172D7">
        <w:rPr>
          <w:rFonts w:ascii="Lato" w:hAnsi="Lato"/>
          <w:b/>
          <w:sz w:val="20"/>
          <w:szCs w:val="20"/>
        </w:rPr>
        <w:t xml:space="preserve">III) </w:t>
      </w:r>
      <w:r w:rsidR="00051164" w:rsidRPr="004172D7">
        <w:rPr>
          <w:rFonts w:ascii="Lato" w:hAnsi="Lato"/>
          <w:b/>
          <w:sz w:val="20"/>
          <w:szCs w:val="20"/>
        </w:rPr>
        <w:t>NOTAS AL ESTADO DE VARIACIONES EN LA HACIENDA PUBLICA/PATRIMONIO</w:t>
      </w:r>
    </w:p>
    <w:p w:rsidR="00051164" w:rsidRPr="004172D7" w:rsidRDefault="00051164" w:rsidP="00051164">
      <w:pPr>
        <w:jc w:val="center"/>
        <w:rPr>
          <w:rFonts w:ascii="Lato" w:hAnsi="Lato"/>
          <w:b/>
          <w:sz w:val="20"/>
          <w:szCs w:val="20"/>
        </w:rPr>
      </w:pPr>
      <w:r w:rsidRPr="004172D7">
        <w:rPr>
          <w:rFonts w:ascii="Lato" w:hAnsi="Lato"/>
          <w:b/>
          <w:sz w:val="20"/>
          <w:szCs w:val="20"/>
        </w:rPr>
        <w:t>PROCEDENCIA DE LOS RECURSOS QUE MODIFICAN AL PATRIMONIO GENERADO</w:t>
      </w:r>
    </w:p>
    <w:p w:rsidR="00051164" w:rsidRPr="004172D7" w:rsidRDefault="00051164" w:rsidP="00051164">
      <w:pPr>
        <w:spacing w:after="0"/>
        <w:rPr>
          <w:rFonts w:ascii="Lato" w:hAnsi="Lato"/>
          <w:sz w:val="20"/>
          <w:szCs w:val="20"/>
        </w:rPr>
      </w:pPr>
      <w:r w:rsidRPr="004172D7">
        <w:rPr>
          <w:rFonts w:ascii="Lato" w:hAnsi="Lato"/>
          <w:sz w:val="20"/>
          <w:szCs w:val="20"/>
        </w:rPr>
        <w:t xml:space="preserve">En este período el Patrimonio Contribuido no tuvo movimientos debido a que no se tuvo aportación alguna de parte del Ejecutivo, por lo que respecta al Patrimonio Generado se modifica con los egresos </w:t>
      </w:r>
      <w:r w:rsidR="00830D57" w:rsidRPr="004172D7">
        <w:rPr>
          <w:rFonts w:ascii="Lato" w:hAnsi="Lato"/>
          <w:sz w:val="20"/>
          <w:szCs w:val="20"/>
        </w:rPr>
        <w:t xml:space="preserve">que </w:t>
      </w:r>
      <w:r w:rsidRPr="004172D7">
        <w:rPr>
          <w:rFonts w:ascii="Lato" w:hAnsi="Lato"/>
          <w:sz w:val="20"/>
          <w:szCs w:val="20"/>
        </w:rPr>
        <w:t xml:space="preserve">fueron </w:t>
      </w:r>
      <w:r w:rsidR="00830D57" w:rsidRPr="004172D7">
        <w:rPr>
          <w:rFonts w:ascii="Lato" w:hAnsi="Lato"/>
          <w:sz w:val="20"/>
          <w:szCs w:val="20"/>
        </w:rPr>
        <w:t xml:space="preserve">superiores a </w:t>
      </w:r>
      <w:r w:rsidRPr="004172D7">
        <w:rPr>
          <w:rFonts w:ascii="Lato" w:hAnsi="Lato"/>
          <w:sz w:val="20"/>
          <w:szCs w:val="20"/>
        </w:rPr>
        <w:t>lo</w:t>
      </w:r>
      <w:r w:rsidR="00830D57" w:rsidRPr="004172D7">
        <w:rPr>
          <w:rFonts w:ascii="Lato" w:hAnsi="Lato"/>
          <w:sz w:val="20"/>
          <w:szCs w:val="20"/>
        </w:rPr>
        <w:t>s</w:t>
      </w:r>
      <w:r w:rsidRPr="004172D7">
        <w:rPr>
          <w:rFonts w:ascii="Lato" w:hAnsi="Lato"/>
          <w:sz w:val="20"/>
          <w:szCs w:val="20"/>
        </w:rPr>
        <w:t xml:space="preserve"> ingresos generando un desahor</w:t>
      </w:r>
      <w:r w:rsidR="00EC0692" w:rsidRPr="004172D7">
        <w:rPr>
          <w:rFonts w:ascii="Lato" w:hAnsi="Lato"/>
          <w:sz w:val="20"/>
          <w:szCs w:val="20"/>
        </w:rPr>
        <w:t xml:space="preserve">ro por un importe de $ </w:t>
      </w:r>
      <w:r w:rsidR="00D309DF" w:rsidRPr="004172D7">
        <w:rPr>
          <w:rFonts w:ascii="Lato" w:hAnsi="Lato"/>
          <w:sz w:val="20"/>
          <w:szCs w:val="20"/>
        </w:rPr>
        <w:t>130</w:t>
      </w:r>
      <w:r w:rsidR="000F45E5" w:rsidRPr="004172D7">
        <w:rPr>
          <w:rFonts w:ascii="Lato" w:hAnsi="Lato"/>
          <w:sz w:val="20"/>
          <w:szCs w:val="20"/>
        </w:rPr>
        <w:t>,</w:t>
      </w:r>
      <w:r w:rsidR="00D309DF" w:rsidRPr="004172D7">
        <w:rPr>
          <w:rFonts w:ascii="Lato" w:hAnsi="Lato"/>
          <w:sz w:val="20"/>
          <w:szCs w:val="20"/>
        </w:rPr>
        <w:t>168</w:t>
      </w:r>
      <w:r w:rsidR="000F45E5" w:rsidRPr="004172D7">
        <w:rPr>
          <w:rFonts w:ascii="Lato" w:hAnsi="Lato"/>
          <w:sz w:val="20"/>
          <w:szCs w:val="20"/>
        </w:rPr>
        <w:t>.</w:t>
      </w:r>
      <w:r w:rsidR="00D309DF" w:rsidRPr="004172D7">
        <w:rPr>
          <w:rFonts w:ascii="Lato" w:hAnsi="Lato"/>
          <w:sz w:val="20"/>
          <w:szCs w:val="20"/>
        </w:rPr>
        <w:t>72</w:t>
      </w:r>
      <w:r w:rsidRPr="004172D7">
        <w:rPr>
          <w:rFonts w:ascii="Lato" w:hAnsi="Lato"/>
          <w:sz w:val="20"/>
          <w:szCs w:val="20"/>
        </w:rPr>
        <w:t>, mismo que se refleja en el Estado de Situación Financiera.</w:t>
      </w:r>
    </w:p>
    <w:p w:rsidR="00051164" w:rsidRPr="004172D7" w:rsidRDefault="00051164" w:rsidP="00051164">
      <w:pPr>
        <w:jc w:val="center"/>
        <w:rPr>
          <w:rFonts w:ascii="Lato" w:hAnsi="Lato"/>
          <w:sz w:val="20"/>
          <w:szCs w:val="20"/>
        </w:rPr>
      </w:pPr>
    </w:p>
    <w:p w:rsidR="00051164" w:rsidRPr="004172D7" w:rsidRDefault="00830D57" w:rsidP="00051164">
      <w:pPr>
        <w:jc w:val="center"/>
        <w:rPr>
          <w:rFonts w:ascii="Lato" w:hAnsi="Lato"/>
          <w:b/>
          <w:sz w:val="20"/>
          <w:szCs w:val="20"/>
        </w:rPr>
      </w:pPr>
      <w:r w:rsidRPr="004172D7">
        <w:rPr>
          <w:rFonts w:ascii="Lato" w:hAnsi="Lato"/>
          <w:b/>
          <w:sz w:val="20"/>
          <w:szCs w:val="20"/>
        </w:rPr>
        <w:t xml:space="preserve">IV) </w:t>
      </w:r>
      <w:r w:rsidR="00051164" w:rsidRPr="004172D7">
        <w:rPr>
          <w:rFonts w:ascii="Lato" w:hAnsi="Lato"/>
          <w:b/>
          <w:sz w:val="20"/>
          <w:szCs w:val="20"/>
        </w:rPr>
        <w:t>NOTAS AL ESTADO DE FLUJOS DE EFECTIVO</w:t>
      </w:r>
    </w:p>
    <w:p w:rsidR="00051164" w:rsidRPr="004172D7" w:rsidRDefault="00051164" w:rsidP="00051164">
      <w:pPr>
        <w:jc w:val="center"/>
        <w:rPr>
          <w:rFonts w:ascii="Lato" w:hAnsi="Lato"/>
          <w:b/>
          <w:sz w:val="20"/>
          <w:szCs w:val="20"/>
        </w:rPr>
      </w:pPr>
      <w:r w:rsidRPr="004172D7">
        <w:rPr>
          <w:rFonts w:ascii="Lato" w:hAnsi="Lato"/>
          <w:b/>
          <w:sz w:val="20"/>
          <w:szCs w:val="20"/>
        </w:rPr>
        <w:t>EFECTIVO Y EQUIVALENTES</w:t>
      </w:r>
    </w:p>
    <w:p w:rsidR="00051164" w:rsidRPr="004172D7" w:rsidRDefault="00051164" w:rsidP="00051164">
      <w:pPr>
        <w:rPr>
          <w:rFonts w:ascii="Lato" w:hAnsi="Lato"/>
          <w:sz w:val="20"/>
          <w:szCs w:val="20"/>
        </w:rPr>
      </w:pPr>
      <w:r w:rsidRPr="004172D7">
        <w:rPr>
          <w:rFonts w:ascii="Lato" w:hAnsi="Lato"/>
          <w:sz w:val="20"/>
          <w:szCs w:val="20"/>
        </w:rPr>
        <w:t>Análisis de los Saldos inicial y final que figuran en la última parte del Estado de Flujo de Efectivo en la cuenta de efectivo y equivalentes:</w:t>
      </w:r>
    </w:p>
    <w:tbl>
      <w:tblPr>
        <w:tblW w:w="0" w:type="auto"/>
        <w:jc w:val="center"/>
        <w:tblLayout w:type="fixed"/>
        <w:tblLook w:val="04A0" w:firstRow="1" w:lastRow="0" w:firstColumn="1" w:lastColumn="0" w:noHBand="0" w:noVBand="1"/>
      </w:tblPr>
      <w:tblGrid>
        <w:gridCol w:w="7119"/>
        <w:gridCol w:w="2313"/>
        <w:gridCol w:w="2415"/>
      </w:tblGrid>
      <w:tr w:rsidR="00051164" w:rsidRPr="004172D7" w:rsidTr="00EF3A70">
        <w:trPr>
          <w:cantSplit/>
          <w:trHeight w:val="176"/>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center"/>
              <w:rPr>
                <w:rFonts w:ascii="Lato" w:hAnsi="Lato"/>
                <w:sz w:val="20"/>
                <w:szCs w:val="20"/>
                <w:lang w:val="es-MX"/>
              </w:rPr>
            </w:pPr>
            <w:r w:rsidRPr="004172D7">
              <w:rPr>
                <w:rFonts w:ascii="Lato" w:hAnsi="Lato"/>
                <w:b/>
                <w:sz w:val="20"/>
                <w:szCs w:val="20"/>
                <w:lang w:val="es-MX"/>
              </w:rPr>
              <w:t>Concepto</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365F45">
            <w:pPr>
              <w:pStyle w:val="Texto"/>
              <w:spacing w:line="224" w:lineRule="exact"/>
              <w:ind w:firstLine="0"/>
              <w:jc w:val="center"/>
              <w:rPr>
                <w:rFonts w:ascii="Lato" w:hAnsi="Lato"/>
                <w:b/>
                <w:sz w:val="20"/>
                <w:szCs w:val="20"/>
                <w:lang w:val="es-MX"/>
              </w:rPr>
            </w:pPr>
            <w:r w:rsidRPr="004172D7">
              <w:rPr>
                <w:rFonts w:ascii="Lato" w:hAnsi="Lato"/>
                <w:b/>
                <w:sz w:val="20"/>
                <w:szCs w:val="20"/>
                <w:lang w:val="es-MX"/>
              </w:rPr>
              <w:t>202</w:t>
            </w:r>
            <w:r w:rsidR="00D309DF" w:rsidRPr="004172D7">
              <w:rPr>
                <w:rFonts w:ascii="Lato" w:hAnsi="Lato"/>
                <w:b/>
                <w:sz w:val="20"/>
                <w:szCs w:val="20"/>
                <w:lang w:val="es-MX"/>
              </w:rPr>
              <w:t>5</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051164" w:rsidP="00365F45">
            <w:pPr>
              <w:pStyle w:val="Texto"/>
              <w:spacing w:line="224" w:lineRule="exact"/>
              <w:ind w:firstLine="0"/>
              <w:jc w:val="center"/>
              <w:rPr>
                <w:rFonts w:ascii="Lato" w:hAnsi="Lato"/>
                <w:b/>
                <w:sz w:val="20"/>
                <w:szCs w:val="20"/>
                <w:lang w:val="es-MX"/>
              </w:rPr>
            </w:pPr>
            <w:r w:rsidRPr="004172D7">
              <w:rPr>
                <w:rFonts w:ascii="Lato" w:hAnsi="Lato"/>
                <w:b/>
                <w:sz w:val="20"/>
                <w:szCs w:val="20"/>
                <w:lang w:val="es-MX"/>
              </w:rPr>
              <w:t>202</w:t>
            </w:r>
            <w:r w:rsidR="00D309DF" w:rsidRPr="004172D7">
              <w:rPr>
                <w:rFonts w:ascii="Lato" w:hAnsi="Lato"/>
                <w:b/>
                <w:sz w:val="20"/>
                <w:szCs w:val="20"/>
                <w:lang w:val="es-MX"/>
              </w:rPr>
              <w:t>4</w:t>
            </w:r>
          </w:p>
        </w:tc>
      </w:tr>
      <w:tr w:rsidR="00051164" w:rsidRPr="004172D7" w:rsidTr="00EF3A70">
        <w:trPr>
          <w:cantSplit/>
          <w:trHeight w:val="182"/>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rPr>
            </w:pPr>
            <w:r w:rsidRPr="004172D7">
              <w:rPr>
                <w:rFonts w:ascii="Lato" w:hAnsi="Lato"/>
                <w:sz w:val="20"/>
                <w:szCs w:val="20"/>
                <w:lang w:val="es-MX"/>
              </w:rPr>
              <w:t>Efectivo</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EF3A70">
        <w:trPr>
          <w:cantSplit/>
          <w:trHeight w:val="35"/>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Bancos/Tesorería</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605B16" w:rsidP="00605B16">
            <w:pPr>
              <w:pStyle w:val="Texto"/>
              <w:spacing w:line="224" w:lineRule="exact"/>
              <w:ind w:firstLine="0"/>
              <w:jc w:val="right"/>
              <w:rPr>
                <w:rFonts w:ascii="Lato" w:hAnsi="Lato"/>
                <w:sz w:val="20"/>
                <w:szCs w:val="20"/>
                <w:lang w:val="es-MX"/>
              </w:rPr>
            </w:pPr>
            <w:r w:rsidRPr="004172D7">
              <w:rPr>
                <w:rFonts w:ascii="Lato" w:hAnsi="Lato"/>
                <w:sz w:val="20"/>
                <w:szCs w:val="20"/>
                <w:lang w:val="es-MX"/>
              </w:rPr>
              <w:t>0</w:t>
            </w:r>
            <w:r w:rsidR="00D22099" w:rsidRPr="004172D7">
              <w:rPr>
                <w:rFonts w:ascii="Lato" w:hAnsi="Lato"/>
                <w:sz w:val="20"/>
                <w:szCs w:val="20"/>
                <w:lang w:val="es-MX"/>
              </w:rPr>
              <w:t>.</w:t>
            </w:r>
            <w:r w:rsidRPr="004172D7">
              <w:rPr>
                <w:rFonts w:ascii="Lato" w:hAnsi="Lato"/>
                <w:sz w:val="20"/>
                <w:szCs w:val="20"/>
                <w:lang w:val="es-MX"/>
              </w:rPr>
              <w:t>0</w:t>
            </w:r>
            <w:r w:rsidR="00D22099" w:rsidRPr="004172D7">
              <w:rPr>
                <w:rFonts w:ascii="Lato" w:hAnsi="Lato"/>
                <w:sz w:val="20"/>
                <w:szCs w:val="20"/>
                <w:lang w:val="es-MX"/>
              </w:rPr>
              <w:t>0</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EC0692" w:rsidP="00365F45">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EF3A70">
        <w:trPr>
          <w:cantSplit/>
          <w:trHeight w:val="176"/>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Bancos/Dependencias y Otros</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EF3A70">
        <w:trPr>
          <w:cantSplit/>
          <w:trHeight w:val="306"/>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 xml:space="preserve">Inversiones Temporales (Hasta 3 meses) </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D309DF"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54,707.47</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D309DF"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184,876.19</w:t>
            </w:r>
          </w:p>
        </w:tc>
      </w:tr>
      <w:tr w:rsidR="00051164" w:rsidRPr="004172D7" w:rsidTr="00EF3A70">
        <w:trPr>
          <w:cantSplit/>
          <w:trHeight w:val="176"/>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Fondos con Afectación Específica</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EF3A70">
        <w:trPr>
          <w:cantSplit/>
          <w:trHeight w:val="306"/>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Depósitos de Fondos de Terceros en Garantía y/o Administración</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EF3A70">
        <w:trPr>
          <w:cantSplit/>
          <w:trHeight w:val="182"/>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sz w:val="20"/>
                <w:szCs w:val="20"/>
                <w:lang w:val="es-MX"/>
              </w:rPr>
            </w:pPr>
            <w:r w:rsidRPr="004172D7">
              <w:rPr>
                <w:rFonts w:ascii="Lato" w:hAnsi="Lato"/>
                <w:sz w:val="20"/>
                <w:szCs w:val="20"/>
                <w:lang w:val="es-MX"/>
              </w:rPr>
              <w:t>Otros Efectivos y Equivalentes</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jc w:val="right"/>
              <w:rPr>
                <w:rFonts w:ascii="Lato" w:hAnsi="Lato"/>
                <w:sz w:val="20"/>
                <w:szCs w:val="20"/>
                <w:lang w:val="es-MX"/>
              </w:rPr>
            </w:pPr>
            <w:r w:rsidRPr="004172D7">
              <w:rPr>
                <w:rFonts w:ascii="Lato" w:hAnsi="Lato"/>
                <w:sz w:val="20"/>
                <w:szCs w:val="20"/>
                <w:lang w:val="es-MX"/>
              </w:rPr>
              <w:t>0.00</w:t>
            </w:r>
          </w:p>
        </w:tc>
      </w:tr>
      <w:tr w:rsidR="00051164" w:rsidRPr="004172D7" w:rsidTr="00EF3A70">
        <w:trPr>
          <w:cantSplit/>
          <w:trHeight w:val="182"/>
          <w:jc w:val="center"/>
        </w:trPr>
        <w:tc>
          <w:tcPr>
            <w:tcW w:w="7119"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line="224" w:lineRule="exact"/>
              <w:ind w:firstLine="0"/>
              <w:rPr>
                <w:rFonts w:ascii="Lato" w:hAnsi="Lato"/>
                <w:b/>
                <w:sz w:val="20"/>
                <w:szCs w:val="20"/>
                <w:lang w:val="es-MX"/>
              </w:rPr>
            </w:pPr>
            <w:r w:rsidRPr="004172D7">
              <w:rPr>
                <w:rFonts w:ascii="Lato" w:hAnsi="Lato"/>
                <w:b/>
                <w:sz w:val="20"/>
                <w:szCs w:val="20"/>
                <w:lang w:val="es-MX"/>
              </w:rPr>
              <w:t>Total de Efectivo y Equivalentes</w:t>
            </w:r>
          </w:p>
        </w:tc>
        <w:tc>
          <w:tcPr>
            <w:tcW w:w="2313" w:type="dxa"/>
            <w:tcBorders>
              <w:top w:val="single" w:sz="6" w:space="0" w:color="auto"/>
              <w:left w:val="single" w:sz="6" w:space="0" w:color="auto"/>
              <w:bottom w:val="single" w:sz="6" w:space="0" w:color="auto"/>
              <w:right w:val="single" w:sz="6" w:space="0" w:color="auto"/>
            </w:tcBorders>
            <w:hideMark/>
          </w:tcPr>
          <w:p w:rsidR="00051164" w:rsidRPr="004172D7" w:rsidRDefault="00D309DF" w:rsidP="00EF3A70">
            <w:pPr>
              <w:pStyle w:val="Texto"/>
              <w:spacing w:line="224" w:lineRule="exact"/>
              <w:ind w:firstLine="0"/>
              <w:jc w:val="right"/>
              <w:rPr>
                <w:rFonts w:ascii="Lato" w:hAnsi="Lato"/>
                <w:b/>
                <w:sz w:val="20"/>
                <w:szCs w:val="20"/>
                <w:lang w:val="es-MX"/>
              </w:rPr>
            </w:pPr>
            <w:r w:rsidRPr="004172D7">
              <w:rPr>
                <w:rFonts w:ascii="Lato" w:hAnsi="Lato"/>
                <w:b/>
                <w:sz w:val="20"/>
                <w:szCs w:val="20"/>
                <w:lang w:val="es-MX"/>
              </w:rPr>
              <w:t>54,707.47</w:t>
            </w:r>
          </w:p>
        </w:tc>
        <w:tc>
          <w:tcPr>
            <w:tcW w:w="2415" w:type="dxa"/>
            <w:tcBorders>
              <w:top w:val="single" w:sz="6" w:space="0" w:color="auto"/>
              <w:left w:val="single" w:sz="6" w:space="0" w:color="auto"/>
              <w:bottom w:val="single" w:sz="6" w:space="0" w:color="auto"/>
              <w:right w:val="single" w:sz="6" w:space="0" w:color="auto"/>
            </w:tcBorders>
            <w:hideMark/>
          </w:tcPr>
          <w:p w:rsidR="00051164" w:rsidRPr="004172D7" w:rsidRDefault="00D309DF" w:rsidP="00365F45">
            <w:pPr>
              <w:pStyle w:val="Texto"/>
              <w:spacing w:line="224" w:lineRule="exact"/>
              <w:ind w:firstLine="0"/>
              <w:jc w:val="right"/>
              <w:rPr>
                <w:rFonts w:ascii="Lato" w:hAnsi="Lato"/>
                <w:b/>
                <w:sz w:val="20"/>
                <w:szCs w:val="20"/>
                <w:lang w:val="es-MX"/>
              </w:rPr>
            </w:pPr>
            <w:r w:rsidRPr="004172D7">
              <w:rPr>
                <w:rFonts w:ascii="Lato" w:hAnsi="Lato"/>
                <w:b/>
                <w:sz w:val="20"/>
                <w:szCs w:val="20"/>
                <w:lang w:val="es-MX"/>
              </w:rPr>
              <w:t>184,876.19</w:t>
            </w:r>
          </w:p>
        </w:tc>
      </w:tr>
    </w:tbl>
    <w:p w:rsidR="00830D57" w:rsidRPr="004172D7" w:rsidRDefault="00051164" w:rsidP="00051164">
      <w:pPr>
        <w:rPr>
          <w:rFonts w:ascii="Lato" w:hAnsi="Lato"/>
          <w:sz w:val="20"/>
          <w:szCs w:val="20"/>
        </w:rPr>
      </w:pPr>
      <w:r w:rsidRPr="004172D7">
        <w:rPr>
          <w:rFonts w:ascii="Lato" w:hAnsi="Lato"/>
          <w:sz w:val="20"/>
          <w:szCs w:val="20"/>
        </w:rPr>
        <w:tab/>
      </w:r>
    </w:p>
    <w:p w:rsidR="00051164" w:rsidRPr="004172D7" w:rsidRDefault="00830D57" w:rsidP="00051164">
      <w:pPr>
        <w:rPr>
          <w:rFonts w:ascii="Lato" w:hAnsi="Lato"/>
          <w:sz w:val="20"/>
          <w:szCs w:val="20"/>
        </w:rPr>
      </w:pPr>
      <w:r w:rsidRPr="004172D7">
        <w:rPr>
          <w:rFonts w:ascii="Lato" w:hAnsi="Lato"/>
          <w:sz w:val="20"/>
          <w:szCs w:val="20"/>
        </w:rPr>
        <w:lastRenderedPageBreak/>
        <w:t>No se realizaron adquisiciones de las Actividades de Inversión efectivamente pagadas.</w:t>
      </w:r>
      <w:r w:rsidR="00051164" w:rsidRPr="004172D7">
        <w:rPr>
          <w:rFonts w:ascii="Lato" w:hAnsi="Lato"/>
          <w:sz w:val="20"/>
          <w:szCs w:val="20"/>
        </w:rPr>
        <w:tab/>
      </w:r>
    </w:p>
    <w:p w:rsidR="00051164" w:rsidRPr="004172D7" w:rsidRDefault="00051164" w:rsidP="00051164">
      <w:pPr>
        <w:rPr>
          <w:rFonts w:ascii="Lato" w:hAnsi="Lato"/>
          <w:sz w:val="20"/>
          <w:szCs w:val="20"/>
        </w:rPr>
      </w:pPr>
      <w:r w:rsidRPr="004172D7">
        <w:rPr>
          <w:rFonts w:ascii="Lato" w:hAnsi="Lato"/>
          <w:sz w:val="20"/>
          <w:szCs w:val="20"/>
        </w:rPr>
        <w:t>Conciliación de los Flujos de Efectivo Netos de las Actividades de Operación y la cuenta de Ahorro/Desahorro antes de Rubros Extraordinarios</w:t>
      </w:r>
    </w:p>
    <w:p w:rsidR="00051164" w:rsidRPr="004172D7" w:rsidRDefault="00051164" w:rsidP="00051164">
      <w:pPr>
        <w:rPr>
          <w:rFonts w:ascii="Lato" w:hAnsi="Lato"/>
          <w:sz w:val="20"/>
          <w:szCs w:val="20"/>
        </w:rPr>
      </w:pPr>
    </w:p>
    <w:tbl>
      <w:tblPr>
        <w:tblW w:w="0" w:type="auto"/>
        <w:jc w:val="center"/>
        <w:tblLayout w:type="fixed"/>
        <w:tblLook w:val="04A0" w:firstRow="1" w:lastRow="0" w:firstColumn="1" w:lastColumn="0" w:noHBand="0" w:noVBand="1"/>
      </w:tblPr>
      <w:tblGrid>
        <w:gridCol w:w="7053"/>
        <w:gridCol w:w="2548"/>
        <w:gridCol w:w="2517"/>
      </w:tblGrid>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b/>
                <w:sz w:val="20"/>
                <w:szCs w:val="20"/>
                <w:lang w:val="es-MX"/>
              </w:rPr>
              <w:t>Concepto</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365F45">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202</w:t>
            </w:r>
            <w:r w:rsidR="00D309DF" w:rsidRPr="004172D7">
              <w:rPr>
                <w:rFonts w:ascii="Lato" w:hAnsi="Lato"/>
                <w:b/>
                <w:sz w:val="20"/>
                <w:szCs w:val="20"/>
                <w:lang w:val="es-MX"/>
              </w:rPr>
              <w:t>5</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365F45">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202</w:t>
            </w:r>
            <w:r w:rsidR="00D309DF" w:rsidRPr="004172D7">
              <w:rPr>
                <w:rFonts w:ascii="Lato" w:hAnsi="Lato"/>
                <w:b/>
                <w:sz w:val="20"/>
                <w:szCs w:val="20"/>
                <w:lang w:val="es-MX"/>
              </w:rPr>
              <w:t>4</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rPr>
                <w:rFonts w:ascii="Lato" w:hAnsi="Lato"/>
                <w:b/>
                <w:sz w:val="20"/>
                <w:szCs w:val="20"/>
                <w:lang w:val="es-MX"/>
              </w:rPr>
            </w:pPr>
            <w:r w:rsidRPr="004172D7">
              <w:rPr>
                <w:rFonts w:ascii="Lato" w:hAnsi="Lato"/>
                <w:b/>
                <w:sz w:val="20"/>
                <w:szCs w:val="20"/>
                <w:lang w:val="es-MX"/>
              </w:rPr>
              <w:t>Resultados del Ejercicio Ahorro/Desahorro</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37CD6" w:rsidP="00037CD6">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w:t>
            </w:r>
            <w:r w:rsidR="00D309DF" w:rsidRPr="004172D7">
              <w:rPr>
                <w:rFonts w:ascii="Lato" w:hAnsi="Lato"/>
                <w:b/>
                <w:sz w:val="20"/>
                <w:szCs w:val="20"/>
                <w:lang w:val="es-MX"/>
              </w:rPr>
              <w:t>130,168.72</w:t>
            </w:r>
            <w:r w:rsidRPr="004172D7">
              <w:rPr>
                <w:rFonts w:ascii="Lato" w:hAnsi="Lato"/>
                <w:b/>
                <w:sz w:val="20"/>
                <w:szCs w:val="20"/>
                <w:lang w:val="es-MX"/>
              </w:rPr>
              <w:t>)</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C0692">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w:t>
            </w:r>
            <w:r w:rsidR="00D309DF" w:rsidRPr="004172D7">
              <w:rPr>
                <w:rFonts w:ascii="Lato" w:hAnsi="Lato"/>
                <w:b/>
                <w:sz w:val="20"/>
                <w:szCs w:val="20"/>
                <w:lang w:val="es-MX"/>
              </w:rPr>
              <w:t>712,324.64</w:t>
            </w:r>
            <w:r w:rsidRPr="004172D7">
              <w:rPr>
                <w:rFonts w:ascii="Lato" w:hAnsi="Lato"/>
                <w:b/>
                <w:sz w:val="20"/>
                <w:szCs w:val="20"/>
                <w:lang w:val="es-MX"/>
              </w:rPr>
              <w:t>)</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rPr>
                <w:rFonts w:ascii="Lato" w:hAnsi="Lato"/>
                <w:b/>
                <w:sz w:val="20"/>
                <w:szCs w:val="20"/>
                <w:lang w:val="es-MX"/>
              </w:rPr>
            </w:pPr>
            <w:r w:rsidRPr="004172D7">
              <w:rPr>
                <w:rFonts w:ascii="Lato" w:hAnsi="Lato"/>
                <w:b/>
                <w:sz w:val="20"/>
                <w:szCs w:val="20"/>
                <w:lang w:val="es-MX"/>
              </w:rPr>
              <w:t>Movimientos de partidas (o rubros) que no afectan al efectivo</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D309DF" w:rsidP="00EF3A70">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D309DF" w:rsidP="00EF3A70">
            <w:pPr>
              <w:pStyle w:val="Texto"/>
              <w:spacing w:after="80" w:line="224" w:lineRule="exact"/>
              <w:ind w:firstLine="0"/>
              <w:jc w:val="center"/>
              <w:rPr>
                <w:rFonts w:ascii="Lato" w:hAnsi="Lato"/>
                <w:b/>
                <w:sz w:val="20"/>
                <w:szCs w:val="20"/>
                <w:lang w:val="es-MX"/>
              </w:rPr>
            </w:pPr>
            <w:r w:rsidRPr="004172D7">
              <w:rPr>
                <w:rFonts w:ascii="Lato" w:hAnsi="Lato"/>
                <w:b/>
                <w:sz w:val="20"/>
                <w:szCs w:val="20"/>
                <w:lang w:val="es-MX"/>
              </w:rPr>
              <w:t>897,200.83</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Depreciación</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Amortización</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Incrementos en las cuentas por pagar</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r>
      <w:tr w:rsidR="00312256"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tcPr>
          <w:p w:rsidR="00312256" w:rsidRPr="004172D7" w:rsidRDefault="0011170E"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 en el Patrimonio del Fideicomiso</w:t>
            </w:r>
          </w:p>
        </w:tc>
        <w:tc>
          <w:tcPr>
            <w:tcW w:w="2548" w:type="dxa"/>
            <w:tcBorders>
              <w:top w:val="single" w:sz="6" w:space="0" w:color="auto"/>
              <w:left w:val="single" w:sz="6" w:space="0" w:color="auto"/>
              <w:bottom w:val="single" w:sz="6" w:space="0" w:color="auto"/>
              <w:right w:val="single" w:sz="6" w:space="0" w:color="auto"/>
            </w:tcBorders>
          </w:tcPr>
          <w:p w:rsidR="00312256" w:rsidRPr="004172D7" w:rsidRDefault="00D309DF"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c>
          <w:tcPr>
            <w:tcW w:w="2517" w:type="dxa"/>
            <w:tcBorders>
              <w:top w:val="single" w:sz="6" w:space="0" w:color="auto"/>
              <w:left w:val="single" w:sz="6" w:space="0" w:color="auto"/>
              <w:bottom w:val="single" w:sz="6" w:space="0" w:color="auto"/>
              <w:right w:val="single" w:sz="6" w:space="0" w:color="auto"/>
            </w:tcBorders>
          </w:tcPr>
          <w:p w:rsidR="00312256" w:rsidRPr="004172D7" w:rsidRDefault="00D309DF"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897,200.83</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 en inversiones producido por revaluación</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Ganancia/pérdida en venta de bienes muebles, inmuebles e intangibles</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left="170" w:firstLine="0"/>
              <w:rPr>
                <w:rFonts w:ascii="Lato" w:hAnsi="Lato"/>
                <w:sz w:val="20"/>
                <w:szCs w:val="20"/>
                <w:lang w:val="es-MX"/>
              </w:rPr>
            </w:pPr>
            <w:r w:rsidRPr="004172D7">
              <w:rPr>
                <w:rFonts w:ascii="Lato" w:hAnsi="Lato"/>
                <w:sz w:val="20"/>
                <w:szCs w:val="20"/>
                <w:lang w:val="es-MX"/>
              </w:rPr>
              <w:t>Incremento en cuentas por cobrar</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051164" w:rsidP="00A55C5E">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w:t>
            </w:r>
            <w:r w:rsidR="00A55C5E" w:rsidRPr="004172D7">
              <w:rPr>
                <w:rFonts w:ascii="Lato" w:hAnsi="Lato"/>
                <w:sz w:val="20"/>
                <w:szCs w:val="20"/>
                <w:lang w:val="es-MX"/>
              </w:rPr>
              <w:t>0.00</w:t>
            </w:r>
            <w:r w:rsidRPr="004172D7">
              <w:rPr>
                <w:rFonts w:ascii="Lato" w:hAnsi="Lato"/>
                <w:sz w:val="20"/>
                <w:szCs w:val="20"/>
                <w:lang w:val="es-MX"/>
              </w:rPr>
              <w:t>)</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jc w:val="center"/>
              <w:rPr>
                <w:rFonts w:ascii="Lato" w:hAnsi="Lato"/>
                <w:sz w:val="20"/>
                <w:szCs w:val="20"/>
                <w:lang w:val="es-MX"/>
              </w:rPr>
            </w:pPr>
            <w:r w:rsidRPr="004172D7">
              <w:rPr>
                <w:rFonts w:ascii="Lato" w:hAnsi="Lato"/>
                <w:sz w:val="20"/>
                <w:szCs w:val="20"/>
                <w:lang w:val="es-MX"/>
              </w:rPr>
              <w:t>(0.00)</w:t>
            </w:r>
          </w:p>
        </w:tc>
      </w:tr>
      <w:tr w:rsidR="00051164" w:rsidRPr="004172D7" w:rsidTr="00EF3A70">
        <w:trPr>
          <w:trHeight w:val="16"/>
          <w:jc w:val="center"/>
        </w:trPr>
        <w:tc>
          <w:tcPr>
            <w:tcW w:w="7053" w:type="dxa"/>
            <w:tcBorders>
              <w:top w:val="single" w:sz="6" w:space="0" w:color="auto"/>
              <w:left w:val="single" w:sz="6" w:space="0" w:color="auto"/>
              <w:bottom w:val="single" w:sz="6" w:space="0" w:color="auto"/>
              <w:right w:val="single" w:sz="6" w:space="0" w:color="auto"/>
            </w:tcBorders>
            <w:hideMark/>
          </w:tcPr>
          <w:p w:rsidR="00051164" w:rsidRPr="004172D7" w:rsidRDefault="00051164" w:rsidP="00EF3A70">
            <w:pPr>
              <w:pStyle w:val="Texto"/>
              <w:spacing w:after="80" w:line="224" w:lineRule="exact"/>
              <w:ind w:firstLine="0"/>
              <w:rPr>
                <w:rFonts w:ascii="Lato" w:hAnsi="Lato"/>
                <w:sz w:val="20"/>
                <w:szCs w:val="20"/>
                <w:lang w:val="es-MX"/>
              </w:rPr>
            </w:pPr>
            <w:r w:rsidRPr="004172D7">
              <w:rPr>
                <w:rFonts w:ascii="Lato" w:hAnsi="Lato"/>
                <w:b/>
                <w:bCs/>
                <w:color w:val="000000"/>
                <w:sz w:val="20"/>
                <w:szCs w:val="20"/>
                <w:lang w:eastAsia="es-MX"/>
              </w:rPr>
              <w:t>Flujos de Efectivo Netos de las Actividades de Operación</w:t>
            </w:r>
          </w:p>
        </w:tc>
        <w:tc>
          <w:tcPr>
            <w:tcW w:w="2548" w:type="dxa"/>
            <w:tcBorders>
              <w:top w:val="single" w:sz="6" w:space="0" w:color="auto"/>
              <w:left w:val="single" w:sz="6" w:space="0" w:color="auto"/>
              <w:bottom w:val="single" w:sz="6" w:space="0" w:color="auto"/>
              <w:right w:val="single" w:sz="6" w:space="0" w:color="auto"/>
            </w:tcBorders>
            <w:hideMark/>
          </w:tcPr>
          <w:p w:rsidR="00051164" w:rsidRPr="004172D7" w:rsidRDefault="00D309DF" w:rsidP="0011170E">
            <w:pPr>
              <w:pStyle w:val="Texto"/>
              <w:spacing w:after="80" w:line="224" w:lineRule="exact"/>
              <w:ind w:firstLine="0"/>
              <w:jc w:val="center"/>
              <w:rPr>
                <w:rFonts w:ascii="Lato" w:hAnsi="Lato"/>
                <w:sz w:val="20"/>
                <w:szCs w:val="20"/>
                <w:lang w:val="es-MX"/>
              </w:rPr>
            </w:pPr>
            <w:r w:rsidRPr="004172D7">
              <w:rPr>
                <w:rFonts w:ascii="Lato" w:hAnsi="Lato"/>
                <w:b/>
                <w:bCs/>
                <w:color w:val="000000"/>
                <w:sz w:val="20"/>
                <w:szCs w:val="20"/>
                <w:lang w:eastAsia="es-MX"/>
              </w:rPr>
              <w:t>(130,168.72)</w:t>
            </w:r>
          </w:p>
        </w:tc>
        <w:tc>
          <w:tcPr>
            <w:tcW w:w="2517" w:type="dxa"/>
            <w:tcBorders>
              <w:top w:val="single" w:sz="6" w:space="0" w:color="auto"/>
              <w:left w:val="single" w:sz="6" w:space="0" w:color="auto"/>
              <w:bottom w:val="single" w:sz="6" w:space="0" w:color="auto"/>
              <w:right w:val="single" w:sz="6" w:space="0" w:color="auto"/>
            </w:tcBorders>
            <w:hideMark/>
          </w:tcPr>
          <w:p w:rsidR="00051164" w:rsidRPr="004172D7" w:rsidRDefault="00D309DF" w:rsidP="00EF3A70">
            <w:pPr>
              <w:pStyle w:val="Texto"/>
              <w:spacing w:after="80" w:line="224" w:lineRule="exact"/>
              <w:ind w:firstLine="0"/>
              <w:jc w:val="center"/>
              <w:rPr>
                <w:rFonts w:ascii="Lato" w:hAnsi="Lato"/>
                <w:sz w:val="20"/>
                <w:szCs w:val="20"/>
                <w:lang w:val="es-MX"/>
              </w:rPr>
            </w:pPr>
            <w:r w:rsidRPr="004172D7">
              <w:rPr>
                <w:rFonts w:ascii="Lato" w:hAnsi="Lato"/>
                <w:b/>
                <w:bCs/>
                <w:color w:val="000000"/>
                <w:sz w:val="20"/>
                <w:szCs w:val="20"/>
                <w:lang w:eastAsia="es-MX"/>
              </w:rPr>
              <w:t>184,876.19</w:t>
            </w:r>
          </w:p>
        </w:tc>
      </w:tr>
    </w:tbl>
    <w:p w:rsidR="00051164" w:rsidRPr="004172D7" w:rsidRDefault="00051164" w:rsidP="00051164">
      <w:pPr>
        <w:rPr>
          <w:rFonts w:ascii="Lato" w:hAnsi="Lato"/>
          <w:sz w:val="20"/>
          <w:szCs w:val="20"/>
        </w:rPr>
      </w:pPr>
    </w:p>
    <w:p w:rsidR="00051164" w:rsidRPr="004172D7" w:rsidRDefault="00AF34D0" w:rsidP="00051164">
      <w:pPr>
        <w:jc w:val="center"/>
        <w:rPr>
          <w:rFonts w:ascii="Lato" w:hAnsi="Lato"/>
          <w:b/>
          <w:sz w:val="20"/>
          <w:szCs w:val="20"/>
        </w:rPr>
      </w:pPr>
      <w:r w:rsidRPr="004172D7">
        <w:rPr>
          <w:rFonts w:ascii="Lato" w:hAnsi="Lato"/>
          <w:b/>
          <w:sz w:val="20"/>
          <w:szCs w:val="20"/>
        </w:rPr>
        <w:t xml:space="preserve">V) </w:t>
      </w:r>
      <w:r w:rsidR="00051164" w:rsidRPr="004172D7">
        <w:rPr>
          <w:rFonts w:ascii="Lato" w:hAnsi="Lato"/>
          <w:b/>
          <w:sz w:val="20"/>
          <w:szCs w:val="20"/>
        </w:rPr>
        <w:t>CONCILIACIÓN ENTRE LOS INGRESOS PRESUPUESTARIOS Y CONTABLES, ASÍ COMO ENTRE LOS EGRESOS PRESUPUESTARIOS Y LOS GASTOS CONTABLES</w:t>
      </w:r>
    </w:p>
    <w:p w:rsidR="00051164" w:rsidRPr="004172D7" w:rsidRDefault="00051164" w:rsidP="00051164">
      <w:pPr>
        <w:jc w:val="both"/>
        <w:rPr>
          <w:rFonts w:ascii="Lato" w:hAnsi="Lato"/>
          <w:i/>
          <w:sz w:val="20"/>
          <w:szCs w:val="20"/>
          <w:u w:val="single"/>
        </w:rPr>
      </w:pPr>
      <w:r w:rsidRPr="004172D7">
        <w:rPr>
          <w:rFonts w:ascii="Lato" w:hAnsi="Lato"/>
          <w:i/>
          <w:sz w:val="20"/>
          <w:szCs w:val="20"/>
          <w:u w:val="single"/>
        </w:rPr>
        <w:t>Para el ejercicio 202</w:t>
      </w:r>
      <w:r w:rsidR="00D309DF" w:rsidRPr="004172D7">
        <w:rPr>
          <w:rFonts w:ascii="Lato" w:hAnsi="Lato"/>
          <w:i/>
          <w:sz w:val="20"/>
          <w:szCs w:val="20"/>
          <w:u w:val="single"/>
        </w:rPr>
        <w:t>5</w:t>
      </w:r>
      <w:r w:rsidR="00312256" w:rsidRPr="004172D7">
        <w:rPr>
          <w:rFonts w:ascii="Lato" w:hAnsi="Lato"/>
          <w:i/>
          <w:sz w:val="20"/>
          <w:szCs w:val="20"/>
          <w:u w:val="single"/>
        </w:rPr>
        <w:t xml:space="preserve"> El Fondo Yucatán </w:t>
      </w:r>
      <w:r w:rsidRPr="004172D7">
        <w:rPr>
          <w:rFonts w:ascii="Lato" w:hAnsi="Lato"/>
          <w:i/>
          <w:sz w:val="20"/>
          <w:szCs w:val="20"/>
          <w:u w:val="single"/>
        </w:rPr>
        <w:t>no tiene presupuesto autorizado para ejercer, por lo que los gastos que se generan, son cubiertos por el saldo de</w:t>
      </w:r>
      <w:r w:rsidR="00312256" w:rsidRPr="004172D7">
        <w:rPr>
          <w:rFonts w:ascii="Lato" w:hAnsi="Lato"/>
          <w:i/>
          <w:sz w:val="20"/>
          <w:szCs w:val="20"/>
          <w:u w:val="single"/>
        </w:rPr>
        <w:t xml:space="preserve"> </w:t>
      </w:r>
      <w:r w:rsidRPr="004172D7">
        <w:rPr>
          <w:rFonts w:ascii="Lato" w:hAnsi="Lato"/>
          <w:i/>
          <w:sz w:val="20"/>
          <w:szCs w:val="20"/>
          <w:u w:val="single"/>
        </w:rPr>
        <w:t>l</w:t>
      </w:r>
      <w:r w:rsidR="00312256" w:rsidRPr="004172D7">
        <w:rPr>
          <w:rFonts w:ascii="Lato" w:hAnsi="Lato"/>
          <w:i/>
          <w:sz w:val="20"/>
          <w:szCs w:val="20"/>
          <w:u w:val="single"/>
        </w:rPr>
        <w:t>a</w:t>
      </w:r>
      <w:r w:rsidRPr="004172D7">
        <w:rPr>
          <w:rFonts w:ascii="Lato" w:hAnsi="Lato"/>
          <w:i/>
          <w:sz w:val="20"/>
          <w:szCs w:val="20"/>
          <w:u w:val="single"/>
        </w:rPr>
        <w:t xml:space="preserve"> </w:t>
      </w:r>
      <w:r w:rsidR="00312256" w:rsidRPr="004172D7">
        <w:rPr>
          <w:rFonts w:ascii="Lato" w:hAnsi="Lato"/>
          <w:i/>
          <w:sz w:val="20"/>
          <w:szCs w:val="20"/>
          <w:u w:val="single"/>
        </w:rPr>
        <w:t>aportación inicial desde su creación</w:t>
      </w:r>
      <w:r w:rsidRPr="004172D7">
        <w:rPr>
          <w:rFonts w:ascii="Lato" w:hAnsi="Lato"/>
          <w:i/>
          <w:sz w:val="20"/>
          <w:szCs w:val="20"/>
          <w:u w:val="single"/>
        </w:rPr>
        <w:t>.</w:t>
      </w:r>
    </w:p>
    <w:p w:rsidR="00804A77" w:rsidRPr="004172D7" w:rsidRDefault="00804A77" w:rsidP="00051164">
      <w:pPr>
        <w:jc w:val="both"/>
        <w:rPr>
          <w:rFonts w:ascii="Lato" w:hAnsi="Lato"/>
          <w:i/>
          <w:sz w:val="20"/>
          <w:szCs w:val="20"/>
          <w:u w:val="single"/>
        </w:rPr>
      </w:pPr>
    </w:p>
    <w:p w:rsidR="00804A77" w:rsidRPr="004172D7" w:rsidRDefault="00804A77" w:rsidP="00051164">
      <w:pPr>
        <w:jc w:val="both"/>
        <w:rPr>
          <w:rFonts w:ascii="Lato" w:hAnsi="Lato"/>
          <w:i/>
          <w:sz w:val="20"/>
          <w:szCs w:val="20"/>
          <w:u w:val="single"/>
        </w:rPr>
      </w:pPr>
    </w:p>
    <w:p w:rsidR="00804A77" w:rsidRPr="004172D7" w:rsidRDefault="00804A77" w:rsidP="00051164">
      <w:pPr>
        <w:jc w:val="both"/>
        <w:rPr>
          <w:rFonts w:ascii="Lato" w:hAnsi="Lato"/>
          <w:i/>
          <w:sz w:val="20"/>
          <w:szCs w:val="20"/>
          <w:u w:val="single"/>
        </w:rPr>
      </w:pPr>
    </w:p>
    <w:p w:rsidR="00804A77" w:rsidRPr="004172D7" w:rsidRDefault="00804A77" w:rsidP="00051164">
      <w:pPr>
        <w:jc w:val="both"/>
        <w:rPr>
          <w:rFonts w:ascii="Lato" w:hAnsi="Lato"/>
          <w:i/>
          <w:sz w:val="20"/>
          <w:szCs w:val="20"/>
          <w:u w:val="single"/>
        </w:rPr>
      </w:pPr>
    </w:p>
    <w:tbl>
      <w:tblPr>
        <w:tblW w:w="7700" w:type="dxa"/>
        <w:jc w:val="center"/>
        <w:tblCellMar>
          <w:left w:w="70" w:type="dxa"/>
          <w:right w:w="70" w:type="dxa"/>
        </w:tblCellMar>
        <w:tblLook w:val="04A0" w:firstRow="1" w:lastRow="0" w:firstColumn="1" w:lastColumn="0" w:noHBand="0" w:noVBand="1"/>
      </w:tblPr>
      <w:tblGrid>
        <w:gridCol w:w="4456"/>
        <w:gridCol w:w="1035"/>
        <w:gridCol w:w="2209"/>
      </w:tblGrid>
      <w:tr w:rsidR="00051164" w:rsidRPr="004172D7" w:rsidTr="00EF3A70">
        <w:trPr>
          <w:trHeight w:val="300"/>
          <w:jc w:val="center"/>
        </w:trPr>
        <w:tc>
          <w:tcPr>
            <w:tcW w:w="7700" w:type="dxa"/>
            <w:gridSpan w:val="3"/>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Conciliación entre los Ingresos Presupuestarios y Contables</w:t>
            </w:r>
          </w:p>
        </w:tc>
      </w:tr>
      <w:tr w:rsidR="00051164" w:rsidRPr="004172D7" w:rsidTr="00EF3A70">
        <w:trPr>
          <w:trHeight w:val="300"/>
          <w:jc w:val="center"/>
        </w:trPr>
        <w:tc>
          <w:tcPr>
            <w:tcW w:w="7700" w:type="dxa"/>
            <w:gridSpan w:val="3"/>
            <w:tcBorders>
              <w:top w:val="nil"/>
              <w:left w:val="nil"/>
              <w:bottom w:val="nil"/>
              <w:right w:val="nil"/>
            </w:tcBorders>
            <w:shd w:val="clear" w:color="auto" w:fill="auto"/>
            <w:noWrap/>
            <w:vAlign w:val="bottom"/>
            <w:hideMark/>
          </w:tcPr>
          <w:p w:rsidR="00051164" w:rsidRPr="004172D7" w:rsidRDefault="00051164" w:rsidP="000F45E5">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Correspondiente del 1 de enero al 3</w:t>
            </w:r>
            <w:r w:rsidR="000F45E5" w:rsidRPr="004172D7">
              <w:rPr>
                <w:rFonts w:ascii="Lato" w:eastAsia="Times New Roman" w:hAnsi="Lato" w:cs="Calibri"/>
                <w:b/>
                <w:bCs/>
                <w:color w:val="000000"/>
                <w:sz w:val="20"/>
                <w:szCs w:val="20"/>
                <w:lang w:eastAsia="es-MX"/>
              </w:rPr>
              <w:t>1</w:t>
            </w:r>
            <w:r w:rsidRPr="004172D7">
              <w:rPr>
                <w:rFonts w:ascii="Lato" w:eastAsia="Times New Roman" w:hAnsi="Lato" w:cs="Calibri"/>
                <w:b/>
                <w:bCs/>
                <w:color w:val="000000"/>
                <w:sz w:val="20"/>
                <w:szCs w:val="20"/>
                <w:lang w:eastAsia="es-MX"/>
              </w:rPr>
              <w:t xml:space="preserve"> de </w:t>
            </w:r>
            <w:r w:rsidR="00D309DF" w:rsidRPr="004172D7">
              <w:rPr>
                <w:rFonts w:ascii="Lato" w:eastAsia="Times New Roman" w:hAnsi="Lato" w:cs="Calibri"/>
                <w:b/>
                <w:bCs/>
                <w:color w:val="000000"/>
                <w:sz w:val="20"/>
                <w:szCs w:val="20"/>
                <w:lang w:eastAsia="es-MX"/>
              </w:rPr>
              <w:t>marzo</w:t>
            </w:r>
            <w:r w:rsidRPr="004172D7">
              <w:rPr>
                <w:rFonts w:ascii="Lato" w:eastAsia="Times New Roman" w:hAnsi="Lato" w:cs="Calibri"/>
                <w:b/>
                <w:bCs/>
                <w:color w:val="000000"/>
                <w:sz w:val="20"/>
                <w:szCs w:val="20"/>
                <w:lang w:eastAsia="es-MX"/>
              </w:rPr>
              <w:t xml:space="preserve"> de 202</w:t>
            </w:r>
            <w:r w:rsidR="00D309DF" w:rsidRPr="004172D7">
              <w:rPr>
                <w:rFonts w:ascii="Lato" w:eastAsia="Times New Roman" w:hAnsi="Lato" w:cs="Calibri"/>
                <w:b/>
                <w:bCs/>
                <w:color w:val="000000"/>
                <w:sz w:val="20"/>
                <w:szCs w:val="20"/>
                <w:lang w:eastAsia="es-MX"/>
              </w:rPr>
              <w:t>5</w:t>
            </w:r>
          </w:p>
        </w:tc>
      </w:tr>
      <w:tr w:rsidR="00051164" w:rsidRPr="004172D7" w:rsidTr="00EF3A70">
        <w:trPr>
          <w:trHeight w:val="300"/>
          <w:jc w:val="center"/>
        </w:trPr>
        <w:tc>
          <w:tcPr>
            <w:tcW w:w="7700" w:type="dxa"/>
            <w:gridSpan w:val="3"/>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(cifras en Pesos)</w:t>
            </w: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1.- Ingresos Presupuestarios</w:t>
            </w: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D309DF" w:rsidP="00A55C5E">
            <w:pPr>
              <w:spacing w:after="0" w:line="240" w:lineRule="auto"/>
              <w:jc w:val="right"/>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2,485.26</w:t>
            </w: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2. Más Ingresos contables no presupuestario</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r>
      <w:tr w:rsidR="00051164" w:rsidRPr="004172D7" w:rsidTr="00EF3A70">
        <w:trPr>
          <w:trHeight w:val="213"/>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Incremento por variación de Inventarios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Disminución del Exceso de Provisiones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Ingresos y beneficios varios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Ingresos contables no presupuestarios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3. Menos Ingresos Presupuestarios no contables</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Productos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Aprovechamientos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ingresos derivados de financiamientos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Ingresos presupuestarios no contables</w:t>
            </w:r>
          </w:p>
        </w:tc>
        <w:tc>
          <w:tcPr>
            <w:tcW w:w="103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120"/>
          <w:jc w:val="center"/>
        </w:trPr>
        <w:tc>
          <w:tcPr>
            <w:tcW w:w="4456"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2209"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4. Ingresos Contables (4=1+2-3)</w:t>
            </w:r>
          </w:p>
        </w:tc>
        <w:tc>
          <w:tcPr>
            <w:tcW w:w="103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D309DF" w:rsidP="00365F45">
            <w:pPr>
              <w:spacing w:after="0" w:line="240" w:lineRule="auto"/>
              <w:jc w:val="right"/>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2,485.26</w:t>
            </w:r>
          </w:p>
        </w:tc>
      </w:tr>
    </w:tbl>
    <w:p w:rsidR="00051164" w:rsidRPr="004172D7" w:rsidRDefault="00051164" w:rsidP="00051164">
      <w:pPr>
        <w:rPr>
          <w:rFonts w:ascii="Lato" w:hAnsi="Lato"/>
          <w:b/>
          <w:sz w:val="20"/>
          <w:szCs w:val="20"/>
        </w:rPr>
      </w:pPr>
    </w:p>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tbl>
      <w:tblPr>
        <w:tblW w:w="7360" w:type="dxa"/>
        <w:jc w:val="center"/>
        <w:tblCellMar>
          <w:left w:w="70" w:type="dxa"/>
          <w:right w:w="70" w:type="dxa"/>
        </w:tblCellMar>
        <w:tblLook w:val="04A0" w:firstRow="1" w:lastRow="0" w:firstColumn="1" w:lastColumn="0" w:noHBand="0" w:noVBand="1"/>
      </w:tblPr>
      <w:tblGrid>
        <w:gridCol w:w="4623"/>
        <w:gridCol w:w="1215"/>
        <w:gridCol w:w="1522"/>
      </w:tblGrid>
      <w:tr w:rsidR="00051164" w:rsidRPr="004172D7" w:rsidTr="00EF3A70">
        <w:trPr>
          <w:trHeight w:val="300"/>
          <w:jc w:val="center"/>
        </w:trPr>
        <w:tc>
          <w:tcPr>
            <w:tcW w:w="7360" w:type="dxa"/>
            <w:gridSpan w:val="3"/>
            <w:tcBorders>
              <w:top w:val="nil"/>
              <w:left w:val="nil"/>
              <w:bottom w:val="nil"/>
              <w:right w:val="nil"/>
            </w:tcBorders>
            <w:shd w:val="clear" w:color="auto" w:fill="auto"/>
            <w:noWrap/>
            <w:vAlign w:val="bottom"/>
            <w:hideMark/>
          </w:tcPr>
          <w:p w:rsidR="00051164" w:rsidRPr="004172D7" w:rsidRDefault="00051164" w:rsidP="00037CD6">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 xml:space="preserve">Conciliación entre los </w:t>
            </w:r>
            <w:r w:rsidR="00037CD6" w:rsidRPr="004172D7">
              <w:rPr>
                <w:rFonts w:ascii="Lato" w:eastAsia="Times New Roman" w:hAnsi="Lato" w:cs="Calibri"/>
                <w:b/>
                <w:bCs/>
                <w:color w:val="000000"/>
                <w:sz w:val="20"/>
                <w:szCs w:val="20"/>
                <w:lang w:eastAsia="es-MX"/>
              </w:rPr>
              <w:t>E</w:t>
            </w:r>
            <w:r w:rsidRPr="004172D7">
              <w:rPr>
                <w:rFonts w:ascii="Lato" w:eastAsia="Times New Roman" w:hAnsi="Lato" w:cs="Calibri"/>
                <w:b/>
                <w:bCs/>
                <w:color w:val="000000"/>
                <w:sz w:val="20"/>
                <w:szCs w:val="20"/>
                <w:lang w:eastAsia="es-MX"/>
              </w:rPr>
              <w:t>gresos Presupuestarios y Contables</w:t>
            </w:r>
          </w:p>
        </w:tc>
      </w:tr>
      <w:tr w:rsidR="00051164" w:rsidRPr="004172D7" w:rsidTr="00EF3A70">
        <w:trPr>
          <w:trHeight w:val="300"/>
          <w:jc w:val="center"/>
        </w:trPr>
        <w:tc>
          <w:tcPr>
            <w:tcW w:w="7360" w:type="dxa"/>
            <w:gridSpan w:val="3"/>
            <w:tcBorders>
              <w:top w:val="nil"/>
              <w:left w:val="nil"/>
              <w:bottom w:val="nil"/>
              <w:right w:val="nil"/>
            </w:tcBorders>
            <w:shd w:val="clear" w:color="auto" w:fill="auto"/>
            <w:noWrap/>
            <w:vAlign w:val="bottom"/>
            <w:hideMark/>
          </w:tcPr>
          <w:p w:rsidR="00051164" w:rsidRPr="004172D7" w:rsidRDefault="00051164" w:rsidP="000F45E5">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Correspondiente del 1 de enero al 3</w:t>
            </w:r>
            <w:r w:rsidR="000F45E5" w:rsidRPr="004172D7">
              <w:rPr>
                <w:rFonts w:ascii="Lato" w:eastAsia="Times New Roman" w:hAnsi="Lato" w:cs="Calibri"/>
                <w:b/>
                <w:bCs/>
                <w:color w:val="000000"/>
                <w:sz w:val="20"/>
                <w:szCs w:val="20"/>
                <w:lang w:eastAsia="es-MX"/>
              </w:rPr>
              <w:t>1</w:t>
            </w:r>
            <w:r w:rsidRPr="004172D7">
              <w:rPr>
                <w:rFonts w:ascii="Lato" w:eastAsia="Times New Roman" w:hAnsi="Lato" w:cs="Calibri"/>
                <w:b/>
                <w:bCs/>
                <w:color w:val="000000"/>
                <w:sz w:val="20"/>
                <w:szCs w:val="20"/>
                <w:lang w:eastAsia="es-MX"/>
              </w:rPr>
              <w:t xml:space="preserve"> de </w:t>
            </w:r>
            <w:r w:rsidR="00D309DF" w:rsidRPr="004172D7">
              <w:rPr>
                <w:rFonts w:ascii="Lato" w:eastAsia="Times New Roman" w:hAnsi="Lato" w:cs="Calibri"/>
                <w:b/>
                <w:bCs/>
                <w:color w:val="000000"/>
                <w:sz w:val="20"/>
                <w:szCs w:val="20"/>
                <w:lang w:eastAsia="es-MX"/>
              </w:rPr>
              <w:t>marzo</w:t>
            </w:r>
            <w:r w:rsidRPr="004172D7">
              <w:rPr>
                <w:rFonts w:ascii="Lato" w:eastAsia="Times New Roman" w:hAnsi="Lato" w:cs="Calibri"/>
                <w:b/>
                <w:bCs/>
                <w:color w:val="000000"/>
                <w:sz w:val="20"/>
                <w:szCs w:val="20"/>
                <w:lang w:eastAsia="es-MX"/>
              </w:rPr>
              <w:t xml:space="preserve"> de 202</w:t>
            </w:r>
            <w:r w:rsidR="00D309DF" w:rsidRPr="004172D7">
              <w:rPr>
                <w:rFonts w:ascii="Lato" w:eastAsia="Times New Roman" w:hAnsi="Lato" w:cs="Calibri"/>
                <w:b/>
                <w:bCs/>
                <w:color w:val="000000"/>
                <w:sz w:val="20"/>
                <w:szCs w:val="20"/>
                <w:lang w:eastAsia="es-MX"/>
              </w:rPr>
              <w:t>5</w:t>
            </w:r>
          </w:p>
        </w:tc>
      </w:tr>
      <w:tr w:rsidR="00051164" w:rsidRPr="004172D7" w:rsidTr="00EF3A70">
        <w:trPr>
          <w:trHeight w:val="300"/>
          <w:jc w:val="center"/>
        </w:trPr>
        <w:tc>
          <w:tcPr>
            <w:tcW w:w="7360" w:type="dxa"/>
            <w:gridSpan w:val="3"/>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(cifras en Pesos)</w:t>
            </w:r>
          </w:p>
        </w:tc>
      </w:tr>
      <w:tr w:rsidR="00051164" w:rsidRPr="004172D7" w:rsidTr="00EF3A70">
        <w:trPr>
          <w:trHeight w:val="120"/>
          <w:jc w:val="center"/>
        </w:trPr>
        <w:tc>
          <w:tcPr>
            <w:tcW w:w="4623"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center"/>
              <w:rPr>
                <w:rFonts w:ascii="Lato" w:eastAsia="Times New Roman" w:hAnsi="Lato"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r>
      <w:tr w:rsidR="00051164" w:rsidRPr="004172D7" w:rsidTr="00EF3A70">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1.- Total de Egresos Presupuestarios</w:t>
            </w: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D309DF" w:rsidP="00A55C5E">
            <w:pPr>
              <w:spacing w:after="0" w:line="240" w:lineRule="auto"/>
              <w:jc w:val="right"/>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132,653.98</w:t>
            </w:r>
          </w:p>
        </w:tc>
      </w:tr>
      <w:tr w:rsidR="00051164" w:rsidRPr="004172D7" w:rsidTr="00EF3A70">
        <w:trPr>
          <w:trHeight w:val="120"/>
          <w:jc w:val="center"/>
        </w:trPr>
        <w:tc>
          <w:tcPr>
            <w:tcW w:w="4623"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2. Menos Egresos Presupuestarios No Contables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r>
      <w:tr w:rsidR="00051164" w:rsidRPr="004172D7" w:rsidTr="00EF3A70">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Mobiliario y Equipo de Administración</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Maquinaria, Otros Equipos y Herramientas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Egresos Presupuestales No Contables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   </w:t>
            </w: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120"/>
          <w:jc w:val="center"/>
        </w:trPr>
        <w:tc>
          <w:tcPr>
            <w:tcW w:w="4623"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3. Más gasto contable No presupuestales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0.00</w:t>
            </w:r>
          </w:p>
        </w:tc>
      </w:tr>
      <w:tr w:rsidR="00051164" w:rsidRPr="004172D7" w:rsidTr="00EF3A70">
        <w:trPr>
          <w:trHeight w:val="600"/>
          <w:jc w:val="center"/>
        </w:trPr>
        <w:tc>
          <w:tcPr>
            <w:tcW w:w="4623" w:type="dxa"/>
            <w:tcBorders>
              <w:top w:val="nil"/>
              <w:left w:val="single" w:sz="4" w:space="0" w:color="auto"/>
              <w:bottom w:val="single" w:sz="4" w:space="0" w:color="auto"/>
              <w:right w:val="single" w:sz="4" w:space="0" w:color="auto"/>
            </w:tcBorders>
            <w:shd w:val="clear" w:color="auto" w:fill="auto"/>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Estimaciones, Depreciaciones, Deterioros, Obsolescencia y Amortizaciones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w:t>
            </w: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Otros Gastos Contables no Presupuestales</w:t>
            </w:r>
          </w:p>
        </w:tc>
        <w:tc>
          <w:tcPr>
            <w:tcW w:w="1215" w:type="dxa"/>
            <w:tcBorders>
              <w:top w:val="nil"/>
              <w:left w:val="nil"/>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r>
      <w:tr w:rsidR="00051164" w:rsidRPr="004172D7" w:rsidTr="00EF3A70">
        <w:trPr>
          <w:trHeight w:val="120"/>
          <w:jc w:val="center"/>
        </w:trPr>
        <w:tc>
          <w:tcPr>
            <w:tcW w:w="4623"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rPr>
                <w:rFonts w:ascii="Lato" w:eastAsia="Times New Roman" w:hAnsi="Lato"/>
                <w:sz w:val="20"/>
                <w:szCs w:val="20"/>
                <w:lang w:eastAsia="es-MX"/>
              </w:rPr>
            </w:pP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c>
          <w:tcPr>
            <w:tcW w:w="1522"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sz w:val="20"/>
                <w:szCs w:val="20"/>
                <w:lang w:eastAsia="es-MX"/>
              </w:rPr>
            </w:pPr>
          </w:p>
        </w:tc>
      </w:tr>
      <w:tr w:rsidR="00051164" w:rsidRPr="004172D7" w:rsidTr="00EF3A70">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051164" w:rsidP="00EF3A70">
            <w:pPr>
              <w:spacing w:after="0" w:line="240" w:lineRule="auto"/>
              <w:rPr>
                <w:rFonts w:ascii="Lato" w:eastAsia="Times New Roman" w:hAnsi="Lato" w:cs="Calibri"/>
                <w:color w:val="000000"/>
                <w:sz w:val="20"/>
                <w:szCs w:val="20"/>
                <w:lang w:eastAsia="es-MX"/>
              </w:rPr>
            </w:pPr>
            <w:r w:rsidRPr="004172D7">
              <w:rPr>
                <w:rFonts w:ascii="Lato" w:eastAsia="Times New Roman" w:hAnsi="Lato" w:cs="Calibri"/>
                <w:color w:val="000000"/>
                <w:sz w:val="20"/>
                <w:szCs w:val="20"/>
                <w:lang w:eastAsia="es-MX"/>
              </w:rPr>
              <w:t>4. Total de Gasto Contable (4=1-2+3)</w:t>
            </w:r>
          </w:p>
        </w:tc>
        <w:tc>
          <w:tcPr>
            <w:tcW w:w="1215" w:type="dxa"/>
            <w:tcBorders>
              <w:top w:val="nil"/>
              <w:left w:val="nil"/>
              <w:bottom w:val="nil"/>
              <w:right w:val="nil"/>
            </w:tcBorders>
            <w:shd w:val="clear" w:color="auto" w:fill="auto"/>
            <w:noWrap/>
            <w:vAlign w:val="bottom"/>
            <w:hideMark/>
          </w:tcPr>
          <w:p w:rsidR="00051164" w:rsidRPr="004172D7" w:rsidRDefault="00051164" w:rsidP="00EF3A70">
            <w:pPr>
              <w:spacing w:after="0" w:line="240" w:lineRule="auto"/>
              <w:jc w:val="right"/>
              <w:rPr>
                <w:rFonts w:ascii="Lato" w:eastAsia="Times New Roman" w:hAnsi="Lato"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164" w:rsidRPr="004172D7" w:rsidRDefault="00D309DF" w:rsidP="00365F45">
            <w:pPr>
              <w:spacing w:after="0" w:line="240" w:lineRule="auto"/>
              <w:jc w:val="right"/>
              <w:rPr>
                <w:rFonts w:ascii="Lato" w:eastAsia="Times New Roman" w:hAnsi="Lato" w:cs="Calibri"/>
                <w:b/>
                <w:bCs/>
                <w:color w:val="000000"/>
                <w:sz w:val="20"/>
                <w:szCs w:val="20"/>
                <w:lang w:eastAsia="es-MX"/>
              </w:rPr>
            </w:pPr>
            <w:r w:rsidRPr="004172D7">
              <w:rPr>
                <w:rFonts w:ascii="Lato" w:eastAsia="Times New Roman" w:hAnsi="Lato" w:cs="Calibri"/>
                <w:b/>
                <w:bCs/>
                <w:color w:val="000000"/>
                <w:sz w:val="20"/>
                <w:szCs w:val="20"/>
                <w:lang w:eastAsia="es-MX"/>
              </w:rPr>
              <w:t>132,653.98</w:t>
            </w:r>
          </w:p>
        </w:tc>
      </w:tr>
    </w:tbl>
    <w:p w:rsidR="00051164" w:rsidRPr="004172D7" w:rsidRDefault="00051164" w:rsidP="00051164">
      <w:pPr>
        <w:rPr>
          <w:rFonts w:ascii="Lato" w:hAnsi="Lato"/>
          <w:b/>
          <w:sz w:val="20"/>
          <w:szCs w:val="20"/>
        </w:rPr>
      </w:pPr>
    </w:p>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p w:rsidR="00804A77" w:rsidRPr="004172D7" w:rsidRDefault="00804A77" w:rsidP="00051164">
      <w:pPr>
        <w:rPr>
          <w:rFonts w:ascii="Lato" w:hAnsi="Lato"/>
          <w:b/>
          <w:sz w:val="20"/>
          <w:szCs w:val="20"/>
        </w:rPr>
      </w:pPr>
    </w:p>
    <w:p w:rsidR="00051164" w:rsidRPr="004172D7" w:rsidRDefault="00051164" w:rsidP="00051164">
      <w:pPr>
        <w:jc w:val="center"/>
        <w:rPr>
          <w:rFonts w:ascii="Lato" w:hAnsi="Lato"/>
          <w:b/>
          <w:sz w:val="20"/>
          <w:szCs w:val="20"/>
        </w:rPr>
      </w:pPr>
      <w:r w:rsidRPr="004172D7">
        <w:rPr>
          <w:rFonts w:ascii="Lato" w:hAnsi="Lato"/>
          <w:b/>
          <w:sz w:val="20"/>
          <w:szCs w:val="20"/>
        </w:rPr>
        <w:t>NOTAS DE MEMORIA (Cuentas de Orden)</w:t>
      </w:r>
    </w:p>
    <w:p w:rsidR="00051164" w:rsidRPr="004172D7" w:rsidRDefault="00051164" w:rsidP="00051164">
      <w:pPr>
        <w:rPr>
          <w:rFonts w:ascii="Lato" w:hAnsi="Lato"/>
          <w:sz w:val="20"/>
          <w:szCs w:val="20"/>
        </w:rPr>
      </w:pPr>
      <w:r w:rsidRPr="004172D7">
        <w:rPr>
          <w:rFonts w:ascii="Lato" w:hAnsi="Lato"/>
          <w:sz w:val="20"/>
          <w:szCs w:val="20"/>
        </w:rPr>
        <w:t>No se tienen cuentas de orden Contables</w:t>
      </w:r>
      <w:r w:rsidR="00AF34D0" w:rsidRPr="004172D7">
        <w:rPr>
          <w:rFonts w:ascii="Lato" w:hAnsi="Lato"/>
          <w:sz w:val="20"/>
          <w:szCs w:val="20"/>
        </w:rPr>
        <w:t xml:space="preserve">, por lo </w:t>
      </w:r>
      <w:r w:rsidR="00365F45" w:rsidRPr="004172D7">
        <w:rPr>
          <w:rFonts w:ascii="Lato" w:hAnsi="Lato"/>
          <w:sz w:val="20"/>
          <w:szCs w:val="20"/>
        </w:rPr>
        <w:t>tanto,</w:t>
      </w:r>
      <w:r w:rsidR="00AF34D0" w:rsidRPr="004172D7">
        <w:rPr>
          <w:rFonts w:ascii="Lato" w:hAnsi="Lato"/>
          <w:sz w:val="20"/>
          <w:szCs w:val="20"/>
        </w:rPr>
        <w:t xml:space="preserve"> no se reporta información en esta nota.</w:t>
      </w:r>
    </w:p>
    <w:p w:rsidR="00051164" w:rsidRPr="004172D7" w:rsidRDefault="00051164" w:rsidP="00051164">
      <w:pPr>
        <w:tabs>
          <w:tab w:val="left" w:pos="2294"/>
        </w:tabs>
        <w:rPr>
          <w:rFonts w:ascii="Lato" w:hAnsi="Lato" w:cs="Microsoft Sans Serif"/>
          <w:sz w:val="20"/>
          <w:szCs w:val="20"/>
        </w:rPr>
      </w:pPr>
      <w:r w:rsidRPr="004172D7">
        <w:rPr>
          <w:rFonts w:ascii="Lato" w:hAnsi="Lato" w:cs="Microsoft Sans Serif"/>
          <w:sz w:val="20"/>
          <w:szCs w:val="20"/>
        </w:rPr>
        <w:t xml:space="preserve">Análisis de los saldos de las cuentas presupuestales. </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637"/>
        <w:gridCol w:w="3007"/>
      </w:tblGrid>
      <w:tr w:rsidR="00051164" w:rsidRPr="004172D7" w:rsidTr="00EF3A70">
        <w:trPr>
          <w:jc w:val="center"/>
        </w:trPr>
        <w:tc>
          <w:tcPr>
            <w:tcW w:w="8644" w:type="dxa"/>
            <w:gridSpan w:val="2"/>
            <w:tcBorders>
              <w:top w:val="single" w:sz="12" w:space="0" w:color="000000"/>
              <w:bottom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Cuentas de Orden Presupuestarias de Ingresos</w:t>
            </w:r>
          </w:p>
        </w:tc>
      </w:tr>
      <w:tr w:rsidR="00051164" w:rsidRPr="004172D7" w:rsidTr="00EF3A70">
        <w:trPr>
          <w:jc w:val="center"/>
        </w:trPr>
        <w:tc>
          <w:tcPr>
            <w:tcW w:w="5637" w:type="dxa"/>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Concepto</w:t>
            </w:r>
          </w:p>
        </w:tc>
        <w:tc>
          <w:tcPr>
            <w:tcW w:w="3007" w:type="dxa"/>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365F45">
            <w:pPr>
              <w:tabs>
                <w:tab w:val="left" w:pos="2294"/>
              </w:tabs>
              <w:jc w:val="center"/>
              <w:rPr>
                <w:rFonts w:ascii="Lato" w:hAnsi="Lato" w:cs="Microsoft Sans Serif"/>
                <w:b/>
                <w:bCs/>
                <w:sz w:val="20"/>
                <w:szCs w:val="20"/>
              </w:rPr>
            </w:pPr>
            <w:r w:rsidRPr="004172D7">
              <w:rPr>
                <w:rFonts w:ascii="Lato" w:hAnsi="Lato" w:cs="Microsoft Sans Serif"/>
                <w:b/>
                <w:bCs/>
                <w:sz w:val="20"/>
                <w:szCs w:val="20"/>
              </w:rPr>
              <w:t>202</w:t>
            </w:r>
            <w:r w:rsidR="00D309DF" w:rsidRPr="004172D7">
              <w:rPr>
                <w:rFonts w:ascii="Lato" w:hAnsi="Lato" w:cs="Microsoft Sans Serif"/>
                <w:b/>
                <w:bCs/>
                <w:sz w:val="20"/>
                <w:szCs w:val="20"/>
              </w:rPr>
              <w:t>5</w:t>
            </w:r>
          </w:p>
        </w:tc>
      </w:tr>
      <w:tr w:rsidR="00051164" w:rsidRPr="004172D7" w:rsidTr="00EF3A70">
        <w:trPr>
          <w:jc w:val="center"/>
        </w:trPr>
        <w:tc>
          <w:tcPr>
            <w:tcW w:w="5637" w:type="dxa"/>
            <w:tcBorders>
              <w:top w:val="single" w:sz="12" w:space="0" w:color="auto"/>
            </w:tcBorders>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LEY DE INGRESOS ESTIMADA</w:t>
            </w:r>
          </w:p>
        </w:tc>
        <w:tc>
          <w:tcPr>
            <w:tcW w:w="3007" w:type="dxa"/>
            <w:tcBorders>
              <w:top w:val="single" w:sz="12" w:space="0" w:color="auto"/>
            </w:tcBorders>
            <w:shd w:val="clear" w:color="auto" w:fill="auto"/>
          </w:tcPr>
          <w:p w:rsidR="00051164" w:rsidRPr="004172D7" w:rsidRDefault="00051164" w:rsidP="00EF3A70">
            <w:pPr>
              <w:tabs>
                <w:tab w:val="left" w:pos="2294"/>
              </w:tabs>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LEY DE INGRESOS POR EJERCER</w:t>
            </w:r>
          </w:p>
        </w:tc>
        <w:tc>
          <w:tcPr>
            <w:tcW w:w="3007" w:type="dxa"/>
            <w:shd w:val="clear" w:color="auto" w:fill="auto"/>
          </w:tcPr>
          <w:p w:rsidR="00051164" w:rsidRPr="004172D7" w:rsidRDefault="00051164" w:rsidP="00EF3A70">
            <w:pPr>
              <w:tabs>
                <w:tab w:val="left" w:pos="2294"/>
              </w:tabs>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 xml:space="preserve">LEY DE INGRESOS MODIFICADA  </w:t>
            </w:r>
          </w:p>
        </w:tc>
        <w:tc>
          <w:tcPr>
            <w:tcW w:w="3007" w:type="dxa"/>
            <w:shd w:val="clear" w:color="auto" w:fill="auto"/>
          </w:tcPr>
          <w:p w:rsidR="00051164" w:rsidRPr="004172D7" w:rsidRDefault="00D309DF" w:rsidP="00365F45">
            <w:pPr>
              <w:tabs>
                <w:tab w:val="left" w:pos="2294"/>
              </w:tabs>
              <w:jc w:val="right"/>
              <w:rPr>
                <w:rFonts w:ascii="Lato" w:hAnsi="Lato" w:cs="Microsoft Sans Serif"/>
                <w:sz w:val="20"/>
                <w:szCs w:val="20"/>
              </w:rPr>
            </w:pPr>
            <w:r w:rsidRPr="004172D7">
              <w:rPr>
                <w:rFonts w:ascii="Lato" w:hAnsi="Lato" w:cs="Microsoft Sans Serif"/>
                <w:sz w:val="20"/>
                <w:szCs w:val="20"/>
              </w:rPr>
              <w:t>2,485.26</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 xml:space="preserve">LEY DE INGRESOS DEVENGADA </w:t>
            </w:r>
          </w:p>
        </w:tc>
        <w:tc>
          <w:tcPr>
            <w:tcW w:w="3007" w:type="dxa"/>
            <w:shd w:val="clear" w:color="auto" w:fill="auto"/>
          </w:tcPr>
          <w:p w:rsidR="00051164" w:rsidRPr="004172D7" w:rsidRDefault="00D309DF" w:rsidP="00EF3A70">
            <w:pPr>
              <w:tabs>
                <w:tab w:val="left" w:pos="2294"/>
              </w:tabs>
              <w:jc w:val="right"/>
              <w:rPr>
                <w:rFonts w:ascii="Lato" w:hAnsi="Lato" w:cs="Microsoft Sans Serif"/>
                <w:sz w:val="20"/>
                <w:szCs w:val="20"/>
              </w:rPr>
            </w:pPr>
            <w:r w:rsidRPr="004172D7">
              <w:rPr>
                <w:rFonts w:ascii="Lato" w:hAnsi="Lato" w:cs="Microsoft Sans Serif"/>
                <w:sz w:val="20"/>
                <w:szCs w:val="20"/>
              </w:rPr>
              <w:t>2,485.26</w:t>
            </w:r>
          </w:p>
        </w:tc>
      </w:tr>
      <w:tr w:rsidR="00051164" w:rsidRPr="004172D7" w:rsidTr="00EF3A70">
        <w:trPr>
          <w:jc w:val="center"/>
        </w:trPr>
        <w:tc>
          <w:tcPr>
            <w:tcW w:w="5637" w:type="dxa"/>
            <w:shd w:val="clear" w:color="auto" w:fill="auto"/>
          </w:tcPr>
          <w:p w:rsidR="00051164" w:rsidRPr="004172D7" w:rsidRDefault="00051164" w:rsidP="00EF3A70">
            <w:pPr>
              <w:tabs>
                <w:tab w:val="left" w:pos="2294"/>
              </w:tabs>
              <w:rPr>
                <w:rFonts w:ascii="Lato" w:hAnsi="Lato" w:cs="Microsoft Sans Serif"/>
                <w:sz w:val="20"/>
                <w:szCs w:val="20"/>
              </w:rPr>
            </w:pPr>
            <w:r w:rsidRPr="004172D7">
              <w:rPr>
                <w:rFonts w:ascii="Lato" w:hAnsi="Lato" w:cs="Microsoft Sans Serif"/>
                <w:sz w:val="20"/>
                <w:szCs w:val="20"/>
              </w:rPr>
              <w:t>LEY DE INGRESOS RECAUDADA</w:t>
            </w:r>
          </w:p>
        </w:tc>
        <w:tc>
          <w:tcPr>
            <w:tcW w:w="3007" w:type="dxa"/>
            <w:shd w:val="clear" w:color="auto" w:fill="auto"/>
          </w:tcPr>
          <w:p w:rsidR="00051164" w:rsidRPr="004172D7" w:rsidRDefault="00D309DF" w:rsidP="00365F45">
            <w:pPr>
              <w:tabs>
                <w:tab w:val="left" w:pos="2294"/>
              </w:tabs>
              <w:jc w:val="right"/>
              <w:rPr>
                <w:rFonts w:ascii="Lato" w:hAnsi="Lato" w:cs="Microsoft Sans Serif"/>
                <w:sz w:val="20"/>
                <w:szCs w:val="20"/>
              </w:rPr>
            </w:pPr>
            <w:r w:rsidRPr="004172D7">
              <w:rPr>
                <w:rFonts w:ascii="Lato" w:hAnsi="Lato" w:cs="Microsoft Sans Serif"/>
                <w:sz w:val="20"/>
                <w:szCs w:val="20"/>
              </w:rPr>
              <w:t>2,485.26</w:t>
            </w:r>
          </w:p>
        </w:tc>
      </w:tr>
    </w:tbl>
    <w:p w:rsidR="00051164" w:rsidRPr="004172D7" w:rsidRDefault="00051164" w:rsidP="00051164">
      <w:pPr>
        <w:tabs>
          <w:tab w:val="left" w:pos="2294"/>
        </w:tabs>
        <w:rPr>
          <w:rFonts w:ascii="Lato" w:hAnsi="Lato"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581"/>
        <w:gridCol w:w="176"/>
        <w:gridCol w:w="2907"/>
      </w:tblGrid>
      <w:tr w:rsidR="00051164" w:rsidRPr="004172D7" w:rsidTr="00EF3A70">
        <w:trPr>
          <w:trHeight w:val="415"/>
          <w:jc w:val="center"/>
        </w:trPr>
        <w:tc>
          <w:tcPr>
            <w:tcW w:w="8664" w:type="dxa"/>
            <w:gridSpan w:val="3"/>
            <w:tcBorders>
              <w:top w:val="single" w:sz="12" w:space="0" w:color="000000"/>
              <w:bottom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Cuentas de Orden Presupuestarias de Egresos</w:t>
            </w:r>
          </w:p>
        </w:tc>
      </w:tr>
      <w:tr w:rsidR="00051164" w:rsidRPr="004172D7" w:rsidTr="00EF3A70">
        <w:trPr>
          <w:trHeight w:val="426"/>
          <w:jc w:val="center"/>
        </w:trPr>
        <w:tc>
          <w:tcPr>
            <w:tcW w:w="5581" w:type="dxa"/>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EF3A70">
            <w:pPr>
              <w:tabs>
                <w:tab w:val="left" w:pos="2294"/>
              </w:tabs>
              <w:jc w:val="center"/>
              <w:rPr>
                <w:rFonts w:ascii="Lato" w:hAnsi="Lato" w:cs="Microsoft Sans Serif"/>
                <w:b/>
                <w:bCs/>
                <w:sz w:val="20"/>
                <w:szCs w:val="20"/>
              </w:rPr>
            </w:pPr>
            <w:r w:rsidRPr="004172D7">
              <w:rPr>
                <w:rFonts w:ascii="Lato" w:hAnsi="Lato" w:cs="Microsoft Sans Serif"/>
                <w:b/>
                <w:bCs/>
                <w:sz w:val="20"/>
                <w:szCs w:val="20"/>
              </w:rPr>
              <w:t>Concepto</w:t>
            </w:r>
          </w:p>
        </w:tc>
        <w:tc>
          <w:tcPr>
            <w:tcW w:w="3082" w:type="dxa"/>
            <w:gridSpan w:val="2"/>
            <w:tcBorders>
              <w:top w:val="single" w:sz="12" w:space="0" w:color="auto"/>
              <w:left w:val="single" w:sz="12" w:space="0" w:color="auto"/>
              <w:bottom w:val="single" w:sz="12" w:space="0" w:color="auto"/>
              <w:right w:val="single" w:sz="12" w:space="0" w:color="auto"/>
            </w:tcBorders>
            <w:shd w:val="clear" w:color="auto" w:fill="BFBFBF"/>
          </w:tcPr>
          <w:p w:rsidR="00051164" w:rsidRPr="004172D7" w:rsidRDefault="00051164" w:rsidP="00365F45">
            <w:pPr>
              <w:tabs>
                <w:tab w:val="left" w:pos="2294"/>
              </w:tabs>
              <w:jc w:val="center"/>
              <w:rPr>
                <w:rFonts w:ascii="Lato" w:hAnsi="Lato" w:cs="Microsoft Sans Serif"/>
                <w:b/>
                <w:bCs/>
                <w:sz w:val="20"/>
                <w:szCs w:val="20"/>
              </w:rPr>
            </w:pPr>
            <w:r w:rsidRPr="004172D7">
              <w:rPr>
                <w:rFonts w:ascii="Lato" w:hAnsi="Lato" w:cs="Microsoft Sans Serif"/>
                <w:b/>
                <w:bCs/>
                <w:sz w:val="20"/>
                <w:szCs w:val="20"/>
              </w:rPr>
              <w:t>202</w:t>
            </w:r>
            <w:r w:rsidR="00D309DF" w:rsidRPr="004172D7">
              <w:rPr>
                <w:rFonts w:ascii="Lato" w:hAnsi="Lato" w:cs="Microsoft Sans Serif"/>
                <w:b/>
                <w:bCs/>
                <w:sz w:val="20"/>
                <w:szCs w:val="20"/>
              </w:rPr>
              <w:t>5</w:t>
            </w:r>
          </w:p>
        </w:tc>
      </w:tr>
      <w:tr w:rsidR="00051164" w:rsidRPr="004172D7" w:rsidTr="00EF3A70">
        <w:trPr>
          <w:trHeight w:val="347"/>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APROBADO</w:t>
            </w:r>
          </w:p>
        </w:tc>
        <w:tc>
          <w:tcPr>
            <w:tcW w:w="3082" w:type="dxa"/>
            <w:gridSpan w:val="2"/>
            <w:shd w:val="clear" w:color="auto" w:fill="auto"/>
          </w:tcPr>
          <w:p w:rsidR="00051164" w:rsidRPr="004172D7" w:rsidRDefault="00051164" w:rsidP="00EF3A70">
            <w:pPr>
              <w:tabs>
                <w:tab w:val="left" w:pos="1860"/>
              </w:tabs>
              <w:spacing w:line="240" w:lineRule="auto"/>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POR EJERCER</w:t>
            </w:r>
          </w:p>
        </w:tc>
        <w:tc>
          <w:tcPr>
            <w:tcW w:w="3082" w:type="dxa"/>
            <w:gridSpan w:val="2"/>
            <w:shd w:val="clear" w:color="auto" w:fill="auto"/>
          </w:tcPr>
          <w:p w:rsidR="00051164" w:rsidRPr="004172D7" w:rsidRDefault="00051164" w:rsidP="00EF3A70">
            <w:pPr>
              <w:tabs>
                <w:tab w:val="left" w:pos="921"/>
              </w:tabs>
              <w:spacing w:line="240" w:lineRule="auto"/>
              <w:jc w:val="right"/>
              <w:rPr>
                <w:rFonts w:ascii="Lato" w:hAnsi="Lato" w:cs="Microsoft Sans Serif"/>
                <w:sz w:val="20"/>
                <w:szCs w:val="20"/>
              </w:rPr>
            </w:pPr>
            <w:r w:rsidRPr="004172D7">
              <w:rPr>
                <w:rFonts w:ascii="Lato" w:hAnsi="Lato" w:cs="Microsoft Sans Serif"/>
                <w:sz w:val="20"/>
                <w:szCs w:val="20"/>
              </w:rPr>
              <w:t>0.00</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MODIFICADO</w:t>
            </w:r>
          </w:p>
        </w:tc>
        <w:tc>
          <w:tcPr>
            <w:tcW w:w="3082" w:type="dxa"/>
            <w:gridSpan w:val="2"/>
            <w:shd w:val="clear" w:color="auto" w:fill="auto"/>
          </w:tcPr>
          <w:p w:rsidR="00051164" w:rsidRPr="004172D7" w:rsidRDefault="00D309DF" w:rsidP="00EF3A70">
            <w:pPr>
              <w:tabs>
                <w:tab w:val="left" w:pos="921"/>
              </w:tabs>
              <w:spacing w:line="240" w:lineRule="auto"/>
              <w:jc w:val="right"/>
              <w:rPr>
                <w:rFonts w:ascii="Lato" w:hAnsi="Lato" w:cs="Microsoft Sans Serif"/>
                <w:sz w:val="20"/>
                <w:szCs w:val="20"/>
              </w:rPr>
            </w:pPr>
            <w:r w:rsidRPr="004172D7">
              <w:rPr>
                <w:rFonts w:ascii="Lato" w:hAnsi="Lato" w:cs="Microsoft Sans Serif"/>
                <w:sz w:val="20"/>
                <w:szCs w:val="20"/>
              </w:rPr>
              <w:t>132,653.98</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lastRenderedPageBreak/>
              <w:t>PRESUPUESTO DE EGRESOS COMPROMETIDO</w:t>
            </w:r>
          </w:p>
        </w:tc>
        <w:tc>
          <w:tcPr>
            <w:tcW w:w="3082" w:type="dxa"/>
            <w:gridSpan w:val="2"/>
            <w:shd w:val="clear" w:color="auto" w:fill="auto"/>
          </w:tcPr>
          <w:p w:rsidR="00051164" w:rsidRPr="004172D7" w:rsidRDefault="00D309DF" w:rsidP="00EF3A70">
            <w:pPr>
              <w:tabs>
                <w:tab w:val="left" w:pos="921"/>
              </w:tabs>
              <w:spacing w:line="240" w:lineRule="auto"/>
              <w:jc w:val="right"/>
              <w:rPr>
                <w:rFonts w:ascii="Lato" w:hAnsi="Lato" w:cs="Microsoft Sans Serif"/>
                <w:sz w:val="20"/>
                <w:szCs w:val="20"/>
              </w:rPr>
            </w:pPr>
            <w:r w:rsidRPr="004172D7">
              <w:rPr>
                <w:rFonts w:ascii="Lato" w:hAnsi="Lato" w:cs="Microsoft Sans Serif"/>
                <w:sz w:val="20"/>
                <w:szCs w:val="20"/>
              </w:rPr>
              <w:t>132,653.98</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DEVENGADO</w:t>
            </w:r>
          </w:p>
        </w:tc>
        <w:tc>
          <w:tcPr>
            <w:tcW w:w="3082" w:type="dxa"/>
            <w:gridSpan w:val="2"/>
            <w:shd w:val="clear" w:color="auto" w:fill="auto"/>
          </w:tcPr>
          <w:p w:rsidR="00051164" w:rsidRPr="004172D7" w:rsidRDefault="00D309DF" w:rsidP="00EF3A70">
            <w:pPr>
              <w:tabs>
                <w:tab w:val="left" w:pos="921"/>
              </w:tabs>
              <w:spacing w:line="240" w:lineRule="auto"/>
              <w:jc w:val="right"/>
              <w:rPr>
                <w:rFonts w:ascii="Lato" w:hAnsi="Lato" w:cs="Microsoft Sans Serif"/>
                <w:sz w:val="20"/>
                <w:szCs w:val="20"/>
              </w:rPr>
            </w:pPr>
            <w:r w:rsidRPr="004172D7">
              <w:rPr>
                <w:rFonts w:ascii="Lato" w:hAnsi="Lato" w:cs="Microsoft Sans Serif"/>
                <w:sz w:val="20"/>
                <w:szCs w:val="20"/>
              </w:rPr>
              <w:t>132,653.98</w:t>
            </w:r>
          </w:p>
        </w:tc>
      </w:tr>
      <w:tr w:rsidR="00051164" w:rsidRPr="004172D7" w:rsidTr="00EF3A70">
        <w:trPr>
          <w:trHeight w:val="426"/>
          <w:jc w:val="center"/>
        </w:trPr>
        <w:tc>
          <w:tcPr>
            <w:tcW w:w="5581" w:type="dxa"/>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EJERCIDO</w:t>
            </w:r>
          </w:p>
        </w:tc>
        <w:tc>
          <w:tcPr>
            <w:tcW w:w="3082" w:type="dxa"/>
            <w:gridSpan w:val="2"/>
            <w:shd w:val="clear" w:color="auto" w:fill="auto"/>
          </w:tcPr>
          <w:p w:rsidR="00051164" w:rsidRPr="004172D7" w:rsidRDefault="00D309DF" w:rsidP="00EF3A70">
            <w:pPr>
              <w:tabs>
                <w:tab w:val="left" w:pos="921"/>
              </w:tabs>
              <w:spacing w:line="240" w:lineRule="auto"/>
              <w:jc w:val="right"/>
              <w:rPr>
                <w:rFonts w:ascii="Lato" w:hAnsi="Lato" w:cs="Microsoft Sans Serif"/>
                <w:sz w:val="20"/>
                <w:szCs w:val="20"/>
              </w:rPr>
            </w:pPr>
            <w:r w:rsidRPr="004172D7">
              <w:rPr>
                <w:rFonts w:ascii="Lato" w:hAnsi="Lato" w:cs="Microsoft Sans Serif"/>
                <w:sz w:val="20"/>
                <w:szCs w:val="20"/>
              </w:rPr>
              <w:t>132,653.98</w:t>
            </w:r>
          </w:p>
        </w:tc>
      </w:tr>
      <w:tr w:rsidR="00051164" w:rsidRPr="004172D7" w:rsidTr="00EF3A70">
        <w:trPr>
          <w:trHeight w:val="438"/>
          <w:jc w:val="center"/>
        </w:trPr>
        <w:tc>
          <w:tcPr>
            <w:tcW w:w="5757" w:type="dxa"/>
            <w:gridSpan w:val="2"/>
            <w:shd w:val="clear" w:color="auto" w:fill="auto"/>
          </w:tcPr>
          <w:p w:rsidR="00051164" w:rsidRPr="004172D7" w:rsidRDefault="00051164" w:rsidP="00EF3A70">
            <w:pPr>
              <w:tabs>
                <w:tab w:val="left" w:pos="921"/>
              </w:tabs>
              <w:spacing w:line="240" w:lineRule="auto"/>
              <w:rPr>
                <w:rFonts w:ascii="Lato" w:hAnsi="Lato" w:cs="Microsoft Sans Serif"/>
                <w:sz w:val="20"/>
                <w:szCs w:val="20"/>
              </w:rPr>
            </w:pPr>
            <w:r w:rsidRPr="004172D7">
              <w:rPr>
                <w:rFonts w:ascii="Lato" w:hAnsi="Lato" w:cs="Microsoft Sans Serif"/>
                <w:sz w:val="20"/>
                <w:szCs w:val="20"/>
              </w:rPr>
              <w:t>PRESUPUESTO DE EGRESOS PAGADO</w:t>
            </w:r>
          </w:p>
        </w:tc>
        <w:tc>
          <w:tcPr>
            <w:tcW w:w="2906" w:type="dxa"/>
            <w:shd w:val="clear" w:color="auto" w:fill="auto"/>
          </w:tcPr>
          <w:p w:rsidR="00051164" w:rsidRPr="004172D7" w:rsidRDefault="00D309DF" w:rsidP="00EF3A70">
            <w:pPr>
              <w:tabs>
                <w:tab w:val="left" w:pos="921"/>
              </w:tabs>
              <w:spacing w:line="240" w:lineRule="auto"/>
              <w:jc w:val="right"/>
              <w:rPr>
                <w:rFonts w:ascii="Lato" w:hAnsi="Lato" w:cs="Microsoft Sans Serif"/>
                <w:sz w:val="20"/>
                <w:szCs w:val="20"/>
              </w:rPr>
            </w:pPr>
            <w:r w:rsidRPr="004172D7">
              <w:rPr>
                <w:rFonts w:ascii="Lato" w:hAnsi="Lato" w:cs="Microsoft Sans Serif"/>
                <w:sz w:val="20"/>
                <w:szCs w:val="20"/>
              </w:rPr>
              <w:t>132,653.98</w:t>
            </w:r>
          </w:p>
        </w:tc>
      </w:tr>
    </w:tbl>
    <w:p w:rsidR="00051164" w:rsidRPr="004172D7" w:rsidRDefault="00051164" w:rsidP="00051164">
      <w:pPr>
        <w:rPr>
          <w:rFonts w:ascii="Lato" w:hAnsi="Lato"/>
          <w:b/>
          <w:sz w:val="20"/>
          <w:szCs w:val="20"/>
        </w:rPr>
      </w:pPr>
    </w:p>
    <w:p w:rsidR="00051164" w:rsidRPr="004172D7" w:rsidRDefault="00051164" w:rsidP="00051164">
      <w:pPr>
        <w:rPr>
          <w:rFonts w:ascii="Lato" w:hAnsi="Lato"/>
          <w:sz w:val="20"/>
          <w:szCs w:val="20"/>
        </w:rPr>
      </w:pPr>
      <w:r w:rsidRPr="004172D7">
        <w:rPr>
          <w:rFonts w:ascii="Lato" w:hAnsi="Lato"/>
          <w:sz w:val="20"/>
          <w:szCs w:val="20"/>
        </w:rPr>
        <w:t>No se tienen cuentas de orden de los valores en custodia de instrumentos prestados a formadores de mercado e instrumentos de crédito recibidos en garantía de los formadores de mercado, ni contratos firmados de construcciones.</w:t>
      </w:r>
    </w:p>
    <w:p w:rsidR="00EB05E3" w:rsidRPr="004172D7" w:rsidRDefault="00EB05E3" w:rsidP="00EB05E3">
      <w:pPr>
        <w:jc w:val="both"/>
        <w:rPr>
          <w:rFonts w:ascii="Lato" w:hAnsi="Lato"/>
          <w:sz w:val="20"/>
          <w:szCs w:val="20"/>
        </w:rPr>
      </w:pPr>
      <w:r w:rsidRPr="004172D7">
        <w:rPr>
          <w:rFonts w:ascii="Lato" w:hAnsi="Lato"/>
          <w:sz w:val="20"/>
          <w:szCs w:val="20"/>
        </w:rPr>
        <w:t>Bajo protesta de decir verdad declaramos que los Estados Financieros y sus Notas son razonablemente correctos y son responsabilidad del Emisor.</w:t>
      </w:r>
    </w:p>
    <w:bookmarkEnd w:id="0"/>
    <w:p w:rsidR="00714F35" w:rsidRDefault="00714F35"/>
    <w:sectPr w:rsidR="00714F35" w:rsidSect="00770E47">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9262E"/>
    <w:multiLevelType w:val="hybridMultilevel"/>
    <w:tmpl w:val="97E0D3B6"/>
    <w:lvl w:ilvl="0" w:tplc="D7F216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8DB610A"/>
    <w:multiLevelType w:val="hybridMultilevel"/>
    <w:tmpl w:val="06F0A736"/>
    <w:lvl w:ilvl="0" w:tplc="1FAEC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3914DE"/>
    <w:multiLevelType w:val="hybridMultilevel"/>
    <w:tmpl w:val="B2AAD32A"/>
    <w:lvl w:ilvl="0" w:tplc="E57EBB66">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64"/>
    <w:rsid w:val="00037CD6"/>
    <w:rsid w:val="00051164"/>
    <w:rsid w:val="0006636C"/>
    <w:rsid w:val="000C2902"/>
    <w:rsid w:val="000F45E5"/>
    <w:rsid w:val="0011170E"/>
    <w:rsid w:val="001865BC"/>
    <w:rsid w:val="001C390A"/>
    <w:rsid w:val="00220CC3"/>
    <w:rsid w:val="00226F17"/>
    <w:rsid w:val="00231CE6"/>
    <w:rsid w:val="002337CC"/>
    <w:rsid w:val="00251850"/>
    <w:rsid w:val="002642D1"/>
    <w:rsid w:val="00312256"/>
    <w:rsid w:val="00365F45"/>
    <w:rsid w:val="003A3B0D"/>
    <w:rsid w:val="003B37EC"/>
    <w:rsid w:val="004172D7"/>
    <w:rsid w:val="004C0DE4"/>
    <w:rsid w:val="004C440D"/>
    <w:rsid w:val="0055181E"/>
    <w:rsid w:val="00590BBD"/>
    <w:rsid w:val="005A7371"/>
    <w:rsid w:val="00605B16"/>
    <w:rsid w:val="00714F35"/>
    <w:rsid w:val="00770E47"/>
    <w:rsid w:val="007B608A"/>
    <w:rsid w:val="00804A77"/>
    <w:rsid w:val="00820C61"/>
    <w:rsid w:val="00830D57"/>
    <w:rsid w:val="008C700E"/>
    <w:rsid w:val="008E2B9E"/>
    <w:rsid w:val="008F1B7E"/>
    <w:rsid w:val="00A1627F"/>
    <w:rsid w:val="00A22FDB"/>
    <w:rsid w:val="00A34BCA"/>
    <w:rsid w:val="00A55C5E"/>
    <w:rsid w:val="00AF34D0"/>
    <w:rsid w:val="00BD12A8"/>
    <w:rsid w:val="00D03EF2"/>
    <w:rsid w:val="00D22099"/>
    <w:rsid w:val="00D309DF"/>
    <w:rsid w:val="00DE6743"/>
    <w:rsid w:val="00DF50DE"/>
    <w:rsid w:val="00E34666"/>
    <w:rsid w:val="00EB05E3"/>
    <w:rsid w:val="00EC069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1CAF"/>
  <w15:chartTrackingRefBased/>
  <w15:docId w15:val="{BD790D1C-67B1-464F-B981-EB9A3426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164"/>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051164"/>
    <w:rPr>
      <w:rFonts w:ascii="Arial" w:hAnsi="Arial" w:cs="Arial"/>
      <w:sz w:val="18"/>
      <w:lang w:val="es-ES" w:eastAsia="es-ES"/>
    </w:rPr>
  </w:style>
  <w:style w:type="paragraph" w:customStyle="1" w:styleId="Texto">
    <w:name w:val="Texto"/>
    <w:basedOn w:val="Normal"/>
    <w:link w:val="TextoCar"/>
    <w:qFormat/>
    <w:rsid w:val="00051164"/>
    <w:pPr>
      <w:spacing w:after="101" w:line="216" w:lineRule="exact"/>
      <w:ind w:firstLine="288"/>
      <w:jc w:val="both"/>
    </w:pPr>
    <w:rPr>
      <w:rFonts w:ascii="Arial" w:eastAsiaTheme="minorHAnsi" w:hAnsi="Arial" w:cs="Arial"/>
      <w:sz w:val="18"/>
      <w:lang w:val="es-ES" w:eastAsia="es-ES"/>
    </w:rPr>
  </w:style>
  <w:style w:type="paragraph" w:styleId="Prrafodelista">
    <w:name w:val="List Paragraph"/>
    <w:basedOn w:val="Normal"/>
    <w:uiPriority w:val="34"/>
    <w:qFormat/>
    <w:rsid w:val="00A16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2505</Words>
  <Characters>13780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Pique Ceballos</dc:creator>
  <cp:keywords/>
  <dc:description/>
  <cp:lastModifiedBy>Jennifer Estefany Millan Flores</cp:lastModifiedBy>
  <cp:revision>7</cp:revision>
  <dcterms:created xsi:type="dcterms:W3CDTF">2025-04-28T14:48:00Z</dcterms:created>
  <dcterms:modified xsi:type="dcterms:W3CDTF">2025-04-28T14:50:00Z</dcterms:modified>
</cp:coreProperties>
</file>