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0E922" w14:textId="77777777" w:rsidR="00465B69" w:rsidRPr="00465B69" w:rsidRDefault="00465B69" w:rsidP="00465B6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Notas a los Estados Financieros</w:t>
      </w:r>
    </w:p>
    <w:p w14:paraId="432CB2B0" w14:textId="4D4165A4" w:rsidR="00465B69" w:rsidRPr="00465B69" w:rsidRDefault="00465B69" w:rsidP="00465B6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Al 31 de marzo de 2025</w:t>
      </w:r>
    </w:p>
    <w:p w14:paraId="24CFF503" w14:textId="77777777" w:rsidR="00465B69" w:rsidRPr="00465B69" w:rsidRDefault="00465B69" w:rsidP="00465B6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(Cifras en Pesos)</w:t>
      </w:r>
    </w:p>
    <w:p w14:paraId="58F73D38" w14:textId="77777777" w:rsidR="00465B69" w:rsidRPr="00465B69" w:rsidRDefault="00465B69" w:rsidP="00465B6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1FF471FA" w14:textId="77777777" w:rsidR="00465B69" w:rsidRPr="00465B69" w:rsidRDefault="00465B69" w:rsidP="00465B69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 xml:space="preserve">Ente Público:  FIDEICOMISO FONDO DE APOYO A LA PRODUCTIVIDAD AGROPECUARIA EN EL ESTADO DE YUCATÁN </w:t>
      </w:r>
    </w:p>
    <w:p w14:paraId="184DDACD" w14:textId="29B1341A" w:rsidR="00007A27" w:rsidRPr="00465B69" w:rsidRDefault="00007A27" w:rsidP="00007A27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465B69">
        <w:rPr>
          <w:rFonts w:ascii="Lato" w:hAnsi="Lato" w:cstheme="minorHAnsi"/>
          <w:sz w:val="20"/>
        </w:rPr>
        <w:t xml:space="preserve">Con el propósito de dar cumplimiento a los artículos 44, 45, 46,47, 49, 52, y 53 de la Ley General de Contabilidad Gubernamental, artículo 31 fracciones XXVI y XXXII del Código de Administración Pública y al artículo 59 fracciones XXV y XXVII del Reglamento del Código de la administración </w:t>
      </w:r>
      <w:r w:rsidR="006F01FA" w:rsidRPr="00465B69">
        <w:rPr>
          <w:rFonts w:ascii="Lato" w:hAnsi="Lato" w:cstheme="minorHAnsi"/>
          <w:sz w:val="20"/>
        </w:rPr>
        <w:t>Pública</w:t>
      </w:r>
      <w:r w:rsidRPr="00465B69">
        <w:rPr>
          <w:rFonts w:ascii="Lato" w:hAnsi="Lato" w:cstheme="minorHAnsi"/>
          <w:sz w:val="20"/>
        </w:rPr>
        <w:t xml:space="preserve"> y teniendo presente los postulados de revelación suficiente e importancia relativa con la finalidad, que la información sea de mayor utilidad para los usuarios: la administración del FONDO DE APOYO A LA PRODUCTIVIDAD AGROPECUARIA DEL ESTADO DE YUCATAN, ha preparado los estados financieros, incluyendo las operaciones efectuad</w:t>
      </w:r>
      <w:r w:rsidR="00C745E4" w:rsidRPr="00465B69">
        <w:rPr>
          <w:rFonts w:ascii="Lato" w:hAnsi="Lato" w:cstheme="minorHAnsi"/>
          <w:sz w:val="20"/>
        </w:rPr>
        <w:t xml:space="preserve">as del periodo comprendido al </w:t>
      </w:r>
      <w:r w:rsidR="009833F4" w:rsidRPr="00465B69">
        <w:rPr>
          <w:rFonts w:ascii="Lato" w:hAnsi="Lato" w:cstheme="minorHAnsi"/>
          <w:sz w:val="20"/>
        </w:rPr>
        <w:t>31</w:t>
      </w:r>
      <w:r w:rsidR="00B437B1" w:rsidRPr="00465B69">
        <w:rPr>
          <w:rFonts w:ascii="Lato" w:hAnsi="Lato" w:cstheme="minorHAnsi"/>
          <w:sz w:val="20"/>
        </w:rPr>
        <w:t xml:space="preserve"> de </w:t>
      </w:r>
      <w:r w:rsidR="009833F4" w:rsidRPr="00465B69">
        <w:rPr>
          <w:rFonts w:ascii="Lato" w:hAnsi="Lato" w:cstheme="minorHAnsi"/>
          <w:sz w:val="20"/>
        </w:rPr>
        <w:t>marzo</w:t>
      </w:r>
      <w:r w:rsidR="00B437B1" w:rsidRPr="00465B69">
        <w:rPr>
          <w:rFonts w:ascii="Lato" w:hAnsi="Lato" w:cstheme="minorHAnsi"/>
          <w:sz w:val="20"/>
        </w:rPr>
        <w:t xml:space="preserve"> </w:t>
      </w:r>
      <w:r w:rsidR="005A2226" w:rsidRPr="00465B69">
        <w:rPr>
          <w:rFonts w:ascii="Lato" w:hAnsi="Lato" w:cstheme="minorHAnsi"/>
          <w:sz w:val="20"/>
        </w:rPr>
        <w:t>de 202</w:t>
      </w:r>
      <w:r w:rsidR="00714F9A" w:rsidRPr="00465B69">
        <w:rPr>
          <w:rFonts w:ascii="Lato" w:hAnsi="Lato" w:cstheme="minorHAnsi"/>
          <w:sz w:val="20"/>
        </w:rPr>
        <w:t>5</w:t>
      </w:r>
      <w:r w:rsidR="005A2226" w:rsidRPr="00465B69">
        <w:rPr>
          <w:rFonts w:ascii="Lato" w:hAnsi="Lato" w:cstheme="minorHAnsi"/>
          <w:sz w:val="20"/>
        </w:rPr>
        <w:t>.</w:t>
      </w:r>
    </w:p>
    <w:p w14:paraId="7DCF9AB9" w14:textId="77777777" w:rsidR="00007A27" w:rsidRPr="00465B69" w:rsidRDefault="00007A27" w:rsidP="00626CCD">
      <w:pPr>
        <w:pStyle w:val="Texto"/>
        <w:spacing w:after="80" w:line="276" w:lineRule="auto"/>
        <w:rPr>
          <w:rFonts w:ascii="Lato" w:hAnsi="Lato" w:cstheme="minorHAnsi"/>
          <w:sz w:val="20"/>
        </w:rPr>
      </w:pPr>
    </w:p>
    <w:p w14:paraId="206FAA83" w14:textId="77777777" w:rsidR="00B14E7E" w:rsidRPr="00465B69" w:rsidRDefault="00B14E7E" w:rsidP="00626CCD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465B69">
        <w:rPr>
          <w:rFonts w:ascii="Lato" w:hAnsi="Lato" w:cstheme="minorHAnsi"/>
          <w:sz w:val="20"/>
        </w:rPr>
        <w:t xml:space="preserve">A </w:t>
      </w:r>
      <w:r w:rsidR="00281CE3" w:rsidRPr="00465B69">
        <w:rPr>
          <w:rFonts w:ascii="Lato" w:hAnsi="Lato" w:cstheme="minorHAnsi"/>
          <w:sz w:val="20"/>
        </w:rPr>
        <w:t>continuación,</w:t>
      </w:r>
      <w:r w:rsidRPr="00465B69">
        <w:rPr>
          <w:rFonts w:ascii="Lato" w:hAnsi="Lato" w:cstheme="minorHAnsi"/>
          <w:sz w:val="20"/>
        </w:rPr>
        <w:t xml:space="preserve"> se presentan los tres tipos de notas que acompañan a los estados, a saber:</w:t>
      </w:r>
    </w:p>
    <w:p w14:paraId="76ED2E71" w14:textId="77777777" w:rsidR="00CE594E" w:rsidRPr="00465B69" w:rsidRDefault="00CE594E" w:rsidP="00CE594E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465B69">
        <w:rPr>
          <w:rFonts w:ascii="Lato" w:hAnsi="Lato" w:cstheme="minorHAnsi"/>
          <w:sz w:val="20"/>
        </w:rPr>
        <w:t xml:space="preserve">a) </w:t>
      </w:r>
      <w:r w:rsidRPr="00465B69">
        <w:rPr>
          <w:rFonts w:ascii="Lato" w:hAnsi="Lato" w:cstheme="minorHAnsi"/>
          <w:sz w:val="20"/>
        </w:rPr>
        <w:tab/>
        <w:t>Notas de gestión administrativa,</w:t>
      </w:r>
    </w:p>
    <w:p w14:paraId="041B9080" w14:textId="77777777" w:rsidR="00CE594E" w:rsidRPr="00465B69" w:rsidRDefault="00CE594E" w:rsidP="00CE594E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465B69">
        <w:rPr>
          <w:rFonts w:ascii="Lato" w:hAnsi="Lato" w:cstheme="minorHAnsi"/>
          <w:sz w:val="20"/>
        </w:rPr>
        <w:t xml:space="preserve">b) </w:t>
      </w:r>
      <w:r w:rsidRPr="00465B69">
        <w:rPr>
          <w:rFonts w:ascii="Lato" w:hAnsi="Lato" w:cstheme="minorHAnsi"/>
          <w:sz w:val="20"/>
        </w:rPr>
        <w:tab/>
        <w:t>Notas de desglose, y</w:t>
      </w:r>
    </w:p>
    <w:p w14:paraId="30834442" w14:textId="77777777" w:rsidR="00CE594E" w:rsidRPr="00465B69" w:rsidRDefault="00CE594E" w:rsidP="00CE594E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465B69">
        <w:rPr>
          <w:rFonts w:ascii="Lato" w:hAnsi="Lato" w:cstheme="minorHAnsi"/>
          <w:sz w:val="20"/>
        </w:rPr>
        <w:t xml:space="preserve">c) </w:t>
      </w:r>
      <w:r w:rsidRPr="00465B69">
        <w:rPr>
          <w:rFonts w:ascii="Lato" w:hAnsi="Lato" w:cstheme="minorHAnsi"/>
          <w:sz w:val="20"/>
        </w:rPr>
        <w:tab/>
        <w:t>Notas de memoria (cuentas de orden).</w:t>
      </w:r>
    </w:p>
    <w:p w14:paraId="36DE75F0" w14:textId="77777777" w:rsidR="007016DB" w:rsidRPr="00465B69" w:rsidRDefault="007016DB" w:rsidP="00626CCD">
      <w:pPr>
        <w:pStyle w:val="Texto"/>
        <w:spacing w:after="80" w:line="276" w:lineRule="auto"/>
        <w:rPr>
          <w:rFonts w:ascii="Lato" w:hAnsi="Lato" w:cstheme="minorHAnsi"/>
          <w:sz w:val="20"/>
        </w:rPr>
      </w:pPr>
    </w:p>
    <w:p w14:paraId="0F5F497D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>a) NOTAS DE GESTIÓN ADMINISTRATIVA.</w:t>
      </w:r>
      <w:r w:rsidRPr="00465B69">
        <w:rPr>
          <w:rFonts w:ascii="Lato" w:hAnsi="Lato" w:cstheme="minorHAnsi"/>
          <w:sz w:val="20"/>
          <w:szCs w:val="20"/>
        </w:rPr>
        <w:tab/>
      </w:r>
    </w:p>
    <w:p w14:paraId="5592F6F5" w14:textId="77777777" w:rsidR="007016DB" w:rsidRPr="00465B69" w:rsidRDefault="007016DB" w:rsidP="007016DB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 xml:space="preserve">Introducción. </w:t>
      </w:r>
    </w:p>
    <w:p w14:paraId="0218F7D7" w14:textId="77777777" w:rsidR="007016DB" w:rsidRPr="00465B69" w:rsidRDefault="007016DB" w:rsidP="007016DB">
      <w:pPr>
        <w:jc w:val="both"/>
        <w:rPr>
          <w:rFonts w:ascii="Lato" w:hAnsi="Lato" w:cstheme="minorHAnsi"/>
          <w:bCs/>
          <w:sz w:val="20"/>
          <w:szCs w:val="20"/>
        </w:rPr>
      </w:pPr>
      <w:r w:rsidRPr="00465B69">
        <w:rPr>
          <w:rFonts w:ascii="Lato" w:hAnsi="Lato" w:cstheme="minorHAnsi"/>
          <w:bCs/>
          <w:sz w:val="20"/>
          <w:szCs w:val="20"/>
        </w:rPr>
        <w:t>El objetivo del presente documento es la revelación del contexto y de los aspectos económicos-financieros más relevantes que influyeron en las decisiones del periodo y que fueron considerados de los estados financieros para mayor comprensión de los mismos y sus particulares.</w:t>
      </w:r>
    </w:p>
    <w:p w14:paraId="12E896A0" w14:textId="77777777" w:rsidR="007016DB" w:rsidRPr="00465B69" w:rsidRDefault="007016DB" w:rsidP="007016DB">
      <w:pPr>
        <w:jc w:val="both"/>
        <w:rPr>
          <w:rFonts w:ascii="Lato" w:hAnsi="Lato" w:cstheme="minorHAnsi"/>
          <w:bCs/>
          <w:sz w:val="20"/>
          <w:szCs w:val="20"/>
        </w:rPr>
      </w:pPr>
      <w:r w:rsidRPr="00465B69">
        <w:rPr>
          <w:rFonts w:ascii="Lato" w:hAnsi="Lato" w:cstheme="minorHAnsi"/>
          <w:bCs/>
          <w:sz w:val="20"/>
          <w:szCs w:val="20"/>
        </w:rPr>
        <w:lastRenderedPageBreak/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14:paraId="7FE72F59" w14:textId="77777777" w:rsidR="007016DB" w:rsidRPr="00465B69" w:rsidRDefault="007016DB" w:rsidP="00612AE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>Autorización e Historia.</w:t>
      </w:r>
    </w:p>
    <w:p w14:paraId="63105527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bCs/>
          <w:sz w:val="20"/>
          <w:szCs w:val="20"/>
        </w:rPr>
        <w:t xml:space="preserve">El 14 de abril de 1999 se firma un acuerdo de coordinación para la generación del FONDO </w:t>
      </w:r>
      <w:r w:rsidRPr="00465B69">
        <w:rPr>
          <w:rFonts w:ascii="Lato" w:hAnsi="Lato" w:cstheme="minorHAnsi"/>
          <w:sz w:val="20"/>
          <w:szCs w:val="20"/>
        </w:rPr>
        <w:t>DE APOYO A LA PRODUCTIVIDAD AGROPECUARIA DEL ESTADO DE YUCATÁN (FOPROYUC)</w:t>
      </w:r>
    </w:p>
    <w:p w14:paraId="049FA1B2" w14:textId="77777777" w:rsidR="007016DB" w:rsidRPr="00465B69" w:rsidRDefault="007016DB" w:rsidP="00612AE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 xml:space="preserve">Panorama económico y financiero. </w:t>
      </w:r>
    </w:p>
    <w:p w14:paraId="7B0AEC0C" w14:textId="77777777" w:rsidR="007016DB" w:rsidRPr="00465B69" w:rsidRDefault="007016DB" w:rsidP="007016DB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El Fideicomiso denominado FONDO DE APOYO A LA PRODUCTIVIDAD AGROPECUARIA DEL ESTADO DE YUCATÁN (FOPROYUC) otorga “financiamiento recuperable” a los productores del campo. El patrimonio que lo constituye se va regenerando mediante las recuperaciones de capital más los intereses ordinarios generados por cada crédito otorgado.</w:t>
      </w:r>
    </w:p>
    <w:p w14:paraId="6D0E8603" w14:textId="77777777" w:rsidR="007016DB" w:rsidRPr="00465B69" w:rsidRDefault="007016DB" w:rsidP="00612AE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>Organización y Objeto Social. -</w:t>
      </w:r>
    </w:p>
    <w:p w14:paraId="61381274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El Fideicomiso denominado FONDO DE APOYO A LA PRODUCTIVIDAD AGROPECUARIA DEL ESTADO DE YUCATÁN (FOPROYUC) fue constituido de acuerdo a la coordinación de acciones que celebraron por una parte el gobierno federal, por conducto de la Secretaria de Desarrollo Social,  a través de su órgano de desconcentrado denominado Coordinación General Del Programa Nacional De Apoyo Para Las Empresas De Solidaridad, así como la Dirección General de Fondos y Microempresas FONAES, por la otra parte el Gobierno del Estado De Yucatán, la Secretaría General del Estado, la Secretaría de Hacienda y la Secretaría de Planeación y Desarrollo Rural.</w:t>
      </w:r>
    </w:p>
    <w:p w14:paraId="3F28E59A" w14:textId="5720B2C3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Ejercicio Fiscal:  1 de enero al 31 de diciembre de 202</w:t>
      </w:r>
      <w:r w:rsidR="0040712F" w:rsidRPr="00465B69">
        <w:rPr>
          <w:rFonts w:ascii="Lato" w:hAnsi="Lato" w:cstheme="minorHAnsi"/>
          <w:sz w:val="20"/>
          <w:szCs w:val="20"/>
        </w:rPr>
        <w:t>4</w:t>
      </w:r>
    </w:p>
    <w:p w14:paraId="1EFD0948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Consideraciones fiscales: ninguna</w:t>
      </w:r>
    </w:p>
    <w:p w14:paraId="6C59DBCE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 xml:space="preserve"> Tiene por objetivo contribuir al desarrollo del Estado mediante Apoyos Financieros para capital de trabajo, tales como son la construcción de infraestructura, adquisición de insumo, gastos de operación, capacitación y asistencia técnica.</w:t>
      </w:r>
    </w:p>
    <w:p w14:paraId="4E526712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lastRenderedPageBreak/>
        <w:t>La administración de este fideicomiso está a cargo de un Comité Técnico, cuya integración, facultades y obligaciones se encuentras estipuladas en su Decreto de Creación.</w:t>
      </w:r>
    </w:p>
    <w:p w14:paraId="4A48F37B" w14:textId="77777777" w:rsidR="007016DB" w:rsidRPr="00465B69" w:rsidRDefault="007016DB" w:rsidP="00612AE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>Base de preparación de Estados Financieros. -</w:t>
      </w:r>
    </w:p>
    <w:p w14:paraId="6BB19CA2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Los Estados Financieros de este fideicomiso, están preparados de acuerdo a la normatividad emitida por el CONAC y las disposiciones legales aplicables.</w:t>
      </w:r>
    </w:p>
    <w:p w14:paraId="17D2E2B9" w14:textId="77777777" w:rsidR="007016DB" w:rsidRPr="00465B69" w:rsidRDefault="00612AEB" w:rsidP="00612AE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>Políticas de contabilidad significativas</w:t>
      </w:r>
      <w:r w:rsidR="007016DB" w:rsidRPr="00465B69">
        <w:rPr>
          <w:rFonts w:ascii="Lato" w:hAnsi="Lato" w:cstheme="minorHAnsi"/>
          <w:b/>
          <w:bCs/>
          <w:sz w:val="20"/>
          <w:szCs w:val="20"/>
        </w:rPr>
        <w:t>. -</w:t>
      </w:r>
    </w:p>
    <w:p w14:paraId="10508E07" w14:textId="77777777" w:rsidR="007016DB" w:rsidRPr="00465B69" w:rsidRDefault="007016DB" w:rsidP="007016DB">
      <w:pPr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  <w:r w:rsidRPr="00465B69">
        <w:rPr>
          <w:rFonts w:ascii="Lato" w:hAnsi="Lato" w:cstheme="minorHAnsi"/>
          <w:b/>
          <w:sz w:val="20"/>
          <w:szCs w:val="20"/>
        </w:rPr>
        <w:t>Registro de Ingresos. -</w:t>
      </w:r>
    </w:p>
    <w:p w14:paraId="7D656C92" w14:textId="59EE0B58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El patrimonio que constituye este fideicomiso, es aportado por los beneficiarios conforme se vaya acordando en la Junta del Comité Técnico y Administración. Estas aportaciones no se aprovisionan, ya que se van registrando conforme se vaya generando Recuperaciones de Capital más los intereses ordinarios generados por cada crédito otorgado, en base a disponibilidad de recursos del Fideicomiso</w:t>
      </w:r>
      <w:r w:rsidR="009B6523" w:rsidRPr="00465B69">
        <w:rPr>
          <w:rFonts w:ascii="Lato" w:hAnsi="Lato" w:cstheme="minorHAnsi"/>
          <w:sz w:val="20"/>
          <w:szCs w:val="20"/>
        </w:rPr>
        <w:t>.</w:t>
      </w:r>
    </w:p>
    <w:p w14:paraId="37030890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Los intereses ganados de la cuenta son registrados al momento de generarse.</w:t>
      </w:r>
    </w:p>
    <w:p w14:paraId="0A6C48F8" w14:textId="77777777" w:rsidR="007016DB" w:rsidRPr="00465B69" w:rsidRDefault="007016DB" w:rsidP="007016DB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 xml:space="preserve">       B) Registro de Egresos. -</w:t>
      </w:r>
    </w:p>
    <w:p w14:paraId="7737FE99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Estos se van a registrando a cuentas de resultados y en los rubros autorizados, conforme se vayan ejerciendo.</w:t>
      </w:r>
    </w:p>
    <w:p w14:paraId="3A2F2FBD" w14:textId="77777777" w:rsidR="007016DB" w:rsidRPr="00465B69" w:rsidRDefault="007016DB" w:rsidP="007016DB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Es importante mencionar que el monto del egreso en cada uno de los ejercicios, se va generando de acuerdo a la autorización nuevos créditos, esta deberá de ser solicitada en el seno de la Junta del Comité Técnico y de Administración del Fondo quien dará su aprobación en su caso.</w:t>
      </w:r>
    </w:p>
    <w:p w14:paraId="3F473EC0" w14:textId="77777777" w:rsidR="007016DB" w:rsidRPr="00465B69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Posición en moneda extranjera y protección por riego cambiario</w:t>
      </w:r>
    </w:p>
    <w:p w14:paraId="2B3F2477" w14:textId="58A2858C" w:rsidR="007016DB" w:rsidRPr="00465B69" w:rsidRDefault="007016DB" w:rsidP="007016D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>marzo</w:t>
      </w:r>
      <w:r w:rsidR="005A4BE2" w:rsidRPr="00465B69">
        <w:rPr>
          <w:rFonts w:ascii="Lato" w:hAnsi="Lato" w:cstheme="minorHAnsi"/>
          <w:sz w:val="20"/>
        </w:rPr>
        <w:t xml:space="preserve"> </w:t>
      </w:r>
      <w:r w:rsidR="001C6D00" w:rsidRPr="00465B69">
        <w:rPr>
          <w:rFonts w:ascii="Lato" w:hAnsi="Lato" w:cstheme="minorHAnsi"/>
          <w:sz w:val="20"/>
        </w:rPr>
        <w:t>n</w:t>
      </w:r>
      <w:r w:rsidRPr="00465B69">
        <w:rPr>
          <w:rFonts w:ascii="Lato" w:hAnsi="Lato" w:cstheme="minorHAnsi"/>
          <w:sz w:val="20"/>
          <w:lang w:val="es-MX"/>
        </w:rPr>
        <w:t xml:space="preserve">o maneja el rubro correspondiente. </w:t>
      </w:r>
    </w:p>
    <w:p w14:paraId="3066C578" w14:textId="77777777" w:rsidR="007016DB" w:rsidRPr="00465B69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Reporte analítico del activo</w:t>
      </w:r>
    </w:p>
    <w:p w14:paraId="71B25712" w14:textId="04A47A3D" w:rsidR="007016DB" w:rsidRPr="00465B69" w:rsidRDefault="007016DB" w:rsidP="007016D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  <w:szCs w:val="20"/>
        </w:rPr>
        <w:t xml:space="preserve">marzo </w:t>
      </w:r>
      <w:r w:rsidRPr="00465B69">
        <w:rPr>
          <w:rFonts w:ascii="Lato" w:hAnsi="Lato" w:cstheme="minorHAnsi"/>
          <w:sz w:val="20"/>
          <w:szCs w:val="20"/>
        </w:rPr>
        <w:t xml:space="preserve">no maneja el rubro correspondiente. </w:t>
      </w:r>
    </w:p>
    <w:p w14:paraId="61C33C82" w14:textId="77777777" w:rsidR="007016DB" w:rsidRPr="00465B69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Fideicomisos mandatos y análogos</w:t>
      </w:r>
    </w:p>
    <w:p w14:paraId="19F52185" w14:textId="4973610B" w:rsidR="007016DB" w:rsidRPr="00465B69" w:rsidRDefault="007016DB" w:rsidP="007016D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lastRenderedPageBreak/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6C139A12" w14:textId="77777777" w:rsidR="007016DB" w:rsidRPr="00465B69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 xml:space="preserve">Reporte de la Recaudación </w:t>
      </w:r>
    </w:p>
    <w:p w14:paraId="470A8B91" w14:textId="4D57483E" w:rsidR="007016DB" w:rsidRPr="00465B69" w:rsidRDefault="007016DB" w:rsidP="007016D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7A990A38" w14:textId="77777777" w:rsidR="007016DB" w:rsidRPr="00465B69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Información sobre la Deuda y el Reporte Analítico de la Deuda</w:t>
      </w:r>
    </w:p>
    <w:p w14:paraId="5C2A10A9" w14:textId="20B3F4DA" w:rsidR="007016DB" w:rsidRPr="00465B69" w:rsidRDefault="007016DB" w:rsidP="007016D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54CE0939" w14:textId="77777777" w:rsidR="007016DB" w:rsidRPr="00465B69" w:rsidRDefault="007016DB" w:rsidP="00612AE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Calificaciones otorgadas</w:t>
      </w:r>
    </w:p>
    <w:p w14:paraId="7F44A3C6" w14:textId="4C7FC116" w:rsidR="007016DB" w:rsidRPr="00465B69" w:rsidRDefault="007016DB" w:rsidP="007016D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074BDB7E" w14:textId="77777777" w:rsidR="007016DB" w:rsidRPr="00465B69" w:rsidRDefault="007016DB" w:rsidP="00612AE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Proceso de Mejora</w:t>
      </w:r>
    </w:p>
    <w:p w14:paraId="04302E4B" w14:textId="5D583DE3" w:rsidR="007016DB" w:rsidRPr="00465B69" w:rsidRDefault="007016DB" w:rsidP="007016D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476CAB98" w14:textId="77777777" w:rsidR="007016DB" w:rsidRPr="00465B69" w:rsidRDefault="007016DB" w:rsidP="00612AE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Información por Segmentos</w:t>
      </w:r>
    </w:p>
    <w:p w14:paraId="2EFFB079" w14:textId="353A03BA" w:rsidR="007016DB" w:rsidRPr="00465B69" w:rsidRDefault="007016DB" w:rsidP="007016D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2221EC06" w14:textId="77777777" w:rsidR="007016DB" w:rsidRPr="00465B69" w:rsidRDefault="007016DB" w:rsidP="00612AE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Eventos Posteriores al Cierre</w:t>
      </w:r>
    </w:p>
    <w:p w14:paraId="0A686266" w14:textId="6601A35D" w:rsidR="007016DB" w:rsidRPr="00465B69" w:rsidRDefault="007016DB" w:rsidP="007016DB">
      <w:pPr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  <w:szCs w:val="20"/>
        </w:rPr>
        <w:t xml:space="preserve">marzo </w:t>
      </w:r>
      <w:r w:rsidRPr="00465B69">
        <w:rPr>
          <w:rFonts w:ascii="Lato" w:hAnsi="Lato" w:cstheme="minorHAnsi"/>
          <w:sz w:val="20"/>
          <w:szCs w:val="20"/>
        </w:rPr>
        <w:t xml:space="preserve">no genera el rubro correspondiente. </w:t>
      </w:r>
    </w:p>
    <w:p w14:paraId="619389B7" w14:textId="77777777" w:rsidR="007016DB" w:rsidRPr="00465B69" w:rsidRDefault="007016DB" w:rsidP="00612AE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Partes Relacionadas</w:t>
      </w:r>
    </w:p>
    <w:p w14:paraId="74172731" w14:textId="77777777" w:rsidR="007016DB" w:rsidRPr="00465B69" w:rsidRDefault="007016DB" w:rsidP="00985B64">
      <w:pPr>
        <w:rPr>
          <w:rFonts w:ascii="Lato" w:hAnsi="Lato" w:cs="Arial"/>
          <w:sz w:val="20"/>
          <w:szCs w:val="20"/>
        </w:rPr>
      </w:pPr>
      <w:r w:rsidRPr="00465B69">
        <w:rPr>
          <w:rFonts w:ascii="Lato" w:hAnsi="Lato" w:cs="Arial"/>
          <w:sz w:val="20"/>
          <w:szCs w:val="20"/>
        </w:rPr>
        <w:t>No existen partes relacionadas que pudieran ejercer influencia significativa sobre la toma de decisiones financieras y operativas</w:t>
      </w:r>
      <w:r w:rsidR="00612AEB" w:rsidRPr="00465B69">
        <w:rPr>
          <w:rFonts w:ascii="Lato" w:hAnsi="Lato" w:cs="Arial"/>
          <w:sz w:val="20"/>
          <w:szCs w:val="20"/>
        </w:rPr>
        <w:t>.</w:t>
      </w:r>
    </w:p>
    <w:p w14:paraId="37476A5A" w14:textId="77777777" w:rsidR="00612AEB" w:rsidRPr="00465B69" w:rsidRDefault="00612AEB" w:rsidP="00612AE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465B69">
        <w:rPr>
          <w:rFonts w:ascii="Lato" w:hAnsi="Lato" w:cs="Arial"/>
          <w:b/>
          <w:sz w:val="20"/>
          <w:szCs w:val="20"/>
        </w:rPr>
        <w:t>Responsabilidad Sobre la Presentación Razonable de la Información Contable</w:t>
      </w:r>
    </w:p>
    <w:p w14:paraId="49C7D9BC" w14:textId="77777777" w:rsidR="00612AEB" w:rsidRPr="00465B69" w:rsidRDefault="00612AEB" w:rsidP="00612AEB">
      <w:pPr>
        <w:spacing w:line="240" w:lineRule="auto"/>
        <w:rPr>
          <w:rFonts w:ascii="Lato" w:hAnsi="Lato" w:cs="Arial"/>
          <w:sz w:val="20"/>
          <w:szCs w:val="20"/>
        </w:rPr>
      </w:pPr>
      <w:r w:rsidRPr="00465B69">
        <w:rPr>
          <w:rFonts w:ascii="Lato" w:hAnsi="Lato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14:paraId="12F8CF60" w14:textId="77777777" w:rsidR="00B30985" w:rsidRPr="00465B69" w:rsidRDefault="00B30985" w:rsidP="00626CCD">
      <w:pPr>
        <w:pStyle w:val="Texto"/>
        <w:spacing w:after="80" w:line="276" w:lineRule="auto"/>
        <w:rPr>
          <w:rFonts w:ascii="Lato" w:hAnsi="Lato" w:cstheme="minorHAnsi"/>
          <w:sz w:val="20"/>
        </w:rPr>
      </w:pPr>
    </w:p>
    <w:p w14:paraId="6E3853B0" w14:textId="77777777" w:rsidR="00985B64" w:rsidRPr="00465B69" w:rsidRDefault="00985B64" w:rsidP="00E877ED">
      <w:pPr>
        <w:rPr>
          <w:rFonts w:ascii="Lato" w:hAnsi="Lato" w:cstheme="minorHAnsi"/>
          <w:b/>
          <w:sz w:val="20"/>
          <w:szCs w:val="20"/>
        </w:rPr>
      </w:pPr>
      <w:r w:rsidRPr="00465B69">
        <w:rPr>
          <w:rFonts w:ascii="Lato" w:hAnsi="Lato" w:cstheme="minorHAnsi"/>
          <w:b/>
          <w:sz w:val="20"/>
          <w:szCs w:val="20"/>
        </w:rPr>
        <w:lastRenderedPageBreak/>
        <w:t>b</w:t>
      </w:r>
      <w:r w:rsidR="00B14E7E" w:rsidRPr="00465B69">
        <w:rPr>
          <w:rFonts w:ascii="Lato" w:hAnsi="Lato" w:cstheme="minorHAnsi"/>
          <w:b/>
          <w:sz w:val="20"/>
          <w:szCs w:val="20"/>
        </w:rPr>
        <w:t>) NOTAS DE DESGLOSE</w:t>
      </w:r>
    </w:p>
    <w:p w14:paraId="01EF8186" w14:textId="77777777" w:rsidR="00985B64" w:rsidRPr="00465B69" w:rsidRDefault="00985B64" w:rsidP="00985B64">
      <w:pPr>
        <w:rPr>
          <w:rFonts w:ascii="Lato" w:hAnsi="Lato" w:cstheme="minorHAnsi"/>
          <w:b/>
          <w:smallCaps/>
          <w:sz w:val="20"/>
          <w:szCs w:val="20"/>
        </w:rPr>
      </w:pPr>
      <w:r w:rsidRPr="00465B69">
        <w:rPr>
          <w:rFonts w:ascii="Lato" w:hAnsi="Lato" w:cstheme="minorHAnsi"/>
          <w:b/>
          <w:smallCaps/>
          <w:sz w:val="20"/>
          <w:szCs w:val="20"/>
        </w:rPr>
        <w:t>I)</w:t>
      </w:r>
      <w:r w:rsidRPr="00465B69">
        <w:rPr>
          <w:rFonts w:ascii="Lato" w:hAnsi="Lato" w:cstheme="minorHAnsi"/>
          <w:b/>
          <w:smallCaps/>
          <w:sz w:val="20"/>
          <w:szCs w:val="20"/>
        </w:rPr>
        <w:tab/>
        <w:t>Notas al Estado de Actividades</w:t>
      </w:r>
    </w:p>
    <w:p w14:paraId="5C48AB73" w14:textId="1E9BB240" w:rsidR="00985B64" w:rsidRPr="00465B69" w:rsidRDefault="00985B64" w:rsidP="00985B64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Ingresos de Gestión</w:t>
      </w:r>
    </w:p>
    <w:p w14:paraId="6AE63657" w14:textId="3882F71C" w:rsidR="00985B64" w:rsidRPr="00465B69" w:rsidRDefault="00985B64" w:rsidP="0063522A">
      <w:pPr>
        <w:pStyle w:val="Prrafodelista"/>
        <w:numPr>
          <w:ilvl w:val="0"/>
          <w:numId w:val="5"/>
        </w:num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 xml:space="preserve">Los ingresos percibidos por el fideicomiso al </w:t>
      </w:r>
      <w:r w:rsidR="009833F4" w:rsidRPr="00465B69">
        <w:rPr>
          <w:rFonts w:ascii="Lato" w:hAnsi="Lato" w:cstheme="minorHAnsi"/>
          <w:sz w:val="20"/>
          <w:szCs w:val="20"/>
        </w:rPr>
        <w:t>31</w:t>
      </w:r>
      <w:r w:rsidRPr="00465B69">
        <w:rPr>
          <w:rFonts w:ascii="Lato" w:hAnsi="Lato" w:cstheme="minorHAnsi"/>
          <w:sz w:val="20"/>
          <w:szCs w:val="20"/>
        </w:rPr>
        <w:t xml:space="preserve"> de </w:t>
      </w:r>
      <w:r w:rsidR="009833F4" w:rsidRPr="00465B69">
        <w:rPr>
          <w:rFonts w:ascii="Lato" w:hAnsi="Lato" w:cstheme="minorHAnsi"/>
          <w:sz w:val="20"/>
          <w:szCs w:val="20"/>
        </w:rPr>
        <w:t>marzo</w:t>
      </w:r>
      <w:r w:rsidR="00C74C22" w:rsidRPr="00465B69">
        <w:rPr>
          <w:rFonts w:ascii="Lato" w:hAnsi="Lato" w:cstheme="minorHAnsi"/>
          <w:sz w:val="20"/>
          <w:szCs w:val="20"/>
        </w:rPr>
        <w:t xml:space="preserve"> </w:t>
      </w:r>
      <w:r w:rsidRPr="00465B69">
        <w:rPr>
          <w:rFonts w:ascii="Lato" w:hAnsi="Lato" w:cstheme="minorHAnsi"/>
          <w:sz w:val="20"/>
          <w:szCs w:val="20"/>
        </w:rPr>
        <w:t>de 202</w:t>
      </w:r>
      <w:r w:rsidR="00AF79EE" w:rsidRPr="00465B69">
        <w:rPr>
          <w:rFonts w:ascii="Lato" w:hAnsi="Lato" w:cstheme="minorHAnsi"/>
          <w:sz w:val="20"/>
          <w:szCs w:val="20"/>
        </w:rPr>
        <w:t>5</w:t>
      </w:r>
      <w:r w:rsidRPr="00465B69">
        <w:rPr>
          <w:rFonts w:ascii="Lato" w:hAnsi="Lato" w:cstheme="minorHAnsi"/>
          <w:sz w:val="20"/>
          <w:szCs w:val="20"/>
        </w:rPr>
        <w:t xml:space="preserve"> son por la cantidad de</w:t>
      </w:r>
      <w:r w:rsidR="00136839" w:rsidRPr="00465B69">
        <w:rPr>
          <w:rFonts w:ascii="Lato" w:hAnsi="Lato" w:cstheme="minorHAnsi"/>
          <w:sz w:val="20"/>
          <w:szCs w:val="20"/>
        </w:rPr>
        <w:t xml:space="preserve"> </w:t>
      </w:r>
      <w:r w:rsidR="0063522A" w:rsidRPr="00465B69">
        <w:rPr>
          <w:rFonts w:ascii="Lato" w:hAnsi="Lato" w:cstheme="minorHAnsi"/>
          <w:sz w:val="20"/>
          <w:szCs w:val="20"/>
        </w:rPr>
        <w:t>$</w:t>
      </w:r>
      <w:r w:rsidR="00946D20" w:rsidRPr="00465B69">
        <w:rPr>
          <w:rFonts w:ascii="Lato" w:hAnsi="Lato" w:cstheme="minorHAnsi"/>
          <w:sz w:val="20"/>
          <w:szCs w:val="20"/>
        </w:rPr>
        <w:t xml:space="preserve"> </w:t>
      </w:r>
      <w:r w:rsidR="002F1389" w:rsidRPr="00465B69">
        <w:rPr>
          <w:rFonts w:ascii="Lato" w:hAnsi="Lato" w:cstheme="minorHAnsi"/>
          <w:sz w:val="20"/>
          <w:szCs w:val="20"/>
        </w:rPr>
        <w:t xml:space="preserve">169,935.77 </w:t>
      </w:r>
      <w:r w:rsidRPr="00465B69">
        <w:rPr>
          <w:rFonts w:ascii="Lato" w:hAnsi="Lato" w:cstheme="minorHAnsi"/>
          <w:sz w:val="20"/>
          <w:szCs w:val="20"/>
        </w:rPr>
        <w:t>pesos correspondientes a los intereses ordinarios generados por créditos otorgados y los rendimientos bancarios.</w:t>
      </w:r>
    </w:p>
    <w:p w14:paraId="1CBF971A" w14:textId="77777777" w:rsidR="00985B64" w:rsidRPr="00465B69" w:rsidRDefault="00985B64" w:rsidP="00985B64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14:paraId="7D147EB5" w14:textId="4DB7DC7A" w:rsidR="00985B64" w:rsidRPr="00465B69" w:rsidRDefault="00985B64" w:rsidP="00985B64">
      <w:pPr>
        <w:pStyle w:val="Texto"/>
        <w:numPr>
          <w:ilvl w:val="0"/>
          <w:numId w:val="5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164DE3C9" w14:textId="77777777" w:rsidR="00985B64" w:rsidRPr="00465B69" w:rsidRDefault="00985B64" w:rsidP="00985B64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Otros ingresos y beneficios</w:t>
      </w:r>
    </w:p>
    <w:p w14:paraId="45285D93" w14:textId="7C7DBDD2" w:rsidR="00985B64" w:rsidRPr="00465B69" w:rsidRDefault="00985B64" w:rsidP="00985B64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389ABC26" w14:textId="77777777" w:rsidR="00985B64" w:rsidRPr="00465B69" w:rsidRDefault="00985B64" w:rsidP="00985B64">
      <w:pPr>
        <w:pStyle w:val="Texto"/>
        <w:spacing w:line="276" w:lineRule="auto"/>
        <w:ind w:firstLine="0"/>
        <w:rPr>
          <w:rFonts w:ascii="Lato" w:eastAsiaTheme="minorEastAsia" w:hAnsi="Lato" w:cstheme="minorHAnsi"/>
          <w:sz w:val="20"/>
          <w:lang w:val="es-MX" w:eastAsia="es-MX"/>
        </w:rPr>
      </w:pPr>
      <w:r w:rsidRPr="00465B69">
        <w:rPr>
          <w:rFonts w:ascii="Lato" w:hAnsi="Lato" w:cstheme="minorHAnsi"/>
          <w:b/>
          <w:sz w:val="20"/>
          <w:lang w:val="es-MX"/>
        </w:rPr>
        <w:t>Gastos y Otras Pérdidas:</w:t>
      </w:r>
    </w:p>
    <w:p w14:paraId="2330DF4A" w14:textId="799AD699" w:rsidR="00985B64" w:rsidRDefault="00985B64" w:rsidP="0063210E">
      <w:pPr>
        <w:pStyle w:val="Prrafodelista"/>
        <w:numPr>
          <w:ilvl w:val="0"/>
          <w:numId w:val="6"/>
        </w:numPr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Los Servicios Generales por la cantidad de $</w:t>
      </w:r>
      <w:r w:rsidR="002F1389" w:rsidRPr="00465B69">
        <w:rPr>
          <w:rFonts w:ascii="Lato" w:hAnsi="Lato"/>
          <w:sz w:val="20"/>
          <w:szCs w:val="20"/>
        </w:rPr>
        <w:t xml:space="preserve"> </w:t>
      </w:r>
      <w:r w:rsidR="002F1389" w:rsidRPr="00465B69">
        <w:rPr>
          <w:rFonts w:ascii="Lato" w:hAnsi="Lato" w:cstheme="minorHAnsi"/>
          <w:sz w:val="20"/>
          <w:szCs w:val="20"/>
        </w:rPr>
        <w:t xml:space="preserve">815.48 </w:t>
      </w:r>
      <w:r w:rsidRPr="00465B69">
        <w:rPr>
          <w:rFonts w:ascii="Lato" w:hAnsi="Lato" w:cstheme="minorHAnsi"/>
          <w:sz w:val="20"/>
          <w:szCs w:val="20"/>
        </w:rPr>
        <w:t>pesos, destinados a las actividades propias del mismo.</w:t>
      </w:r>
    </w:p>
    <w:p w14:paraId="4427B2AE" w14:textId="7E8E6FFD" w:rsidR="00465B69" w:rsidRDefault="00465B69" w:rsidP="00465B69">
      <w:pPr>
        <w:rPr>
          <w:rFonts w:ascii="Lato" w:hAnsi="Lato" w:cstheme="minorHAnsi"/>
          <w:sz w:val="20"/>
          <w:szCs w:val="20"/>
        </w:rPr>
      </w:pPr>
    </w:p>
    <w:p w14:paraId="396B3120" w14:textId="604867F9" w:rsidR="00465B69" w:rsidRDefault="00465B69" w:rsidP="00465B69">
      <w:pPr>
        <w:rPr>
          <w:rFonts w:ascii="Lato" w:hAnsi="Lato" w:cstheme="minorHAnsi"/>
          <w:sz w:val="20"/>
          <w:szCs w:val="20"/>
        </w:rPr>
      </w:pPr>
    </w:p>
    <w:p w14:paraId="54C9A302" w14:textId="567F5E9D" w:rsidR="00465B69" w:rsidRDefault="00465B69" w:rsidP="00465B69">
      <w:pPr>
        <w:rPr>
          <w:rFonts w:ascii="Lato" w:hAnsi="Lato" w:cstheme="minorHAnsi"/>
          <w:sz w:val="20"/>
          <w:szCs w:val="20"/>
        </w:rPr>
      </w:pPr>
    </w:p>
    <w:p w14:paraId="6F5D9389" w14:textId="73F1DB30" w:rsidR="00465B69" w:rsidRDefault="00465B69" w:rsidP="00465B69">
      <w:pPr>
        <w:rPr>
          <w:rFonts w:ascii="Lato" w:hAnsi="Lato" w:cstheme="minorHAnsi"/>
          <w:sz w:val="20"/>
          <w:szCs w:val="20"/>
        </w:rPr>
      </w:pPr>
    </w:p>
    <w:p w14:paraId="2072BA59" w14:textId="6C63B030" w:rsidR="00465B69" w:rsidRDefault="00465B69" w:rsidP="00465B69">
      <w:pPr>
        <w:rPr>
          <w:rFonts w:ascii="Lato" w:hAnsi="Lato" w:cstheme="minorHAnsi"/>
          <w:sz w:val="20"/>
          <w:szCs w:val="20"/>
        </w:rPr>
      </w:pPr>
    </w:p>
    <w:p w14:paraId="476B02B2" w14:textId="77777777" w:rsidR="00465B69" w:rsidRPr="00465B69" w:rsidRDefault="00465B69" w:rsidP="00465B69">
      <w:pPr>
        <w:rPr>
          <w:rFonts w:ascii="Lato" w:hAnsi="Lato" w:cstheme="minorHAnsi"/>
          <w:sz w:val="20"/>
          <w:szCs w:val="20"/>
        </w:rPr>
      </w:pPr>
    </w:p>
    <w:p w14:paraId="24F2D96D" w14:textId="77777777" w:rsidR="00B14E7E" w:rsidRPr="00465B69" w:rsidRDefault="00B14E7E" w:rsidP="00626CCD">
      <w:pPr>
        <w:pStyle w:val="Texto"/>
        <w:spacing w:after="80"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465B69">
        <w:rPr>
          <w:rFonts w:ascii="Lato" w:hAnsi="Lato" w:cstheme="minorHAnsi"/>
          <w:b/>
          <w:smallCaps/>
          <w:sz w:val="20"/>
        </w:rPr>
        <w:lastRenderedPageBreak/>
        <w:t>I</w:t>
      </w:r>
      <w:r w:rsidR="00985B64" w:rsidRPr="00465B69">
        <w:rPr>
          <w:rFonts w:ascii="Lato" w:hAnsi="Lato" w:cstheme="minorHAnsi"/>
          <w:b/>
          <w:smallCaps/>
          <w:sz w:val="20"/>
        </w:rPr>
        <w:t>I</w:t>
      </w:r>
      <w:r w:rsidRPr="00465B69">
        <w:rPr>
          <w:rFonts w:ascii="Lato" w:hAnsi="Lato" w:cstheme="minorHAnsi"/>
          <w:b/>
          <w:smallCaps/>
          <w:sz w:val="20"/>
        </w:rPr>
        <w:t>)</w:t>
      </w:r>
      <w:r w:rsidRPr="00465B69">
        <w:rPr>
          <w:rFonts w:ascii="Lato" w:hAnsi="Lato" w:cstheme="minorHAnsi"/>
          <w:b/>
          <w:smallCaps/>
          <w:sz w:val="20"/>
        </w:rPr>
        <w:tab/>
        <w:t>Notas al Estado de Situación Financiera</w:t>
      </w:r>
    </w:p>
    <w:p w14:paraId="138BDF46" w14:textId="77777777" w:rsidR="00B14E7E" w:rsidRPr="00465B69" w:rsidRDefault="00B14E7E" w:rsidP="00626CCD">
      <w:pPr>
        <w:pStyle w:val="Texto"/>
        <w:spacing w:after="80"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Activo</w:t>
      </w:r>
    </w:p>
    <w:p w14:paraId="78014E80" w14:textId="77777777" w:rsidR="00B14E7E" w:rsidRPr="00465B69" w:rsidRDefault="00B14E7E" w:rsidP="00985B64">
      <w:pPr>
        <w:pStyle w:val="Texto"/>
        <w:numPr>
          <w:ilvl w:val="0"/>
          <w:numId w:val="9"/>
        </w:numPr>
        <w:spacing w:after="80" w:line="276" w:lineRule="auto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Efectivo y Equivalentes.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007A27" w:rsidRPr="00465B69" w14:paraId="658318FC" w14:textId="77777777" w:rsidTr="00465B69">
        <w:trPr>
          <w:jc w:val="center"/>
        </w:trPr>
        <w:tc>
          <w:tcPr>
            <w:tcW w:w="3503" w:type="dxa"/>
          </w:tcPr>
          <w:p w14:paraId="652D8F0A" w14:textId="77777777" w:rsidR="00007A27" w:rsidRPr="00465B69" w:rsidRDefault="00007A27" w:rsidP="00B33D78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14:paraId="1FD56D4B" w14:textId="6B71080B" w:rsidR="00007A27" w:rsidRPr="00465B69" w:rsidRDefault="00B34B8C" w:rsidP="005A2226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AF79EE" w:rsidRPr="00465B69">
              <w:rPr>
                <w:rFonts w:ascii="Lato" w:hAnsi="Lato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9CE96FC" w14:textId="62926D9F" w:rsidR="00007A27" w:rsidRPr="00465B69" w:rsidRDefault="005A2226" w:rsidP="00B33D78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AF79EE" w:rsidRPr="00465B69">
              <w:rPr>
                <w:rFonts w:ascii="Lato" w:hAnsi="Lato" w:cstheme="minorHAnsi"/>
                <w:b/>
                <w:sz w:val="20"/>
                <w:szCs w:val="20"/>
              </w:rPr>
              <w:t>4</w:t>
            </w:r>
          </w:p>
        </w:tc>
      </w:tr>
      <w:tr w:rsidR="00007A27" w:rsidRPr="00465B69" w14:paraId="522A7396" w14:textId="77777777" w:rsidTr="00465B69">
        <w:trPr>
          <w:jc w:val="center"/>
        </w:trPr>
        <w:tc>
          <w:tcPr>
            <w:tcW w:w="3503" w:type="dxa"/>
          </w:tcPr>
          <w:p w14:paraId="71627AC6" w14:textId="77777777" w:rsidR="00007A27" w:rsidRPr="00465B69" w:rsidRDefault="00007A27" w:rsidP="00B33D78">
            <w:pPr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14:paraId="6A0CE81A" w14:textId="7C88D71B" w:rsidR="00007A27" w:rsidRPr="00465B69" w:rsidRDefault="0063210E" w:rsidP="00416677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$</w:t>
            </w:r>
            <w:r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Pr="00465B69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14:paraId="0C311620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$</w:t>
            </w:r>
            <w:r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Pr="00465B69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</w:tr>
      <w:tr w:rsidR="00007A27" w:rsidRPr="00465B69" w14:paraId="5981ACF5" w14:textId="77777777" w:rsidTr="00465B69">
        <w:trPr>
          <w:jc w:val="center"/>
        </w:trPr>
        <w:tc>
          <w:tcPr>
            <w:tcW w:w="3503" w:type="dxa"/>
          </w:tcPr>
          <w:p w14:paraId="41A1108B" w14:textId="77777777" w:rsidR="00007A27" w:rsidRPr="00465B69" w:rsidRDefault="00007A27" w:rsidP="00B33D7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Bancos</w:t>
            </w:r>
            <w:r w:rsidR="00B222A9" w:rsidRPr="00465B69">
              <w:rPr>
                <w:rFonts w:ascii="Lato" w:hAnsi="Lato" w:cstheme="minorHAnsi"/>
                <w:sz w:val="20"/>
                <w:szCs w:val="20"/>
              </w:rPr>
              <w:t>/Tesorería</w:t>
            </w:r>
          </w:p>
          <w:p w14:paraId="5B04702C" w14:textId="77777777" w:rsidR="00007A27" w:rsidRPr="00465B69" w:rsidRDefault="00007A27" w:rsidP="00B222A9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 xml:space="preserve">Banorte Cta. </w:t>
            </w:r>
            <w:r w:rsidR="001F5506" w:rsidRPr="00465B69">
              <w:rPr>
                <w:rFonts w:ascii="Lato" w:hAnsi="Lato" w:cstheme="minorHAnsi"/>
                <w:sz w:val="20"/>
                <w:szCs w:val="20"/>
              </w:rPr>
              <w:t>0738023064</w:t>
            </w:r>
          </w:p>
        </w:tc>
        <w:tc>
          <w:tcPr>
            <w:tcW w:w="1701" w:type="dxa"/>
          </w:tcPr>
          <w:p w14:paraId="5450335B" w14:textId="6D0D1CC7" w:rsidR="00007A27" w:rsidRPr="00465B69" w:rsidRDefault="006E46BF" w:rsidP="00416677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</w:t>
            </w:r>
            <w:r w:rsidR="00136839" w:rsidRPr="00465B69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  <w:r w:rsidR="002F1389" w:rsidRPr="00465B69">
              <w:rPr>
                <w:rFonts w:ascii="Lato" w:hAnsi="Lato" w:cstheme="minorHAnsi"/>
                <w:bCs/>
                <w:sz w:val="20"/>
                <w:szCs w:val="20"/>
              </w:rPr>
              <w:t>15,060,993.53</w:t>
            </w:r>
          </w:p>
        </w:tc>
        <w:tc>
          <w:tcPr>
            <w:tcW w:w="1701" w:type="dxa"/>
          </w:tcPr>
          <w:p w14:paraId="23CF0F10" w14:textId="28C7FA8A" w:rsidR="00007A27" w:rsidRPr="00465B69" w:rsidRDefault="00B20469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 xml:space="preserve">$ </w:t>
            </w:r>
            <w:r w:rsidR="00AF79EE" w:rsidRPr="00465B69">
              <w:rPr>
                <w:rFonts w:ascii="Lato" w:hAnsi="Lato" w:cstheme="minorHAnsi"/>
                <w:bCs/>
                <w:sz w:val="20"/>
                <w:szCs w:val="20"/>
              </w:rPr>
              <w:t>13,212,870.11</w:t>
            </w:r>
          </w:p>
        </w:tc>
      </w:tr>
      <w:tr w:rsidR="00007A27" w:rsidRPr="00465B69" w14:paraId="3AB869FF" w14:textId="77777777" w:rsidTr="00465B69">
        <w:trPr>
          <w:jc w:val="center"/>
        </w:trPr>
        <w:tc>
          <w:tcPr>
            <w:tcW w:w="3503" w:type="dxa"/>
          </w:tcPr>
          <w:p w14:paraId="5ED50C2B" w14:textId="77777777" w:rsidR="00007A27" w:rsidRPr="00465B69" w:rsidRDefault="00007A27" w:rsidP="00B33D7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14:paraId="2E40AD4E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02456175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465B69" w14:paraId="7F44CB3F" w14:textId="77777777" w:rsidTr="00465B69">
        <w:trPr>
          <w:jc w:val="center"/>
        </w:trPr>
        <w:tc>
          <w:tcPr>
            <w:tcW w:w="3503" w:type="dxa"/>
          </w:tcPr>
          <w:p w14:paraId="4FC720B9" w14:textId="77777777" w:rsidR="00007A27" w:rsidRPr="00465B69" w:rsidRDefault="00007A27" w:rsidP="00B33D7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14:paraId="253F35D2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05008040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465B69" w14:paraId="75FAF405" w14:textId="77777777" w:rsidTr="00465B69">
        <w:trPr>
          <w:jc w:val="center"/>
        </w:trPr>
        <w:tc>
          <w:tcPr>
            <w:tcW w:w="3503" w:type="dxa"/>
          </w:tcPr>
          <w:p w14:paraId="0D363257" w14:textId="77777777" w:rsidR="00007A27" w:rsidRPr="00465B69" w:rsidRDefault="00007A27" w:rsidP="00B33D7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14:paraId="7335F038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774D9285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465B69" w14:paraId="1B36F663" w14:textId="77777777" w:rsidTr="00465B69">
        <w:trPr>
          <w:jc w:val="center"/>
        </w:trPr>
        <w:tc>
          <w:tcPr>
            <w:tcW w:w="3503" w:type="dxa"/>
          </w:tcPr>
          <w:p w14:paraId="37705FD3" w14:textId="77777777" w:rsidR="00007A27" w:rsidRPr="00465B69" w:rsidRDefault="00007A27" w:rsidP="00B33D7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14:paraId="6D18ECCE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70417BCA" w14:textId="77777777" w:rsidR="00007A27" w:rsidRPr="00465B69" w:rsidRDefault="00007A27" w:rsidP="00B33D7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465B69" w14:paraId="04BAD839" w14:textId="77777777" w:rsidTr="00465B69">
        <w:trPr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ED23" w14:textId="77777777" w:rsidR="00007A27" w:rsidRPr="00465B69" w:rsidRDefault="00007A27" w:rsidP="00B33D78">
            <w:pPr>
              <w:spacing w:after="0"/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1E6" w14:textId="58B7883A" w:rsidR="00007A27" w:rsidRPr="00465B69" w:rsidRDefault="009A2EB6" w:rsidP="00416677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>$</w:t>
            </w:r>
            <w:r w:rsidR="00136839"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="002F1389"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>15,060,993.53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14A" w14:textId="5DB7F6C0" w:rsidR="00007A27" w:rsidRPr="00465B69" w:rsidRDefault="00007A27" w:rsidP="00B33D78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  <w:r w:rsidR="00B20469"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>$</w:t>
            </w:r>
            <w:r w:rsidR="00D44017"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  <w:r w:rsidR="00AF79EE"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>13,212,870.11</w:t>
            </w:r>
          </w:p>
        </w:tc>
      </w:tr>
    </w:tbl>
    <w:p w14:paraId="0F05A900" w14:textId="77777777" w:rsidR="00B14E7E" w:rsidRPr="00465B69" w:rsidRDefault="00B14E7E" w:rsidP="00626CCD">
      <w:pPr>
        <w:spacing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67311181" w14:textId="77777777" w:rsidR="00B14E7E" w:rsidRPr="00465B69" w:rsidRDefault="00B14E7E" w:rsidP="00626CCD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 xml:space="preserve">Efectivo y Fondo </w:t>
      </w:r>
      <w:r w:rsidR="00281CE3" w:rsidRPr="00465B69">
        <w:rPr>
          <w:rFonts w:ascii="Lato" w:hAnsi="Lato" w:cstheme="minorHAnsi"/>
          <w:b/>
          <w:bCs/>
          <w:sz w:val="20"/>
          <w:szCs w:val="20"/>
        </w:rPr>
        <w:t>Fijo. -</w:t>
      </w:r>
      <w:r w:rsidRPr="00465B6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465B69">
        <w:rPr>
          <w:rFonts w:ascii="Lato" w:hAnsi="Lato" w:cstheme="minorHAnsi"/>
          <w:sz w:val="20"/>
          <w:szCs w:val="20"/>
        </w:rPr>
        <w:t>Cuenta utilizada para ingresar lo recaudado del ejercicio del día.</w:t>
      </w:r>
    </w:p>
    <w:p w14:paraId="60797E05" w14:textId="77777777" w:rsidR="005E65A8" w:rsidRPr="00465B69" w:rsidRDefault="00B14E7E" w:rsidP="00626CCD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b/>
          <w:bCs/>
          <w:sz w:val="20"/>
          <w:szCs w:val="20"/>
        </w:rPr>
        <w:t>Bancos/</w:t>
      </w:r>
      <w:r w:rsidR="00281CE3" w:rsidRPr="00465B69">
        <w:rPr>
          <w:rFonts w:ascii="Lato" w:hAnsi="Lato" w:cstheme="minorHAnsi"/>
          <w:b/>
          <w:bCs/>
          <w:sz w:val="20"/>
          <w:szCs w:val="20"/>
        </w:rPr>
        <w:t>Tesorería. -</w:t>
      </w:r>
      <w:r w:rsidRPr="00465B6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465B69">
        <w:rPr>
          <w:rFonts w:ascii="Lato" w:hAnsi="Lato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14:paraId="6716E320" w14:textId="041054FF" w:rsidR="005E1EE2" w:rsidRPr="00465B69" w:rsidRDefault="002D6409" w:rsidP="0075331D">
      <w:pPr>
        <w:pStyle w:val="Prrafodelista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b/>
          <w:sz w:val="20"/>
          <w:szCs w:val="20"/>
        </w:rPr>
        <w:t xml:space="preserve">Derechos a Recibir Efectivo y Equivalentes y Bienes o Servicios a </w:t>
      </w:r>
      <w:r w:rsidR="00A401C4" w:rsidRPr="00465B69">
        <w:rPr>
          <w:rFonts w:ascii="Lato" w:hAnsi="Lato" w:cstheme="minorHAnsi"/>
          <w:b/>
          <w:sz w:val="20"/>
          <w:szCs w:val="20"/>
        </w:rPr>
        <w:t>recibir. -</w:t>
      </w:r>
      <w:r w:rsidR="006E6DBE" w:rsidRPr="00465B69">
        <w:rPr>
          <w:rFonts w:ascii="Lato" w:hAnsi="Lato" w:cstheme="minorHAnsi"/>
          <w:b/>
          <w:sz w:val="20"/>
          <w:szCs w:val="20"/>
        </w:rPr>
        <w:t xml:space="preserve"> </w:t>
      </w:r>
      <w:r w:rsidR="006E6DBE" w:rsidRPr="00465B69">
        <w:rPr>
          <w:rFonts w:ascii="Lato" w:hAnsi="Lato" w:cstheme="minorHAnsi"/>
          <w:sz w:val="20"/>
          <w:szCs w:val="20"/>
        </w:rPr>
        <w:t xml:space="preserve"> Los</w:t>
      </w:r>
      <w:r w:rsidR="00F51BF4" w:rsidRPr="00465B69">
        <w:rPr>
          <w:rFonts w:ascii="Lato" w:hAnsi="Lato" w:cstheme="minorHAnsi"/>
          <w:sz w:val="20"/>
          <w:szCs w:val="20"/>
        </w:rPr>
        <w:t xml:space="preserve"> saldos de las</w:t>
      </w:r>
      <w:r w:rsidR="006E6DBE" w:rsidRPr="00465B69">
        <w:rPr>
          <w:rFonts w:ascii="Lato" w:hAnsi="Lato" w:cstheme="minorHAnsi"/>
          <w:sz w:val="20"/>
          <w:szCs w:val="20"/>
        </w:rPr>
        <w:t xml:space="preserve"> cuentas por cobrar de los créditos otorgados de los 5 ejercicios </w:t>
      </w:r>
      <w:r w:rsidR="00F51BF4" w:rsidRPr="00465B69">
        <w:rPr>
          <w:rFonts w:ascii="Lato" w:hAnsi="Lato" w:cstheme="minorHAnsi"/>
          <w:sz w:val="20"/>
          <w:szCs w:val="20"/>
        </w:rPr>
        <w:t>anteriores</w:t>
      </w:r>
      <w:r w:rsidR="006E6DBE" w:rsidRPr="00465B69">
        <w:rPr>
          <w:rFonts w:ascii="Lato" w:hAnsi="Lato" w:cstheme="minorHAnsi"/>
          <w:sz w:val="20"/>
          <w:szCs w:val="20"/>
        </w:rPr>
        <w:t xml:space="preserve"> se </w:t>
      </w:r>
      <w:r w:rsidR="00F51BF4" w:rsidRPr="00465B69">
        <w:rPr>
          <w:rFonts w:ascii="Lato" w:hAnsi="Lato" w:cstheme="minorHAnsi"/>
          <w:sz w:val="20"/>
          <w:szCs w:val="20"/>
        </w:rPr>
        <w:t>desglosan a continuación:</w:t>
      </w:r>
    </w:p>
    <w:tbl>
      <w:tblPr>
        <w:tblpPr w:leftFromText="141" w:rightFromText="141" w:vertAnchor="text" w:horzAnchor="page" w:tblpX="5866" w:tblpY="190"/>
        <w:tblW w:w="3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600"/>
      </w:tblGrid>
      <w:tr w:rsidR="005E1EE2" w:rsidRPr="00465B69" w14:paraId="5C59BDDE" w14:textId="77777777" w:rsidTr="00033147">
        <w:trPr>
          <w:trHeight w:val="996"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22FB" w14:textId="77777777" w:rsidR="005E1EE2" w:rsidRPr="00465B69" w:rsidRDefault="005E1EE2" w:rsidP="00033147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lastRenderedPageBreak/>
              <w:t>DERECHOS A RECIBIR EFECTIVO O EQUIVALENTES A LARGO PLAZO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EE7A7" w14:textId="77777777" w:rsidR="005E1EE2" w:rsidRPr="00465B69" w:rsidRDefault="005E1EE2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 </w:t>
            </w:r>
          </w:p>
        </w:tc>
      </w:tr>
      <w:tr w:rsidR="00B022A4" w:rsidRPr="00465B69" w14:paraId="33658BF9" w14:textId="77777777" w:rsidTr="00033147">
        <w:trPr>
          <w:trHeight w:val="292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79547" w14:textId="2119C801" w:rsidR="00B022A4" w:rsidRPr="00465B69" w:rsidRDefault="00B022A4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202</w:t>
            </w:r>
            <w:r w:rsidR="00F77F0C" w:rsidRPr="00465B69">
              <w:rPr>
                <w:rFonts w:ascii="Lato" w:eastAsia="Times New Roman" w:hAnsi="Lato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696D7" w14:textId="52FFDD79" w:rsidR="00B022A4" w:rsidRPr="00465B69" w:rsidRDefault="00B022A4" w:rsidP="0003314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465B69" w14:paraId="46D0C050" w14:textId="77777777" w:rsidTr="00033147">
        <w:trPr>
          <w:trHeight w:val="292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E36F" w14:textId="1FAA0B80" w:rsidR="005E1EE2" w:rsidRPr="00465B69" w:rsidRDefault="005E1EE2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202</w:t>
            </w:r>
            <w:r w:rsidR="00F77F0C" w:rsidRPr="00465B69">
              <w:rPr>
                <w:rFonts w:ascii="Lato" w:eastAsia="Times New Roman" w:hAnsi="Lato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307D9" w14:textId="77777777" w:rsidR="005E1EE2" w:rsidRPr="00465B69" w:rsidRDefault="005E1EE2" w:rsidP="0003314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465B69" w14:paraId="7B073C07" w14:textId="77777777" w:rsidTr="00033147">
        <w:trPr>
          <w:trHeight w:val="292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848B" w14:textId="5157F43E" w:rsidR="005E1EE2" w:rsidRPr="00465B69" w:rsidRDefault="005E1EE2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202</w:t>
            </w:r>
            <w:r w:rsidR="00F77F0C" w:rsidRPr="00465B69">
              <w:rPr>
                <w:rFonts w:ascii="Lato" w:eastAsia="Times New Roman" w:hAnsi="Lato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AD47" w14:textId="77777777" w:rsidR="005E1EE2" w:rsidRPr="00465B69" w:rsidRDefault="005E1EE2" w:rsidP="0003314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465B69" w14:paraId="65B624A7" w14:textId="77777777" w:rsidTr="00033147">
        <w:trPr>
          <w:trHeight w:val="292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6E46F" w14:textId="18148267" w:rsidR="005E1EE2" w:rsidRPr="00465B69" w:rsidRDefault="005E1EE2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202</w:t>
            </w:r>
            <w:r w:rsidR="00F77F0C" w:rsidRPr="00465B69">
              <w:rPr>
                <w:rFonts w:ascii="Lato" w:eastAsia="Times New Roman" w:hAnsi="Lato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654F6" w14:textId="77777777" w:rsidR="005E1EE2" w:rsidRPr="00465B69" w:rsidRDefault="005E1EE2" w:rsidP="0003314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465B69" w14:paraId="18F27E9B" w14:textId="77777777" w:rsidTr="00033147">
        <w:trPr>
          <w:trHeight w:val="292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F8DB" w14:textId="2EAC6AA7" w:rsidR="005E1EE2" w:rsidRPr="00465B69" w:rsidRDefault="005E1EE2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202</w:t>
            </w:r>
            <w:r w:rsidR="00F77F0C" w:rsidRPr="00465B69">
              <w:rPr>
                <w:rFonts w:ascii="Lato" w:eastAsia="Times New Roman" w:hAnsi="Lato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FA966" w14:textId="77777777" w:rsidR="005E1EE2" w:rsidRPr="00465B69" w:rsidRDefault="005E1EE2" w:rsidP="0003314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465B69" w14:paraId="71DCF1ED" w14:textId="77777777" w:rsidTr="00033147">
        <w:trPr>
          <w:trHeight w:val="292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FBDE7" w14:textId="3A284ED0" w:rsidR="005E1EE2" w:rsidRPr="00465B69" w:rsidRDefault="00B022A4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ANTERIORES A 20</w:t>
            </w:r>
            <w:r w:rsidR="00F77F0C" w:rsidRPr="00465B69">
              <w:rPr>
                <w:rFonts w:ascii="Lato" w:eastAsia="Times New Roman" w:hAnsi="Lato" w:cs="Calibri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063B" w14:textId="2E9B7662" w:rsidR="005E1EE2" w:rsidRPr="00465B69" w:rsidRDefault="00815ABC" w:rsidP="0003314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$ 42,735,479.62</w:t>
            </w:r>
          </w:p>
        </w:tc>
      </w:tr>
      <w:tr w:rsidR="005E1EE2" w:rsidRPr="00465B69" w14:paraId="486DEC48" w14:textId="77777777" w:rsidTr="00033147">
        <w:trPr>
          <w:trHeight w:val="292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A59E" w14:textId="77777777" w:rsidR="005E1EE2" w:rsidRPr="00465B69" w:rsidRDefault="005E1EE2" w:rsidP="00033147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8BB7" w14:textId="7714E778" w:rsidR="005E1EE2" w:rsidRPr="00465B69" w:rsidRDefault="00815ABC" w:rsidP="0003314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$ 42,735,479.62</w:t>
            </w:r>
          </w:p>
        </w:tc>
      </w:tr>
    </w:tbl>
    <w:tbl>
      <w:tblPr>
        <w:tblW w:w="3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101"/>
      </w:tblGrid>
      <w:tr w:rsidR="00FC1328" w:rsidRPr="00465B69" w14:paraId="16FCF129" w14:textId="77777777" w:rsidTr="00FC1328">
        <w:trPr>
          <w:trHeight w:val="1029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42E4" w14:textId="77777777" w:rsidR="00FC1328" w:rsidRPr="00465B69" w:rsidRDefault="00FC1328" w:rsidP="00FC132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DERECHOS A RECIBIR EFECTIVO O EQUIVALENTES A CORTO PLAZO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2E53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FC1328" w:rsidRPr="00465B69" w14:paraId="4A70A36A" w14:textId="77777777" w:rsidTr="00FC1328">
        <w:trPr>
          <w:trHeight w:val="237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C5E8E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42AF4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$9,786,893.81</w:t>
            </w:r>
          </w:p>
        </w:tc>
      </w:tr>
      <w:tr w:rsidR="00FC1328" w:rsidRPr="00465B69" w14:paraId="178512BE" w14:textId="77777777" w:rsidTr="00FC1328">
        <w:trPr>
          <w:trHeight w:val="237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F777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87E3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$15,314,353.55</w:t>
            </w:r>
          </w:p>
        </w:tc>
      </w:tr>
      <w:tr w:rsidR="00FC1328" w:rsidRPr="00465B69" w14:paraId="352DFA41" w14:textId="77777777" w:rsidTr="00FC1328">
        <w:trPr>
          <w:trHeight w:val="237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BF7D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0EA7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$3,042,075.83</w:t>
            </w:r>
          </w:p>
        </w:tc>
      </w:tr>
      <w:tr w:rsidR="00FC1328" w:rsidRPr="00465B69" w14:paraId="32B64647" w14:textId="77777777" w:rsidTr="00FC1328">
        <w:trPr>
          <w:trHeight w:val="237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646F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7C17B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$5,818,260.61</w:t>
            </w:r>
          </w:p>
        </w:tc>
      </w:tr>
      <w:tr w:rsidR="00FC1328" w:rsidRPr="00465B69" w14:paraId="693142A9" w14:textId="77777777" w:rsidTr="00FC1328">
        <w:trPr>
          <w:trHeight w:val="237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ED49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B4AF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$5,738,208.35</w:t>
            </w:r>
          </w:p>
        </w:tc>
      </w:tr>
      <w:tr w:rsidR="00FC1328" w:rsidRPr="00465B69" w14:paraId="5BF0D1EC" w14:textId="77777777" w:rsidTr="00FC1328">
        <w:trPr>
          <w:trHeight w:val="237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74A3A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ANTERIORES A 2020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5E12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$34,270,729.01</w:t>
            </w:r>
          </w:p>
        </w:tc>
      </w:tr>
      <w:tr w:rsidR="00FC1328" w:rsidRPr="00465B69" w14:paraId="2BAF64DC" w14:textId="77777777" w:rsidTr="00FC1328">
        <w:trPr>
          <w:trHeight w:val="237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22E77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5C02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$73,970,521.16</w:t>
            </w:r>
          </w:p>
        </w:tc>
      </w:tr>
    </w:tbl>
    <w:p w14:paraId="17096555" w14:textId="6F5337CF" w:rsidR="00152529" w:rsidRDefault="00152529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6690F589" w14:textId="622873FD" w:rsidR="00465B69" w:rsidRDefault="00465B69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44F6AE57" w14:textId="468B1BFE" w:rsidR="00465B69" w:rsidRDefault="00465B69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61BDB7B0" w14:textId="463CC1AA" w:rsidR="00465B69" w:rsidRDefault="00465B69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23DE71B9" w14:textId="27BD8D51" w:rsidR="00465B69" w:rsidRDefault="00465B69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2DE31E5D" w14:textId="7D10A9A0" w:rsidR="00465B69" w:rsidRDefault="00465B69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03486926" w14:textId="77777777" w:rsidR="00465B69" w:rsidRPr="00465B69" w:rsidRDefault="00465B69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19B02EF5" w14:textId="17062188" w:rsidR="0075331D" w:rsidRPr="00465B69" w:rsidRDefault="0075331D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61411E8B" w14:textId="1A3DA6EC" w:rsidR="0075331D" w:rsidRPr="00465B69" w:rsidRDefault="0075331D" w:rsidP="00DF392A">
      <w:pPr>
        <w:jc w:val="both"/>
        <w:rPr>
          <w:rFonts w:ascii="Lato" w:hAnsi="Lato" w:cstheme="minorHAnsi"/>
          <w:sz w:val="20"/>
          <w:szCs w:val="20"/>
        </w:rPr>
      </w:pPr>
    </w:p>
    <w:p w14:paraId="1ECF549A" w14:textId="457BF24D" w:rsidR="00F51BF4" w:rsidRPr="00465B69" w:rsidRDefault="00782700" w:rsidP="003A46EB">
      <w:pPr>
        <w:pStyle w:val="Prrafodelista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lastRenderedPageBreak/>
        <w:t xml:space="preserve"> </w:t>
      </w:r>
      <w:r w:rsidR="00485D4F" w:rsidRPr="00465B69">
        <w:rPr>
          <w:rFonts w:ascii="Lato" w:hAnsi="Lato" w:cstheme="minorHAnsi"/>
          <w:sz w:val="20"/>
          <w:szCs w:val="20"/>
        </w:rPr>
        <w:t>La siguiente tabla presenta la agrupación por periodo de vencimiento en días.</w:t>
      </w:r>
    </w:p>
    <w:tbl>
      <w:tblPr>
        <w:tblpPr w:leftFromText="141" w:rightFromText="141" w:vertAnchor="text" w:horzAnchor="page" w:tblpX="5836" w:tblpY="248"/>
        <w:tblW w:w="4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1875"/>
      </w:tblGrid>
      <w:tr w:rsidR="002215B6" w:rsidRPr="00465B69" w14:paraId="34F081BC" w14:textId="77777777" w:rsidTr="002215B6">
        <w:trPr>
          <w:trHeight w:val="797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46A6" w14:textId="77777777" w:rsidR="002215B6" w:rsidRPr="00465B69" w:rsidRDefault="002215B6" w:rsidP="002215B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4F2F" w14:textId="77777777" w:rsidR="002215B6" w:rsidRPr="00465B69" w:rsidRDefault="002215B6" w:rsidP="002215B6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 </w:t>
            </w:r>
          </w:p>
        </w:tc>
      </w:tr>
      <w:tr w:rsidR="002215B6" w:rsidRPr="00465B69" w14:paraId="33304727" w14:textId="77777777" w:rsidTr="002215B6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E3F7" w14:textId="77777777" w:rsidR="002215B6" w:rsidRPr="00465B69" w:rsidRDefault="002215B6" w:rsidP="002215B6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Menor a 90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25F6" w14:textId="77777777" w:rsidR="002215B6" w:rsidRPr="00465B69" w:rsidRDefault="002215B6" w:rsidP="002215B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2215B6" w:rsidRPr="00465B69" w14:paraId="6753D060" w14:textId="77777777" w:rsidTr="002215B6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7583" w14:textId="77777777" w:rsidR="002215B6" w:rsidRPr="00465B69" w:rsidRDefault="002215B6" w:rsidP="002215B6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91 a 180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1456" w14:textId="77777777" w:rsidR="002215B6" w:rsidRPr="00465B69" w:rsidRDefault="002215B6" w:rsidP="002215B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2215B6" w:rsidRPr="00465B69" w14:paraId="7C350535" w14:textId="77777777" w:rsidTr="002215B6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E85E" w14:textId="77777777" w:rsidR="002215B6" w:rsidRPr="00465B69" w:rsidRDefault="002215B6" w:rsidP="002215B6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181 a 365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0A6F" w14:textId="77777777" w:rsidR="002215B6" w:rsidRPr="00465B69" w:rsidRDefault="002215B6" w:rsidP="002215B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2215B6" w:rsidRPr="00465B69" w14:paraId="4D242EC5" w14:textId="77777777" w:rsidTr="002215B6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CDFF" w14:textId="77777777" w:rsidR="002215B6" w:rsidRPr="00465B69" w:rsidRDefault="002215B6" w:rsidP="002215B6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sz w:val="20"/>
                <w:szCs w:val="20"/>
              </w:rPr>
              <w:t>Mayor a 365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C8055" w14:textId="11FFF29E" w:rsidR="002215B6" w:rsidRPr="00465B69" w:rsidRDefault="00815ABC" w:rsidP="002215B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$ 42,735,479.62</w:t>
            </w:r>
          </w:p>
        </w:tc>
      </w:tr>
      <w:tr w:rsidR="002215B6" w:rsidRPr="00465B69" w14:paraId="05F9FE4A" w14:textId="77777777" w:rsidTr="002215B6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1902" w14:textId="77777777" w:rsidR="002215B6" w:rsidRPr="00465B69" w:rsidRDefault="002215B6" w:rsidP="002215B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023E" w14:textId="3F9539C3" w:rsidR="002215B6" w:rsidRPr="00465B69" w:rsidRDefault="00815ABC" w:rsidP="002215B6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$ 42,735,479.62</w:t>
            </w:r>
          </w:p>
        </w:tc>
      </w:tr>
    </w:tbl>
    <w:tbl>
      <w:tblPr>
        <w:tblW w:w="3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2203"/>
      </w:tblGrid>
      <w:tr w:rsidR="00FC1328" w:rsidRPr="00465B69" w14:paraId="3C00D9E2" w14:textId="77777777" w:rsidTr="00FC1328">
        <w:trPr>
          <w:trHeight w:val="612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15C8" w14:textId="77777777" w:rsidR="00FC1328" w:rsidRPr="00465B69" w:rsidRDefault="00FC1328" w:rsidP="00FC132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DERECHOS A RECIBIR EFECTIVO O EQUIVALENTES A CORTO PLAZO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8A0C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FC1328" w:rsidRPr="00465B69" w14:paraId="7D425656" w14:textId="77777777" w:rsidTr="00FC1328">
        <w:trPr>
          <w:trHeight w:val="21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7FC2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Menor a 90 días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E1FD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$9,786,893.81</w:t>
            </w:r>
          </w:p>
        </w:tc>
      </w:tr>
      <w:tr w:rsidR="00FC1328" w:rsidRPr="00465B69" w14:paraId="10966CAA" w14:textId="77777777" w:rsidTr="00FC1328">
        <w:trPr>
          <w:trHeight w:val="21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209E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91 a 180 días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4582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$18,356,429.38</w:t>
            </w:r>
          </w:p>
        </w:tc>
      </w:tr>
      <w:tr w:rsidR="00FC1328" w:rsidRPr="00465B69" w14:paraId="371913DA" w14:textId="77777777" w:rsidTr="00FC1328">
        <w:trPr>
          <w:trHeight w:val="21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36077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181 a 365 días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A39A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$5,872,808.34</w:t>
            </w:r>
          </w:p>
        </w:tc>
      </w:tr>
      <w:tr w:rsidR="00FC1328" w:rsidRPr="00465B69" w14:paraId="62B42DB3" w14:textId="77777777" w:rsidTr="00FC1328">
        <w:trPr>
          <w:trHeight w:val="21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61EB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Mayor a 365 días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5867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$39,954,389.63</w:t>
            </w:r>
          </w:p>
        </w:tc>
      </w:tr>
      <w:tr w:rsidR="00FC1328" w:rsidRPr="00465B69" w14:paraId="1B464CF8" w14:textId="77777777" w:rsidTr="00FC1328">
        <w:trPr>
          <w:trHeight w:val="21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1467" w14:textId="77777777" w:rsidR="00FC1328" w:rsidRPr="00465B69" w:rsidRDefault="00FC1328" w:rsidP="00FC132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8E3A" w14:textId="77777777" w:rsidR="00FC1328" w:rsidRPr="00465B69" w:rsidRDefault="00FC1328" w:rsidP="00FC132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$73,970,521.16</w:t>
            </w:r>
          </w:p>
        </w:tc>
      </w:tr>
    </w:tbl>
    <w:p w14:paraId="6B91CD9C" w14:textId="05B3882B" w:rsidR="0075331D" w:rsidRPr="00465B69" w:rsidRDefault="0075331D" w:rsidP="00626CCD">
      <w:pPr>
        <w:jc w:val="both"/>
        <w:rPr>
          <w:rFonts w:ascii="Lato" w:hAnsi="Lato" w:cstheme="minorHAnsi"/>
          <w:b/>
          <w:sz w:val="20"/>
          <w:szCs w:val="20"/>
        </w:rPr>
      </w:pPr>
    </w:p>
    <w:p w14:paraId="2E355C7D" w14:textId="65225348" w:rsidR="00386266" w:rsidRPr="00465B69" w:rsidRDefault="003A46EB" w:rsidP="003A46EB">
      <w:pPr>
        <w:jc w:val="both"/>
        <w:rPr>
          <w:rFonts w:ascii="Lato" w:hAnsi="Lato" w:cstheme="minorHAnsi"/>
          <w:b/>
          <w:sz w:val="20"/>
          <w:szCs w:val="20"/>
        </w:rPr>
      </w:pPr>
      <w:r w:rsidRPr="00465B69">
        <w:rPr>
          <w:rFonts w:ascii="Lato" w:hAnsi="Lato" w:cstheme="minorHAnsi"/>
          <w:b/>
          <w:sz w:val="20"/>
          <w:szCs w:val="20"/>
        </w:rPr>
        <w:t>Inventarios</w:t>
      </w:r>
    </w:p>
    <w:p w14:paraId="5029E154" w14:textId="28DE4198" w:rsidR="003A46EB" w:rsidRPr="00465B69" w:rsidRDefault="00704768" w:rsidP="003A46E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71B63D03" w14:textId="77777777" w:rsidR="003A46EB" w:rsidRPr="00465B69" w:rsidRDefault="003A46EB" w:rsidP="003A46EB">
      <w:pPr>
        <w:jc w:val="both"/>
        <w:rPr>
          <w:rFonts w:ascii="Lato" w:hAnsi="Lato" w:cstheme="minorHAnsi"/>
          <w:b/>
          <w:sz w:val="20"/>
          <w:szCs w:val="20"/>
        </w:rPr>
      </w:pPr>
      <w:r w:rsidRPr="00465B69">
        <w:rPr>
          <w:rFonts w:ascii="Lato" w:hAnsi="Lato" w:cstheme="minorHAnsi"/>
          <w:b/>
          <w:sz w:val="20"/>
          <w:szCs w:val="20"/>
        </w:rPr>
        <w:t>Almacenes</w:t>
      </w:r>
    </w:p>
    <w:p w14:paraId="774F92B3" w14:textId="68AA420E" w:rsidR="00704768" w:rsidRPr="00465B69" w:rsidRDefault="00704768" w:rsidP="003A46E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42BBCB8C" w14:textId="77777777" w:rsidR="00386266" w:rsidRPr="00465B69" w:rsidRDefault="00386266" w:rsidP="00C43AB2">
      <w:pPr>
        <w:pStyle w:val="Texto"/>
        <w:tabs>
          <w:tab w:val="left" w:pos="2880"/>
        </w:tabs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Inversiones Financieras</w:t>
      </w:r>
      <w:r w:rsidR="00C43AB2" w:rsidRPr="00465B69">
        <w:rPr>
          <w:rFonts w:ascii="Lato" w:hAnsi="Lato" w:cstheme="minorHAnsi"/>
          <w:b/>
          <w:sz w:val="20"/>
          <w:lang w:val="es-MX"/>
        </w:rPr>
        <w:tab/>
      </w:r>
    </w:p>
    <w:p w14:paraId="397C90B4" w14:textId="49B7E651" w:rsidR="00704768" w:rsidRPr="00465B69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7AC810DE" w14:textId="684F485B" w:rsidR="00386266" w:rsidRPr="00465B69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683C1FCA" w14:textId="77777777" w:rsidR="00386266" w:rsidRPr="00465B69" w:rsidRDefault="00386266" w:rsidP="00626CCD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Bienes muebles, Inmuebles e intangibles.</w:t>
      </w:r>
    </w:p>
    <w:p w14:paraId="659C6E0F" w14:textId="0D2728FB" w:rsidR="00704768" w:rsidRPr="00465B69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3D3721F2" w14:textId="0BF7B603" w:rsidR="00386266" w:rsidRPr="00465B69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071E1B5B" w14:textId="77777777" w:rsidR="00386266" w:rsidRPr="00465B69" w:rsidRDefault="00386266" w:rsidP="00626CCD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Estimaciones y deterioros</w:t>
      </w:r>
    </w:p>
    <w:p w14:paraId="290C2EC1" w14:textId="768E1C22" w:rsidR="00704768" w:rsidRPr="00465B69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lastRenderedPageBreak/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536A5A89" w14:textId="77777777" w:rsidR="00386266" w:rsidRPr="00465B69" w:rsidRDefault="00386266" w:rsidP="00626CCD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Otros activos</w:t>
      </w:r>
    </w:p>
    <w:p w14:paraId="32200AFE" w14:textId="04009349" w:rsidR="00704768" w:rsidRPr="00465B69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03408CF0" w14:textId="4B9B3602" w:rsidR="00B14E7E" w:rsidRPr="00465B69" w:rsidRDefault="00B14E7E" w:rsidP="00626CCD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Pasivo</w:t>
      </w:r>
    </w:p>
    <w:p w14:paraId="5E6B7654" w14:textId="77777777" w:rsidR="003A46EB" w:rsidRPr="00465B69" w:rsidRDefault="003A46EB" w:rsidP="00626CCD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Cuentas y documentos por pagar</w:t>
      </w:r>
    </w:p>
    <w:p w14:paraId="5BA755A0" w14:textId="339982F0" w:rsidR="003A46EB" w:rsidRPr="00465B69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3D8CB530" w14:textId="77777777" w:rsidR="003A46EB" w:rsidRPr="00465B69" w:rsidRDefault="003A46EB" w:rsidP="003A46E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Fondos y bienes de terceros en garantía y/o administración</w:t>
      </w:r>
      <w:r w:rsidRPr="00465B69">
        <w:rPr>
          <w:rFonts w:ascii="Lato" w:hAnsi="Lato" w:cstheme="minorHAnsi"/>
          <w:sz w:val="20"/>
          <w:lang w:val="es-MX"/>
        </w:rPr>
        <w:t>.</w:t>
      </w:r>
    </w:p>
    <w:p w14:paraId="5A0FD903" w14:textId="108A8624" w:rsidR="003A46EB" w:rsidRPr="00465B69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2D053B7B" w14:textId="77777777" w:rsidR="003A46EB" w:rsidRPr="00465B69" w:rsidRDefault="003A46EB" w:rsidP="003A46E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 xml:space="preserve">Pasivos diferidos </w:t>
      </w:r>
    </w:p>
    <w:p w14:paraId="3CC7AD08" w14:textId="5E434CBF" w:rsidR="003A46EB" w:rsidRPr="00465B69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3D99AA64" w14:textId="77777777" w:rsidR="003A46EB" w:rsidRPr="00465B69" w:rsidRDefault="003A46EB" w:rsidP="003A46E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Provisiones</w:t>
      </w:r>
    </w:p>
    <w:p w14:paraId="4B2AA4D4" w14:textId="06DE45F2" w:rsidR="003A46EB" w:rsidRPr="00465B69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3E024570" w14:textId="77777777" w:rsidR="003A46EB" w:rsidRPr="00465B69" w:rsidRDefault="003A46EB" w:rsidP="003A46EB">
      <w:pPr>
        <w:pStyle w:val="Texto"/>
        <w:spacing w:line="276" w:lineRule="auto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Otros pasivos</w:t>
      </w:r>
    </w:p>
    <w:p w14:paraId="0E8D32FC" w14:textId="3B8A819D" w:rsidR="00465B69" w:rsidRPr="00465B69" w:rsidRDefault="00B14E7E" w:rsidP="00465B69">
      <w:pPr>
        <w:pStyle w:val="Prrafodelista"/>
        <w:numPr>
          <w:ilvl w:val="0"/>
          <w:numId w:val="4"/>
        </w:numPr>
        <w:jc w:val="both"/>
        <w:rPr>
          <w:rFonts w:ascii="Lato" w:hAnsi="Lato" w:cstheme="minorHAnsi"/>
          <w:bCs/>
          <w:sz w:val="20"/>
          <w:szCs w:val="20"/>
        </w:rPr>
      </w:pPr>
      <w:r w:rsidRPr="00465B69">
        <w:rPr>
          <w:rFonts w:ascii="Lato" w:hAnsi="Lato" w:cstheme="minorHAnsi"/>
          <w:bCs/>
          <w:sz w:val="20"/>
          <w:szCs w:val="20"/>
        </w:rPr>
        <w:t xml:space="preserve">El fideicomiso </w:t>
      </w:r>
      <w:r w:rsidR="00AF32A9" w:rsidRPr="00465B69">
        <w:rPr>
          <w:rFonts w:ascii="Lato" w:hAnsi="Lato" w:cstheme="minorHAnsi"/>
          <w:bCs/>
          <w:sz w:val="20"/>
          <w:szCs w:val="20"/>
        </w:rPr>
        <w:t>cuenta c</w:t>
      </w:r>
      <w:r w:rsidR="00281CE3" w:rsidRPr="00465B69">
        <w:rPr>
          <w:rFonts w:ascii="Lato" w:hAnsi="Lato" w:cstheme="minorHAnsi"/>
          <w:bCs/>
          <w:sz w:val="20"/>
          <w:szCs w:val="20"/>
        </w:rPr>
        <w:t>on</w:t>
      </w:r>
      <w:r w:rsidRPr="00465B69">
        <w:rPr>
          <w:rFonts w:ascii="Lato" w:hAnsi="Lato" w:cstheme="minorHAnsi"/>
          <w:bCs/>
          <w:sz w:val="20"/>
          <w:szCs w:val="20"/>
        </w:rPr>
        <w:t xml:space="preserve"> pasivos circulantes </w:t>
      </w:r>
      <w:r w:rsidR="00281CE3" w:rsidRPr="00465B69">
        <w:rPr>
          <w:rFonts w:ascii="Lato" w:hAnsi="Lato" w:cstheme="minorHAnsi"/>
          <w:bCs/>
          <w:sz w:val="20"/>
          <w:szCs w:val="20"/>
        </w:rPr>
        <w:t>de otros</w:t>
      </w:r>
      <w:r w:rsidR="00941BE6" w:rsidRPr="00465B69">
        <w:rPr>
          <w:rFonts w:ascii="Lato" w:hAnsi="Lato" w:cstheme="minorHAnsi"/>
          <w:bCs/>
          <w:sz w:val="20"/>
          <w:szCs w:val="20"/>
        </w:rPr>
        <w:t xml:space="preserve"> </w:t>
      </w:r>
      <w:r w:rsidR="00281CE3" w:rsidRPr="00465B69">
        <w:rPr>
          <w:rFonts w:ascii="Lato" w:hAnsi="Lato" w:cstheme="minorHAnsi"/>
          <w:bCs/>
          <w:sz w:val="20"/>
          <w:szCs w:val="20"/>
        </w:rPr>
        <w:t>pasivos a</w:t>
      </w:r>
      <w:r w:rsidR="000371EC" w:rsidRPr="00465B69">
        <w:rPr>
          <w:rFonts w:ascii="Lato" w:hAnsi="Lato" w:cstheme="minorHAnsi"/>
          <w:bCs/>
          <w:sz w:val="20"/>
          <w:szCs w:val="20"/>
        </w:rPr>
        <w:t xml:space="preserve"> corto </w:t>
      </w:r>
      <w:r w:rsidR="00281CE3" w:rsidRPr="00465B69">
        <w:rPr>
          <w:rFonts w:ascii="Lato" w:hAnsi="Lato" w:cstheme="minorHAnsi"/>
          <w:bCs/>
          <w:sz w:val="20"/>
          <w:szCs w:val="20"/>
        </w:rPr>
        <w:t xml:space="preserve">plazo </w:t>
      </w:r>
      <w:r w:rsidR="00B258AC" w:rsidRPr="00465B69">
        <w:rPr>
          <w:rFonts w:ascii="Lato" w:hAnsi="Lato" w:cstheme="minorHAnsi"/>
          <w:bCs/>
          <w:sz w:val="20"/>
          <w:szCs w:val="20"/>
        </w:rPr>
        <w:t xml:space="preserve">por </w:t>
      </w:r>
      <w:r w:rsidR="0029762E" w:rsidRPr="00465B69">
        <w:rPr>
          <w:rFonts w:ascii="Lato" w:hAnsi="Lato" w:cstheme="minorHAnsi"/>
          <w:bCs/>
          <w:sz w:val="20"/>
          <w:szCs w:val="20"/>
        </w:rPr>
        <w:t>$</w:t>
      </w:r>
      <w:r w:rsidR="00267D2A" w:rsidRPr="00465B69">
        <w:rPr>
          <w:rFonts w:ascii="Lato" w:hAnsi="Lato" w:cstheme="minorHAnsi"/>
          <w:bCs/>
          <w:sz w:val="20"/>
          <w:szCs w:val="20"/>
        </w:rPr>
        <w:t xml:space="preserve"> </w:t>
      </w:r>
      <w:r w:rsidR="002F1389" w:rsidRPr="00465B69">
        <w:rPr>
          <w:rFonts w:ascii="Lato" w:hAnsi="Lato" w:cstheme="minorHAnsi"/>
          <w:bCs/>
          <w:sz w:val="20"/>
          <w:szCs w:val="20"/>
        </w:rPr>
        <w:t xml:space="preserve">1,007,722.40 </w:t>
      </w:r>
      <w:r w:rsidR="00281CE3" w:rsidRPr="00465B69">
        <w:rPr>
          <w:rFonts w:ascii="Lato" w:hAnsi="Lato" w:cstheme="minorHAnsi"/>
          <w:bCs/>
          <w:sz w:val="20"/>
          <w:szCs w:val="20"/>
        </w:rPr>
        <w:t>pesos</w:t>
      </w:r>
      <w:r w:rsidRPr="00465B69">
        <w:rPr>
          <w:rFonts w:ascii="Lato" w:hAnsi="Lato" w:cstheme="minorHAnsi"/>
          <w:bCs/>
          <w:sz w:val="20"/>
          <w:szCs w:val="20"/>
        </w:rPr>
        <w:t xml:space="preserve">, que corresponden a </w:t>
      </w:r>
      <w:r w:rsidR="007176C4" w:rsidRPr="00465B69">
        <w:rPr>
          <w:rFonts w:ascii="Lato" w:hAnsi="Lato" w:cstheme="minorHAnsi"/>
          <w:bCs/>
          <w:sz w:val="20"/>
          <w:szCs w:val="20"/>
        </w:rPr>
        <w:t>abono a créditos en espera de tratamiento de cartera y su futura aplicación.</w:t>
      </w:r>
    </w:p>
    <w:p w14:paraId="31B5BEB5" w14:textId="77777777" w:rsidR="007176C4" w:rsidRPr="00465B69" w:rsidRDefault="007176C4" w:rsidP="00626CCD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465B69">
        <w:rPr>
          <w:rFonts w:ascii="Lato" w:hAnsi="Lato" w:cstheme="minorHAnsi"/>
          <w:b/>
          <w:smallCaps/>
          <w:sz w:val="20"/>
        </w:rPr>
        <w:t>III) Notas al Estado de Variación en la Hacienda Pública.</w:t>
      </w:r>
    </w:p>
    <w:p w14:paraId="2462043E" w14:textId="77777777" w:rsidR="00A320EC" w:rsidRPr="00465B69" w:rsidRDefault="00A320EC" w:rsidP="00626CCD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1718"/>
        <w:gridCol w:w="1718"/>
      </w:tblGrid>
      <w:tr w:rsidR="00AD7254" w:rsidRPr="00465B69" w14:paraId="1FEF1871" w14:textId="77777777" w:rsidTr="00B16CBB">
        <w:trPr>
          <w:trHeight w:val="256"/>
          <w:jc w:val="center"/>
        </w:trPr>
        <w:tc>
          <w:tcPr>
            <w:tcW w:w="5154" w:type="dxa"/>
            <w:gridSpan w:val="3"/>
          </w:tcPr>
          <w:p w14:paraId="5F4973DF" w14:textId="77777777" w:rsidR="00AD7254" w:rsidRPr="00465B69" w:rsidRDefault="00AD7254" w:rsidP="00AD7254">
            <w:pPr>
              <w:jc w:val="center"/>
              <w:rPr>
                <w:rFonts w:ascii="Lato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HACIENDA PUBLICA/PATRIMONIO</w:t>
            </w:r>
          </w:p>
        </w:tc>
      </w:tr>
      <w:tr w:rsidR="00AD7254" w:rsidRPr="00465B69" w14:paraId="120F07AB" w14:textId="77777777" w:rsidTr="008D619A">
        <w:trPr>
          <w:trHeight w:val="324"/>
          <w:jc w:val="center"/>
        </w:trPr>
        <w:tc>
          <w:tcPr>
            <w:tcW w:w="1718" w:type="dxa"/>
          </w:tcPr>
          <w:p w14:paraId="32896624" w14:textId="16E49BCA" w:rsidR="00AD7254" w:rsidRPr="00465B69" w:rsidRDefault="00AD7254" w:rsidP="00B16CBB">
            <w:pPr>
              <w:spacing w:after="200" w:line="276" w:lineRule="auto"/>
              <w:jc w:val="center"/>
              <w:rPr>
                <w:rFonts w:ascii="Lato" w:eastAsiaTheme="minorEastAsia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202</w:t>
            </w:r>
            <w:r w:rsidR="00AF79EE" w:rsidRPr="00465B69">
              <w:rPr>
                <w:rFonts w:ascii="Lato" w:eastAsiaTheme="minorEastAsia" w:hAnsi="Lato" w:cstheme="minorHAnsi"/>
                <w:b/>
              </w:rPr>
              <w:t>5</w:t>
            </w:r>
          </w:p>
        </w:tc>
        <w:tc>
          <w:tcPr>
            <w:tcW w:w="1718" w:type="dxa"/>
          </w:tcPr>
          <w:p w14:paraId="5C204AAB" w14:textId="40B18725" w:rsidR="00AD7254" w:rsidRPr="00465B69" w:rsidRDefault="00AD7254" w:rsidP="00B16CBB">
            <w:pPr>
              <w:spacing w:after="200" w:line="276" w:lineRule="auto"/>
              <w:jc w:val="center"/>
              <w:rPr>
                <w:rFonts w:ascii="Lato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202</w:t>
            </w:r>
            <w:r w:rsidR="00AF79EE" w:rsidRPr="00465B69">
              <w:rPr>
                <w:rFonts w:ascii="Lato" w:eastAsiaTheme="minorEastAsia" w:hAnsi="Lato" w:cstheme="minorHAnsi"/>
                <w:b/>
              </w:rPr>
              <w:t>4</w:t>
            </w:r>
          </w:p>
        </w:tc>
        <w:tc>
          <w:tcPr>
            <w:tcW w:w="1718" w:type="dxa"/>
          </w:tcPr>
          <w:p w14:paraId="5DDD68EC" w14:textId="77777777" w:rsidR="00AD7254" w:rsidRPr="00465B69" w:rsidRDefault="00AD7254" w:rsidP="00B16CBB">
            <w:pPr>
              <w:spacing w:after="200" w:line="276" w:lineRule="auto"/>
              <w:jc w:val="center"/>
              <w:rPr>
                <w:rFonts w:ascii="Lato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Variación</w:t>
            </w:r>
          </w:p>
        </w:tc>
      </w:tr>
      <w:tr w:rsidR="00AD7254" w:rsidRPr="00465B69" w14:paraId="3721F690" w14:textId="77777777" w:rsidTr="00B16CBB">
        <w:trPr>
          <w:trHeight w:val="256"/>
          <w:jc w:val="center"/>
        </w:trPr>
        <w:tc>
          <w:tcPr>
            <w:tcW w:w="1718" w:type="dxa"/>
          </w:tcPr>
          <w:p w14:paraId="65A5EE1B" w14:textId="1B4C37CC" w:rsidR="00AD7254" w:rsidRPr="00465B69" w:rsidRDefault="00337009" w:rsidP="003D4EF7">
            <w:pPr>
              <w:jc w:val="center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130,759,271.91</w:t>
            </w:r>
          </w:p>
        </w:tc>
        <w:tc>
          <w:tcPr>
            <w:tcW w:w="1718" w:type="dxa"/>
          </w:tcPr>
          <w:p w14:paraId="29AC6A7C" w14:textId="3A35AA83" w:rsidR="00AD7254" w:rsidRPr="00465B69" w:rsidRDefault="00DC1F6B" w:rsidP="00AD7254">
            <w:pPr>
              <w:jc w:val="center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 xml:space="preserve">$ </w:t>
            </w:r>
            <w:r w:rsidR="00AF79EE" w:rsidRPr="00465B69">
              <w:rPr>
                <w:rFonts w:ascii="Lato" w:eastAsiaTheme="minorEastAsia" w:hAnsi="Lato" w:cstheme="minorHAnsi"/>
              </w:rPr>
              <w:t>130,590,151.62</w:t>
            </w:r>
          </w:p>
        </w:tc>
        <w:tc>
          <w:tcPr>
            <w:tcW w:w="1718" w:type="dxa"/>
          </w:tcPr>
          <w:p w14:paraId="567DE75E" w14:textId="1F160F9E" w:rsidR="00AD7254" w:rsidRPr="00465B69" w:rsidRDefault="00AF79EE" w:rsidP="0085273D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$</w:t>
            </w:r>
            <w:r w:rsidR="002F1389" w:rsidRPr="00465B69">
              <w:rPr>
                <w:rFonts w:ascii="Lato" w:hAnsi="Lato"/>
              </w:rPr>
              <w:t xml:space="preserve"> </w:t>
            </w:r>
            <w:r w:rsidR="002F1389" w:rsidRPr="00465B69">
              <w:rPr>
                <w:rFonts w:ascii="Lato" w:eastAsiaTheme="minorEastAsia" w:hAnsi="Lato" w:cstheme="minorHAnsi"/>
              </w:rPr>
              <w:t>169,120.29</w:t>
            </w:r>
          </w:p>
        </w:tc>
      </w:tr>
    </w:tbl>
    <w:p w14:paraId="2CFCBDFE" w14:textId="77777777" w:rsidR="00AD67BE" w:rsidRPr="00465B69" w:rsidRDefault="00AD67BE" w:rsidP="0085273D">
      <w:pPr>
        <w:jc w:val="both"/>
        <w:rPr>
          <w:rFonts w:ascii="Lato" w:hAnsi="Lato" w:cstheme="minorHAnsi"/>
          <w:sz w:val="20"/>
          <w:szCs w:val="20"/>
        </w:rPr>
      </w:pPr>
    </w:p>
    <w:p w14:paraId="77117E48" w14:textId="77777777" w:rsidR="007176C4" w:rsidRPr="00465B69" w:rsidRDefault="007176C4" w:rsidP="00626CCD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465B69">
        <w:rPr>
          <w:rFonts w:ascii="Lato" w:hAnsi="Lato" w:cstheme="minorHAnsi"/>
          <w:b/>
          <w:smallCaps/>
          <w:sz w:val="20"/>
        </w:rPr>
        <w:t>IV)</w:t>
      </w:r>
      <w:r w:rsidRPr="00465B69">
        <w:rPr>
          <w:rFonts w:ascii="Lato" w:hAnsi="Lato" w:cstheme="minorHAnsi"/>
          <w:b/>
          <w:smallCaps/>
          <w:sz w:val="20"/>
        </w:rPr>
        <w:tab/>
        <w:t>Notas al Estado de Flujos de Efectivo</w:t>
      </w:r>
    </w:p>
    <w:p w14:paraId="75267528" w14:textId="77777777" w:rsidR="007176C4" w:rsidRPr="00465B69" w:rsidRDefault="007176C4" w:rsidP="00626CCD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  <w:lang w:val="es-MX"/>
        </w:rPr>
        <w:t>Efectivo y equivalentes</w:t>
      </w:r>
    </w:p>
    <w:p w14:paraId="5F697A0A" w14:textId="77777777" w:rsidR="007176C4" w:rsidRPr="00465B69" w:rsidRDefault="007176C4" w:rsidP="00ED350B">
      <w:pPr>
        <w:pStyle w:val="ROMANOS"/>
        <w:numPr>
          <w:ilvl w:val="0"/>
          <w:numId w:val="7"/>
        </w:numPr>
        <w:tabs>
          <w:tab w:val="clear" w:pos="720"/>
          <w:tab w:val="left" w:pos="0"/>
        </w:tabs>
        <w:spacing w:line="276" w:lineRule="auto"/>
        <w:rPr>
          <w:rFonts w:ascii="Lato" w:hAnsi="Lato" w:cstheme="minorHAnsi"/>
          <w:sz w:val="20"/>
          <w:szCs w:val="20"/>
          <w:lang w:val="es-MX"/>
        </w:rPr>
      </w:pPr>
      <w:r w:rsidRPr="00465B69">
        <w:rPr>
          <w:rFonts w:ascii="Lato" w:hAnsi="Lato" w:cstheme="minorHAnsi"/>
          <w:sz w:val="20"/>
          <w:szCs w:val="20"/>
          <w:lang w:val="es-MX"/>
        </w:rPr>
        <w:t>Flujo de Efectivo en la cuenta de efectivo y equivalentes es como sigue:</w:t>
      </w:r>
    </w:p>
    <w:p w14:paraId="68DBA68F" w14:textId="100EFE92" w:rsidR="00182B1D" w:rsidRPr="00465B69" w:rsidRDefault="00182B1D" w:rsidP="00626CCD">
      <w:pPr>
        <w:pStyle w:val="Texto"/>
        <w:spacing w:line="276" w:lineRule="auto"/>
        <w:rPr>
          <w:rFonts w:ascii="Lato" w:hAnsi="Lato" w:cstheme="minorHAnsi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F450DB" w:rsidRPr="00465B69" w14:paraId="77BD1528" w14:textId="77777777" w:rsidTr="00465B69">
        <w:trPr>
          <w:jc w:val="center"/>
        </w:trPr>
        <w:tc>
          <w:tcPr>
            <w:tcW w:w="3503" w:type="dxa"/>
          </w:tcPr>
          <w:p w14:paraId="627DE225" w14:textId="77777777" w:rsidR="00F450DB" w:rsidRPr="00465B69" w:rsidRDefault="00F450DB" w:rsidP="006B28E8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14:paraId="1259A3C6" w14:textId="77777777" w:rsidR="00F450DB" w:rsidRPr="00465B69" w:rsidRDefault="00F450DB" w:rsidP="006B28E8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1701" w:type="dxa"/>
          </w:tcPr>
          <w:p w14:paraId="13EC9FD9" w14:textId="77777777" w:rsidR="00F450DB" w:rsidRPr="00465B69" w:rsidRDefault="00F450DB" w:rsidP="006B28E8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2024</w:t>
            </w:r>
          </w:p>
        </w:tc>
      </w:tr>
      <w:tr w:rsidR="00F450DB" w:rsidRPr="00465B69" w14:paraId="4122EB63" w14:textId="77777777" w:rsidTr="00465B69">
        <w:trPr>
          <w:jc w:val="center"/>
        </w:trPr>
        <w:tc>
          <w:tcPr>
            <w:tcW w:w="3503" w:type="dxa"/>
          </w:tcPr>
          <w:p w14:paraId="2BE18AC1" w14:textId="77777777" w:rsidR="00F450DB" w:rsidRPr="00465B69" w:rsidRDefault="00F450DB" w:rsidP="006B28E8">
            <w:pPr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14:paraId="0694E542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$</w:t>
            </w:r>
            <w:r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Pr="00465B69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14:paraId="192BD1F9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$</w:t>
            </w:r>
            <w:r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Pr="00465B69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</w:tr>
      <w:tr w:rsidR="00F450DB" w:rsidRPr="00465B69" w14:paraId="45CD9915" w14:textId="77777777" w:rsidTr="00465B69">
        <w:trPr>
          <w:jc w:val="center"/>
        </w:trPr>
        <w:tc>
          <w:tcPr>
            <w:tcW w:w="3503" w:type="dxa"/>
          </w:tcPr>
          <w:p w14:paraId="73AD1C10" w14:textId="77777777" w:rsidR="00F450DB" w:rsidRPr="00465B69" w:rsidRDefault="00F450DB" w:rsidP="006B28E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Bancos/Tesorería</w:t>
            </w:r>
          </w:p>
          <w:p w14:paraId="531A8F9E" w14:textId="77777777" w:rsidR="00F450DB" w:rsidRPr="00465B69" w:rsidRDefault="00F450DB" w:rsidP="006B28E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1701" w:type="dxa"/>
          </w:tcPr>
          <w:p w14:paraId="3D047957" w14:textId="0C42787D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 xml:space="preserve">$ </w:t>
            </w:r>
            <w:r w:rsidR="002F1389" w:rsidRPr="00465B69">
              <w:rPr>
                <w:rFonts w:ascii="Lato" w:hAnsi="Lato" w:cstheme="minorHAnsi"/>
                <w:bCs/>
                <w:sz w:val="20"/>
                <w:szCs w:val="20"/>
              </w:rPr>
              <w:t>15,060,993.53</w:t>
            </w:r>
          </w:p>
        </w:tc>
        <w:tc>
          <w:tcPr>
            <w:tcW w:w="1701" w:type="dxa"/>
          </w:tcPr>
          <w:p w14:paraId="6FAFC962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$ 13,212,870.11</w:t>
            </w:r>
          </w:p>
        </w:tc>
      </w:tr>
      <w:tr w:rsidR="00F450DB" w:rsidRPr="00465B69" w14:paraId="2098D68E" w14:textId="77777777" w:rsidTr="00465B69">
        <w:trPr>
          <w:jc w:val="center"/>
        </w:trPr>
        <w:tc>
          <w:tcPr>
            <w:tcW w:w="3503" w:type="dxa"/>
          </w:tcPr>
          <w:p w14:paraId="7B76846E" w14:textId="77777777" w:rsidR="00F450DB" w:rsidRPr="00465B69" w:rsidRDefault="00F450DB" w:rsidP="006B28E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14:paraId="0CC36CF2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4037327E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F450DB" w:rsidRPr="00465B69" w14:paraId="4760D5B5" w14:textId="77777777" w:rsidTr="00465B69">
        <w:trPr>
          <w:jc w:val="center"/>
        </w:trPr>
        <w:tc>
          <w:tcPr>
            <w:tcW w:w="3503" w:type="dxa"/>
          </w:tcPr>
          <w:p w14:paraId="226BC3B4" w14:textId="77777777" w:rsidR="00F450DB" w:rsidRPr="00465B69" w:rsidRDefault="00F450DB" w:rsidP="006B28E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14:paraId="1B3F9A1F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720866E8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F450DB" w:rsidRPr="00465B69" w14:paraId="2C2CD735" w14:textId="77777777" w:rsidTr="00465B69">
        <w:trPr>
          <w:jc w:val="center"/>
        </w:trPr>
        <w:tc>
          <w:tcPr>
            <w:tcW w:w="3503" w:type="dxa"/>
          </w:tcPr>
          <w:p w14:paraId="68F34B4E" w14:textId="77777777" w:rsidR="00F450DB" w:rsidRPr="00465B69" w:rsidRDefault="00F450DB" w:rsidP="006B28E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14:paraId="589CE546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16148486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F450DB" w:rsidRPr="00465B69" w14:paraId="625DB78F" w14:textId="77777777" w:rsidTr="00465B69">
        <w:trPr>
          <w:jc w:val="center"/>
        </w:trPr>
        <w:tc>
          <w:tcPr>
            <w:tcW w:w="3503" w:type="dxa"/>
          </w:tcPr>
          <w:p w14:paraId="4F48CD84" w14:textId="77777777" w:rsidR="00F450DB" w:rsidRPr="00465B69" w:rsidRDefault="00F450DB" w:rsidP="006B28E8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14:paraId="370122CF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41A14195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F450DB" w:rsidRPr="00465B69" w14:paraId="11D6E69A" w14:textId="77777777" w:rsidTr="00465B69">
        <w:trPr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F43" w14:textId="77777777" w:rsidR="00F450DB" w:rsidRPr="00465B69" w:rsidRDefault="00F450DB" w:rsidP="006B28E8">
            <w:pPr>
              <w:spacing w:after="0"/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FEA" w14:textId="6A6840A5" w:rsidR="00F450DB" w:rsidRPr="00465B69" w:rsidRDefault="00F450DB" w:rsidP="006B28E8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>$</w:t>
            </w:r>
            <w:r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="002F1389"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>15,060,993.53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DEE" w14:textId="77777777" w:rsidR="00F450DB" w:rsidRPr="00465B69" w:rsidRDefault="00F450DB" w:rsidP="006B28E8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$ 13,212,870.11</w:t>
            </w:r>
          </w:p>
        </w:tc>
      </w:tr>
    </w:tbl>
    <w:p w14:paraId="2A48CF94" w14:textId="46501E82" w:rsidR="0063210E" w:rsidRPr="00465B69" w:rsidRDefault="0063210E" w:rsidP="00626CCD">
      <w:pPr>
        <w:pStyle w:val="Texto"/>
        <w:spacing w:line="276" w:lineRule="auto"/>
        <w:rPr>
          <w:rFonts w:ascii="Lato" w:hAnsi="Lato" w:cstheme="minorHAnsi"/>
          <w:b/>
          <w:sz w:val="20"/>
        </w:rPr>
      </w:pPr>
    </w:p>
    <w:p w14:paraId="5EA7EC72" w14:textId="37F3A249" w:rsidR="003A46EB" w:rsidRPr="00465B69" w:rsidRDefault="003A46EB" w:rsidP="003A46EB">
      <w:pPr>
        <w:pStyle w:val="Texto"/>
        <w:numPr>
          <w:ilvl w:val="0"/>
          <w:numId w:val="7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El fideicomiso en el mes de </w:t>
      </w:r>
      <w:r w:rsidR="009833F4" w:rsidRPr="00465B69">
        <w:rPr>
          <w:rFonts w:ascii="Lato" w:hAnsi="Lato" w:cstheme="minorHAnsi"/>
          <w:sz w:val="20"/>
        </w:rPr>
        <w:t xml:space="preserve">marzo </w:t>
      </w:r>
      <w:r w:rsidRPr="00465B69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4411C39B" w14:textId="3E0ECB33" w:rsidR="005D4FB5" w:rsidRPr="00465B69" w:rsidRDefault="005D4FB5" w:rsidP="005D4FB5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58962670" w14:textId="134D7866" w:rsidR="005749B8" w:rsidRPr="00465B69" w:rsidRDefault="005749B8" w:rsidP="005D4FB5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242BCB88" w14:textId="77777777" w:rsidR="005749B8" w:rsidRPr="00465B69" w:rsidRDefault="005749B8" w:rsidP="005D4FB5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505"/>
      </w:tblGrid>
      <w:tr w:rsidR="007E52F6" w:rsidRPr="00465B69" w14:paraId="47E332FF" w14:textId="77777777" w:rsidTr="00B16CBB">
        <w:trPr>
          <w:trHeight w:val="208"/>
          <w:jc w:val="center"/>
        </w:trPr>
        <w:tc>
          <w:tcPr>
            <w:tcW w:w="7029" w:type="dxa"/>
            <w:gridSpan w:val="3"/>
          </w:tcPr>
          <w:p w14:paraId="6B26BB10" w14:textId="77777777" w:rsidR="007E52F6" w:rsidRPr="00465B69" w:rsidRDefault="007E52F6" w:rsidP="00914B2B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Adquisiciones de Actividades de Inversión efectivamente Pagadas</w:t>
            </w:r>
          </w:p>
        </w:tc>
      </w:tr>
      <w:tr w:rsidR="007E52F6" w:rsidRPr="00465B69" w14:paraId="0CAFB1A5" w14:textId="77777777" w:rsidTr="00B16CBB">
        <w:trPr>
          <w:trHeight w:val="290"/>
          <w:jc w:val="center"/>
        </w:trPr>
        <w:tc>
          <w:tcPr>
            <w:tcW w:w="4248" w:type="dxa"/>
          </w:tcPr>
          <w:p w14:paraId="722846E9" w14:textId="77777777" w:rsidR="007E52F6" w:rsidRPr="00465B69" w:rsidRDefault="007E52F6" w:rsidP="007E52F6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Concepto</w:t>
            </w:r>
          </w:p>
        </w:tc>
        <w:tc>
          <w:tcPr>
            <w:tcW w:w="1276" w:type="dxa"/>
          </w:tcPr>
          <w:p w14:paraId="0E355687" w14:textId="57921DE3" w:rsidR="007E52F6" w:rsidRPr="00465B69" w:rsidRDefault="007E52F6" w:rsidP="007E52F6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202</w:t>
            </w:r>
            <w:r w:rsidR="00AF79EE" w:rsidRPr="00465B69">
              <w:rPr>
                <w:rFonts w:ascii="Lato" w:hAnsi="Lato" w:cstheme="minorHAnsi"/>
                <w:b/>
                <w:sz w:val="20"/>
                <w:lang w:val="es-MX"/>
              </w:rPr>
              <w:t>5</w:t>
            </w:r>
          </w:p>
        </w:tc>
        <w:tc>
          <w:tcPr>
            <w:tcW w:w="1505" w:type="dxa"/>
          </w:tcPr>
          <w:p w14:paraId="2F453284" w14:textId="334377DF" w:rsidR="007E52F6" w:rsidRPr="00465B69" w:rsidRDefault="007E52F6" w:rsidP="007E52F6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202</w:t>
            </w:r>
            <w:r w:rsidR="00AF79EE" w:rsidRPr="00465B69">
              <w:rPr>
                <w:rFonts w:ascii="Lato" w:hAnsi="Lato" w:cstheme="minorHAnsi"/>
                <w:b/>
                <w:sz w:val="20"/>
                <w:lang w:val="es-MX"/>
              </w:rPr>
              <w:t>4</w:t>
            </w:r>
          </w:p>
        </w:tc>
      </w:tr>
      <w:tr w:rsidR="007E52F6" w:rsidRPr="00465B69" w14:paraId="11557D98" w14:textId="77777777" w:rsidTr="00B16CBB">
        <w:trPr>
          <w:trHeight w:val="208"/>
          <w:jc w:val="center"/>
        </w:trPr>
        <w:tc>
          <w:tcPr>
            <w:tcW w:w="4248" w:type="dxa"/>
            <w:tcBorders>
              <w:bottom w:val="single" w:sz="4" w:space="0" w:color="000000" w:themeColor="text1"/>
            </w:tcBorders>
          </w:tcPr>
          <w:p w14:paraId="4B3EC98D" w14:textId="77777777" w:rsidR="007E52F6" w:rsidRPr="00465B69" w:rsidRDefault="007E52F6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Bienes Inmuebles, Infraestructura y Construcciones en proceso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42C7126B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  <w:p w14:paraId="6A1A77CC" w14:textId="77777777" w:rsidR="00B16CB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1472C0A7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7E52F6" w:rsidRPr="00465B69" w14:paraId="2B489CE1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17BFE92B" w14:textId="77777777" w:rsidR="007E52F6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Terrenos</w:t>
            </w:r>
          </w:p>
        </w:tc>
        <w:tc>
          <w:tcPr>
            <w:tcW w:w="1276" w:type="dxa"/>
            <w:shd w:val="clear" w:color="auto" w:fill="FFFFFF" w:themeFill="background1"/>
          </w:tcPr>
          <w:p w14:paraId="3860CBE5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747AEFA6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7E52F6" w:rsidRPr="00465B69" w14:paraId="49B66899" w14:textId="77777777" w:rsidTr="00B16CBB">
        <w:trPr>
          <w:trHeight w:val="217"/>
          <w:jc w:val="center"/>
        </w:trPr>
        <w:tc>
          <w:tcPr>
            <w:tcW w:w="4248" w:type="dxa"/>
            <w:shd w:val="clear" w:color="auto" w:fill="FFFFFF" w:themeFill="background1"/>
          </w:tcPr>
          <w:p w14:paraId="1BB73B08" w14:textId="77777777" w:rsidR="007E52F6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Viviendas</w:t>
            </w:r>
          </w:p>
        </w:tc>
        <w:tc>
          <w:tcPr>
            <w:tcW w:w="1276" w:type="dxa"/>
            <w:shd w:val="clear" w:color="auto" w:fill="FFFFFF" w:themeFill="background1"/>
          </w:tcPr>
          <w:p w14:paraId="5F606CD5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113C19CC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7E52F6" w:rsidRPr="00465B69" w14:paraId="31E3EF2A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75D785FA" w14:textId="77777777" w:rsidR="007E52F6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Edificios no habitacionales</w:t>
            </w:r>
          </w:p>
        </w:tc>
        <w:tc>
          <w:tcPr>
            <w:tcW w:w="1276" w:type="dxa"/>
            <w:shd w:val="clear" w:color="auto" w:fill="FFFFFF" w:themeFill="background1"/>
          </w:tcPr>
          <w:p w14:paraId="683BC433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57E2C672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7E52F6" w:rsidRPr="00465B69" w14:paraId="1A2A28F5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105AD961" w14:textId="77777777" w:rsidR="007E52F6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Infraestructura</w:t>
            </w:r>
          </w:p>
        </w:tc>
        <w:tc>
          <w:tcPr>
            <w:tcW w:w="1276" w:type="dxa"/>
            <w:shd w:val="clear" w:color="auto" w:fill="FFFFFF" w:themeFill="background1"/>
          </w:tcPr>
          <w:p w14:paraId="08521DC8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514D3655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7E52F6" w:rsidRPr="00465B69" w14:paraId="1A5B4BFD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5E71FCD1" w14:textId="77777777" w:rsidR="007E52F6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Construcciones en proceso en bienes de dominio p</w:t>
            </w:r>
            <w:r w:rsidR="00B16CBB" w:rsidRPr="00465B69">
              <w:rPr>
                <w:rFonts w:ascii="Lato" w:hAnsi="Lato" w:cstheme="minorHAnsi"/>
                <w:sz w:val="20"/>
                <w:lang w:val="es-MX"/>
              </w:rPr>
              <w:t>ú</w:t>
            </w:r>
            <w:r w:rsidRPr="00465B69">
              <w:rPr>
                <w:rFonts w:ascii="Lato" w:hAnsi="Lato" w:cstheme="minorHAnsi"/>
                <w:sz w:val="20"/>
                <w:lang w:val="es-MX"/>
              </w:rPr>
              <w:t>blico</w:t>
            </w:r>
          </w:p>
        </w:tc>
        <w:tc>
          <w:tcPr>
            <w:tcW w:w="1276" w:type="dxa"/>
            <w:shd w:val="clear" w:color="auto" w:fill="FFFFFF" w:themeFill="background1"/>
          </w:tcPr>
          <w:p w14:paraId="55FCD882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600AD35C" w14:textId="77777777" w:rsidR="007E52F6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2A103DE3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3B7EDB0A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Construcciones en proceso en bienes propios</w:t>
            </w:r>
          </w:p>
        </w:tc>
        <w:tc>
          <w:tcPr>
            <w:tcW w:w="1276" w:type="dxa"/>
            <w:shd w:val="clear" w:color="auto" w:fill="FFFFFF" w:themeFill="background1"/>
          </w:tcPr>
          <w:p w14:paraId="0CA5D5F8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510E3B92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26C0A5FD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4C22EBE1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Otros bienes inmuebles</w:t>
            </w:r>
          </w:p>
        </w:tc>
        <w:tc>
          <w:tcPr>
            <w:tcW w:w="1276" w:type="dxa"/>
            <w:shd w:val="clear" w:color="auto" w:fill="FFFFFF" w:themeFill="background1"/>
          </w:tcPr>
          <w:p w14:paraId="72BFFC57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4A407B22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43487651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47AC9E32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Bienes Muebles</w:t>
            </w:r>
          </w:p>
        </w:tc>
        <w:tc>
          <w:tcPr>
            <w:tcW w:w="1276" w:type="dxa"/>
            <w:shd w:val="clear" w:color="auto" w:fill="FFFFFF" w:themeFill="background1"/>
          </w:tcPr>
          <w:p w14:paraId="443DC259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1055B68A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6573EF4D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4DEFE561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Mobiliario y equipo de Administración</w:t>
            </w:r>
          </w:p>
        </w:tc>
        <w:tc>
          <w:tcPr>
            <w:tcW w:w="1276" w:type="dxa"/>
            <w:shd w:val="clear" w:color="auto" w:fill="FFFFFF" w:themeFill="background1"/>
          </w:tcPr>
          <w:p w14:paraId="073F9FEB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2EE6C081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5E8B569A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2BB04008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Mobiliario y equipo educacional y Recreativo</w:t>
            </w:r>
          </w:p>
        </w:tc>
        <w:tc>
          <w:tcPr>
            <w:tcW w:w="1276" w:type="dxa"/>
            <w:shd w:val="clear" w:color="auto" w:fill="FFFFFF" w:themeFill="background1"/>
          </w:tcPr>
          <w:p w14:paraId="23952B54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2CAC06BD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18D6F203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228638E6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Equipo e instrumental médico y de laboratorio</w:t>
            </w:r>
          </w:p>
        </w:tc>
        <w:tc>
          <w:tcPr>
            <w:tcW w:w="1276" w:type="dxa"/>
            <w:shd w:val="clear" w:color="auto" w:fill="FFFFFF" w:themeFill="background1"/>
          </w:tcPr>
          <w:p w14:paraId="12419910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7999B58E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7EF851A3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090F2673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Vehículos y equipo de transporte</w:t>
            </w:r>
          </w:p>
        </w:tc>
        <w:tc>
          <w:tcPr>
            <w:tcW w:w="1276" w:type="dxa"/>
            <w:shd w:val="clear" w:color="auto" w:fill="FFFFFF" w:themeFill="background1"/>
          </w:tcPr>
          <w:p w14:paraId="2542B696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0B6363CC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4BF0EFE3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1760D3D4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Equipo de defensa y seguridad</w:t>
            </w:r>
          </w:p>
        </w:tc>
        <w:tc>
          <w:tcPr>
            <w:tcW w:w="1276" w:type="dxa"/>
            <w:shd w:val="clear" w:color="auto" w:fill="FFFFFF" w:themeFill="background1"/>
          </w:tcPr>
          <w:p w14:paraId="78AB17FF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56C48360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3BBEFAB7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752FB486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Maquinaria, otros equipos y herramientas</w:t>
            </w:r>
          </w:p>
        </w:tc>
        <w:tc>
          <w:tcPr>
            <w:tcW w:w="1276" w:type="dxa"/>
            <w:shd w:val="clear" w:color="auto" w:fill="FFFFFF" w:themeFill="background1"/>
          </w:tcPr>
          <w:p w14:paraId="422D6972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6333227D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37991968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28A50823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lastRenderedPageBreak/>
              <w:t>Colecciones, obras de arte y objetos valiosos</w:t>
            </w:r>
          </w:p>
        </w:tc>
        <w:tc>
          <w:tcPr>
            <w:tcW w:w="1276" w:type="dxa"/>
            <w:shd w:val="clear" w:color="auto" w:fill="FFFFFF" w:themeFill="background1"/>
          </w:tcPr>
          <w:p w14:paraId="5E35EF65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562DD6DF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17C292D2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07706FF2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Activos Biológicos</w:t>
            </w:r>
          </w:p>
        </w:tc>
        <w:tc>
          <w:tcPr>
            <w:tcW w:w="1276" w:type="dxa"/>
            <w:shd w:val="clear" w:color="auto" w:fill="FFFFFF" w:themeFill="background1"/>
          </w:tcPr>
          <w:p w14:paraId="7F833D20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68CCE6E3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0F52880B" w14:textId="77777777" w:rsidTr="00B16CBB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1E873B89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Otras Inversiones</w:t>
            </w:r>
          </w:p>
        </w:tc>
        <w:tc>
          <w:tcPr>
            <w:tcW w:w="1276" w:type="dxa"/>
            <w:shd w:val="clear" w:color="auto" w:fill="FFFFFF" w:themeFill="background1"/>
          </w:tcPr>
          <w:p w14:paraId="4503C7EB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3D195159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914B2B" w:rsidRPr="00465B69" w14:paraId="6E58F56F" w14:textId="77777777" w:rsidTr="00B16CBB">
        <w:trPr>
          <w:trHeight w:val="208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39D720" w14:textId="77777777" w:rsidR="00914B2B" w:rsidRPr="00465B69" w:rsidRDefault="00914B2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b/>
                <w:sz w:val="20"/>
                <w:lang w:val="es-MX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ECB42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8545B" w14:textId="77777777" w:rsidR="00914B2B" w:rsidRPr="00465B69" w:rsidRDefault="00B16CBB" w:rsidP="00B16CBB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465B69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</w:tbl>
    <w:p w14:paraId="6F881A44" w14:textId="7C5673DA" w:rsidR="00F22700" w:rsidRPr="00465B69" w:rsidRDefault="00F22700" w:rsidP="006C32E5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</w:p>
    <w:p w14:paraId="36B4A5FD" w14:textId="77777777" w:rsidR="00007A27" w:rsidRPr="00465B69" w:rsidRDefault="00007A27" w:rsidP="00007A27">
      <w:pPr>
        <w:pStyle w:val="Texto"/>
        <w:numPr>
          <w:ilvl w:val="0"/>
          <w:numId w:val="7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 xml:space="preserve">Conciliación de los flujos de efectivo netos de las actividades de operación y la cuenta de ahorro/Desahorro antes de rubros extraordinarios. </w:t>
      </w:r>
    </w:p>
    <w:p w14:paraId="4B50A0F8" w14:textId="77777777" w:rsidR="00612AEB" w:rsidRPr="00465B69" w:rsidRDefault="00612AEB" w:rsidP="00612AE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1562"/>
      </w:tblGrid>
      <w:tr w:rsidR="00007A27" w:rsidRPr="00465B69" w14:paraId="3815E5FB" w14:textId="77777777" w:rsidTr="00465B69">
        <w:trPr>
          <w:jc w:val="center"/>
        </w:trPr>
        <w:tc>
          <w:tcPr>
            <w:tcW w:w="3681" w:type="dxa"/>
          </w:tcPr>
          <w:p w14:paraId="6F3C1D90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Concepto</w:t>
            </w:r>
          </w:p>
        </w:tc>
        <w:tc>
          <w:tcPr>
            <w:tcW w:w="1701" w:type="dxa"/>
          </w:tcPr>
          <w:p w14:paraId="7047047C" w14:textId="30F8DF18" w:rsidR="00007A27" w:rsidRPr="00465B69" w:rsidRDefault="00A826F9" w:rsidP="00B33D78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202</w:t>
            </w:r>
            <w:r w:rsidR="00AF79EE" w:rsidRPr="00465B69">
              <w:rPr>
                <w:rFonts w:ascii="Lato" w:eastAsiaTheme="minorEastAsia" w:hAnsi="Lato" w:cstheme="minorHAnsi"/>
                <w:b/>
              </w:rPr>
              <w:t>5</w:t>
            </w:r>
          </w:p>
        </w:tc>
        <w:tc>
          <w:tcPr>
            <w:tcW w:w="1562" w:type="dxa"/>
          </w:tcPr>
          <w:p w14:paraId="6F840DE4" w14:textId="6E4BEC12" w:rsidR="00007A27" w:rsidRPr="00465B69" w:rsidRDefault="00A826F9" w:rsidP="00B33D78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202</w:t>
            </w:r>
            <w:r w:rsidR="00AF79EE" w:rsidRPr="00465B69">
              <w:rPr>
                <w:rFonts w:ascii="Lato" w:eastAsiaTheme="minorEastAsia" w:hAnsi="Lato" w:cstheme="minorHAnsi"/>
                <w:b/>
              </w:rPr>
              <w:t>4</w:t>
            </w:r>
          </w:p>
        </w:tc>
      </w:tr>
      <w:tr w:rsidR="00007A27" w:rsidRPr="00465B69" w14:paraId="2D94E107" w14:textId="77777777" w:rsidTr="00465B69">
        <w:trPr>
          <w:jc w:val="center"/>
        </w:trPr>
        <w:tc>
          <w:tcPr>
            <w:tcW w:w="3681" w:type="dxa"/>
          </w:tcPr>
          <w:p w14:paraId="3B24954B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Resultados del Ejercicio Ahorro/Desahorro</w:t>
            </w:r>
          </w:p>
        </w:tc>
        <w:tc>
          <w:tcPr>
            <w:tcW w:w="1701" w:type="dxa"/>
          </w:tcPr>
          <w:p w14:paraId="05802030" w14:textId="5F658A6A" w:rsidR="00007A27" w:rsidRPr="00465B69" w:rsidRDefault="003D3F65" w:rsidP="00B96F27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$</w:t>
            </w:r>
            <w:r w:rsidR="0063522A" w:rsidRPr="00465B69">
              <w:rPr>
                <w:rFonts w:ascii="Lato" w:hAnsi="Lato"/>
              </w:rPr>
              <w:t xml:space="preserve"> </w:t>
            </w:r>
            <w:r w:rsidR="002F1389" w:rsidRPr="00465B69">
              <w:rPr>
                <w:rFonts w:ascii="Lato" w:eastAsiaTheme="minorEastAsia" w:hAnsi="Lato" w:cstheme="minorHAnsi"/>
              </w:rPr>
              <w:t>169,120.29</w:t>
            </w:r>
          </w:p>
        </w:tc>
        <w:tc>
          <w:tcPr>
            <w:tcW w:w="1562" w:type="dxa"/>
          </w:tcPr>
          <w:p w14:paraId="1F5F7EEC" w14:textId="5D2221B8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$</w:t>
            </w:r>
            <w:r w:rsidR="00172A05" w:rsidRPr="00465B69">
              <w:rPr>
                <w:rFonts w:ascii="Lato" w:hAnsi="Lato"/>
              </w:rPr>
              <w:t xml:space="preserve"> </w:t>
            </w:r>
            <w:r w:rsidR="004B6C77" w:rsidRPr="00465B69">
              <w:rPr>
                <w:rFonts w:ascii="Lato" w:eastAsiaTheme="minorEastAsia" w:hAnsi="Lato" w:cstheme="minorHAnsi"/>
              </w:rPr>
              <w:t>1,490,801.62</w:t>
            </w:r>
          </w:p>
        </w:tc>
      </w:tr>
      <w:tr w:rsidR="00007A27" w:rsidRPr="00465B69" w14:paraId="2F7CF120" w14:textId="77777777" w:rsidTr="00465B69">
        <w:trPr>
          <w:jc w:val="center"/>
        </w:trPr>
        <w:tc>
          <w:tcPr>
            <w:tcW w:w="3681" w:type="dxa"/>
          </w:tcPr>
          <w:p w14:paraId="43899359" w14:textId="02B3D722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 xml:space="preserve">Movimientos de </w:t>
            </w:r>
            <w:r w:rsidR="00885AEF" w:rsidRPr="00465B69">
              <w:rPr>
                <w:rFonts w:ascii="Lato" w:eastAsiaTheme="minorEastAsia" w:hAnsi="Lato" w:cstheme="minorHAnsi"/>
              </w:rPr>
              <w:t>partidas (</w:t>
            </w:r>
            <w:r w:rsidRPr="00465B69">
              <w:rPr>
                <w:rFonts w:ascii="Lato" w:eastAsiaTheme="minorEastAsia" w:hAnsi="Lato" w:cstheme="minorHAnsi"/>
              </w:rPr>
              <w:t>o rubros) que no afectan al efectivo</w:t>
            </w:r>
          </w:p>
        </w:tc>
        <w:tc>
          <w:tcPr>
            <w:tcW w:w="1701" w:type="dxa"/>
          </w:tcPr>
          <w:p w14:paraId="0FE693F4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1BC6AA38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</w:tr>
      <w:tr w:rsidR="00007A27" w:rsidRPr="00465B69" w14:paraId="018B44E8" w14:textId="77777777" w:rsidTr="00465B69">
        <w:trPr>
          <w:jc w:val="center"/>
        </w:trPr>
        <w:tc>
          <w:tcPr>
            <w:tcW w:w="3681" w:type="dxa"/>
          </w:tcPr>
          <w:p w14:paraId="673B16BD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Depreciación</w:t>
            </w:r>
          </w:p>
        </w:tc>
        <w:tc>
          <w:tcPr>
            <w:tcW w:w="1701" w:type="dxa"/>
          </w:tcPr>
          <w:p w14:paraId="60E440C0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2F94FBC3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</w:tr>
      <w:tr w:rsidR="00007A27" w:rsidRPr="00465B69" w14:paraId="65EDE8D5" w14:textId="77777777" w:rsidTr="00465B69">
        <w:trPr>
          <w:jc w:val="center"/>
        </w:trPr>
        <w:tc>
          <w:tcPr>
            <w:tcW w:w="3681" w:type="dxa"/>
          </w:tcPr>
          <w:p w14:paraId="56DF1C52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Amortización</w:t>
            </w:r>
          </w:p>
        </w:tc>
        <w:tc>
          <w:tcPr>
            <w:tcW w:w="1701" w:type="dxa"/>
          </w:tcPr>
          <w:p w14:paraId="484E5DCA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0170F830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</w:tr>
      <w:tr w:rsidR="00007A27" w:rsidRPr="00465B69" w14:paraId="125B81DD" w14:textId="77777777" w:rsidTr="00465B69">
        <w:trPr>
          <w:jc w:val="center"/>
        </w:trPr>
        <w:tc>
          <w:tcPr>
            <w:tcW w:w="3681" w:type="dxa"/>
          </w:tcPr>
          <w:p w14:paraId="730A1156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Incremento en las provisiones</w:t>
            </w:r>
          </w:p>
        </w:tc>
        <w:tc>
          <w:tcPr>
            <w:tcW w:w="1701" w:type="dxa"/>
          </w:tcPr>
          <w:p w14:paraId="6448135D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3C1BD231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0</w:t>
            </w:r>
          </w:p>
        </w:tc>
      </w:tr>
      <w:tr w:rsidR="00007A27" w:rsidRPr="00465B69" w14:paraId="38690F4A" w14:textId="77777777" w:rsidTr="00465B69">
        <w:trPr>
          <w:jc w:val="center"/>
        </w:trPr>
        <w:tc>
          <w:tcPr>
            <w:tcW w:w="3681" w:type="dxa"/>
          </w:tcPr>
          <w:p w14:paraId="5B91A984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Incremento en inversiones producido por revaluación</w:t>
            </w:r>
          </w:p>
        </w:tc>
        <w:tc>
          <w:tcPr>
            <w:tcW w:w="1701" w:type="dxa"/>
          </w:tcPr>
          <w:p w14:paraId="7E210990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(0)</w:t>
            </w:r>
          </w:p>
        </w:tc>
        <w:tc>
          <w:tcPr>
            <w:tcW w:w="1562" w:type="dxa"/>
          </w:tcPr>
          <w:p w14:paraId="5478C6A2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(0)</w:t>
            </w:r>
          </w:p>
        </w:tc>
      </w:tr>
      <w:tr w:rsidR="00007A27" w:rsidRPr="00465B69" w14:paraId="6EA93F27" w14:textId="77777777" w:rsidTr="00465B69">
        <w:trPr>
          <w:jc w:val="center"/>
        </w:trPr>
        <w:tc>
          <w:tcPr>
            <w:tcW w:w="3681" w:type="dxa"/>
          </w:tcPr>
          <w:p w14:paraId="317C6CF0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Ganancia/pérdida en venta de bienes muebles, inmuebles e intangibles</w:t>
            </w:r>
          </w:p>
        </w:tc>
        <w:tc>
          <w:tcPr>
            <w:tcW w:w="1701" w:type="dxa"/>
          </w:tcPr>
          <w:p w14:paraId="0D6C11FA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(0)</w:t>
            </w:r>
          </w:p>
        </w:tc>
        <w:tc>
          <w:tcPr>
            <w:tcW w:w="1562" w:type="dxa"/>
          </w:tcPr>
          <w:p w14:paraId="05FA4EAF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(0)</w:t>
            </w:r>
          </w:p>
        </w:tc>
      </w:tr>
      <w:tr w:rsidR="00007A27" w:rsidRPr="00465B69" w14:paraId="36823BC7" w14:textId="77777777" w:rsidTr="00465B69">
        <w:trPr>
          <w:jc w:val="center"/>
        </w:trPr>
        <w:tc>
          <w:tcPr>
            <w:tcW w:w="3681" w:type="dxa"/>
          </w:tcPr>
          <w:p w14:paraId="6DE8A21E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Incremento en cuentas por cobrar</w:t>
            </w:r>
          </w:p>
        </w:tc>
        <w:tc>
          <w:tcPr>
            <w:tcW w:w="1701" w:type="dxa"/>
          </w:tcPr>
          <w:p w14:paraId="10A048EB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(0)</w:t>
            </w:r>
          </w:p>
        </w:tc>
        <w:tc>
          <w:tcPr>
            <w:tcW w:w="1562" w:type="dxa"/>
          </w:tcPr>
          <w:p w14:paraId="701A2820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(0)</w:t>
            </w:r>
          </w:p>
        </w:tc>
      </w:tr>
      <w:tr w:rsidR="00382BA4" w:rsidRPr="00465B69" w14:paraId="0BDF9DBD" w14:textId="77777777" w:rsidTr="00465B69">
        <w:trPr>
          <w:jc w:val="center"/>
        </w:trPr>
        <w:tc>
          <w:tcPr>
            <w:tcW w:w="3681" w:type="dxa"/>
          </w:tcPr>
          <w:p w14:paraId="3D3C075A" w14:textId="77777777" w:rsidR="00382BA4" w:rsidRPr="00465B69" w:rsidRDefault="00D069E8" w:rsidP="00D069E8">
            <w:pPr>
              <w:jc w:val="both"/>
              <w:rPr>
                <w:rFonts w:ascii="Lato" w:hAnsi="Lato" w:cstheme="minorHAnsi"/>
              </w:rPr>
            </w:pPr>
            <w:r w:rsidRPr="00465B69">
              <w:rPr>
                <w:rFonts w:ascii="Lato" w:eastAsiaTheme="minorEastAsia" w:hAnsi="Lato" w:cstheme="minorHAnsi"/>
              </w:rPr>
              <w:t>Créditos financieros</w:t>
            </w:r>
            <w:r w:rsidRPr="00465B69">
              <w:rPr>
                <w:rFonts w:ascii="Lato" w:hAnsi="Lato" w:cstheme="minorHAnsi"/>
              </w:rPr>
              <w:t xml:space="preserve"> </w:t>
            </w:r>
          </w:p>
        </w:tc>
        <w:tc>
          <w:tcPr>
            <w:tcW w:w="1701" w:type="dxa"/>
          </w:tcPr>
          <w:p w14:paraId="42F2DB2A" w14:textId="4D734447" w:rsidR="00382BA4" w:rsidRPr="00465B69" w:rsidRDefault="00A65249" w:rsidP="00B33D78">
            <w:pPr>
              <w:jc w:val="both"/>
              <w:rPr>
                <w:rFonts w:ascii="Lato" w:hAnsi="Lato" w:cstheme="minorHAnsi"/>
              </w:rPr>
            </w:pPr>
            <w:r w:rsidRPr="00465B69">
              <w:rPr>
                <w:rFonts w:ascii="Lato" w:hAnsi="Lato" w:cstheme="minorHAnsi"/>
              </w:rPr>
              <w:t>$</w:t>
            </w:r>
            <w:r w:rsidR="002F1389" w:rsidRPr="00465B69">
              <w:rPr>
                <w:rFonts w:ascii="Lato" w:hAnsi="Lato"/>
              </w:rPr>
              <w:t xml:space="preserve"> </w:t>
            </w:r>
            <w:r w:rsidR="002F1389" w:rsidRPr="00465B69">
              <w:rPr>
                <w:rFonts w:ascii="Lato" w:hAnsi="Lato" w:cstheme="minorHAnsi"/>
              </w:rPr>
              <w:t>1,679,003.13</w:t>
            </w:r>
          </w:p>
        </w:tc>
        <w:tc>
          <w:tcPr>
            <w:tcW w:w="1562" w:type="dxa"/>
          </w:tcPr>
          <w:p w14:paraId="79CEC16E" w14:textId="345E8B21" w:rsidR="00382BA4" w:rsidRPr="00465B69" w:rsidRDefault="004B6C77" w:rsidP="00A320EC">
            <w:pPr>
              <w:jc w:val="both"/>
              <w:rPr>
                <w:rFonts w:ascii="Lato" w:hAnsi="Lato" w:cstheme="minorHAnsi"/>
              </w:rPr>
            </w:pPr>
            <w:r w:rsidRPr="00465B69">
              <w:rPr>
                <w:rFonts w:ascii="Lato" w:hAnsi="Lato" w:cstheme="minorHAnsi"/>
              </w:rPr>
              <w:t>-$262,191.85</w:t>
            </w:r>
          </w:p>
        </w:tc>
      </w:tr>
      <w:tr w:rsidR="00007A27" w:rsidRPr="00465B69" w14:paraId="07139180" w14:textId="77777777" w:rsidTr="00465B69">
        <w:trPr>
          <w:jc w:val="center"/>
        </w:trPr>
        <w:tc>
          <w:tcPr>
            <w:tcW w:w="3681" w:type="dxa"/>
          </w:tcPr>
          <w:p w14:paraId="1CB30A0B" w14:textId="77777777" w:rsidR="00007A27" w:rsidRPr="00465B69" w:rsidRDefault="00007A27" w:rsidP="00B33D78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 xml:space="preserve">Flujos de efectivo netos de las actividades de operación </w:t>
            </w:r>
          </w:p>
        </w:tc>
        <w:tc>
          <w:tcPr>
            <w:tcW w:w="1701" w:type="dxa"/>
          </w:tcPr>
          <w:p w14:paraId="1B950C2F" w14:textId="1E9C9228" w:rsidR="00007A27" w:rsidRPr="00465B69" w:rsidRDefault="002F1389" w:rsidP="00B96F27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465B69">
              <w:rPr>
                <w:rFonts w:ascii="Lato" w:eastAsiaTheme="minorEastAsia" w:hAnsi="Lato" w:cstheme="minorHAnsi"/>
                <w:b/>
              </w:rPr>
              <w:t>$1,848,123.42</w:t>
            </w:r>
          </w:p>
        </w:tc>
        <w:tc>
          <w:tcPr>
            <w:tcW w:w="1562" w:type="dxa"/>
          </w:tcPr>
          <w:p w14:paraId="400125CA" w14:textId="214164E6" w:rsidR="00007A27" w:rsidRPr="00465B69" w:rsidRDefault="004B6C77" w:rsidP="00B33D78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465B69">
              <w:rPr>
                <w:rFonts w:ascii="Lato" w:hAnsi="Lato"/>
                <w:b/>
              </w:rPr>
              <w:t>$1,228,609.77</w:t>
            </w:r>
          </w:p>
        </w:tc>
      </w:tr>
    </w:tbl>
    <w:p w14:paraId="14C18A2F" w14:textId="77777777" w:rsidR="00182B1D" w:rsidRPr="00465B69" w:rsidRDefault="00182B1D" w:rsidP="00F4190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</w:p>
    <w:p w14:paraId="5FDEE6C4" w14:textId="1BA76D88" w:rsidR="006A56FC" w:rsidRDefault="006A56FC" w:rsidP="00F4190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</w:p>
    <w:p w14:paraId="0121AD49" w14:textId="77777777" w:rsidR="00465B69" w:rsidRPr="00465B69" w:rsidRDefault="00465B69" w:rsidP="00F4190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</w:p>
    <w:p w14:paraId="0547E82A" w14:textId="77777777" w:rsidR="00ED350B" w:rsidRPr="00465B69" w:rsidRDefault="00F41676" w:rsidP="00F41676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465B69">
        <w:rPr>
          <w:rFonts w:ascii="Lato" w:hAnsi="Lato" w:cstheme="minorHAnsi"/>
          <w:b/>
          <w:smallCaps/>
          <w:sz w:val="20"/>
        </w:rPr>
        <w:lastRenderedPageBreak/>
        <w:t>v) Conciliación entre los ingresos presupuestarios y contables, así como entre los egresos presupuestarios y los gastos contables.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69"/>
      </w:tblGrid>
      <w:tr w:rsidR="006A62D7" w:rsidRPr="00465B69" w14:paraId="319714C7" w14:textId="77777777" w:rsidTr="00465B69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2A24982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C730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7E83070" w14:textId="547CC8BE" w:rsidR="006A62D7" w:rsidRPr="00465B69" w:rsidRDefault="00E46A3D" w:rsidP="003E166E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sz w:val="20"/>
                <w:szCs w:val="20"/>
              </w:rPr>
              <w:t>$</w:t>
            </w:r>
            <w:r w:rsidR="00136839"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="00820439" w:rsidRPr="00465B69">
              <w:rPr>
                <w:rFonts w:ascii="Lato" w:hAnsi="Lato" w:cs="Arial"/>
                <w:sz w:val="20"/>
                <w:szCs w:val="20"/>
              </w:rPr>
              <w:t>169,935.77</w:t>
            </w:r>
          </w:p>
        </w:tc>
      </w:tr>
      <w:tr w:rsidR="006A62D7" w:rsidRPr="00465B69" w14:paraId="6857FCFB" w14:textId="77777777" w:rsidTr="00465B69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04D2D7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92C97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07652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465B69" w14:paraId="3A814143" w14:textId="77777777" w:rsidTr="00465B69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91172E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330C10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29F2D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465B69" w14:paraId="783CFB36" w14:textId="77777777" w:rsidTr="00465B69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17EDC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7765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1D61" w14:textId="77777777" w:rsidR="006A62D7" w:rsidRPr="00465B69" w:rsidRDefault="004A1015" w:rsidP="00F42AA5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465B69" w14:paraId="1F572632" w14:textId="77777777" w:rsidTr="00465B69">
        <w:trPr>
          <w:trHeight w:val="152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E32E3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1A70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0AB6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C1A8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245408B5" w14:textId="77777777" w:rsidTr="00465B6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10FAC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2C93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DD3D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6531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73D9FB4D" w14:textId="77777777" w:rsidTr="00465B69">
        <w:trPr>
          <w:trHeight w:val="676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DEBD8D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B418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EFD0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B20A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7DBDDB6C" w14:textId="77777777" w:rsidTr="00465B6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AB8BB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D85DF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8EBC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18A28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3A454CB0" w14:textId="77777777" w:rsidTr="00465B6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7B598" w14:textId="77777777" w:rsidR="006A62D7" w:rsidRPr="00465B69" w:rsidRDefault="006A62D7" w:rsidP="00B33D7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E6FB3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D3A9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C59F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7D6A89CB" w14:textId="77777777" w:rsidTr="00465B69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BD34F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293B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AABA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2ABB88EC" w14:textId="77777777" w:rsidTr="00465B69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523FC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26279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89367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465B69" w14:paraId="48E015DC" w14:textId="77777777" w:rsidTr="00465B69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0898B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8219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C26F" w14:textId="77777777" w:rsidR="004A1015" w:rsidRPr="00465B69" w:rsidRDefault="004A1015" w:rsidP="004A1015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465B69" w14:paraId="68FE3F4F" w14:textId="77777777" w:rsidTr="00465B6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36439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CD9B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6032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0A12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52920907" w14:textId="77777777" w:rsidTr="00465B6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FB3C1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EF32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2337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A47D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7E16FB47" w14:textId="77777777" w:rsidTr="00465B69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14588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5323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52AA" w14:textId="77777777" w:rsidR="006A62D7" w:rsidRPr="00465B69" w:rsidRDefault="006A62D7" w:rsidP="00B33D7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6A62D7" w:rsidRPr="00465B69" w14:paraId="59FAB89B" w14:textId="77777777" w:rsidTr="00465B69">
        <w:trPr>
          <w:trHeight w:val="377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2C37C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24D15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3DABA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465B69" w14:paraId="768B713E" w14:textId="77777777" w:rsidTr="00465B69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2890481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7572" w14:textId="77777777" w:rsidR="006A62D7" w:rsidRPr="00465B69" w:rsidRDefault="006A62D7" w:rsidP="00B33D78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76C732D" w14:textId="73032D1F" w:rsidR="006A62D7" w:rsidRPr="00465B69" w:rsidRDefault="00E46A3D" w:rsidP="00E46A3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$</w:t>
            </w:r>
            <w:r w:rsidR="00A65249"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20439" w:rsidRPr="00465B6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169,935.77</w:t>
            </w:r>
          </w:p>
        </w:tc>
      </w:tr>
    </w:tbl>
    <w:p w14:paraId="5E8446F1" w14:textId="77777777" w:rsidR="006A62D7" w:rsidRPr="00465B69" w:rsidRDefault="006A62D7" w:rsidP="006A62D7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5"/>
        <w:gridCol w:w="1282"/>
        <w:gridCol w:w="1430"/>
      </w:tblGrid>
      <w:tr w:rsidR="006A62D7" w:rsidRPr="00465B69" w14:paraId="047BA11A" w14:textId="77777777" w:rsidTr="00465B69">
        <w:trPr>
          <w:trHeight w:val="2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3A2694A" w14:textId="77777777" w:rsidR="006A62D7" w:rsidRPr="00465B69" w:rsidRDefault="006A62D7" w:rsidP="00B33D78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lastRenderedPageBreak/>
              <w:t>1. Total de egresos (presupuestarios)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DF846" w14:textId="77777777" w:rsidR="006A62D7" w:rsidRPr="00465B69" w:rsidRDefault="006A62D7" w:rsidP="00B33D7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51A7EB5" w14:textId="00D31882" w:rsidR="006A62D7" w:rsidRPr="00465B69" w:rsidRDefault="00E46A3D" w:rsidP="00914E3D">
            <w:pPr>
              <w:spacing w:after="0" w:line="240" w:lineRule="auto"/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theme="minorHAnsi"/>
                <w:sz w:val="20"/>
                <w:szCs w:val="20"/>
              </w:rPr>
              <w:t>$</w:t>
            </w:r>
            <w:r w:rsidR="00136839"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="00820439" w:rsidRPr="00465B69">
              <w:rPr>
                <w:rFonts w:ascii="Lato" w:hAnsi="Lato"/>
                <w:sz w:val="20"/>
                <w:szCs w:val="20"/>
              </w:rPr>
              <w:t>815.48</w:t>
            </w:r>
          </w:p>
        </w:tc>
      </w:tr>
      <w:tr w:rsidR="006A62D7" w:rsidRPr="00465B69" w14:paraId="08BB7A9D" w14:textId="77777777" w:rsidTr="00465B69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E01087" w14:textId="77777777" w:rsidR="006A62D7" w:rsidRPr="00465B69" w:rsidRDefault="006A62D7" w:rsidP="00B33D78">
            <w:pPr>
              <w:jc w:val="both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E6D9B8" w14:textId="77777777" w:rsidR="006A62D7" w:rsidRPr="00465B69" w:rsidRDefault="006A62D7" w:rsidP="00B33D78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3B370A" w14:textId="77777777" w:rsidR="006A62D7" w:rsidRPr="00465B69" w:rsidRDefault="006A62D7" w:rsidP="00B33D78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465B69" w14:paraId="71AD2B4D" w14:textId="77777777" w:rsidTr="00465B69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5B95CE" w14:textId="77777777" w:rsidR="006A62D7" w:rsidRPr="00465B69" w:rsidRDefault="006A62D7" w:rsidP="00B33D78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EBF3A" w14:textId="77777777" w:rsidR="006A62D7" w:rsidRPr="00465B69" w:rsidRDefault="006A62D7" w:rsidP="00B33D78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AE12C" w14:textId="77777777" w:rsidR="006A62D7" w:rsidRPr="00465B69" w:rsidRDefault="006A62D7" w:rsidP="00B33D78">
            <w:pPr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62D7" w:rsidRPr="00465B69" w14:paraId="5F2D4D81" w14:textId="77777777" w:rsidTr="00465B69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630C68" w14:textId="77777777" w:rsidR="006A62D7" w:rsidRPr="00465B69" w:rsidRDefault="006A62D7" w:rsidP="00B33D78">
            <w:pPr>
              <w:jc w:val="both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DFA6C1" w14:textId="77777777" w:rsidR="006A62D7" w:rsidRPr="00465B69" w:rsidRDefault="006A62D7" w:rsidP="00B33D78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0D2410" w14:textId="77777777" w:rsidR="006A62D7" w:rsidRPr="00465B69" w:rsidRDefault="006A62D7" w:rsidP="00B33D78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465B69" w14:paraId="61D8CEC7" w14:textId="77777777" w:rsidTr="00465B69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0349F1" w14:textId="77777777" w:rsidR="006A62D7" w:rsidRPr="00465B69" w:rsidRDefault="006A62D7" w:rsidP="00B33D78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89AF5" w14:textId="77777777" w:rsidR="006A62D7" w:rsidRPr="00465B69" w:rsidRDefault="006A62D7" w:rsidP="00B33D78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DA53C" w14:textId="1B7FA57F" w:rsidR="006A62D7" w:rsidRPr="00465B69" w:rsidRDefault="00F15F2C" w:rsidP="00F15F2C">
            <w:pPr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62D7" w:rsidRPr="00465B69" w14:paraId="086EAD09" w14:textId="77777777" w:rsidTr="00465B69">
        <w:trPr>
          <w:trHeight w:val="236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819C48" w14:textId="77777777" w:rsidR="006A62D7" w:rsidRPr="00465B69" w:rsidRDefault="006A62D7" w:rsidP="00B33D78">
            <w:pPr>
              <w:jc w:val="both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vAlign w:val="center"/>
            <w:hideMark/>
          </w:tcPr>
          <w:p w14:paraId="685556E3" w14:textId="77777777" w:rsidR="006A62D7" w:rsidRPr="00465B69" w:rsidRDefault="006A62D7" w:rsidP="00B33D78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F32F69" w14:textId="77777777" w:rsidR="006A62D7" w:rsidRPr="00465B69" w:rsidRDefault="006A62D7" w:rsidP="00B33D78">
            <w:pPr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465B69" w14:paraId="2C17165C" w14:textId="77777777" w:rsidTr="00465B69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8F0D63D" w14:textId="77777777" w:rsidR="006A62D7" w:rsidRPr="00465B69" w:rsidRDefault="006A62D7" w:rsidP="00B33D78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579CD4" w14:textId="77777777" w:rsidR="006A62D7" w:rsidRPr="00465B69" w:rsidRDefault="006A62D7" w:rsidP="00B33D78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3E285379" w14:textId="4C58DE3A" w:rsidR="00F42AA5" w:rsidRPr="00465B69" w:rsidRDefault="00E46A3D" w:rsidP="00F42AA5">
            <w:pPr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465B69">
              <w:rPr>
                <w:rFonts w:ascii="Lato" w:hAnsi="Lato" w:cs="Arial"/>
                <w:b/>
                <w:sz w:val="20"/>
                <w:szCs w:val="20"/>
              </w:rPr>
              <w:t>$</w:t>
            </w:r>
            <w:r w:rsidR="00820439" w:rsidRPr="00465B69">
              <w:rPr>
                <w:rFonts w:ascii="Lato" w:hAnsi="Lato"/>
                <w:sz w:val="20"/>
                <w:szCs w:val="20"/>
              </w:rPr>
              <w:t xml:space="preserve"> </w:t>
            </w:r>
            <w:r w:rsidR="00820439" w:rsidRPr="00465B69">
              <w:rPr>
                <w:rFonts w:ascii="Lato" w:hAnsi="Lato" w:cs="Arial"/>
                <w:b/>
                <w:sz w:val="20"/>
                <w:szCs w:val="20"/>
              </w:rPr>
              <w:t>815.48</w:t>
            </w:r>
          </w:p>
        </w:tc>
      </w:tr>
    </w:tbl>
    <w:p w14:paraId="0CC19341" w14:textId="77777777" w:rsidR="006A62D7" w:rsidRPr="00465B69" w:rsidRDefault="006A62D7" w:rsidP="00F41676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</w:p>
    <w:p w14:paraId="607847EC" w14:textId="2FAED528" w:rsidR="00457EB6" w:rsidRPr="00465B69" w:rsidRDefault="00612AEB" w:rsidP="00465B69">
      <w:pPr>
        <w:pStyle w:val="Texto"/>
        <w:spacing w:line="276" w:lineRule="auto"/>
        <w:rPr>
          <w:rFonts w:ascii="Lato" w:hAnsi="Lato" w:cstheme="minorHAnsi"/>
          <w:b/>
          <w:sz w:val="20"/>
          <w:lang w:val="es-MX"/>
        </w:rPr>
      </w:pPr>
      <w:r w:rsidRPr="00465B69">
        <w:rPr>
          <w:rFonts w:ascii="Lato" w:hAnsi="Lato" w:cstheme="minorHAnsi"/>
          <w:b/>
          <w:sz w:val="20"/>
        </w:rPr>
        <w:t>c</w:t>
      </w:r>
      <w:r w:rsidR="00457EB6" w:rsidRPr="00465B69">
        <w:rPr>
          <w:rFonts w:ascii="Lato" w:hAnsi="Lato" w:cstheme="minorHAnsi"/>
          <w:b/>
          <w:sz w:val="20"/>
        </w:rPr>
        <w:t>)</w:t>
      </w:r>
      <w:r w:rsidR="00457EB6" w:rsidRPr="00465B69">
        <w:rPr>
          <w:rFonts w:ascii="Lato" w:hAnsi="Lato" w:cstheme="minorHAnsi"/>
          <w:sz w:val="20"/>
        </w:rPr>
        <w:t xml:space="preserve"> </w:t>
      </w:r>
      <w:r w:rsidR="00457EB6" w:rsidRPr="00465B69">
        <w:rPr>
          <w:rFonts w:ascii="Lato" w:hAnsi="Lato" w:cstheme="minorHAnsi"/>
          <w:b/>
          <w:sz w:val="20"/>
          <w:lang w:val="es-MX"/>
        </w:rPr>
        <w:t>NOTAS DE MEMORIA (CUENTAS DE ORDEN)</w:t>
      </w:r>
    </w:p>
    <w:p w14:paraId="016C2425" w14:textId="77777777" w:rsidR="00457EB6" w:rsidRPr="00465B69" w:rsidRDefault="00457EB6" w:rsidP="00626CCD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465B69">
        <w:rPr>
          <w:rFonts w:ascii="Lato" w:hAnsi="Lato" w:cstheme="minorHAnsi"/>
          <w:sz w:val="20"/>
          <w:lang w:val="es-MX"/>
        </w:rPr>
        <w:t>Las cuentas que se manejan para efectos de estas Notas son las siguientes:</w:t>
      </w:r>
    </w:p>
    <w:p w14:paraId="2CB35923" w14:textId="77777777" w:rsidR="00457EB6" w:rsidRPr="00465B69" w:rsidRDefault="00457EB6" w:rsidP="00626CCD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</w:rPr>
      </w:pPr>
      <w:r w:rsidRPr="00465B69">
        <w:rPr>
          <w:rFonts w:ascii="Lato" w:hAnsi="Lato" w:cstheme="minorHAnsi"/>
          <w:b/>
          <w:sz w:val="20"/>
        </w:rPr>
        <w:t>Cuentas de Orden Contables y Presupuestarias:</w:t>
      </w:r>
    </w:p>
    <w:p w14:paraId="776F684F" w14:textId="77777777" w:rsidR="00457EB6" w:rsidRPr="00465B69" w:rsidRDefault="00612AEB" w:rsidP="00626CCD">
      <w:pPr>
        <w:pStyle w:val="Texto"/>
        <w:spacing w:line="276" w:lineRule="auto"/>
        <w:ind w:firstLine="0"/>
        <w:rPr>
          <w:rFonts w:ascii="Lato" w:hAnsi="Lato" w:cstheme="minorHAnsi"/>
          <w:i/>
          <w:sz w:val="20"/>
        </w:rPr>
      </w:pPr>
      <w:r w:rsidRPr="00465B69">
        <w:rPr>
          <w:rFonts w:ascii="Lato" w:hAnsi="Lato" w:cstheme="minorHAnsi"/>
          <w:i/>
          <w:sz w:val="20"/>
        </w:rPr>
        <w:t xml:space="preserve">Cuentas de orden </w:t>
      </w:r>
      <w:r w:rsidR="00457EB6" w:rsidRPr="00465B69">
        <w:rPr>
          <w:rFonts w:ascii="Lato" w:hAnsi="Lato" w:cstheme="minorHAnsi"/>
          <w:i/>
          <w:sz w:val="20"/>
        </w:rPr>
        <w:t>Contables:</w:t>
      </w:r>
    </w:p>
    <w:p w14:paraId="080186D1" w14:textId="77777777" w:rsidR="00C9462F" w:rsidRPr="00465B69" w:rsidRDefault="00C9462F" w:rsidP="00626CCD">
      <w:pPr>
        <w:pStyle w:val="Texto"/>
        <w:spacing w:line="276" w:lineRule="auto"/>
        <w:ind w:firstLine="0"/>
        <w:rPr>
          <w:rFonts w:ascii="Lato" w:hAnsi="Lato" w:cstheme="minorHAnsi"/>
          <w:i/>
          <w:sz w:val="20"/>
        </w:rPr>
      </w:pPr>
      <w:r w:rsidRPr="00465B69">
        <w:rPr>
          <w:rFonts w:ascii="Lato" w:hAnsi="Lato" w:cstheme="minorHAnsi"/>
          <w:i/>
          <w:sz w:val="20"/>
        </w:rPr>
        <w:t>ninguna</w:t>
      </w:r>
    </w:p>
    <w:p w14:paraId="3D9DAF35" w14:textId="77777777" w:rsidR="00457EB6" w:rsidRPr="00465B69" w:rsidRDefault="00F76DA8" w:rsidP="00626CCD">
      <w:pPr>
        <w:pStyle w:val="Texto"/>
        <w:tabs>
          <w:tab w:val="left" w:pos="1260"/>
        </w:tabs>
        <w:spacing w:line="276" w:lineRule="auto"/>
        <w:ind w:firstLine="0"/>
        <w:rPr>
          <w:rFonts w:ascii="Lato" w:hAnsi="Lato" w:cstheme="minorHAnsi"/>
          <w:sz w:val="20"/>
        </w:rPr>
      </w:pPr>
      <w:r w:rsidRPr="00465B69">
        <w:rPr>
          <w:rFonts w:ascii="Lato" w:hAnsi="Lato" w:cstheme="minorHAnsi"/>
          <w:i/>
          <w:sz w:val="20"/>
        </w:rPr>
        <w:t>C</w:t>
      </w:r>
      <w:r w:rsidR="00612AEB" w:rsidRPr="00465B69">
        <w:rPr>
          <w:rFonts w:ascii="Lato" w:hAnsi="Lato" w:cstheme="minorHAnsi"/>
          <w:i/>
          <w:sz w:val="20"/>
        </w:rPr>
        <w:t xml:space="preserve">uentas de orden </w:t>
      </w:r>
      <w:r w:rsidR="00457EB6" w:rsidRPr="00465B69">
        <w:rPr>
          <w:rFonts w:ascii="Lato" w:hAnsi="Lato" w:cstheme="minorHAnsi"/>
          <w:i/>
          <w:sz w:val="20"/>
        </w:rPr>
        <w:t>Presupuestarias:</w:t>
      </w:r>
    </w:p>
    <w:p w14:paraId="65574F55" w14:textId="77777777" w:rsidR="00457EB6" w:rsidRPr="00465B69" w:rsidRDefault="00457EB6" w:rsidP="00626CCD">
      <w:pPr>
        <w:pStyle w:val="Texto"/>
        <w:spacing w:line="276" w:lineRule="auto"/>
        <w:ind w:firstLine="0"/>
        <w:rPr>
          <w:rFonts w:ascii="Lato" w:hAnsi="Lato" w:cstheme="minorHAnsi"/>
          <w:sz w:val="20"/>
        </w:rPr>
      </w:pPr>
      <w:r w:rsidRPr="00465B69">
        <w:rPr>
          <w:rFonts w:ascii="Lato" w:hAnsi="Lato" w:cstheme="minorHAnsi"/>
          <w:sz w:val="20"/>
        </w:rPr>
        <w:t>Cuentas de ingresos.</w:t>
      </w:r>
    </w:p>
    <w:p w14:paraId="60334E89" w14:textId="00B4BE3B" w:rsidR="00F450DB" w:rsidRPr="00465B69" w:rsidRDefault="00457EB6" w:rsidP="00626CCD">
      <w:pPr>
        <w:jc w:val="both"/>
        <w:rPr>
          <w:rFonts w:ascii="Lato" w:hAnsi="Lato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Los ingres</w:t>
      </w:r>
      <w:r w:rsidR="001711BF" w:rsidRPr="00465B69">
        <w:rPr>
          <w:rFonts w:ascii="Lato" w:hAnsi="Lato" w:cstheme="minorHAnsi"/>
          <w:sz w:val="20"/>
          <w:szCs w:val="20"/>
        </w:rPr>
        <w:t xml:space="preserve">os al </w:t>
      </w:r>
      <w:r w:rsidR="009833F4" w:rsidRPr="00465B69">
        <w:rPr>
          <w:rFonts w:ascii="Lato" w:hAnsi="Lato" w:cstheme="minorHAnsi"/>
          <w:sz w:val="20"/>
          <w:szCs w:val="20"/>
        </w:rPr>
        <w:t>31</w:t>
      </w:r>
      <w:r w:rsidR="009D29AD" w:rsidRPr="00465B69">
        <w:rPr>
          <w:rFonts w:ascii="Lato" w:hAnsi="Lato" w:cstheme="minorHAnsi"/>
          <w:sz w:val="20"/>
          <w:szCs w:val="20"/>
        </w:rPr>
        <w:t xml:space="preserve"> de </w:t>
      </w:r>
      <w:r w:rsidR="009833F4" w:rsidRPr="00465B69">
        <w:rPr>
          <w:rFonts w:ascii="Lato" w:hAnsi="Lato" w:cstheme="minorHAnsi"/>
          <w:sz w:val="20"/>
          <w:szCs w:val="20"/>
        </w:rPr>
        <w:t xml:space="preserve">marzo </w:t>
      </w:r>
      <w:r w:rsidR="003C441C" w:rsidRPr="00465B69">
        <w:rPr>
          <w:rFonts w:ascii="Lato" w:hAnsi="Lato" w:cstheme="minorHAnsi"/>
          <w:sz w:val="20"/>
          <w:szCs w:val="20"/>
        </w:rPr>
        <w:t>de</w:t>
      </w:r>
      <w:r w:rsidR="00245774" w:rsidRPr="00465B69">
        <w:rPr>
          <w:rFonts w:ascii="Lato" w:hAnsi="Lato" w:cstheme="minorHAnsi"/>
          <w:sz w:val="20"/>
          <w:szCs w:val="20"/>
        </w:rPr>
        <w:t xml:space="preserve"> 202</w:t>
      </w:r>
      <w:r w:rsidR="00714F9A" w:rsidRPr="00465B69">
        <w:rPr>
          <w:rFonts w:ascii="Lato" w:hAnsi="Lato" w:cstheme="minorHAnsi"/>
          <w:sz w:val="20"/>
          <w:szCs w:val="20"/>
        </w:rPr>
        <w:t>5</w:t>
      </w:r>
      <w:r w:rsidRPr="00465B69">
        <w:rPr>
          <w:rFonts w:ascii="Lato" w:hAnsi="Lato" w:cstheme="minorHAnsi"/>
          <w:sz w:val="20"/>
          <w:szCs w:val="20"/>
        </w:rPr>
        <w:t xml:space="preserve"> son p</w:t>
      </w:r>
      <w:r w:rsidR="003C441C" w:rsidRPr="00465B69">
        <w:rPr>
          <w:rFonts w:ascii="Lato" w:hAnsi="Lato" w:cstheme="minorHAnsi"/>
          <w:sz w:val="20"/>
          <w:szCs w:val="20"/>
        </w:rPr>
        <w:t>or la cantidad de</w:t>
      </w:r>
      <w:r w:rsidR="00E46A3D" w:rsidRPr="00465B69">
        <w:rPr>
          <w:rFonts w:ascii="Lato" w:hAnsi="Lato" w:cstheme="minorHAnsi"/>
          <w:sz w:val="20"/>
          <w:szCs w:val="20"/>
        </w:rPr>
        <w:t xml:space="preserve"> $</w:t>
      </w:r>
      <w:r w:rsidR="00E92482" w:rsidRPr="00465B69">
        <w:rPr>
          <w:rFonts w:ascii="Lato" w:hAnsi="Lato"/>
          <w:sz w:val="20"/>
          <w:szCs w:val="20"/>
        </w:rPr>
        <w:t xml:space="preserve"> </w:t>
      </w:r>
      <w:r w:rsidR="00820439" w:rsidRPr="00465B69">
        <w:rPr>
          <w:rFonts w:ascii="Lato" w:hAnsi="Lato" w:cstheme="minorHAnsi"/>
          <w:sz w:val="20"/>
          <w:szCs w:val="20"/>
        </w:rPr>
        <w:t>169,935.77</w:t>
      </w:r>
    </w:p>
    <w:p w14:paraId="43BB856F" w14:textId="77777777" w:rsidR="00465B69" w:rsidRDefault="00457EB6" w:rsidP="00626CCD">
      <w:pPr>
        <w:jc w:val="both"/>
        <w:rPr>
          <w:rFonts w:ascii="Lato" w:hAnsi="Lato" w:cstheme="minorHAnsi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>Cuentas de egresos.</w:t>
      </w:r>
    </w:p>
    <w:p w14:paraId="41171B65" w14:textId="61342031" w:rsidR="00112B83" w:rsidRPr="00465B69" w:rsidRDefault="009D1727" w:rsidP="00465B69">
      <w:pPr>
        <w:jc w:val="both"/>
        <w:rPr>
          <w:rFonts w:ascii="Lato" w:hAnsi="Lato" w:cs="Arial"/>
          <w:sz w:val="20"/>
          <w:szCs w:val="20"/>
        </w:rPr>
      </w:pPr>
      <w:r w:rsidRPr="00465B69">
        <w:rPr>
          <w:rFonts w:ascii="Lato" w:hAnsi="Lato" w:cstheme="minorHAnsi"/>
          <w:sz w:val="20"/>
          <w:szCs w:val="20"/>
        </w:rPr>
        <w:t xml:space="preserve">Los </w:t>
      </w:r>
      <w:r w:rsidR="001711BF" w:rsidRPr="00465B69">
        <w:rPr>
          <w:rFonts w:ascii="Lato" w:hAnsi="Lato" w:cstheme="minorHAnsi"/>
          <w:sz w:val="20"/>
          <w:szCs w:val="20"/>
        </w:rPr>
        <w:t>gastos ejercidos</w:t>
      </w:r>
      <w:r w:rsidRPr="00465B69">
        <w:rPr>
          <w:rFonts w:ascii="Lato" w:hAnsi="Lato" w:cstheme="minorHAnsi"/>
          <w:sz w:val="20"/>
          <w:szCs w:val="20"/>
        </w:rPr>
        <w:t xml:space="preserve"> son por concepto de los Servicios General</w:t>
      </w:r>
      <w:r w:rsidR="00F47BFC" w:rsidRPr="00465B69">
        <w:rPr>
          <w:rFonts w:ascii="Lato" w:hAnsi="Lato" w:cstheme="minorHAnsi"/>
          <w:sz w:val="20"/>
          <w:szCs w:val="20"/>
        </w:rPr>
        <w:t xml:space="preserve">es por la cantidad de </w:t>
      </w:r>
      <w:r w:rsidR="006E33C7" w:rsidRPr="00465B69">
        <w:rPr>
          <w:rFonts w:ascii="Lato" w:hAnsi="Lato" w:cstheme="minorHAnsi"/>
          <w:sz w:val="20"/>
          <w:szCs w:val="20"/>
        </w:rPr>
        <w:t>$</w:t>
      </w:r>
      <w:r w:rsidR="00136839" w:rsidRPr="00465B69">
        <w:rPr>
          <w:rFonts w:ascii="Lato" w:hAnsi="Lato"/>
          <w:sz w:val="20"/>
          <w:szCs w:val="20"/>
        </w:rPr>
        <w:t xml:space="preserve"> </w:t>
      </w:r>
      <w:r w:rsidR="00820439" w:rsidRPr="00465B69">
        <w:rPr>
          <w:rFonts w:ascii="Lato" w:hAnsi="Lato" w:cstheme="minorHAnsi"/>
          <w:sz w:val="20"/>
          <w:szCs w:val="20"/>
        </w:rPr>
        <w:t xml:space="preserve">815.48 </w:t>
      </w:r>
      <w:r w:rsidRPr="00465B69">
        <w:rPr>
          <w:rFonts w:ascii="Lato" w:hAnsi="Lato" w:cstheme="minorHAnsi"/>
          <w:sz w:val="20"/>
          <w:szCs w:val="20"/>
        </w:rPr>
        <w:t>pesos</w:t>
      </w:r>
      <w:r w:rsidR="00612AEB" w:rsidRPr="00465B69">
        <w:rPr>
          <w:rFonts w:ascii="Lato" w:hAnsi="Lato" w:cstheme="minorHAnsi"/>
          <w:sz w:val="20"/>
          <w:szCs w:val="20"/>
        </w:rPr>
        <w:t>.</w:t>
      </w:r>
      <w:bookmarkStart w:id="0" w:name="_GoBack"/>
      <w:bookmarkEnd w:id="0"/>
      <w:r w:rsidR="00112B83" w:rsidRPr="00465B69">
        <w:rPr>
          <w:rFonts w:ascii="Lato" w:hAnsi="Lato" w:cs="Arial"/>
          <w:sz w:val="20"/>
          <w:szCs w:val="20"/>
        </w:rPr>
        <w:t xml:space="preserve"> </w:t>
      </w:r>
    </w:p>
    <w:sectPr w:rsidR="00112B83" w:rsidRPr="00465B69" w:rsidSect="00465B69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40A1" w14:textId="77777777" w:rsidR="00300FAB" w:rsidRDefault="00300FAB" w:rsidP="005D4FB5">
      <w:pPr>
        <w:spacing w:after="0" w:line="240" w:lineRule="auto"/>
      </w:pPr>
      <w:r>
        <w:separator/>
      </w:r>
    </w:p>
  </w:endnote>
  <w:endnote w:type="continuationSeparator" w:id="0">
    <w:p w14:paraId="523E0D7F" w14:textId="77777777" w:rsidR="00300FAB" w:rsidRDefault="00300FAB" w:rsidP="005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A6ED" w14:textId="77777777" w:rsidR="00300FAB" w:rsidRDefault="00300FAB" w:rsidP="005D4FB5">
      <w:pPr>
        <w:spacing w:after="0" w:line="240" w:lineRule="auto"/>
      </w:pPr>
      <w:r>
        <w:separator/>
      </w:r>
    </w:p>
  </w:footnote>
  <w:footnote w:type="continuationSeparator" w:id="0">
    <w:p w14:paraId="422837B2" w14:textId="77777777" w:rsidR="00300FAB" w:rsidRDefault="00300FAB" w:rsidP="005D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EA"/>
    <w:multiLevelType w:val="hybridMultilevel"/>
    <w:tmpl w:val="AF5028BC"/>
    <w:lvl w:ilvl="0" w:tplc="F93C0A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B2940"/>
    <w:multiLevelType w:val="hybridMultilevel"/>
    <w:tmpl w:val="2F702A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14306"/>
    <w:multiLevelType w:val="hybridMultilevel"/>
    <w:tmpl w:val="9F5862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61D80"/>
    <w:multiLevelType w:val="hybridMultilevel"/>
    <w:tmpl w:val="49AA8B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32AE5"/>
    <w:multiLevelType w:val="hybridMultilevel"/>
    <w:tmpl w:val="207A50E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3D506A"/>
    <w:multiLevelType w:val="hybridMultilevel"/>
    <w:tmpl w:val="2B3C2AB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56D09"/>
    <w:multiLevelType w:val="hybridMultilevel"/>
    <w:tmpl w:val="F5E63828"/>
    <w:lvl w:ilvl="0" w:tplc="4EEACED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50AAF"/>
    <w:multiLevelType w:val="hybridMultilevel"/>
    <w:tmpl w:val="FBAA6E8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E0161A"/>
    <w:multiLevelType w:val="hybridMultilevel"/>
    <w:tmpl w:val="48705488"/>
    <w:lvl w:ilvl="0" w:tplc="E99227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226"/>
    <w:rsid w:val="00007A27"/>
    <w:rsid w:val="000103EC"/>
    <w:rsid w:val="00014DB8"/>
    <w:rsid w:val="00025F3A"/>
    <w:rsid w:val="000261FA"/>
    <w:rsid w:val="00027087"/>
    <w:rsid w:val="00027839"/>
    <w:rsid w:val="00031761"/>
    <w:rsid w:val="00031EDF"/>
    <w:rsid w:val="00033147"/>
    <w:rsid w:val="00036CBB"/>
    <w:rsid w:val="000371EC"/>
    <w:rsid w:val="000457F7"/>
    <w:rsid w:val="000461F0"/>
    <w:rsid w:val="000464CD"/>
    <w:rsid w:val="00051DF6"/>
    <w:rsid w:val="000534B8"/>
    <w:rsid w:val="0005527E"/>
    <w:rsid w:val="00064657"/>
    <w:rsid w:val="0007213B"/>
    <w:rsid w:val="000773CA"/>
    <w:rsid w:val="000812A0"/>
    <w:rsid w:val="00081C27"/>
    <w:rsid w:val="0008525A"/>
    <w:rsid w:val="00085406"/>
    <w:rsid w:val="0009440E"/>
    <w:rsid w:val="00094E9A"/>
    <w:rsid w:val="00096453"/>
    <w:rsid w:val="000A00FA"/>
    <w:rsid w:val="000A1304"/>
    <w:rsid w:val="000A1E16"/>
    <w:rsid w:val="000B1910"/>
    <w:rsid w:val="000C2B1C"/>
    <w:rsid w:val="000C4537"/>
    <w:rsid w:val="000C54C6"/>
    <w:rsid w:val="000D13AD"/>
    <w:rsid w:val="000D63A5"/>
    <w:rsid w:val="000D7795"/>
    <w:rsid w:val="000E230F"/>
    <w:rsid w:val="000E234F"/>
    <w:rsid w:val="000E3C6E"/>
    <w:rsid w:val="000E4F22"/>
    <w:rsid w:val="000E550D"/>
    <w:rsid w:val="000E5978"/>
    <w:rsid w:val="000F3A85"/>
    <w:rsid w:val="000F7442"/>
    <w:rsid w:val="0010707C"/>
    <w:rsid w:val="00110492"/>
    <w:rsid w:val="00112B83"/>
    <w:rsid w:val="00116555"/>
    <w:rsid w:val="00125924"/>
    <w:rsid w:val="00127F72"/>
    <w:rsid w:val="00131112"/>
    <w:rsid w:val="0013153F"/>
    <w:rsid w:val="00136839"/>
    <w:rsid w:val="00142642"/>
    <w:rsid w:val="00144886"/>
    <w:rsid w:val="00147BAB"/>
    <w:rsid w:val="00147D1E"/>
    <w:rsid w:val="00150DFA"/>
    <w:rsid w:val="00152529"/>
    <w:rsid w:val="00154BF3"/>
    <w:rsid w:val="00155297"/>
    <w:rsid w:val="00164BE6"/>
    <w:rsid w:val="0016723D"/>
    <w:rsid w:val="001711BF"/>
    <w:rsid w:val="00172A05"/>
    <w:rsid w:val="00172CB7"/>
    <w:rsid w:val="0018132A"/>
    <w:rsid w:val="00182B1D"/>
    <w:rsid w:val="00184990"/>
    <w:rsid w:val="001A2203"/>
    <w:rsid w:val="001B1676"/>
    <w:rsid w:val="001B3911"/>
    <w:rsid w:val="001B3D1B"/>
    <w:rsid w:val="001B4295"/>
    <w:rsid w:val="001C0C73"/>
    <w:rsid w:val="001C6D00"/>
    <w:rsid w:val="001D0F14"/>
    <w:rsid w:val="001D6F1C"/>
    <w:rsid w:val="001E15F8"/>
    <w:rsid w:val="001E3AE0"/>
    <w:rsid w:val="001E6BB0"/>
    <w:rsid w:val="001E7025"/>
    <w:rsid w:val="001F00E5"/>
    <w:rsid w:val="001F3053"/>
    <w:rsid w:val="001F5506"/>
    <w:rsid w:val="001F5757"/>
    <w:rsid w:val="001F608F"/>
    <w:rsid w:val="00207365"/>
    <w:rsid w:val="00211F2F"/>
    <w:rsid w:val="00212875"/>
    <w:rsid w:val="002215B6"/>
    <w:rsid w:val="00222DA7"/>
    <w:rsid w:val="00245774"/>
    <w:rsid w:val="002474A1"/>
    <w:rsid w:val="00251EE3"/>
    <w:rsid w:val="00254B1B"/>
    <w:rsid w:val="00257DD7"/>
    <w:rsid w:val="00265D76"/>
    <w:rsid w:val="00267C3E"/>
    <w:rsid w:val="00267D2A"/>
    <w:rsid w:val="00270CD9"/>
    <w:rsid w:val="00281CE3"/>
    <w:rsid w:val="0028384C"/>
    <w:rsid w:val="00283E26"/>
    <w:rsid w:val="00290131"/>
    <w:rsid w:val="00292793"/>
    <w:rsid w:val="00293DFC"/>
    <w:rsid w:val="00295F09"/>
    <w:rsid w:val="0029762E"/>
    <w:rsid w:val="002A08D9"/>
    <w:rsid w:val="002A2F41"/>
    <w:rsid w:val="002A4E41"/>
    <w:rsid w:val="002B2FCA"/>
    <w:rsid w:val="002C1C1A"/>
    <w:rsid w:val="002C58EF"/>
    <w:rsid w:val="002C7D05"/>
    <w:rsid w:val="002D085B"/>
    <w:rsid w:val="002D0B11"/>
    <w:rsid w:val="002D16D7"/>
    <w:rsid w:val="002D6409"/>
    <w:rsid w:val="002D648A"/>
    <w:rsid w:val="002E4316"/>
    <w:rsid w:val="002F1389"/>
    <w:rsid w:val="002F703A"/>
    <w:rsid w:val="00300FAB"/>
    <w:rsid w:val="00304F60"/>
    <w:rsid w:val="00310948"/>
    <w:rsid w:val="00311387"/>
    <w:rsid w:val="003129FF"/>
    <w:rsid w:val="0031301D"/>
    <w:rsid w:val="00315B07"/>
    <w:rsid w:val="00316593"/>
    <w:rsid w:val="003178C0"/>
    <w:rsid w:val="00330297"/>
    <w:rsid w:val="003304DD"/>
    <w:rsid w:val="00330DC0"/>
    <w:rsid w:val="003345FB"/>
    <w:rsid w:val="003353EA"/>
    <w:rsid w:val="00336198"/>
    <w:rsid w:val="00337009"/>
    <w:rsid w:val="003370F8"/>
    <w:rsid w:val="003446EC"/>
    <w:rsid w:val="00347134"/>
    <w:rsid w:val="003568CF"/>
    <w:rsid w:val="0036611F"/>
    <w:rsid w:val="00367A76"/>
    <w:rsid w:val="0037795D"/>
    <w:rsid w:val="003822E5"/>
    <w:rsid w:val="00382BA4"/>
    <w:rsid w:val="00384EEE"/>
    <w:rsid w:val="003850B4"/>
    <w:rsid w:val="00385CB4"/>
    <w:rsid w:val="00386266"/>
    <w:rsid w:val="00396313"/>
    <w:rsid w:val="00397A00"/>
    <w:rsid w:val="003A24D9"/>
    <w:rsid w:val="003A46EB"/>
    <w:rsid w:val="003A4D8D"/>
    <w:rsid w:val="003A7074"/>
    <w:rsid w:val="003A71B1"/>
    <w:rsid w:val="003B3D93"/>
    <w:rsid w:val="003B49EB"/>
    <w:rsid w:val="003B59D9"/>
    <w:rsid w:val="003C2817"/>
    <w:rsid w:val="003C441C"/>
    <w:rsid w:val="003D3F65"/>
    <w:rsid w:val="003D4EF7"/>
    <w:rsid w:val="003D67A7"/>
    <w:rsid w:val="003E166E"/>
    <w:rsid w:val="003E2DC9"/>
    <w:rsid w:val="003E5BEC"/>
    <w:rsid w:val="003F2F65"/>
    <w:rsid w:val="00404AB7"/>
    <w:rsid w:val="0040712F"/>
    <w:rsid w:val="00411B19"/>
    <w:rsid w:val="00416677"/>
    <w:rsid w:val="00417307"/>
    <w:rsid w:val="004219C6"/>
    <w:rsid w:val="00422742"/>
    <w:rsid w:val="00432123"/>
    <w:rsid w:val="004402DD"/>
    <w:rsid w:val="00442475"/>
    <w:rsid w:val="00446370"/>
    <w:rsid w:val="00457EB6"/>
    <w:rsid w:val="004635F4"/>
    <w:rsid w:val="00464827"/>
    <w:rsid w:val="004659B6"/>
    <w:rsid w:val="00465B69"/>
    <w:rsid w:val="00470043"/>
    <w:rsid w:val="00481BAF"/>
    <w:rsid w:val="00485D4F"/>
    <w:rsid w:val="004872D2"/>
    <w:rsid w:val="0049128A"/>
    <w:rsid w:val="004A1015"/>
    <w:rsid w:val="004A23E1"/>
    <w:rsid w:val="004A28D1"/>
    <w:rsid w:val="004A6FAC"/>
    <w:rsid w:val="004A7F94"/>
    <w:rsid w:val="004B1CA6"/>
    <w:rsid w:val="004B35E3"/>
    <w:rsid w:val="004B5738"/>
    <w:rsid w:val="004B5C3A"/>
    <w:rsid w:val="004B6C77"/>
    <w:rsid w:val="004C2C21"/>
    <w:rsid w:val="004C6FCF"/>
    <w:rsid w:val="004D0153"/>
    <w:rsid w:val="004D4A3A"/>
    <w:rsid w:val="004E3879"/>
    <w:rsid w:val="004E7B70"/>
    <w:rsid w:val="004F0DE6"/>
    <w:rsid w:val="004F33EE"/>
    <w:rsid w:val="004F4547"/>
    <w:rsid w:val="004F5457"/>
    <w:rsid w:val="004F5B8F"/>
    <w:rsid w:val="004F72F8"/>
    <w:rsid w:val="00510264"/>
    <w:rsid w:val="00515D94"/>
    <w:rsid w:val="00515F61"/>
    <w:rsid w:val="0052720B"/>
    <w:rsid w:val="005321C9"/>
    <w:rsid w:val="00535F70"/>
    <w:rsid w:val="00537EF5"/>
    <w:rsid w:val="005500F6"/>
    <w:rsid w:val="00551899"/>
    <w:rsid w:val="005620D4"/>
    <w:rsid w:val="005641C2"/>
    <w:rsid w:val="005675BE"/>
    <w:rsid w:val="0057068C"/>
    <w:rsid w:val="005749B8"/>
    <w:rsid w:val="00574E2A"/>
    <w:rsid w:val="00576FBD"/>
    <w:rsid w:val="005857AA"/>
    <w:rsid w:val="00594617"/>
    <w:rsid w:val="005976AC"/>
    <w:rsid w:val="005A098B"/>
    <w:rsid w:val="005A2226"/>
    <w:rsid w:val="005A2E3A"/>
    <w:rsid w:val="005A4BE2"/>
    <w:rsid w:val="005B14F0"/>
    <w:rsid w:val="005B6997"/>
    <w:rsid w:val="005C147C"/>
    <w:rsid w:val="005C202D"/>
    <w:rsid w:val="005D3354"/>
    <w:rsid w:val="005D3652"/>
    <w:rsid w:val="005D4FB5"/>
    <w:rsid w:val="005D6395"/>
    <w:rsid w:val="005D68F5"/>
    <w:rsid w:val="005E1B31"/>
    <w:rsid w:val="005E1EE2"/>
    <w:rsid w:val="005E40EB"/>
    <w:rsid w:val="005E4A6B"/>
    <w:rsid w:val="005E61D6"/>
    <w:rsid w:val="005E65A8"/>
    <w:rsid w:val="005F095A"/>
    <w:rsid w:val="005F3232"/>
    <w:rsid w:val="005F56B3"/>
    <w:rsid w:val="00601957"/>
    <w:rsid w:val="006026BE"/>
    <w:rsid w:val="0060378F"/>
    <w:rsid w:val="00607621"/>
    <w:rsid w:val="006113DE"/>
    <w:rsid w:val="00612AEB"/>
    <w:rsid w:val="00613E9D"/>
    <w:rsid w:val="00624F44"/>
    <w:rsid w:val="00626CCD"/>
    <w:rsid w:val="00626DFB"/>
    <w:rsid w:val="0063210E"/>
    <w:rsid w:val="0063522A"/>
    <w:rsid w:val="006376AA"/>
    <w:rsid w:val="0064468B"/>
    <w:rsid w:val="00646065"/>
    <w:rsid w:val="006540DF"/>
    <w:rsid w:val="00660587"/>
    <w:rsid w:val="00665AEE"/>
    <w:rsid w:val="00667A55"/>
    <w:rsid w:val="00671994"/>
    <w:rsid w:val="0067300E"/>
    <w:rsid w:val="0067390A"/>
    <w:rsid w:val="00676289"/>
    <w:rsid w:val="00676D63"/>
    <w:rsid w:val="00677615"/>
    <w:rsid w:val="00677A8F"/>
    <w:rsid w:val="00680748"/>
    <w:rsid w:val="00682913"/>
    <w:rsid w:val="00691F05"/>
    <w:rsid w:val="006A2259"/>
    <w:rsid w:val="006A56FC"/>
    <w:rsid w:val="006A62D7"/>
    <w:rsid w:val="006C143A"/>
    <w:rsid w:val="006C32E5"/>
    <w:rsid w:val="006C5325"/>
    <w:rsid w:val="006C6660"/>
    <w:rsid w:val="006D06D9"/>
    <w:rsid w:val="006D0C6B"/>
    <w:rsid w:val="006D2CA0"/>
    <w:rsid w:val="006D7424"/>
    <w:rsid w:val="006E1347"/>
    <w:rsid w:val="006E33C7"/>
    <w:rsid w:val="006E46BF"/>
    <w:rsid w:val="006E6DBE"/>
    <w:rsid w:val="006F01FA"/>
    <w:rsid w:val="006F0B3F"/>
    <w:rsid w:val="006F0BF0"/>
    <w:rsid w:val="006F3019"/>
    <w:rsid w:val="00700C5B"/>
    <w:rsid w:val="007016DB"/>
    <w:rsid w:val="0070176F"/>
    <w:rsid w:val="00704768"/>
    <w:rsid w:val="00713280"/>
    <w:rsid w:val="00714C0D"/>
    <w:rsid w:val="00714F9A"/>
    <w:rsid w:val="007176C4"/>
    <w:rsid w:val="00722B31"/>
    <w:rsid w:val="00724FB7"/>
    <w:rsid w:val="00725EF9"/>
    <w:rsid w:val="00732B98"/>
    <w:rsid w:val="00735497"/>
    <w:rsid w:val="00737825"/>
    <w:rsid w:val="0075331D"/>
    <w:rsid w:val="00771D1A"/>
    <w:rsid w:val="00771F99"/>
    <w:rsid w:val="0077520A"/>
    <w:rsid w:val="007752A4"/>
    <w:rsid w:val="00777B9C"/>
    <w:rsid w:val="00782700"/>
    <w:rsid w:val="0078569B"/>
    <w:rsid w:val="00787F66"/>
    <w:rsid w:val="00793C01"/>
    <w:rsid w:val="007A5830"/>
    <w:rsid w:val="007A74AF"/>
    <w:rsid w:val="007B302E"/>
    <w:rsid w:val="007B6390"/>
    <w:rsid w:val="007D0DB7"/>
    <w:rsid w:val="007D3A78"/>
    <w:rsid w:val="007D5731"/>
    <w:rsid w:val="007E07FA"/>
    <w:rsid w:val="007E144E"/>
    <w:rsid w:val="007E2762"/>
    <w:rsid w:val="007E52F6"/>
    <w:rsid w:val="0080162B"/>
    <w:rsid w:val="00802A06"/>
    <w:rsid w:val="00805FA7"/>
    <w:rsid w:val="00811B38"/>
    <w:rsid w:val="00815ABC"/>
    <w:rsid w:val="00817870"/>
    <w:rsid w:val="00817FBD"/>
    <w:rsid w:val="00820439"/>
    <w:rsid w:val="00843D7E"/>
    <w:rsid w:val="00845831"/>
    <w:rsid w:val="0085175F"/>
    <w:rsid w:val="0085273D"/>
    <w:rsid w:val="00855113"/>
    <w:rsid w:val="0086722C"/>
    <w:rsid w:val="0086731C"/>
    <w:rsid w:val="00870FF7"/>
    <w:rsid w:val="008717B9"/>
    <w:rsid w:val="00873187"/>
    <w:rsid w:val="00876CCE"/>
    <w:rsid w:val="00881591"/>
    <w:rsid w:val="00885AEF"/>
    <w:rsid w:val="00896252"/>
    <w:rsid w:val="008A30BC"/>
    <w:rsid w:val="008A329E"/>
    <w:rsid w:val="008A6942"/>
    <w:rsid w:val="008B1E34"/>
    <w:rsid w:val="008B57DE"/>
    <w:rsid w:val="008C3097"/>
    <w:rsid w:val="008C6C1E"/>
    <w:rsid w:val="008D456C"/>
    <w:rsid w:val="008D619A"/>
    <w:rsid w:val="008D61DD"/>
    <w:rsid w:val="008F572B"/>
    <w:rsid w:val="008F6651"/>
    <w:rsid w:val="00904928"/>
    <w:rsid w:val="00904AEF"/>
    <w:rsid w:val="00906837"/>
    <w:rsid w:val="00907BE7"/>
    <w:rsid w:val="009103A3"/>
    <w:rsid w:val="00910E25"/>
    <w:rsid w:val="00914B2B"/>
    <w:rsid w:val="00914E3D"/>
    <w:rsid w:val="00915AD7"/>
    <w:rsid w:val="00922229"/>
    <w:rsid w:val="0092585C"/>
    <w:rsid w:val="00926FD7"/>
    <w:rsid w:val="009323C0"/>
    <w:rsid w:val="009350B7"/>
    <w:rsid w:val="00941BE6"/>
    <w:rsid w:val="00944309"/>
    <w:rsid w:val="00946D20"/>
    <w:rsid w:val="009506EA"/>
    <w:rsid w:val="00953BB1"/>
    <w:rsid w:val="00963FA6"/>
    <w:rsid w:val="0096572E"/>
    <w:rsid w:val="00970CF2"/>
    <w:rsid w:val="009833F4"/>
    <w:rsid w:val="00985B64"/>
    <w:rsid w:val="00985D9D"/>
    <w:rsid w:val="00986975"/>
    <w:rsid w:val="009936C0"/>
    <w:rsid w:val="00994CD7"/>
    <w:rsid w:val="00995749"/>
    <w:rsid w:val="009961B3"/>
    <w:rsid w:val="009A2EB6"/>
    <w:rsid w:val="009A30C8"/>
    <w:rsid w:val="009B6523"/>
    <w:rsid w:val="009B7059"/>
    <w:rsid w:val="009D1727"/>
    <w:rsid w:val="009D2547"/>
    <w:rsid w:val="009D29AD"/>
    <w:rsid w:val="009E0AE9"/>
    <w:rsid w:val="009E20A6"/>
    <w:rsid w:val="009E3EE3"/>
    <w:rsid w:val="009E5F7E"/>
    <w:rsid w:val="009E77B9"/>
    <w:rsid w:val="009F0748"/>
    <w:rsid w:val="009F24D0"/>
    <w:rsid w:val="009F6606"/>
    <w:rsid w:val="009F7B2B"/>
    <w:rsid w:val="00A047BA"/>
    <w:rsid w:val="00A114D9"/>
    <w:rsid w:val="00A11C6E"/>
    <w:rsid w:val="00A14D0C"/>
    <w:rsid w:val="00A1606D"/>
    <w:rsid w:val="00A16B38"/>
    <w:rsid w:val="00A20D90"/>
    <w:rsid w:val="00A30FFE"/>
    <w:rsid w:val="00A320EC"/>
    <w:rsid w:val="00A33344"/>
    <w:rsid w:val="00A35358"/>
    <w:rsid w:val="00A401C4"/>
    <w:rsid w:val="00A40983"/>
    <w:rsid w:val="00A419A7"/>
    <w:rsid w:val="00A4269D"/>
    <w:rsid w:val="00A43B6E"/>
    <w:rsid w:val="00A457F6"/>
    <w:rsid w:val="00A4623D"/>
    <w:rsid w:val="00A5087F"/>
    <w:rsid w:val="00A51C6B"/>
    <w:rsid w:val="00A55237"/>
    <w:rsid w:val="00A60894"/>
    <w:rsid w:val="00A62452"/>
    <w:rsid w:val="00A65249"/>
    <w:rsid w:val="00A65D86"/>
    <w:rsid w:val="00A815C4"/>
    <w:rsid w:val="00A826F9"/>
    <w:rsid w:val="00A84EB3"/>
    <w:rsid w:val="00A92EE2"/>
    <w:rsid w:val="00AB3793"/>
    <w:rsid w:val="00AC3AE1"/>
    <w:rsid w:val="00AD1426"/>
    <w:rsid w:val="00AD3B52"/>
    <w:rsid w:val="00AD67BE"/>
    <w:rsid w:val="00AD7254"/>
    <w:rsid w:val="00AE69D5"/>
    <w:rsid w:val="00AE6D66"/>
    <w:rsid w:val="00AF0F08"/>
    <w:rsid w:val="00AF32A9"/>
    <w:rsid w:val="00AF618D"/>
    <w:rsid w:val="00AF79EE"/>
    <w:rsid w:val="00B022A4"/>
    <w:rsid w:val="00B03BA8"/>
    <w:rsid w:val="00B04C83"/>
    <w:rsid w:val="00B053F3"/>
    <w:rsid w:val="00B14E7E"/>
    <w:rsid w:val="00B15E52"/>
    <w:rsid w:val="00B16CBB"/>
    <w:rsid w:val="00B20469"/>
    <w:rsid w:val="00B222A9"/>
    <w:rsid w:val="00B23082"/>
    <w:rsid w:val="00B258AC"/>
    <w:rsid w:val="00B30419"/>
    <w:rsid w:val="00B30985"/>
    <w:rsid w:val="00B33D78"/>
    <w:rsid w:val="00B34ABC"/>
    <w:rsid w:val="00B34B8C"/>
    <w:rsid w:val="00B437B1"/>
    <w:rsid w:val="00B51EBA"/>
    <w:rsid w:val="00B56042"/>
    <w:rsid w:val="00B56753"/>
    <w:rsid w:val="00B573AA"/>
    <w:rsid w:val="00B61098"/>
    <w:rsid w:val="00B62D05"/>
    <w:rsid w:val="00B63822"/>
    <w:rsid w:val="00B66794"/>
    <w:rsid w:val="00B678B5"/>
    <w:rsid w:val="00B71BF1"/>
    <w:rsid w:val="00B722B3"/>
    <w:rsid w:val="00B73189"/>
    <w:rsid w:val="00B73606"/>
    <w:rsid w:val="00B738C6"/>
    <w:rsid w:val="00B76211"/>
    <w:rsid w:val="00B76F8C"/>
    <w:rsid w:val="00B9214D"/>
    <w:rsid w:val="00B9625C"/>
    <w:rsid w:val="00B9675B"/>
    <w:rsid w:val="00B96760"/>
    <w:rsid w:val="00B96F27"/>
    <w:rsid w:val="00BB6A9C"/>
    <w:rsid w:val="00BB6C55"/>
    <w:rsid w:val="00BB7336"/>
    <w:rsid w:val="00BC1990"/>
    <w:rsid w:val="00BC6839"/>
    <w:rsid w:val="00BC7EFC"/>
    <w:rsid w:val="00BD01EF"/>
    <w:rsid w:val="00BE270F"/>
    <w:rsid w:val="00BE7DAE"/>
    <w:rsid w:val="00BF394A"/>
    <w:rsid w:val="00BF6AE9"/>
    <w:rsid w:val="00BF6CAF"/>
    <w:rsid w:val="00BF7488"/>
    <w:rsid w:val="00BF7498"/>
    <w:rsid w:val="00C01C58"/>
    <w:rsid w:val="00C07727"/>
    <w:rsid w:val="00C17720"/>
    <w:rsid w:val="00C32E9C"/>
    <w:rsid w:val="00C33D74"/>
    <w:rsid w:val="00C35B95"/>
    <w:rsid w:val="00C36C62"/>
    <w:rsid w:val="00C37361"/>
    <w:rsid w:val="00C411E0"/>
    <w:rsid w:val="00C43AB2"/>
    <w:rsid w:val="00C530E0"/>
    <w:rsid w:val="00C56CF6"/>
    <w:rsid w:val="00C5788E"/>
    <w:rsid w:val="00C662C5"/>
    <w:rsid w:val="00C66C7C"/>
    <w:rsid w:val="00C70CCA"/>
    <w:rsid w:val="00C742CA"/>
    <w:rsid w:val="00C745E4"/>
    <w:rsid w:val="00C74C22"/>
    <w:rsid w:val="00C77B36"/>
    <w:rsid w:val="00C806F0"/>
    <w:rsid w:val="00C813B6"/>
    <w:rsid w:val="00C87B67"/>
    <w:rsid w:val="00C9462F"/>
    <w:rsid w:val="00C97975"/>
    <w:rsid w:val="00CA0772"/>
    <w:rsid w:val="00CA2961"/>
    <w:rsid w:val="00CB2E95"/>
    <w:rsid w:val="00CB55FB"/>
    <w:rsid w:val="00CB7C31"/>
    <w:rsid w:val="00CC3000"/>
    <w:rsid w:val="00CC4FE4"/>
    <w:rsid w:val="00CC560B"/>
    <w:rsid w:val="00CD2A4E"/>
    <w:rsid w:val="00CD5BC2"/>
    <w:rsid w:val="00CE196D"/>
    <w:rsid w:val="00CE3C62"/>
    <w:rsid w:val="00CE594E"/>
    <w:rsid w:val="00CF0D00"/>
    <w:rsid w:val="00CF4BEF"/>
    <w:rsid w:val="00CF52F5"/>
    <w:rsid w:val="00CF60A8"/>
    <w:rsid w:val="00D004AD"/>
    <w:rsid w:val="00D00BBC"/>
    <w:rsid w:val="00D03053"/>
    <w:rsid w:val="00D0357C"/>
    <w:rsid w:val="00D069E8"/>
    <w:rsid w:val="00D13384"/>
    <w:rsid w:val="00D21997"/>
    <w:rsid w:val="00D26F75"/>
    <w:rsid w:val="00D3121B"/>
    <w:rsid w:val="00D32A21"/>
    <w:rsid w:val="00D42FD3"/>
    <w:rsid w:val="00D44017"/>
    <w:rsid w:val="00D4526A"/>
    <w:rsid w:val="00D530EC"/>
    <w:rsid w:val="00D53245"/>
    <w:rsid w:val="00D542DF"/>
    <w:rsid w:val="00D6193E"/>
    <w:rsid w:val="00D7323B"/>
    <w:rsid w:val="00D77113"/>
    <w:rsid w:val="00D77359"/>
    <w:rsid w:val="00D8027D"/>
    <w:rsid w:val="00D83798"/>
    <w:rsid w:val="00D868A9"/>
    <w:rsid w:val="00D87FB1"/>
    <w:rsid w:val="00D922C1"/>
    <w:rsid w:val="00D95436"/>
    <w:rsid w:val="00D963D2"/>
    <w:rsid w:val="00D97D19"/>
    <w:rsid w:val="00DA2840"/>
    <w:rsid w:val="00DA5549"/>
    <w:rsid w:val="00DA66F7"/>
    <w:rsid w:val="00DB07D3"/>
    <w:rsid w:val="00DB0BC1"/>
    <w:rsid w:val="00DB12F2"/>
    <w:rsid w:val="00DC1F6B"/>
    <w:rsid w:val="00DC3FD6"/>
    <w:rsid w:val="00DD08AE"/>
    <w:rsid w:val="00DD3BFE"/>
    <w:rsid w:val="00DE1395"/>
    <w:rsid w:val="00DE19E8"/>
    <w:rsid w:val="00DE3DE7"/>
    <w:rsid w:val="00DE4226"/>
    <w:rsid w:val="00DE70AC"/>
    <w:rsid w:val="00DF392A"/>
    <w:rsid w:val="00DF67E7"/>
    <w:rsid w:val="00E02777"/>
    <w:rsid w:val="00E061BF"/>
    <w:rsid w:val="00E11940"/>
    <w:rsid w:val="00E17C0E"/>
    <w:rsid w:val="00E302AA"/>
    <w:rsid w:val="00E35AD4"/>
    <w:rsid w:val="00E37853"/>
    <w:rsid w:val="00E44FCE"/>
    <w:rsid w:val="00E46339"/>
    <w:rsid w:val="00E46A3D"/>
    <w:rsid w:val="00E53923"/>
    <w:rsid w:val="00E554D6"/>
    <w:rsid w:val="00E55A6F"/>
    <w:rsid w:val="00E56B98"/>
    <w:rsid w:val="00E60D00"/>
    <w:rsid w:val="00E66FF6"/>
    <w:rsid w:val="00E70C01"/>
    <w:rsid w:val="00E741D1"/>
    <w:rsid w:val="00E81BC9"/>
    <w:rsid w:val="00E82B93"/>
    <w:rsid w:val="00E877ED"/>
    <w:rsid w:val="00E92482"/>
    <w:rsid w:val="00E94CB9"/>
    <w:rsid w:val="00E95614"/>
    <w:rsid w:val="00EA0B5D"/>
    <w:rsid w:val="00EA3F10"/>
    <w:rsid w:val="00ED29A1"/>
    <w:rsid w:val="00ED350B"/>
    <w:rsid w:val="00EE0F25"/>
    <w:rsid w:val="00EE239E"/>
    <w:rsid w:val="00EE2EF1"/>
    <w:rsid w:val="00EF1B72"/>
    <w:rsid w:val="00EF68CD"/>
    <w:rsid w:val="00F1054A"/>
    <w:rsid w:val="00F10972"/>
    <w:rsid w:val="00F139E0"/>
    <w:rsid w:val="00F14B1F"/>
    <w:rsid w:val="00F157EE"/>
    <w:rsid w:val="00F15F2C"/>
    <w:rsid w:val="00F22700"/>
    <w:rsid w:val="00F26005"/>
    <w:rsid w:val="00F3433C"/>
    <w:rsid w:val="00F34BA8"/>
    <w:rsid w:val="00F41676"/>
    <w:rsid w:val="00F4190B"/>
    <w:rsid w:val="00F42AA5"/>
    <w:rsid w:val="00F450DB"/>
    <w:rsid w:val="00F47BFC"/>
    <w:rsid w:val="00F51BF4"/>
    <w:rsid w:val="00F532A2"/>
    <w:rsid w:val="00F5656C"/>
    <w:rsid w:val="00F57C1D"/>
    <w:rsid w:val="00F655A1"/>
    <w:rsid w:val="00F73C10"/>
    <w:rsid w:val="00F7492E"/>
    <w:rsid w:val="00F76DA8"/>
    <w:rsid w:val="00F77F0C"/>
    <w:rsid w:val="00F826E3"/>
    <w:rsid w:val="00F862FB"/>
    <w:rsid w:val="00F954C1"/>
    <w:rsid w:val="00F96590"/>
    <w:rsid w:val="00FA27DC"/>
    <w:rsid w:val="00FA51D4"/>
    <w:rsid w:val="00FA6F59"/>
    <w:rsid w:val="00FB0F64"/>
    <w:rsid w:val="00FB78DE"/>
    <w:rsid w:val="00FC1328"/>
    <w:rsid w:val="00FC5604"/>
    <w:rsid w:val="00FD4C18"/>
    <w:rsid w:val="00FE1B5C"/>
    <w:rsid w:val="00FE5ECD"/>
    <w:rsid w:val="00FE62D4"/>
    <w:rsid w:val="00FF23D3"/>
    <w:rsid w:val="00FF390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57CF0"/>
  <w15:docId w15:val="{A64890A9-A580-418B-AB99-C06DCBD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0DB"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40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4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FB5"/>
  </w:style>
  <w:style w:type="paragraph" w:styleId="Piedepgina">
    <w:name w:val="footer"/>
    <w:basedOn w:val="Normal"/>
    <w:link w:val="PiedepginaCar"/>
    <w:uiPriority w:val="99"/>
    <w:unhideWhenUsed/>
    <w:rsid w:val="005D4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28CE-D50D-425F-9245-9CB8936D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2068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Jennifer Estefany Millan Flores</cp:lastModifiedBy>
  <cp:revision>2</cp:revision>
  <cp:lastPrinted>2024-01-11T20:55:00Z</cp:lastPrinted>
  <dcterms:created xsi:type="dcterms:W3CDTF">2025-04-24T18:18:00Z</dcterms:created>
  <dcterms:modified xsi:type="dcterms:W3CDTF">2025-04-24T18:18:00Z</dcterms:modified>
</cp:coreProperties>
</file>