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D0E91" w14:textId="77777777" w:rsidR="00C7378F" w:rsidRPr="00C7378F" w:rsidRDefault="00C7378F" w:rsidP="00C7378F">
      <w:pPr>
        <w:pStyle w:val="Texto"/>
        <w:spacing w:line="276" w:lineRule="auto"/>
        <w:ind w:left="360" w:firstLine="0"/>
        <w:jc w:val="center"/>
        <w:rPr>
          <w:rFonts w:ascii="Barlow" w:hAnsi="Barlow"/>
          <w:b/>
          <w:sz w:val="20"/>
          <w:szCs w:val="20"/>
        </w:rPr>
      </w:pPr>
      <w:r w:rsidRPr="00C7378F">
        <w:rPr>
          <w:rFonts w:ascii="Barlow" w:hAnsi="Barlow"/>
          <w:b/>
          <w:sz w:val="20"/>
          <w:szCs w:val="20"/>
        </w:rPr>
        <w:t>Notas a los Estados Financieros</w:t>
      </w:r>
    </w:p>
    <w:p w14:paraId="53749EC0" w14:textId="60970941" w:rsidR="00C7378F" w:rsidRPr="00C7378F" w:rsidRDefault="00C7378F" w:rsidP="00C7378F">
      <w:pPr>
        <w:pStyle w:val="Texto"/>
        <w:spacing w:line="276" w:lineRule="auto"/>
        <w:ind w:left="360" w:firstLine="0"/>
        <w:jc w:val="center"/>
        <w:rPr>
          <w:rFonts w:ascii="Barlow" w:hAnsi="Barlow"/>
          <w:b/>
          <w:sz w:val="20"/>
          <w:szCs w:val="20"/>
        </w:rPr>
      </w:pPr>
      <w:r>
        <w:rPr>
          <w:rFonts w:ascii="Barlow" w:hAnsi="Barlow"/>
          <w:b/>
          <w:sz w:val="20"/>
          <w:szCs w:val="20"/>
        </w:rPr>
        <w:t>Al 31 de marzo</w:t>
      </w:r>
      <w:r w:rsidRPr="00C7378F">
        <w:rPr>
          <w:rFonts w:ascii="Barlow" w:hAnsi="Barlow"/>
          <w:b/>
          <w:sz w:val="20"/>
          <w:szCs w:val="20"/>
        </w:rPr>
        <w:t xml:space="preserve"> de 2024</w:t>
      </w:r>
    </w:p>
    <w:p w14:paraId="3BFB0FEE" w14:textId="77777777" w:rsidR="00C7378F" w:rsidRPr="00C7378F" w:rsidRDefault="00C7378F" w:rsidP="00C7378F">
      <w:pPr>
        <w:spacing w:line="240" w:lineRule="auto"/>
        <w:ind w:left="360"/>
        <w:jc w:val="center"/>
        <w:rPr>
          <w:rFonts w:ascii="Barlow" w:hAnsi="Barlow" w:cs="Arial"/>
          <w:b/>
          <w:sz w:val="20"/>
          <w:szCs w:val="20"/>
        </w:rPr>
      </w:pPr>
      <w:r w:rsidRPr="00C7378F">
        <w:rPr>
          <w:rFonts w:ascii="Barlow" w:hAnsi="Barlow" w:cs="Arial"/>
          <w:b/>
          <w:sz w:val="20"/>
          <w:szCs w:val="20"/>
        </w:rPr>
        <w:t>(Cifras en Pesos)</w:t>
      </w:r>
    </w:p>
    <w:p w14:paraId="299EF1AF" w14:textId="77777777" w:rsidR="00C7378F" w:rsidRPr="00C7378F" w:rsidRDefault="00C7378F" w:rsidP="00C7378F">
      <w:pPr>
        <w:spacing w:line="240" w:lineRule="auto"/>
        <w:ind w:left="360"/>
        <w:jc w:val="center"/>
        <w:rPr>
          <w:rFonts w:ascii="Barlow" w:hAnsi="Barlow" w:cs="Arial"/>
          <w:b/>
          <w:sz w:val="20"/>
          <w:szCs w:val="20"/>
        </w:rPr>
      </w:pPr>
    </w:p>
    <w:p w14:paraId="4FA43522" w14:textId="6C83904B" w:rsidR="00C7378F" w:rsidRPr="004F736C" w:rsidRDefault="00C7378F" w:rsidP="004F736C">
      <w:pPr>
        <w:ind w:left="360"/>
        <w:rPr>
          <w:rFonts w:ascii="Barlow" w:hAnsi="Barlow" w:cs="Calibri"/>
          <w:b/>
          <w:sz w:val="20"/>
          <w:szCs w:val="20"/>
        </w:rPr>
      </w:pPr>
      <w:r w:rsidRPr="00C7378F">
        <w:rPr>
          <w:rFonts w:ascii="Barlow" w:hAnsi="Barlow" w:cs="Calibri"/>
          <w:b/>
          <w:sz w:val="20"/>
          <w:szCs w:val="20"/>
        </w:rPr>
        <w:t>Ente Público:  UNIVERSIDAD AUTÓNOMA DE YUCATÁN</w:t>
      </w:r>
    </w:p>
    <w:p w14:paraId="10AC865E" w14:textId="77777777" w:rsidR="00CE1D0D" w:rsidRPr="00C7378F" w:rsidRDefault="00CE1D0D" w:rsidP="00CE1D0D">
      <w:pPr>
        <w:pStyle w:val="Prrafodelista"/>
        <w:numPr>
          <w:ilvl w:val="0"/>
          <w:numId w:val="1"/>
        </w:numPr>
        <w:ind w:left="0" w:firstLine="0"/>
        <w:rPr>
          <w:rFonts w:ascii="Barlow" w:hAnsi="Barlow"/>
          <w:b/>
          <w:bCs/>
          <w:sz w:val="20"/>
          <w:szCs w:val="20"/>
          <w:highlight w:val="lightGray"/>
        </w:rPr>
      </w:pPr>
      <w:r w:rsidRPr="00C7378F">
        <w:rPr>
          <w:rFonts w:ascii="Barlow" w:hAnsi="Barlow"/>
          <w:b/>
          <w:bCs/>
          <w:sz w:val="20"/>
          <w:szCs w:val="20"/>
          <w:highlight w:val="lightGray"/>
        </w:rPr>
        <w:t>NOTAS DE GESTIÓN ADMINISTRATIVA</w:t>
      </w:r>
    </w:p>
    <w:p w14:paraId="45AB8CC1" w14:textId="28F9D8D1" w:rsidR="00CE1D0D" w:rsidRPr="00C7378F" w:rsidRDefault="00CE1D0D" w:rsidP="00CE1D0D">
      <w:pPr>
        <w:rPr>
          <w:rFonts w:ascii="Barlow" w:hAnsi="Barlow"/>
          <w:b/>
          <w:bCs/>
          <w:sz w:val="20"/>
          <w:szCs w:val="20"/>
        </w:rPr>
      </w:pPr>
      <w:r w:rsidRPr="00C7378F">
        <w:rPr>
          <w:rFonts w:ascii="Barlow" w:hAnsi="Barlow"/>
          <w:b/>
          <w:bCs/>
          <w:sz w:val="20"/>
          <w:szCs w:val="20"/>
        </w:rPr>
        <w:t>Introducción</w:t>
      </w:r>
    </w:p>
    <w:p w14:paraId="6143A253" w14:textId="36BD5FA3" w:rsidR="00CE1D0D" w:rsidRPr="00C7378F" w:rsidRDefault="00CE1D0D" w:rsidP="00CE1D0D">
      <w:pPr>
        <w:jc w:val="both"/>
        <w:rPr>
          <w:rFonts w:ascii="Barlow" w:hAnsi="Barlow"/>
          <w:sz w:val="20"/>
          <w:szCs w:val="20"/>
        </w:rPr>
      </w:pPr>
      <w:r w:rsidRPr="00C7378F">
        <w:rPr>
          <w:rFonts w:ascii="Barlow" w:hAnsi="Barlow"/>
          <w:sz w:val="20"/>
          <w:szCs w:val="20"/>
        </w:rPr>
        <w:t>Los estados financieros de la Universidad Autónoma de Yucatán proveen información financiera a sus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su mayor comprensión, así como de 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p w14:paraId="7F046723" w14:textId="4C298055" w:rsidR="00CE1D0D" w:rsidRPr="00C7378F" w:rsidRDefault="00CE1D0D" w:rsidP="00CE1D0D">
      <w:pPr>
        <w:pStyle w:val="Prrafodelista"/>
        <w:numPr>
          <w:ilvl w:val="0"/>
          <w:numId w:val="11"/>
        </w:numPr>
        <w:jc w:val="both"/>
        <w:rPr>
          <w:rFonts w:ascii="Barlow" w:hAnsi="Barlow"/>
          <w:b/>
          <w:bCs/>
          <w:sz w:val="20"/>
          <w:szCs w:val="20"/>
        </w:rPr>
      </w:pPr>
      <w:r w:rsidRPr="00C7378F">
        <w:rPr>
          <w:rFonts w:ascii="Barlow" w:hAnsi="Barlow"/>
          <w:b/>
          <w:bCs/>
          <w:sz w:val="20"/>
          <w:szCs w:val="20"/>
        </w:rPr>
        <w:t>Autorización e Historia</w:t>
      </w:r>
    </w:p>
    <w:p w14:paraId="66F5ABDD" w14:textId="77777777" w:rsidR="00CE1D0D" w:rsidRPr="00C7378F" w:rsidRDefault="00CE1D0D" w:rsidP="00CE1D0D">
      <w:pPr>
        <w:jc w:val="both"/>
        <w:rPr>
          <w:rFonts w:ascii="Barlow" w:hAnsi="Barlow"/>
          <w:sz w:val="20"/>
          <w:szCs w:val="20"/>
        </w:rPr>
      </w:pPr>
      <w:r w:rsidRPr="00C7378F">
        <w:rPr>
          <w:rFonts w:ascii="Barlow" w:hAnsi="Barlow"/>
          <w:sz w:val="20"/>
          <w:szCs w:val="20"/>
        </w:rPr>
        <w:t>En septiembre de 1984, siendo Rector de la Universidad el Ing. Álvaro J. Mimenza Cuevas; el Gobernador del estado, Sr. Víctor Cervera Pacheco, promulgó una nueva Ley Orgánica y el nombre de Universidad Autónoma de Yucatán rige a la Casa de Altos Estudios hasta la fecha.</w:t>
      </w:r>
    </w:p>
    <w:p w14:paraId="79CF2AC1" w14:textId="77777777" w:rsidR="00CE1D0D" w:rsidRPr="00C7378F" w:rsidRDefault="00CE1D0D" w:rsidP="00CE1D0D">
      <w:pPr>
        <w:jc w:val="both"/>
        <w:rPr>
          <w:rFonts w:ascii="Barlow" w:hAnsi="Barlow"/>
          <w:sz w:val="20"/>
          <w:szCs w:val="20"/>
        </w:rPr>
      </w:pPr>
      <w:r w:rsidRPr="00C7378F">
        <w:rPr>
          <w:rFonts w:ascii="Barlow" w:hAnsi="Barlow"/>
          <w:sz w:val="20"/>
          <w:szCs w:val="20"/>
        </w:rPr>
        <w:t>La Universidad Autónoma de Yucatán es una institución de enseñanza superior, Autónoma por Ley, descentralizada del Estado, para organizar, administrar y desarrollar sus fines, con plena capacidad, personalidad jurídica y patrimonio propio.</w:t>
      </w:r>
    </w:p>
    <w:p w14:paraId="1BA8166A" w14:textId="77777777" w:rsidR="00CE1D0D" w:rsidRPr="00C7378F" w:rsidRDefault="00CE1D0D" w:rsidP="00CE1D0D">
      <w:pPr>
        <w:jc w:val="both"/>
        <w:rPr>
          <w:rFonts w:ascii="Barlow" w:hAnsi="Barlow"/>
          <w:sz w:val="20"/>
          <w:szCs w:val="20"/>
        </w:rPr>
      </w:pPr>
      <w:r w:rsidRPr="00C7378F">
        <w:rPr>
          <w:rFonts w:ascii="Barlow" w:hAnsi="Barlow"/>
          <w:sz w:val="20"/>
          <w:szCs w:val="20"/>
        </w:rPr>
        <w:t>La Universidad Autónoma de Yucatán tiene por finalidades: Educar, generar el conocimiento y difundir la cultura en beneficio de la sociedad, para lo cual debe:</w:t>
      </w:r>
    </w:p>
    <w:p w14:paraId="1A70B45B" w14:textId="77777777" w:rsidR="00CE1D0D" w:rsidRPr="00C7378F" w:rsidRDefault="00CE1D0D" w:rsidP="00CE1D0D">
      <w:pPr>
        <w:jc w:val="both"/>
        <w:rPr>
          <w:rFonts w:ascii="Barlow" w:hAnsi="Barlow"/>
          <w:sz w:val="20"/>
          <w:szCs w:val="20"/>
        </w:rPr>
      </w:pPr>
    </w:p>
    <w:p w14:paraId="70C3C459" w14:textId="77777777" w:rsidR="00CE1D0D" w:rsidRPr="00C7378F" w:rsidRDefault="00CE1D0D" w:rsidP="00CE1D0D">
      <w:pPr>
        <w:jc w:val="both"/>
        <w:rPr>
          <w:rFonts w:ascii="Barlow" w:hAnsi="Barlow"/>
          <w:sz w:val="20"/>
          <w:szCs w:val="20"/>
        </w:rPr>
      </w:pPr>
    </w:p>
    <w:p w14:paraId="21507A80"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lastRenderedPageBreak/>
        <w:t>I.- Formar profesionales, Investigadores y maestros universitarios de acuerdo con las necesidades económicas, sociales y políticas de la entidad, de la región y de la Nación.</w:t>
      </w:r>
    </w:p>
    <w:p w14:paraId="27785732"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II.- Fomentar y realizar investigación científica y humanística.</w:t>
      </w:r>
    </w:p>
    <w:p w14:paraId="4EB5D2B5" w14:textId="77777777" w:rsidR="00CE1D0D" w:rsidRPr="00C7378F" w:rsidRDefault="00CE1D0D" w:rsidP="00CE1D0D">
      <w:pPr>
        <w:spacing w:after="0"/>
        <w:jc w:val="both"/>
        <w:rPr>
          <w:rFonts w:ascii="Barlow" w:hAnsi="Barlow"/>
          <w:sz w:val="20"/>
          <w:szCs w:val="20"/>
        </w:rPr>
      </w:pPr>
    </w:p>
    <w:p w14:paraId="306156C7"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III.- Extender los beneficios de la cultura a la sociedad.</w:t>
      </w:r>
    </w:p>
    <w:p w14:paraId="214ACEC9" w14:textId="77777777" w:rsidR="00CE1D0D" w:rsidRPr="00C7378F" w:rsidRDefault="00CE1D0D" w:rsidP="00CE1D0D">
      <w:pPr>
        <w:spacing w:after="0"/>
        <w:jc w:val="both"/>
        <w:rPr>
          <w:rFonts w:ascii="Barlow" w:hAnsi="Barlow"/>
          <w:sz w:val="20"/>
          <w:szCs w:val="20"/>
        </w:rPr>
      </w:pPr>
    </w:p>
    <w:p w14:paraId="4DEBBB3A" w14:textId="77777777" w:rsidR="00CE1D0D" w:rsidRPr="00C7378F" w:rsidRDefault="00CE1D0D" w:rsidP="00CE1D0D">
      <w:pPr>
        <w:spacing w:after="0"/>
        <w:jc w:val="both"/>
        <w:rPr>
          <w:rFonts w:ascii="Barlow" w:hAnsi="Barlow"/>
          <w:sz w:val="20"/>
          <w:szCs w:val="20"/>
        </w:rPr>
      </w:pPr>
    </w:p>
    <w:p w14:paraId="61AA74EE" w14:textId="1EE9FB99" w:rsidR="00CE1D0D" w:rsidRDefault="00CE1D0D" w:rsidP="004F736C">
      <w:pPr>
        <w:spacing w:after="0"/>
        <w:jc w:val="both"/>
        <w:rPr>
          <w:rFonts w:ascii="Barlow" w:hAnsi="Barlow"/>
          <w:sz w:val="20"/>
          <w:szCs w:val="20"/>
        </w:rPr>
      </w:pPr>
      <w:r w:rsidRPr="00C7378F">
        <w:rPr>
          <w:rFonts w:ascii="Barlow" w:hAnsi="Barlow"/>
          <w:sz w:val="20"/>
          <w:szCs w:val="20"/>
        </w:rPr>
        <w:t>Para realizar sus fines, la Universidad Autónoma de Yucatán se fundamenta en los principios de la libertad de cátedra e investigación y de libre examen y discusión de las ideas, conforme a lo establecido en la fracción VIII del Artículo 3° constitucional.</w:t>
      </w:r>
    </w:p>
    <w:p w14:paraId="1165DDB3" w14:textId="77777777" w:rsidR="004F736C" w:rsidRPr="00C7378F" w:rsidRDefault="004F736C" w:rsidP="004F736C">
      <w:pPr>
        <w:spacing w:after="0"/>
        <w:jc w:val="both"/>
        <w:rPr>
          <w:rFonts w:ascii="Barlow" w:hAnsi="Barlow"/>
          <w:sz w:val="20"/>
          <w:szCs w:val="20"/>
        </w:rPr>
      </w:pPr>
    </w:p>
    <w:p w14:paraId="7AB73EAA" w14:textId="54C75F57" w:rsidR="00CE1D0D" w:rsidRPr="00C7378F" w:rsidRDefault="00CE1D0D" w:rsidP="00CE1D0D">
      <w:pPr>
        <w:pStyle w:val="Prrafodelista"/>
        <w:numPr>
          <w:ilvl w:val="0"/>
          <w:numId w:val="11"/>
        </w:numPr>
        <w:rPr>
          <w:rFonts w:ascii="Barlow" w:hAnsi="Barlow"/>
          <w:b/>
          <w:bCs/>
          <w:sz w:val="20"/>
          <w:szCs w:val="20"/>
        </w:rPr>
      </w:pPr>
      <w:r w:rsidRPr="00C7378F">
        <w:rPr>
          <w:rFonts w:ascii="Barlow" w:hAnsi="Barlow"/>
          <w:b/>
          <w:bCs/>
          <w:sz w:val="20"/>
          <w:szCs w:val="20"/>
        </w:rPr>
        <w:t>Panorama económico y financiero</w:t>
      </w:r>
    </w:p>
    <w:p w14:paraId="62EBEAE7" w14:textId="77777777" w:rsidR="00CE1D0D" w:rsidRPr="00C7378F" w:rsidRDefault="00CE1D0D" w:rsidP="00CE1D0D">
      <w:pPr>
        <w:rPr>
          <w:rFonts w:ascii="Barlow" w:hAnsi="Barlow"/>
          <w:sz w:val="20"/>
          <w:szCs w:val="20"/>
        </w:rPr>
      </w:pPr>
      <w:r w:rsidRPr="00C7378F">
        <w:rPr>
          <w:rFonts w:ascii="Barlow" w:hAnsi="Barlow"/>
          <w:sz w:val="20"/>
          <w:szCs w:val="20"/>
        </w:rPr>
        <w:t>En el aspecto económico la Universidad Autónoma de Yucatán cuenta con las siguientes fuentes de ingreso:</w:t>
      </w:r>
    </w:p>
    <w:p w14:paraId="0F9F9688" w14:textId="77777777" w:rsidR="00CE1D0D" w:rsidRPr="00C7378F" w:rsidRDefault="00CE1D0D" w:rsidP="00CE1D0D">
      <w:pPr>
        <w:spacing w:after="0"/>
        <w:rPr>
          <w:rFonts w:ascii="Barlow" w:hAnsi="Barlow"/>
          <w:sz w:val="20"/>
          <w:szCs w:val="20"/>
        </w:rPr>
      </w:pPr>
      <w:r w:rsidRPr="00C7378F">
        <w:rPr>
          <w:rFonts w:ascii="Barlow" w:hAnsi="Barlow"/>
          <w:sz w:val="20"/>
          <w:szCs w:val="20"/>
        </w:rPr>
        <w:t>-  Aportaciones del gobierno federal</w:t>
      </w:r>
    </w:p>
    <w:p w14:paraId="785EA77C" w14:textId="77777777" w:rsidR="00CE1D0D" w:rsidRPr="00C7378F" w:rsidRDefault="00CE1D0D" w:rsidP="00CE1D0D">
      <w:pPr>
        <w:spacing w:after="0"/>
        <w:rPr>
          <w:rFonts w:ascii="Barlow" w:hAnsi="Barlow"/>
          <w:sz w:val="20"/>
          <w:szCs w:val="20"/>
        </w:rPr>
      </w:pPr>
      <w:r w:rsidRPr="00C7378F">
        <w:rPr>
          <w:rFonts w:ascii="Barlow" w:hAnsi="Barlow"/>
          <w:sz w:val="20"/>
          <w:szCs w:val="20"/>
        </w:rPr>
        <w:t>-  Aportaciones del gobierno estatal</w:t>
      </w:r>
    </w:p>
    <w:p w14:paraId="624C3635" w14:textId="77777777" w:rsidR="00CE1D0D" w:rsidRPr="00C7378F" w:rsidRDefault="00CE1D0D" w:rsidP="00CE1D0D">
      <w:pPr>
        <w:spacing w:after="0"/>
        <w:rPr>
          <w:rFonts w:ascii="Barlow" w:hAnsi="Barlow"/>
          <w:sz w:val="20"/>
          <w:szCs w:val="20"/>
        </w:rPr>
      </w:pPr>
      <w:r w:rsidRPr="00C7378F">
        <w:rPr>
          <w:rFonts w:ascii="Barlow" w:hAnsi="Barlow"/>
          <w:sz w:val="20"/>
          <w:szCs w:val="20"/>
        </w:rPr>
        <w:t>-  Ingresos propios</w:t>
      </w:r>
    </w:p>
    <w:p w14:paraId="20C87A54" w14:textId="77777777" w:rsidR="00CE1D0D" w:rsidRPr="00C7378F" w:rsidRDefault="00CE1D0D" w:rsidP="00CE1D0D">
      <w:pPr>
        <w:spacing w:after="0"/>
        <w:rPr>
          <w:rFonts w:ascii="Barlow" w:hAnsi="Barlow"/>
          <w:sz w:val="20"/>
          <w:szCs w:val="20"/>
        </w:rPr>
      </w:pPr>
    </w:p>
    <w:p w14:paraId="4609B1A5"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Aportaciones de diversas instituciones y fundaciones para programas de investigación, programas específicos de acuerdo con los convenios que se celebren con estos organismos</w:t>
      </w:r>
    </w:p>
    <w:p w14:paraId="58A58E99" w14:textId="0AE0AF29" w:rsidR="00CE1D0D" w:rsidRPr="00C7378F" w:rsidRDefault="00CE1D0D" w:rsidP="00CE1D0D">
      <w:pPr>
        <w:spacing w:after="0"/>
        <w:jc w:val="both"/>
        <w:rPr>
          <w:rFonts w:ascii="Barlow" w:hAnsi="Barlow"/>
          <w:sz w:val="20"/>
          <w:szCs w:val="20"/>
        </w:rPr>
      </w:pPr>
    </w:p>
    <w:p w14:paraId="625C661C" w14:textId="368725C1" w:rsidR="00CE1D0D" w:rsidRPr="00C7378F" w:rsidRDefault="00CE1D0D" w:rsidP="00CE1D0D">
      <w:pPr>
        <w:pStyle w:val="Prrafodelista"/>
        <w:numPr>
          <w:ilvl w:val="0"/>
          <w:numId w:val="11"/>
        </w:numPr>
        <w:spacing w:after="0"/>
        <w:jc w:val="both"/>
        <w:rPr>
          <w:rFonts w:ascii="Barlow" w:hAnsi="Barlow"/>
          <w:b/>
          <w:bCs/>
          <w:sz w:val="20"/>
          <w:szCs w:val="20"/>
        </w:rPr>
      </w:pPr>
      <w:r w:rsidRPr="00C7378F">
        <w:rPr>
          <w:rFonts w:ascii="Barlow" w:hAnsi="Barlow"/>
          <w:b/>
          <w:bCs/>
          <w:sz w:val="20"/>
          <w:szCs w:val="20"/>
        </w:rPr>
        <w:t>Organización y objeto social</w:t>
      </w:r>
    </w:p>
    <w:p w14:paraId="0DC63AE8" w14:textId="77777777" w:rsidR="00CE1D0D" w:rsidRPr="00C7378F" w:rsidRDefault="00CE1D0D" w:rsidP="00CE1D0D">
      <w:pPr>
        <w:spacing w:after="0"/>
        <w:jc w:val="both"/>
        <w:rPr>
          <w:rFonts w:ascii="Barlow" w:hAnsi="Barlow"/>
          <w:b/>
          <w:bCs/>
          <w:sz w:val="20"/>
          <w:szCs w:val="20"/>
        </w:rPr>
      </w:pPr>
    </w:p>
    <w:p w14:paraId="08CE9DFE"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La Universidad Autónoma de Yucatán imparte educación superior de licenciatura, maestría y doctorado, cursos de actualización y especialización, en sus modalidades escolar y extraescolar, así como la de bachillerato o su equivalente.</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798FC63A"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1BB49EAD"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 partir del 2007 se inicia la integración de las áreas del conocimiento mediante su agrupamiento físico en campus agrupando las dependencias universitarias como sigue:</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7B381335"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3145D995"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Campus de Ingeniería y Ciencias Exactas</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5FB8F062"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lastRenderedPageBreak/>
        <w:t>Facultad de Ingeniería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4EAD5D6"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Ingeniería Química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01A64B5"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Matemáticas</w:t>
      </w:r>
      <w:r w:rsidRPr="00C7378F">
        <w:rPr>
          <w:rFonts w:ascii="Barlow" w:hAnsi="Barlow"/>
          <w:sz w:val="20"/>
          <w:szCs w:val="20"/>
        </w:rPr>
        <w:tab/>
      </w:r>
      <w:r w:rsidRPr="00C7378F">
        <w:rPr>
          <w:rFonts w:ascii="Barlow" w:hAnsi="Barlow"/>
          <w:sz w:val="20"/>
          <w:szCs w:val="20"/>
        </w:rPr>
        <w:tab/>
      </w:r>
    </w:p>
    <w:p w14:paraId="1F965829"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65C0DFA7"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Campus de Ciencias Biológicas y Agropecuarias</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335103CD"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Medicina Veterinaria y Zootecnia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460BAC29"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48D86ED2"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Campus de Ciencias de la Salud</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32204488"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Enfermería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1AF1F1DF"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Medicina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4ED8B108"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Facultad de Odontología </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6A0C6282"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Química</w:t>
      </w:r>
      <w:r w:rsidRPr="00C7378F">
        <w:rPr>
          <w:rFonts w:ascii="Barlow" w:hAnsi="Barlow"/>
          <w:sz w:val="20"/>
          <w:szCs w:val="20"/>
        </w:rPr>
        <w:tab/>
      </w:r>
      <w:r w:rsidRPr="00C7378F">
        <w:rPr>
          <w:rFonts w:ascii="Barlow" w:hAnsi="Barlow"/>
          <w:sz w:val="20"/>
          <w:szCs w:val="20"/>
        </w:rPr>
        <w:tab/>
      </w:r>
    </w:p>
    <w:p w14:paraId="0ECEB6D1" w14:textId="61673E4C"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2B482E1E"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 xml:space="preserve">Campus de Ciencias Sociales </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0B1E059A"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Ciencias Antropológicas</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19C98A1D"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Contaduría y Administración</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63C4319B"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Educación</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78AFF48D"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Derecho</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1145BEFC"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Economía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3BBC8378"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Psicología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4A0C55BB"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641B72E"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Campus de Arquitectura, Arte y Diseño</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321D4E28"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Facultad de Arquitectura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294C2455" w14:textId="77777777" w:rsidR="00CE1D0D" w:rsidRPr="00C7378F" w:rsidRDefault="00CE1D0D" w:rsidP="00CE1D0D">
      <w:pPr>
        <w:spacing w:after="0"/>
        <w:jc w:val="both"/>
        <w:rPr>
          <w:rFonts w:ascii="Barlow" w:hAnsi="Barlow"/>
          <w:sz w:val="20"/>
          <w:szCs w:val="20"/>
        </w:rPr>
      </w:pPr>
    </w:p>
    <w:p w14:paraId="691A9583" w14:textId="77777777"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Campus Tizimín y un Centro de Investigaciones Regionales</w:t>
      </w:r>
    </w:p>
    <w:p w14:paraId="6B46AC2E" w14:textId="77777777" w:rsidR="00CE1D0D" w:rsidRPr="00C7378F" w:rsidRDefault="00CE1D0D" w:rsidP="00CE1D0D">
      <w:pPr>
        <w:spacing w:after="0"/>
        <w:jc w:val="both"/>
        <w:rPr>
          <w:rFonts w:ascii="Barlow" w:hAnsi="Barlow"/>
          <w:b/>
          <w:bCs/>
          <w:sz w:val="20"/>
          <w:szCs w:val="20"/>
        </w:rPr>
      </w:pPr>
    </w:p>
    <w:p w14:paraId="1B3F604A" w14:textId="1AA6528C" w:rsidR="00CE1D0D" w:rsidRPr="00C7378F" w:rsidRDefault="00CE1D0D" w:rsidP="00CE1D0D">
      <w:pPr>
        <w:pStyle w:val="Prrafodelista"/>
        <w:numPr>
          <w:ilvl w:val="0"/>
          <w:numId w:val="11"/>
        </w:numPr>
        <w:spacing w:after="0"/>
        <w:jc w:val="both"/>
        <w:rPr>
          <w:rFonts w:ascii="Barlow" w:hAnsi="Barlow"/>
          <w:b/>
          <w:bCs/>
          <w:sz w:val="20"/>
          <w:szCs w:val="20"/>
        </w:rPr>
      </w:pPr>
      <w:r w:rsidRPr="00C7378F">
        <w:rPr>
          <w:rFonts w:ascii="Barlow" w:hAnsi="Barlow"/>
          <w:b/>
          <w:bCs/>
          <w:sz w:val="20"/>
          <w:szCs w:val="20"/>
        </w:rPr>
        <w:t>Bases de preparación de los estados financieros</w:t>
      </w:r>
    </w:p>
    <w:p w14:paraId="695DA7CF" w14:textId="77777777" w:rsidR="00CE1D0D" w:rsidRPr="00C7378F" w:rsidRDefault="00CE1D0D" w:rsidP="00CE1D0D">
      <w:pPr>
        <w:spacing w:after="0"/>
        <w:jc w:val="both"/>
        <w:rPr>
          <w:rFonts w:ascii="Barlow" w:hAnsi="Barlow"/>
          <w:b/>
          <w:bCs/>
          <w:sz w:val="20"/>
          <w:szCs w:val="20"/>
        </w:rPr>
      </w:pPr>
    </w:p>
    <w:p w14:paraId="48FBA17E"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Cambios contables, Ley General de Contabilidad Gubernamental:</w:t>
      </w:r>
    </w:p>
    <w:p w14:paraId="786F2AD3" w14:textId="77777777" w:rsidR="00CE1D0D" w:rsidRPr="00C7378F" w:rsidRDefault="00CE1D0D" w:rsidP="00CE1D0D">
      <w:pPr>
        <w:spacing w:after="0"/>
        <w:jc w:val="both"/>
        <w:rPr>
          <w:rFonts w:ascii="Barlow" w:hAnsi="Barlow"/>
          <w:sz w:val="20"/>
          <w:szCs w:val="20"/>
        </w:rPr>
      </w:pPr>
    </w:p>
    <w:p w14:paraId="5BCAC880"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A partir del ejercicio 2013 entran en vigor las disposiciones de la Ley General de Contabilidad Gubernamental, misma que se publicó en diciembre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w:t>
      </w:r>
    </w:p>
    <w:p w14:paraId="0D7ACD6A" w14:textId="77777777" w:rsidR="00CE1D0D" w:rsidRPr="00C7378F" w:rsidRDefault="00CE1D0D" w:rsidP="00CE1D0D">
      <w:pPr>
        <w:spacing w:after="0"/>
        <w:jc w:val="both"/>
        <w:rPr>
          <w:rFonts w:ascii="Barlow" w:hAnsi="Barlow"/>
          <w:sz w:val="20"/>
          <w:szCs w:val="20"/>
        </w:rPr>
      </w:pPr>
    </w:p>
    <w:p w14:paraId="3B271919"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w:t>
      </w:r>
    </w:p>
    <w:p w14:paraId="65FAB9C2"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w:t>
      </w:r>
    </w:p>
    <w:p w14:paraId="1E908140" w14:textId="4A7B597D" w:rsidR="00CE1D0D" w:rsidRPr="00C7378F" w:rsidRDefault="00CE1D0D" w:rsidP="00CE1D0D">
      <w:pPr>
        <w:spacing w:after="0"/>
        <w:jc w:val="both"/>
        <w:rPr>
          <w:rFonts w:ascii="Barlow" w:hAnsi="Barlow"/>
          <w:sz w:val="20"/>
          <w:szCs w:val="20"/>
        </w:rPr>
      </w:pPr>
    </w:p>
    <w:p w14:paraId="28BB2CAC"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realizado al 31 de diciembre de 2016. Los valores que se tomarán en consideración serán los campos de valor histórico, importe de revaluación y depreciación acumulada, la diferencia resultante de esta comparación se afectará en el patrimonio.  Respecto de los bienes inmuebles la </w:t>
      </w:r>
    </w:p>
    <w:p w14:paraId="2FAD93B5"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p w14:paraId="31085CB3" w14:textId="77777777" w:rsidR="00CE1D0D" w:rsidRPr="00C7378F" w:rsidRDefault="00CE1D0D" w:rsidP="00CE1D0D">
      <w:pPr>
        <w:spacing w:after="0"/>
        <w:jc w:val="both"/>
        <w:rPr>
          <w:rFonts w:ascii="Barlow" w:hAnsi="Barlow"/>
          <w:sz w:val="20"/>
          <w:szCs w:val="20"/>
        </w:rPr>
      </w:pPr>
    </w:p>
    <w:p w14:paraId="28D8FF9E" w14:textId="77777777" w:rsidR="00CE1D0D" w:rsidRPr="00C7378F" w:rsidRDefault="00CE1D0D" w:rsidP="00CE1D0D">
      <w:pPr>
        <w:spacing w:after="0"/>
        <w:jc w:val="both"/>
        <w:rPr>
          <w:rFonts w:ascii="Barlow" w:hAnsi="Barlow"/>
          <w:sz w:val="20"/>
          <w:szCs w:val="20"/>
        </w:rPr>
      </w:pPr>
      <w:r w:rsidRPr="00C7378F">
        <w:rPr>
          <w:rFonts w:ascii="Barlow" w:hAnsi="Barlow"/>
          <w:i/>
          <w:iCs/>
          <w:sz w:val="20"/>
          <w:szCs w:val="20"/>
        </w:rPr>
        <w:t>Unidad monetaria</w:t>
      </w:r>
      <w:r w:rsidRPr="00C7378F">
        <w:rPr>
          <w:rFonts w:ascii="Barlow" w:hAnsi="Barlow"/>
          <w:sz w:val="20"/>
          <w:szCs w:val="20"/>
        </w:rPr>
        <w:t>. Los estados financieros están presentados en pesos, unidad monetaria vigente en nuestro país y expresados en miles de pesos.</w:t>
      </w:r>
    </w:p>
    <w:p w14:paraId="27D319E8" w14:textId="77777777" w:rsidR="00CE1D0D" w:rsidRPr="00C7378F" w:rsidRDefault="00CE1D0D" w:rsidP="00CE1D0D">
      <w:pPr>
        <w:spacing w:after="0"/>
        <w:jc w:val="both"/>
        <w:rPr>
          <w:rFonts w:ascii="Barlow" w:hAnsi="Barlow"/>
          <w:i/>
          <w:iCs/>
          <w:sz w:val="20"/>
          <w:szCs w:val="20"/>
        </w:rPr>
      </w:pPr>
    </w:p>
    <w:p w14:paraId="68959406" w14:textId="77777777" w:rsidR="00CE1D0D" w:rsidRPr="00C7378F" w:rsidRDefault="00CE1D0D" w:rsidP="00CE1D0D">
      <w:pPr>
        <w:spacing w:after="0"/>
        <w:jc w:val="both"/>
        <w:rPr>
          <w:rFonts w:ascii="Barlow" w:hAnsi="Barlow"/>
          <w:sz w:val="20"/>
          <w:szCs w:val="20"/>
        </w:rPr>
      </w:pPr>
      <w:r w:rsidRPr="00C7378F">
        <w:rPr>
          <w:rFonts w:ascii="Barlow" w:hAnsi="Barlow"/>
          <w:i/>
          <w:iCs/>
          <w:sz w:val="20"/>
          <w:szCs w:val="20"/>
        </w:rPr>
        <w:t>Sistema de registro</w:t>
      </w:r>
      <w:r w:rsidRPr="00C7378F">
        <w:rPr>
          <w:rFonts w:ascii="Barlow" w:hAnsi="Barlow"/>
          <w:sz w:val="20"/>
          <w:szCs w:val="20"/>
        </w:rPr>
        <w:t>. En el año del 2000 la Universidad Autónoma de Yucatán adopta el “Sistema de Contabilidad de Fondos” que consiste en registrar los recursos financieros clasificándolos para propósitos contables y de reporte, de acuerdo con su utilización y en concordancia con las leyes, normas, restricciones o limitaciones impuestas por las fuentes externas de la institución.</w:t>
      </w:r>
    </w:p>
    <w:p w14:paraId="12E0EF10" w14:textId="69DEECC6"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p>
    <w:p w14:paraId="5A3FE1F2" w14:textId="458DFAC5" w:rsidR="00CE1D0D" w:rsidRPr="00C7378F" w:rsidRDefault="00CE1D0D" w:rsidP="00CE1D0D">
      <w:pPr>
        <w:pStyle w:val="Prrafodelista"/>
        <w:numPr>
          <w:ilvl w:val="0"/>
          <w:numId w:val="11"/>
        </w:numPr>
        <w:spacing w:after="0"/>
        <w:jc w:val="both"/>
        <w:rPr>
          <w:rFonts w:ascii="Barlow" w:hAnsi="Barlow"/>
          <w:b/>
          <w:bCs/>
          <w:sz w:val="20"/>
          <w:szCs w:val="20"/>
        </w:rPr>
      </w:pPr>
      <w:r w:rsidRPr="00C7378F">
        <w:rPr>
          <w:rFonts w:ascii="Barlow" w:hAnsi="Barlow"/>
          <w:b/>
          <w:bCs/>
          <w:sz w:val="20"/>
          <w:szCs w:val="20"/>
        </w:rPr>
        <w:t>Políticas de Contabilidad Significativas</w:t>
      </w:r>
    </w:p>
    <w:p w14:paraId="5FCBF666" w14:textId="77777777" w:rsidR="00CE1D0D" w:rsidRPr="00C7378F" w:rsidRDefault="00CE1D0D" w:rsidP="00CE1D0D">
      <w:pPr>
        <w:spacing w:after="0"/>
        <w:jc w:val="both"/>
        <w:rPr>
          <w:rFonts w:ascii="Barlow" w:hAnsi="Barlow"/>
          <w:b/>
          <w:bCs/>
          <w:sz w:val="20"/>
          <w:szCs w:val="20"/>
        </w:rPr>
      </w:pPr>
    </w:p>
    <w:p w14:paraId="2EB8A011"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u w:val="single"/>
        </w:rPr>
        <w:t>Reconocimiento de la inflación en la información financiera</w:t>
      </w:r>
      <w:r w:rsidRPr="00C7378F">
        <w:rPr>
          <w:rFonts w:ascii="Barlow" w:hAnsi="Barlow"/>
          <w:sz w:val="20"/>
          <w:szCs w:val="20"/>
        </w:rPr>
        <w:t>.</w:t>
      </w:r>
    </w:p>
    <w:p w14:paraId="7BE16D0F" w14:textId="77777777" w:rsidR="00CE1D0D" w:rsidRPr="00C7378F" w:rsidRDefault="00CE1D0D" w:rsidP="00CE1D0D">
      <w:pPr>
        <w:spacing w:after="0"/>
        <w:jc w:val="both"/>
        <w:rPr>
          <w:rFonts w:ascii="Barlow" w:hAnsi="Barlow"/>
          <w:sz w:val="20"/>
          <w:szCs w:val="20"/>
        </w:rPr>
      </w:pPr>
    </w:p>
    <w:p w14:paraId="1221E432" w14:textId="77777777" w:rsidR="00CE1D0D" w:rsidRPr="00C7378F" w:rsidRDefault="00CE1D0D" w:rsidP="00CE1D0D">
      <w:pPr>
        <w:jc w:val="both"/>
        <w:rPr>
          <w:rFonts w:ascii="Barlow" w:hAnsi="Barlow"/>
          <w:sz w:val="20"/>
          <w:szCs w:val="20"/>
        </w:rPr>
      </w:pPr>
      <w:r w:rsidRPr="00C7378F">
        <w:rPr>
          <w:rFonts w:ascii="Barlow" w:hAnsi="Barlow"/>
          <w:sz w:val="20"/>
          <w:szCs w:val="20"/>
        </w:rPr>
        <w:lastRenderedPageBreak/>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p w14:paraId="393BFC80" w14:textId="77777777" w:rsidR="00CE1D0D" w:rsidRPr="00C7378F" w:rsidRDefault="00CE1D0D" w:rsidP="00CE1D0D">
      <w:pPr>
        <w:jc w:val="both"/>
        <w:rPr>
          <w:rFonts w:ascii="Barlow" w:hAnsi="Barlow"/>
          <w:sz w:val="20"/>
          <w:szCs w:val="20"/>
        </w:rPr>
      </w:pPr>
      <w:r w:rsidRPr="00C7378F">
        <w:rPr>
          <w:rFonts w:ascii="Barlow" w:hAnsi="Barlow"/>
          <w:sz w:val="20"/>
          <w:szCs w:val="20"/>
        </w:rPr>
        <w:t>La inflación anualizada del trienio que concluyó en 2018 y 2015,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de que se vuelva a estar en un entorno inflacionario, se deben reconocer los efectos acumulados de la inflación no reconocidos en los períodos en los que el entorno fue calificado como no inflacionario, de manera retrospectiva.</w:t>
      </w:r>
    </w:p>
    <w:p w14:paraId="5A221633" w14:textId="6F4E27DC" w:rsidR="00CE1D0D" w:rsidRPr="00C7378F" w:rsidRDefault="00CE1D0D" w:rsidP="00CE1D0D">
      <w:pPr>
        <w:jc w:val="both"/>
        <w:rPr>
          <w:rFonts w:ascii="Barlow" w:hAnsi="Barlow"/>
          <w:sz w:val="20"/>
          <w:szCs w:val="20"/>
        </w:rPr>
      </w:pPr>
      <w:r w:rsidRPr="00C7378F">
        <w:rPr>
          <w:rFonts w:ascii="Barlow" w:hAnsi="Barlow"/>
          <w:sz w:val="20"/>
          <w:szCs w:val="20"/>
        </w:rPr>
        <w:t>Los índices que se utilizaron para efectos de determinar un entorno económico no inflacionario fueron los siguientes:</w:t>
      </w:r>
    </w:p>
    <w:bookmarkStart w:id="0" w:name="_MON_1652033263"/>
    <w:bookmarkEnd w:id="0"/>
    <w:p w14:paraId="3ADF8991" w14:textId="3EE484EF" w:rsidR="00CE1D0D" w:rsidRPr="00C7378F" w:rsidRDefault="00A648D4" w:rsidP="00CE1D0D">
      <w:pPr>
        <w:jc w:val="both"/>
        <w:rPr>
          <w:rFonts w:ascii="Barlow" w:hAnsi="Barlow"/>
          <w:sz w:val="20"/>
          <w:szCs w:val="20"/>
        </w:rPr>
      </w:pPr>
      <w:r w:rsidRPr="00C7378F">
        <w:rPr>
          <w:rFonts w:ascii="Barlow" w:hAnsi="Barlow"/>
          <w:sz w:val="20"/>
          <w:szCs w:val="20"/>
        </w:rPr>
        <w:object w:dxaOrig="5167" w:dyaOrig="1760" w14:anchorId="0DB6A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87pt" o:ole="">
            <v:imagedata r:id="rId11" o:title=""/>
          </v:shape>
          <o:OLEObject Type="Embed" ProgID="Excel.Sheet.12" ShapeID="_x0000_i1025" DrawAspect="Content" ObjectID="_1775035200" r:id="rId12"/>
        </w:object>
      </w:r>
    </w:p>
    <w:p w14:paraId="11C8A932" w14:textId="7DA4C0B9" w:rsidR="00CE1D0D" w:rsidRPr="00EF063D" w:rsidRDefault="00CE1D0D" w:rsidP="00EF063D">
      <w:pPr>
        <w:spacing w:after="0" w:line="240" w:lineRule="auto"/>
        <w:jc w:val="both"/>
        <w:rPr>
          <w:rFonts w:ascii="Barlow" w:eastAsia="Times New Roman" w:hAnsi="Barlow" w:cs="Calibri"/>
          <w:color w:val="000000"/>
          <w:sz w:val="20"/>
          <w:szCs w:val="20"/>
          <w:u w:val="single"/>
          <w:lang w:eastAsia="es-MX"/>
        </w:rPr>
      </w:pPr>
      <w:r w:rsidRPr="00C7378F">
        <w:rPr>
          <w:rFonts w:ascii="Barlow" w:eastAsia="Times New Roman" w:hAnsi="Barlow" w:cs="Calibri"/>
          <w:color w:val="000000"/>
          <w:sz w:val="20"/>
          <w:szCs w:val="20"/>
          <w:u w:val="single"/>
          <w:lang w:eastAsia="es-MX"/>
        </w:rPr>
        <w:t>Almacén.</w:t>
      </w:r>
    </w:p>
    <w:p w14:paraId="25D043B2" w14:textId="12BD674F" w:rsidR="00CE1D0D" w:rsidRPr="00EF063D" w:rsidRDefault="00CE1D0D" w:rsidP="00CE1D0D">
      <w:pPr>
        <w:jc w:val="both"/>
        <w:rPr>
          <w:rFonts w:ascii="Barlow" w:hAnsi="Barlow"/>
          <w:sz w:val="20"/>
          <w:szCs w:val="20"/>
        </w:rPr>
      </w:pPr>
      <w:r w:rsidRPr="00C7378F">
        <w:rPr>
          <w:rFonts w:ascii="Barlow" w:hAnsi="Barlow"/>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p w14:paraId="41C1D4F6" w14:textId="241BA107" w:rsidR="00CE1D0D" w:rsidRPr="00C7378F" w:rsidRDefault="00CE1D0D" w:rsidP="00CE1D0D">
      <w:pPr>
        <w:pStyle w:val="Prrafodelista"/>
        <w:numPr>
          <w:ilvl w:val="0"/>
          <w:numId w:val="11"/>
        </w:numPr>
        <w:jc w:val="both"/>
        <w:rPr>
          <w:rFonts w:ascii="Barlow" w:hAnsi="Barlow"/>
          <w:b/>
          <w:bCs/>
          <w:sz w:val="20"/>
          <w:szCs w:val="20"/>
        </w:rPr>
      </w:pPr>
      <w:r w:rsidRPr="00C7378F">
        <w:rPr>
          <w:rFonts w:ascii="Barlow" w:hAnsi="Barlow"/>
          <w:b/>
          <w:bCs/>
          <w:sz w:val="20"/>
          <w:szCs w:val="20"/>
        </w:rPr>
        <w:t>Posesión en moneda extranjera y protección por riesgo cambiario</w:t>
      </w:r>
    </w:p>
    <w:p w14:paraId="44778CA0" w14:textId="479F350D" w:rsidR="00CE1D0D" w:rsidRPr="00C7378F" w:rsidRDefault="00CE1D0D" w:rsidP="00CE1D0D">
      <w:pPr>
        <w:jc w:val="both"/>
        <w:rPr>
          <w:rFonts w:ascii="Barlow" w:hAnsi="Barlow"/>
          <w:sz w:val="20"/>
          <w:szCs w:val="20"/>
        </w:rPr>
      </w:pPr>
      <w:r w:rsidRPr="00C7378F">
        <w:rPr>
          <w:rFonts w:ascii="Barlow" w:hAnsi="Barlow"/>
          <w:sz w:val="20"/>
          <w:szCs w:val="20"/>
        </w:rPr>
        <w:t>No se cuenta con activos o pasivos en moneda extranjera</w:t>
      </w:r>
    </w:p>
    <w:p w14:paraId="395AA001" w14:textId="4384F5F6" w:rsidR="00CE1D0D" w:rsidRPr="00C7378F" w:rsidRDefault="00CE1D0D" w:rsidP="00CE1D0D">
      <w:pPr>
        <w:pStyle w:val="Prrafodelista"/>
        <w:numPr>
          <w:ilvl w:val="0"/>
          <w:numId w:val="11"/>
        </w:numPr>
        <w:jc w:val="both"/>
        <w:rPr>
          <w:rFonts w:ascii="Barlow" w:hAnsi="Barlow"/>
          <w:b/>
          <w:bCs/>
          <w:sz w:val="20"/>
          <w:szCs w:val="20"/>
        </w:rPr>
      </w:pPr>
      <w:r w:rsidRPr="00C7378F">
        <w:rPr>
          <w:rFonts w:ascii="Barlow" w:hAnsi="Barlow"/>
          <w:b/>
          <w:bCs/>
          <w:sz w:val="20"/>
          <w:szCs w:val="20"/>
        </w:rPr>
        <w:t>Reporte analítico del activo</w:t>
      </w:r>
    </w:p>
    <w:p w14:paraId="64B923F2" w14:textId="77777777" w:rsidR="00CE1D0D" w:rsidRPr="00C7378F" w:rsidRDefault="00CE1D0D" w:rsidP="00CE1D0D">
      <w:pPr>
        <w:jc w:val="both"/>
        <w:rPr>
          <w:rFonts w:ascii="Barlow" w:hAnsi="Barlow"/>
          <w:sz w:val="20"/>
          <w:szCs w:val="20"/>
          <w:u w:val="single"/>
        </w:rPr>
      </w:pPr>
      <w:r w:rsidRPr="00C7378F">
        <w:rPr>
          <w:rFonts w:ascii="Barlow" w:hAnsi="Barlow"/>
          <w:sz w:val="20"/>
          <w:szCs w:val="20"/>
          <w:u w:val="single"/>
        </w:rPr>
        <w:t>Activos fijos. Registro y depreciación.</w:t>
      </w:r>
    </w:p>
    <w:p w14:paraId="0EB726C2" w14:textId="7665A472" w:rsidR="00CE1D0D" w:rsidRPr="00C7378F" w:rsidRDefault="00CE1D0D" w:rsidP="00CE1D0D">
      <w:pPr>
        <w:jc w:val="both"/>
        <w:rPr>
          <w:rFonts w:ascii="Barlow" w:hAnsi="Barlow"/>
          <w:sz w:val="20"/>
          <w:szCs w:val="20"/>
        </w:rPr>
      </w:pPr>
      <w:r w:rsidRPr="00C7378F">
        <w:rPr>
          <w:rFonts w:ascii="Barlow" w:hAnsi="Barlow"/>
          <w:sz w:val="20"/>
          <w:szCs w:val="20"/>
        </w:rPr>
        <w:lastRenderedPageBreak/>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p w14:paraId="2122F50C" w14:textId="3F32D7DB" w:rsidR="00CE1D0D" w:rsidRPr="00C7378F" w:rsidRDefault="00CE1D0D" w:rsidP="00CE1D0D">
      <w:pPr>
        <w:jc w:val="both"/>
        <w:rPr>
          <w:rFonts w:ascii="Barlow" w:hAnsi="Barlow"/>
          <w:sz w:val="20"/>
          <w:szCs w:val="20"/>
        </w:rPr>
      </w:pPr>
      <w:r w:rsidRPr="00C7378F">
        <w:rPr>
          <w:rFonts w:ascii="Barlow" w:hAnsi="Barlow"/>
          <w:sz w:val="20"/>
          <w:szCs w:val="20"/>
        </w:rPr>
        <w:t>El mobiliario y equipo fue inicialmente controlado mediante un inventario físico realizado en 1985 y valuado en base a precios de mercado de ese año. A partir de esa fecha se han venido registrando las adiciones a su valor de adquisición.</w:t>
      </w:r>
    </w:p>
    <w:p w14:paraId="65CBDDD6" w14:textId="1BED53C5" w:rsidR="00CE1D0D" w:rsidRPr="00C7378F" w:rsidRDefault="00CE1D0D" w:rsidP="00CE1D0D">
      <w:pPr>
        <w:jc w:val="both"/>
        <w:rPr>
          <w:rFonts w:ascii="Barlow" w:hAnsi="Barlow"/>
          <w:sz w:val="20"/>
          <w:szCs w:val="20"/>
        </w:rPr>
      </w:pPr>
      <w:r w:rsidRPr="00C7378F">
        <w:rPr>
          <w:rFonts w:ascii="Barlow" w:hAnsi="Barlow"/>
          <w:sz w:val="20"/>
          <w:szCs w:val="20"/>
        </w:rPr>
        <w:t>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registro original fueron actualizados a pesos de poder adquisitivo a la fecha del balance al 31 de diciembre de 2007 por el método de cambios en el nivel general de precios.</w:t>
      </w:r>
    </w:p>
    <w:p w14:paraId="590A3E78" w14:textId="77777777" w:rsidR="00CE1D0D" w:rsidRPr="00C7378F" w:rsidRDefault="00CE1D0D" w:rsidP="00CE1D0D">
      <w:pPr>
        <w:jc w:val="both"/>
        <w:rPr>
          <w:rFonts w:ascii="Barlow" w:hAnsi="Barlow"/>
          <w:sz w:val="20"/>
          <w:szCs w:val="20"/>
        </w:rPr>
      </w:pPr>
    </w:p>
    <w:p w14:paraId="790B78BA" w14:textId="77777777" w:rsidR="00CE1D0D" w:rsidRPr="00C7378F" w:rsidRDefault="00CE1D0D" w:rsidP="00CE1D0D">
      <w:pPr>
        <w:jc w:val="both"/>
        <w:rPr>
          <w:rFonts w:ascii="Barlow" w:hAnsi="Barlow"/>
          <w:sz w:val="20"/>
          <w:szCs w:val="20"/>
        </w:rPr>
      </w:pPr>
      <w:r w:rsidRPr="00C7378F">
        <w:rPr>
          <w:rFonts w:ascii="Barlow" w:hAnsi="Barlow"/>
          <w:sz w:val="20"/>
          <w:szCs w:val="20"/>
        </w:rPr>
        <w:t>Las tasas de depreciación utilizadas son:</w:t>
      </w:r>
    </w:p>
    <w:p w14:paraId="4823706E"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Edificios</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t>3%</w:t>
      </w:r>
    </w:p>
    <w:p w14:paraId="129D055A"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Mobiliario y equipo</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t>5%</w:t>
      </w:r>
    </w:p>
    <w:p w14:paraId="2CE31BEC"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Maquinaria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t>10%</w:t>
      </w:r>
    </w:p>
    <w:p w14:paraId="1FB2F87D"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Equipo de transporte de cómputo</w:t>
      </w:r>
      <w:r w:rsidRPr="00C7378F">
        <w:rPr>
          <w:rFonts w:ascii="Barlow" w:hAnsi="Barlow"/>
          <w:sz w:val="20"/>
          <w:szCs w:val="20"/>
        </w:rPr>
        <w:tab/>
        <w:t>20%</w:t>
      </w:r>
    </w:p>
    <w:p w14:paraId="2FF39F64" w14:textId="77777777" w:rsidR="00CE1D0D" w:rsidRPr="00C7378F" w:rsidRDefault="00CE1D0D" w:rsidP="00CE1D0D">
      <w:pPr>
        <w:spacing w:after="0"/>
        <w:jc w:val="both"/>
        <w:rPr>
          <w:rFonts w:ascii="Barlow" w:hAnsi="Barlow"/>
          <w:sz w:val="20"/>
          <w:szCs w:val="20"/>
        </w:rPr>
      </w:pPr>
    </w:p>
    <w:p w14:paraId="303679D9" w14:textId="77777777" w:rsidR="00CE1D0D" w:rsidRPr="00C7378F" w:rsidRDefault="00CE1D0D" w:rsidP="00CE1D0D">
      <w:pPr>
        <w:spacing w:after="0"/>
        <w:jc w:val="both"/>
        <w:rPr>
          <w:rFonts w:ascii="Barlow" w:hAnsi="Barlow"/>
          <w:sz w:val="20"/>
          <w:szCs w:val="20"/>
          <w:u w:val="single"/>
        </w:rPr>
      </w:pPr>
      <w:r w:rsidRPr="00C7378F">
        <w:rPr>
          <w:rFonts w:ascii="Barlow" w:hAnsi="Barlow"/>
          <w:sz w:val="20"/>
          <w:szCs w:val="20"/>
          <w:u w:val="single"/>
        </w:rPr>
        <w:t>Beneficios a empleados (Obligaciones laborales)</w:t>
      </w:r>
    </w:p>
    <w:p w14:paraId="34ED4E5A" w14:textId="77777777" w:rsidR="00CE1D0D" w:rsidRPr="00C7378F" w:rsidRDefault="00CE1D0D" w:rsidP="00CE1D0D">
      <w:pPr>
        <w:jc w:val="both"/>
        <w:rPr>
          <w:rFonts w:ascii="Barlow" w:hAnsi="Barlow"/>
          <w:sz w:val="20"/>
          <w:szCs w:val="20"/>
        </w:rPr>
      </w:pPr>
    </w:p>
    <w:p w14:paraId="167B560D" w14:textId="77777777" w:rsidR="00283951" w:rsidRPr="00C7378F" w:rsidRDefault="00283951" w:rsidP="00CE1D0D">
      <w:pPr>
        <w:jc w:val="both"/>
        <w:rPr>
          <w:rFonts w:ascii="Barlow" w:hAnsi="Barlow"/>
          <w:color w:val="000000"/>
          <w:sz w:val="20"/>
          <w:szCs w:val="20"/>
        </w:rPr>
      </w:pPr>
      <w:r w:rsidRPr="00C7378F">
        <w:rPr>
          <w:rFonts w:ascii="Barlow" w:hAnsi="Barlow"/>
          <w:color w:val="000000"/>
          <w:sz w:val="20"/>
          <w:szCs w:val="20"/>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2021 es de un pasivo total en concepto de pensiones y jubilaciones de $37,719,411,287.34($34,721,479,960.24 en 2021 de acuerdo a la valuación realizada por Valuaciones Actuariales del Norte, S.C.)</w:t>
      </w:r>
    </w:p>
    <w:p w14:paraId="4EBDDCAF" w14:textId="6EFA6180" w:rsidR="00CE1D0D" w:rsidRPr="00C7378F" w:rsidRDefault="00CE1D0D" w:rsidP="00CE1D0D">
      <w:pPr>
        <w:jc w:val="both"/>
        <w:rPr>
          <w:rFonts w:ascii="Barlow" w:hAnsi="Barlow"/>
          <w:sz w:val="20"/>
          <w:szCs w:val="20"/>
        </w:rPr>
      </w:pPr>
      <w:r w:rsidRPr="00C7378F">
        <w:rPr>
          <w:rFonts w:ascii="Barlow" w:hAnsi="Barlow"/>
          <w:sz w:val="20"/>
          <w:szCs w:val="20"/>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p w14:paraId="1096A914" w14:textId="507520C7" w:rsidR="00CE1D0D" w:rsidRPr="00EF063D" w:rsidRDefault="00CE1D0D" w:rsidP="00CE1D0D">
      <w:pPr>
        <w:jc w:val="both"/>
        <w:rPr>
          <w:rFonts w:ascii="Barlow" w:hAnsi="Barlow"/>
          <w:sz w:val="20"/>
          <w:szCs w:val="20"/>
        </w:rPr>
      </w:pPr>
      <w:r w:rsidRPr="00C7378F">
        <w:rPr>
          <w:rFonts w:ascii="Barlow" w:hAnsi="Barlow"/>
          <w:sz w:val="20"/>
          <w:szCs w:val="20"/>
        </w:rPr>
        <w:lastRenderedPageBreak/>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p>
    <w:p w14:paraId="1EEDC7F4" w14:textId="538E0793" w:rsidR="00CE1D0D" w:rsidRPr="00C7378F" w:rsidRDefault="00CE1D0D" w:rsidP="00CE1D0D">
      <w:pPr>
        <w:jc w:val="both"/>
        <w:rPr>
          <w:rFonts w:ascii="Barlow" w:hAnsi="Barlow"/>
          <w:b/>
          <w:bCs/>
          <w:sz w:val="20"/>
          <w:szCs w:val="20"/>
        </w:rPr>
      </w:pPr>
      <w:r w:rsidRPr="00C7378F">
        <w:rPr>
          <w:rFonts w:ascii="Barlow" w:hAnsi="Barlow"/>
          <w:b/>
          <w:bCs/>
          <w:sz w:val="20"/>
          <w:szCs w:val="20"/>
        </w:rPr>
        <w:t>PERSONAL ACADEMICO</w:t>
      </w:r>
    </w:p>
    <w:tbl>
      <w:tblPr>
        <w:tblStyle w:val="Tablaconcuadrcula"/>
        <w:tblW w:w="0" w:type="auto"/>
        <w:tblLook w:val="04A0" w:firstRow="1" w:lastRow="0" w:firstColumn="1" w:lastColumn="0" w:noHBand="0" w:noVBand="1"/>
      </w:tblPr>
      <w:tblGrid>
        <w:gridCol w:w="4332"/>
        <w:gridCol w:w="4332"/>
        <w:gridCol w:w="4332"/>
      </w:tblGrid>
      <w:tr w:rsidR="00CE1D0D" w:rsidRPr="00C7378F" w14:paraId="0E329463" w14:textId="77777777" w:rsidTr="00F4238B">
        <w:tc>
          <w:tcPr>
            <w:tcW w:w="4332" w:type="dxa"/>
          </w:tcPr>
          <w:p w14:paraId="231C99E8" w14:textId="77777777" w:rsidR="00CE1D0D" w:rsidRPr="00C7378F" w:rsidRDefault="00CE1D0D" w:rsidP="00F4238B">
            <w:pPr>
              <w:jc w:val="center"/>
              <w:rPr>
                <w:rFonts w:ascii="Barlow" w:hAnsi="Barlow"/>
                <w:b/>
                <w:bCs/>
                <w:sz w:val="20"/>
                <w:szCs w:val="20"/>
              </w:rPr>
            </w:pPr>
            <w:r w:rsidRPr="00C7378F">
              <w:rPr>
                <w:rFonts w:ascii="Barlow" w:hAnsi="Barlow"/>
                <w:b/>
                <w:bCs/>
                <w:sz w:val="20"/>
                <w:szCs w:val="20"/>
              </w:rPr>
              <w:t>Personal actual</w:t>
            </w:r>
          </w:p>
        </w:tc>
        <w:tc>
          <w:tcPr>
            <w:tcW w:w="4332" w:type="dxa"/>
          </w:tcPr>
          <w:p w14:paraId="1B4930F3" w14:textId="77777777" w:rsidR="00CE1D0D" w:rsidRPr="00C7378F" w:rsidRDefault="00CE1D0D" w:rsidP="00F4238B">
            <w:pPr>
              <w:jc w:val="center"/>
              <w:rPr>
                <w:rFonts w:ascii="Barlow" w:hAnsi="Barlow"/>
                <w:b/>
                <w:bCs/>
                <w:sz w:val="20"/>
                <w:szCs w:val="20"/>
              </w:rPr>
            </w:pPr>
            <w:r w:rsidRPr="00C7378F">
              <w:rPr>
                <w:rFonts w:ascii="Barlow" w:hAnsi="Barlow"/>
                <w:b/>
                <w:bCs/>
                <w:sz w:val="20"/>
                <w:szCs w:val="20"/>
              </w:rPr>
              <w:t>Futuras generaciones</w:t>
            </w:r>
          </w:p>
        </w:tc>
        <w:tc>
          <w:tcPr>
            <w:tcW w:w="4332" w:type="dxa"/>
          </w:tcPr>
          <w:p w14:paraId="61E7A1AF" w14:textId="77777777" w:rsidR="00CE1D0D" w:rsidRPr="00C7378F" w:rsidRDefault="00CE1D0D" w:rsidP="00F4238B">
            <w:pPr>
              <w:jc w:val="center"/>
              <w:rPr>
                <w:rFonts w:ascii="Barlow" w:hAnsi="Barlow"/>
                <w:b/>
                <w:bCs/>
                <w:sz w:val="20"/>
                <w:szCs w:val="20"/>
              </w:rPr>
            </w:pPr>
            <w:r w:rsidRPr="00C7378F">
              <w:rPr>
                <w:rFonts w:ascii="Barlow" w:hAnsi="Barlow"/>
                <w:b/>
                <w:bCs/>
                <w:sz w:val="20"/>
                <w:szCs w:val="20"/>
              </w:rPr>
              <w:t>Personal Jubilado</w:t>
            </w:r>
          </w:p>
        </w:tc>
      </w:tr>
      <w:tr w:rsidR="00CE1D0D" w:rsidRPr="00C7378F" w14:paraId="214371DF" w14:textId="77777777" w:rsidTr="00F4238B">
        <w:tc>
          <w:tcPr>
            <w:tcW w:w="4332" w:type="dxa"/>
          </w:tcPr>
          <w:p w14:paraId="45735D53" w14:textId="77777777" w:rsidR="00CE1D0D" w:rsidRPr="00C7378F" w:rsidRDefault="00CE1D0D" w:rsidP="00F4238B">
            <w:pPr>
              <w:jc w:val="both"/>
              <w:rPr>
                <w:rFonts w:ascii="Barlow" w:hAnsi="Barlow"/>
                <w:sz w:val="20"/>
                <w:szCs w:val="20"/>
              </w:rPr>
            </w:pPr>
            <w:r w:rsidRPr="00C7378F">
              <w:rPr>
                <w:rFonts w:ascii="Barlow" w:hAnsi="Barlow"/>
                <w:sz w:val="20"/>
                <w:szCs w:val="20"/>
              </w:rPr>
              <w:t>Se elimina la prestación de pensionarse con 15 años de servicios, sin importar la edad.</w:t>
            </w:r>
          </w:p>
        </w:tc>
        <w:tc>
          <w:tcPr>
            <w:tcW w:w="4332" w:type="dxa"/>
          </w:tcPr>
          <w:p w14:paraId="75D01E4D" w14:textId="77777777" w:rsidR="00CE1D0D" w:rsidRPr="00C7378F" w:rsidRDefault="00CE1D0D" w:rsidP="00F4238B">
            <w:pPr>
              <w:jc w:val="both"/>
              <w:rPr>
                <w:rFonts w:ascii="Barlow" w:hAnsi="Barlow"/>
                <w:sz w:val="20"/>
                <w:szCs w:val="20"/>
              </w:rPr>
            </w:pPr>
            <w:r w:rsidRPr="00C7378F">
              <w:rPr>
                <w:rFonts w:ascii="Barlow" w:hAnsi="Barlow"/>
                <w:sz w:val="20"/>
                <w:szCs w:val="20"/>
              </w:rPr>
              <w:t>Se establece que como requisito para jubilarse la suma de la edad más la antigüedad deberá ser de 95 años, con un mínimo de 65 años de edad</w:t>
            </w:r>
          </w:p>
        </w:tc>
        <w:tc>
          <w:tcPr>
            <w:tcW w:w="4332" w:type="dxa"/>
          </w:tcPr>
          <w:p w14:paraId="4C27786B" w14:textId="77777777" w:rsidR="00CE1D0D" w:rsidRPr="00C7378F" w:rsidRDefault="00CE1D0D" w:rsidP="00F4238B">
            <w:pPr>
              <w:jc w:val="both"/>
              <w:rPr>
                <w:rFonts w:ascii="Barlow" w:hAnsi="Barlow"/>
                <w:sz w:val="20"/>
                <w:szCs w:val="20"/>
              </w:rPr>
            </w:pPr>
          </w:p>
        </w:tc>
      </w:tr>
      <w:tr w:rsidR="00CE1D0D" w:rsidRPr="00C7378F" w14:paraId="226771BF" w14:textId="77777777" w:rsidTr="00F4238B">
        <w:tc>
          <w:tcPr>
            <w:tcW w:w="4332" w:type="dxa"/>
          </w:tcPr>
          <w:p w14:paraId="3374390D" w14:textId="77777777" w:rsidR="00CE1D0D" w:rsidRPr="00C7378F" w:rsidRDefault="00CE1D0D" w:rsidP="00F4238B">
            <w:pPr>
              <w:jc w:val="both"/>
              <w:rPr>
                <w:rFonts w:ascii="Barlow" w:hAnsi="Barlow"/>
                <w:sz w:val="20"/>
                <w:szCs w:val="20"/>
              </w:rPr>
            </w:pPr>
            <w:r w:rsidRPr="00C7378F">
              <w:rPr>
                <w:rFonts w:ascii="Barlow" w:hAnsi="Barlow"/>
                <w:sz w:val="20"/>
                <w:szCs w:val="20"/>
              </w:rPr>
              <w:t>Se conserva y mantiene el fondo de jubilación con aportación bipartita de un 10% quincenal.</w:t>
            </w:r>
          </w:p>
        </w:tc>
        <w:tc>
          <w:tcPr>
            <w:tcW w:w="4332" w:type="dxa"/>
          </w:tcPr>
          <w:p w14:paraId="0CBD74AD" w14:textId="77777777" w:rsidR="00CE1D0D" w:rsidRPr="00C7378F" w:rsidRDefault="00CE1D0D" w:rsidP="00F4238B">
            <w:pPr>
              <w:jc w:val="both"/>
              <w:rPr>
                <w:rFonts w:ascii="Barlow" w:hAnsi="Barlow"/>
                <w:sz w:val="20"/>
                <w:szCs w:val="20"/>
              </w:rPr>
            </w:pPr>
            <w:r w:rsidRPr="00C7378F">
              <w:rPr>
                <w:rFonts w:ascii="Barlow" w:hAnsi="Barlow"/>
                <w:sz w:val="20"/>
                <w:szCs w:val="20"/>
              </w:rPr>
              <w:t>Se crea un nuevo sistema de pensiones y jubilaciones con beneficio definido, conformado por el salario regulador</w:t>
            </w:r>
          </w:p>
        </w:tc>
        <w:tc>
          <w:tcPr>
            <w:tcW w:w="4332" w:type="dxa"/>
          </w:tcPr>
          <w:p w14:paraId="5B31D93A" w14:textId="77777777" w:rsidR="00CE1D0D" w:rsidRPr="00C7378F" w:rsidRDefault="00CE1D0D" w:rsidP="00F4238B">
            <w:pPr>
              <w:jc w:val="both"/>
              <w:rPr>
                <w:rFonts w:ascii="Barlow" w:hAnsi="Barlow"/>
                <w:sz w:val="20"/>
                <w:szCs w:val="20"/>
              </w:rPr>
            </w:pPr>
            <w:r w:rsidRPr="00C7378F">
              <w:rPr>
                <w:rFonts w:ascii="Barlow" w:hAnsi="Barlow"/>
                <w:sz w:val="20"/>
                <w:szCs w:val="20"/>
              </w:rPr>
              <w:t>Se acuerda que todo el personal jubilado deberá aportar al fondo de jubilaciones en los mismos montos y condiciones que el personal activo.</w:t>
            </w:r>
          </w:p>
        </w:tc>
      </w:tr>
      <w:tr w:rsidR="00CE1D0D" w:rsidRPr="00C7378F" w14:paraId="417B749D" w14:textId="77777777" w:rsidTr="00F4238B">
        <w:tc>
          <w:tcPr>
            <w:tcW w:w="4332" w:type="dxa"/>
          </w:tcPr>
          <w:p w14:paraId="75836089" w14:textId="77777777" w:rsidR="00CE1D0D" w:rsidRPr="00C7378F" w:rsidRDefault="00CE1D0D" w:rsidP="00F4238B">
            <w:pPr>
              <w:jc w:val="both"/>
              <w:rPr>
                <w:rFonts w:ascii="Barlow" w:hAnsi="Barlow"/>
                <w:sz w:val="20"/>
                <w:szCs w:val="20"/>
              </w:rPr>
            </w:pPr>
            <w:r w:rsidRPr="00C7378F">
              <w:rPr>
                <w:rFonts w:ascii="Barlow" w:hAnsi="Barlow"/>
                <w:sz w:val="20"/>
                <w:szCs w:val="20"/>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4332" w:type="dxa"/>
          </w:tcPr>
          <w:p w14:paraId="4C1B51CB" w14:textId="77777777" w:rsidR="00CE1D0D" w:rsidRPr="00C7378F" w:rsidRDefault="00CE1D0D" w:rsidP="00F4238B">
            <w:pPr>
              <w:jc w:val="both"/>
              <w:rPr>
                <w:rFonts w:ascii="Barlow" w:hAnsi="Barlow"/>
                <w:sz w:val="20"/>
                <w:szCs w:val="20"/>
              </w:rPr>
            </w:pPr>
          </w:p>
        </w:tc>
        <w:tc>
          <w:tcPr>
            <w:tcW w:w="4332" w:type="dxa"/>
          </w:tcPr>
          <w:p w14:paraId="4F1DB37C" w14:textId="77777777" w:rsidR="00CE1D0D" w:rsidRPr="00C7378F" w:rsidRDefault="00CE1D0D" w:rsidP="00F4238B">
            <w:pPr>
              <w:jc w:val="both"/>
              <w:rPr>
                <w:rFonts w:ascii="Barlow" w:hAnsi="Barlow"/>
                <w:sz w:val="20"/>
                <w:szCs w:val="20"/>
              </w:rPr>
            </w:pPr>
          </w:p>
        </w:tc>
      </w:tr>
      <w:tr w:rsidR="00CE1D0D" w:rsidRPr="00C7378F" w14:paraId="47BF94D3" w14:textId="77777777" w:rsidTr="00F4238B">
        <w:tc>
          <w:tcPr>
            <w:tcW w:w="4332" w:type="dxa"/>
          </w:tcPr>
          <w:p w14:paraId="38357956" w14:textId="77777777" w:rsidR="00CE1D0D" w:rsidRPr="00C7378F" w:rsidRDefault="00CE1D0D" w:rsidP="00F4238B">
            <w:pPr>
              <w:jc w:val="both"/>
              <w:rPr>
                <w:rFonts w:ascii="Barlow" w:hAnsi="Barlow"/>
                <w:sz w:val="20"/>
                <w:szCs w:val="20"/>
              </w:rPr>
            </w:pPr>
          </w:p>
        </w:tc>
        <w:tc>
          <w:tcPr>
            <w:tcW w:w="4332" w:type="dxa"/>
          </w:tcPr>
          <w:p w14:paraId="767CAAF6" w14:textId="77777777" w:rsidR="00CE1D0D" w:rsidRPr="00C7378F" w:rsidRDefault="00CE1D0D" w:rsidP="00F4238B">
            <w:pPr>
              <w:jc w:val="both"/>
              <w:rPr>
                <w:rFonts w:ascii="Barlow" w:hAnsi="Barlow"/>
                <w:sz w:val="20"/>
                <w:szCs w:val="20"/>
              </w:rPr>
            </w:pPr>
            <w:r w:rsidRPr="00C7378F">
              <w:rPr>
                <w:rFonts w:ascii="Barlow" w:hAnsi="Barlow"/>
                <w:sz w:val="20"/>
                <w:szCs w:val="20"/>
              </w:rPr>
              <w:t>Se adecuan las prestaciones de aguinaldo, prima vacacional y prima de antigüedad</w:t>
            </w:r>
          </w:p>
        </w:tc>
        <w:tc>
          <w:tcPr>
            <w:tcW w:w="4332" w:type="dxa"/>
          </w:tcPr>
          <w:p w14:paraId="27B78D97" w14:textId="77777777" w:rsidR="00CE1D0D" w:rsidRPr="00C7378F" w:rsidRDefault="00CE1D0D" w:rsidP="00F4238B">
            <w:pPr>
              <w:jc w:val="both"/>
              <w:rPr>
                <w:rFonts w:ascii="Barlow" w:hAnsi="Barlow"/>
                <w:sz w:val="20"/>
                <w:szCs w:val="20"/>
              </w:rPr>
            </w:pPr>
          </w:p>
        </w:tc>
      </w:tr>
    </w:tbl>
    <w:p w14:paraId="1E9922AB" w14:textId="583B1B92" w:rsidR="00CE1D0D" w:rsidRDefault="00CE1D0D" w:rsidP="00CE1D0D">
      <w:pPr>
        <w:jc w:val="both"/>
        <w:rPr>
          <w:rFonts w:ascii="Barlow" w:hAnsi="Barlow"/>
          <w:sz w:val="20"/>
          <w:szCs w:val="20"/>
        </w:rPr>
      </w:pPr>
    </w:p>
    <w:p w14:paraId="6E9D9EB5" w14:textId="2FDE6A75" w:rsidR="00EF063D" w:rsidRDefault="00EF063D" w:rsidP="00CE1D0D">
      <w:pPr>
        <w:jc w:val="both"/>
        <w:rPr>
          <w:rFonts w:ascii="Barlow" w:hAnsi="Barlow"/>
          <w:sz w:val="20"/>
          <w:szCs w:val="20"/>
        </w:rPr>
      </w:pPr>
    </w:p>
    <w:p w14:paraId="02A6E924" w14:textId="584ACD5D" w:rsidR="00EF063D" w:rsidRDefault="00EF063D" w:rsidP="00CE1D0D">
      <w:pPr>
        <w:jc w:val="both"/>
        <w:rPr>
          <w:rFonts w:ascii="Barlow" w:hAnsi="Barlow"/>
          <w:sz w:val="20"/>
          <w:szCs w:val="20"/>
        </w:rPr>
      </w:pPr>
    </w:p>
    <w:p w14:paraId="48B546F9" w14:textId="6D70954C" w:rsidR="00EF063D" w:rsidRDefault="00EF063D" w:rsidP="00CE1D0D">
      <w:pPr>
        <w:jc w:val="both"/>
        <w:rPr>
          <w:rFonts w:ascii="Barlow" w:hAnsi="Barlow"/>
          <w:sz w:val="20"/>
          <w:szCs w:val="20"/>
        </w:rPr>
      </w:pPr>
    </w:p>
    <w:p w14:paraId="131C7275" w14:textId="77777777" w:rsidR="00EF063D" w:rsidRPr="00C7378F" w:rsidRDefault="00EF063D" w:rsidP="00CE1D0D">
      <w:pPr>
        <w:jc w:val="both"/>
        <w:rPr>
          <w:rFonts w:ascii="Barlow" w:hAnsi="Barlow"/>
          <w:b/>
          <w:bCs/>
          <w:sz w:val="20"/>
          <w:szCs w:val="20"/>
        </w:rPr>
      </w:pPr>
    </w:p>
    <w:p w14:paraId="73D3AECB" w14:textId="77777777" w:rsidR="00CE1D0D" w:rsidRPr="00C7378F" w:rsidRDefault="00CE1D0D" w:rsidP="00CE1D0D">
      <w:pPr>
        <w:jc w:val="both"/>
        <w:rPr>
          <w:rFonts w:ascii="Barlow" w:hAnsi="Barlow"/>
          <w:b/>
          <w:bCs/>
          <w:sz w:val="20"/>
          <w:szCs w:val="20"/>
        </w:rPr>
      </w:pPr>
      <w:r w:rsidRPr="00C7378F">
        <w:rPr>
          <w:rFonts w:ascii="Barlow" w:hAnsi="Barlow"/>
          <w:b/>
          <w:bCs/>
          <w:sz w:val="20"/>
          <w:szCs w:val="20"/>
        </w:rPr>
        <w:lastRenderedPageBreak/>
        <w:t>PERSONAL ADMINISTRATIVO Y MANUAL</w:t>
      </w:r>
    </w:p>
    <w:p w14:paraId="1AE59630" w14:textId="77777777" w:rsidR="00CE1D0D" w:rsidRPr="00C7378F" w:rsidRDefault="00CE1D0D" w:rsidP="00CE1D0D">
      <w:pPr>
        <w:jc w:val="both"/>
        <w:rPr>
          <w:rFonts w:ascii="Barlow" w:hAnsi="Barlow"/>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CE1D0D" w:rsidRPr="00C7378F" w14:paraId="6FD0965F" w14:textId="77777777" w:rsidTr="00F4238B">
        <w:tc>
          <w:tcPr>
            <w:tcW w:w="4332" w:type="dxa"/>
          </w:tcPr>
          <w:p w14:paraId="74BF6D66" w14:textId="77777777" w:rsidR="00CE1D0D" w:rsidRPr="00C7378F" w:rsidRDefault="00CE1D0D" w:rsidP="00F4238B">
            <w:pPr>
              <w:jc w:val="center"/>
              <w:rPr>
                <w:rFonts w:ascii="Barlow" w:hAnsi="Barlow"/>
                <w:sz w:val="20"/>
                <w:szCs w:val="20"/>
              </w:rPr>
            </w:pPr>
            <w:r w:rsidRPr="00C7378F">
              <w:rPr>
                <w:rFonts w:ascii="Barlow" w:hAnsi="Barlow"/>
                <w:b/>
                <w:bCs/>
                <w:sz w:val="20"/>
                <w:szCs w:val="20"/>
              </w:rPr>
              <w:t>Personal actual</w:t>
            </w:r>
          </w:p>
        </w:tc>
        <w:tc>
          <w:tcPr>
            <w:tcW w:w="4332" w:type="dxa"/>
          </w:tcPr>
          <w:p w14:paraId="6ED4EA92" w14:textId="77777777" w:rsidR="00CE1D0D" w:rsidRPr="00C7378F" w:rsidRDefault="00CE1D0D" w:rsidP="00F4238B">
            <w:pPr>
              <w:jc w:val="center"/>
              <w:rPr>
                <w:rFonts w:ascii="Barlow" w:hAnsi="Barlow"/>
                <w:sz w:val="20"/>
                <w:szCs w:val="20"/>
              </w:rPr>
            </w:pPr>
            <w:r w:rsidRPr="00C7378F">
              <w:rPr>
                <w:rFonts w:ascii="Barlow" w:hAnsi="Barlow"/>
                <w:b/>
                <w:bCs/>
                <w:sz w:val="20"/>
                <w:szCs w:val="20"/>
              </w:rPr>
              <w:t>Futuras generaciones</w:t>
            </w:r>
          </w:p>
        </w:tc>
        <w:tc>
          <w:tcPr>
            <w:tcW w:w="4332" w:type="dxa"/>
          </w:tcPr>
          <w:p w14:paraId="7937E171" w14:textId="77777777" w:rsidR="00CE1D0D" w:rsidRPr="00C7378F" w:rsidRDefault="00CE1D0D" w:rsidP="00F4238B">
            <w:pPr>
              <w:jc w:val="center"/>
              <w:rPr>
                <w:rFonts w:ascii="Barlow" w:hAnsi="Barlow"/>
                <w:sz w:val="20"/>
                <w:szCs w:val="20"/>
              </w:rPr>
            </w:pPr>
            <w:r w:rsidRPr="00C7378F">
              <w:rPr>
                <w:rFonts w:ascii="Barlow" w:hAnsi="Barlow"/>
                <w:b/>
                <w:bCs/>
                <w:sz w:val="20"/>
                <w:szCs w:val="20"/>
              </w:rPr>
              <w:t>Personal Jubilado</w:t>
            </w:r>
          </w:p>
        </w:tc>
      </w:tr>
      <w:tr w:rsidR="00CE1D0D" w:rsidRPr="00C7378F" w14:paraId="01BC291D" w14:textId="77777777" w:rsidTr="00F4238B">
        <w:tc>
          <w:tcPr>
            <w:tcW w:w="4332" w:type="dxa"/>
          </w:tcPr>
          <w:p w14:paraId="3025B120" w14:textId="77777777" w:rsidR="00CE1D0D" w:rsidRPr="00C7378F" w:rsidRDefault="00CE1D0D" w:rsidP="00F4238B">
            <w:pPr>
              <w:jc w:val="both"/>
              <w:rPr>
                <w:rFonts w:ascii="Barlow" w:hAnsi="Barlow"/>
                <w:sz w:val="20"/>
                <w:szCs w:val="20"/>
              </w:rPr>
            </w:pPr>
          </w:p>
        </w:tc>
        <w:tc>
          <w:tcPr>
            <w:tcW w:w="4332" w:type="dxa"/>
          </w:tcPr>
          <w:p w14:paraId="3108E0C8" w14:textId="77777777" w:rsidR="00CE1D0D" w:rsidRPr="00C7378F" w:rsidRDefault="00CE1D0D" w:rsidP="00F4238B">
            <w:pPr>
              <w:jc w:val="both"/>
              <w:rPr>
                <w:rFonts w:ascii="Barlow" w:hAnsi="Barlow"/>
                <w:sz w:val="20"/>
                <w:szCs w:val="20"/>
              </w:rPr>
            </w:pPr>
            <w:r w:rsidRPr="00C7378F">
              <w:rPr>
                <w:rFonts w:ascii="Barlow" w:hAnsi="Barlow"/>
                <w:sz w:val="20"/>
                <w:szCs w:val="20"/>
              </w:rPr>
              <w:t>Se establece que como requisito para jubilarse la suma de la edad más la antigüedad deberá ser de 95 años. Con mínimo 60 años de edad.</w:t>
            </w:r>
          </w:p>
        </w:tc>
        <w:tc>
          <w:tcPr>
            <w:tcW w:w="4332" w:type="dxa"/>
          </w:tcPr>
          <w:p w14:paraId="3CA42F6C" w14:textId="77777777" w:rsidR="00CE1D0D" w:rsidRPr="00C7378F" w:rsidRDefault="00CE1D0D" w:rsidP="00F4238B">
            <w:pPr>
              <w:jc w:val="both"/>
              <w:rPr>
                <w:rFonts w:ascii="Barlow" w:hAnsi="Barlow"/>
                <w:sz w:val="20"/>
                <w:szCs w:val="20"/>
              </w:rPr>
            </w:pPr>
          </w:p>
        </w:tc>
      </w:tr>
      <w:tr w:rsidR="00CE1D0D" w:rsidRPr="00C7378F" w14:paraId="12D7B9B7" w14:textId="77777777" w:rsidTr="00F4238B">
        <w:tc>
          <w:tcPr>
            <w:tcW w:w="4332" w:type="dxa"/>
          </w:tcPr>
          <w:p w14:paraId="2A820013" w14:textId="77777777" w:rsidR="00CE1D0D" w:rsidRPr="00C7378F" w:rsidRDefault="00CE1D0D" w:rsidP="00F4238B">
            <w:pPr>
              <w:jc w:val="both"/>
              <w:rPr>
                <w:rFonts w:ascii="Barlow" w:hAnsi="Barlow"/>
                <w:sz w:val="20"/>
                <w:szCs w:val="20"/>
              </w:rPr>
            </w:pPr>
            <w:r w:rsidRPr="00C7378F">
              <w:rPr>
                <w:rFonts w:ascii="Barlow" w:hAnsi="Barlow"/>
                <w:sz w:val="20"/>
                <w:szCs w:val="20"/>
              </w:rPr>
              <w:t>Se aumenta la aportación bipartita al fondo en un 1% adicional cada año, hasta llegar un 10 % por cada parte, al término de 8 años, a partir del 2008</w:t>
            </w:r>
          </w:p>
        </w:tc>
        <w:tc>
          <w:tcPr>
            <w:tcW w:w="4332" w:type="dxa"/>
          </w:tcPr>
          <w:p w14:paraId="584997C5" w14:textId="77777777" w:rsidR="00CE1D0D" w:rsidRPr="00C7378F" w:rsidRDefault="00CE1D0D" w:rsidP="00F4238B">
            <w:pPr>
              <w:jc w:val="both"/>
              <w:rPr>
                <w:rFonts w:ascii="Barlow" w:hAnsi="Barlow"/>
                <w:sz w:val="20"/>
                <w:szCs w:val="20"/>
              </w:rPr>
            </w:pPr>
            <w:r w:rsidRPr="00C7378F">
              <w:rPr>
                <w:rFonts w:ascii="Barlow" w:hAnsi="Barlow"/>
                <w:sz w:val="20"/>
                <w:szCs w:val="20"/>
              </w:rPr>
              <w:t>Se crea un nuevo sistema de pensiones y jubilaciones con beneficio definido, conformado por el salario regulador</w:t>
            </w:r>
          </w:p>
        </w:tc>
        <w:tc>
          <w:tcPr>
            <w:tcW w:w="4332" w:type="dxa"/>
          </w:tcPr>
          <w:p w14:paraId="1A503A42" w14:textId="77777777" w:rsidR="00CE1D0D" w:rsidRPr="00C7378F" w:rsidRDefault="00CE1D0D" w:rsidP="00F4238B">
            <w:pPr>
              <w:jc w:val="both"/>
              <w:rPr>
                <w:rFonts w:ascii="Barlow" w:hAnsi="Barlow"/>
                <w:sz w:val="20"/>
                <w:szCs w:val="20"/>
              </w:rPr>
            </w:pPr>
            <w:r w:rsidRPr="00C7378F">
              <w:rPr>
                <w:rFonts w:ascii="Barlow" w:hAnsi="Barlow"/>
                <w:sz w:val="20"/>
                <w:szCs w:val="20"/>
              </w:rPr>
              <w:t>Se acuerda que todo el personal jubilado deberá aportar al fondo de jubilaciones en los mismos montos y condiciones que el personal activo</w:t>
            </w:r>
          </w:p>
        </w:tc>
      </w:tr>
      <w:tr w:rsidR="00CE1D0D" w:rsidRPr="00C7378F" w14:paraId="2E6FA137" w14:textId="77777777" w:rsidTr="00F4238B">
        <w:tc>
          <w:tcPr>
            <w:tcW w:w="4332" w:type="dxa"/>
          </w:tcPr>
          <w:p w14:paraId="78FC5CBF" w14:textId="77777777" w:rsidR="00CE1D0D" w:rsidRPr="00C7378F" w:rsidRDefault="00CE1D0D" w:rsidP="00F4238B">
            <w:pPr>
              <w:jc w:val="both"/>
              <w:rPr>
                <w:rFonts w:ascii="Barlow" w:hAnsi="Barlow"/>
                <w:sz w:val="20"/>
                <w:szCs w:val="20"/>
              </w:rPr>
            </w:pPr>
            <w:r w:rsidRPr="00C7378F">
              <w:rPr>
                <w:rFonts w:ascii="Barlow" w:hAnsi="Barlow"/>
                <w:sz w:val="20"/>
                <w:szCs w:val="20"/>
              </w:rPr>
              <w:t>Se estimula la permanencia del trabajador que ha cumplido 30 años de servicio con un estímulo como sigue:</w:t>
            </w:r>
          </w:p>
        </w:tc>
        <w:tc>
          <w:tcPr>
            <w:tcW w:w="4332" w:type="dxa"/>
          </w:tcPr>
          <w:p w14:paraId="047EFF3B" w14:textId="77777777" w:rsidR="00CE1D0D" w:rsidRPr="00C7378F" w:rsidRDefault="00CE1D0D" w:rsidP="00F4238B">
            <w:pPr>
              <w:jc w:val="both"/>
              <w:rPr>
                <w:rFonts w:ascii="Barlow" w:hAnsi="Barlow"/>
                <w:sz w:val="20"/>
                <w:szCs w:val="20"/>
              </w:rPr>
            </w:pPr>
          </w:p>
        </w:tc>
        <w:tc>
          <w:tcPr>
            <w:tcW w:w="4332" w:type="dxa"/>
          </w:tcPr>
          <w:p w14:paraId="17122705" w14:textId="77777777" w:rsidR="00CE1D0D" w:rsidRPr="00C7378F" w:rsidRDefault="00CE1D0D" w:rsidP="00F4238B">
            <w:pPr>
              <w:jc w:val="both"/>
              <w:rPr>
                <w:rFonts w:ascii="Barlow" w:hAnsi="Barlow"/>
                <w:sz w:val="20"/>
                <w:szCs w:val="20"/>
              </w:rPr>
            </w:pPr>
          </w:p>
        </w:tc>
      </w:tr>
      <w:tr w:rsidR="00CE1D0D" w:rsidRPr="00C7378F" w14:paraId="6B858651" w14:textId="77777777" w:rsidTr="00F4238B">
        <w:tc>
          <w:tcPr>
            <w:tcW w:w="4332" w:type="dxa"/>
          </w:tcPr>
          <w:p w14:paraId="0B888FE1" w14:textId="77777777" w:rsidR="00CE1D0D" w:rsidRPr="00C7378F" w:rsidRDefault="00CE1D0D" w:rsidP="00F4238B">
            <w:pPr>
              <w:jc w:val="both"/>
              <w:rPr>
                <w:rFonts w:ascii="Barlow" w:hAnsi="Barlow"/>
                <w:sz w:val="20"/>
                <w:szCs w:val="20"/>
              </w:rPr>
            </w:pPr>
            <w:r w:rsidRPr="00C7378F">
              <w:rPr>
                <w:rFonts w:ascii="Barlow" w:hAnsi="Barlow"/>
                <w:sz w:val="20"/>
                <w:szCs w:val="20"/>
              </w:rPr>
              <w:t>A partir de 30 años un 30% de su salario tabulado que se irá incrementando en un 2% anual hasta llegar a los 40 años de servicio.</w:t>
            </w:r>
          </w:p>
        </w:tc>
        <w:tc>
          <w:tcPr>
            <w:tcW w:w="4332" w:type="dxa"/>
          </w:tcPr>
          <w:p w14:paraId="11045680" w14:textId="77777777" w:rsidR="00CE1D0D" w:rsidRPr="00C7378F" w:rsidRDefault="00CE1D0D" w:rsidP="00F4238B">
            <w:pPr>
              <w:jc w:val="both"/>
              <w:rPr>
                <w:rFonts w:ascii="Barlow" w:hAnsi="Barlow"/>
                <w:sz w:val="20"/>
                <w:szCs w:val="20"/>
              </w:rPr>
            </w:pPr>
          </w:p>
        </w:tc>
        <w:tc>
          <w:tcPr>
            <w:tcW w:w="4332" w:type="dxa"/>
          </w:tcPr>
          <w:p w14:paraId="6E7722F8" w14:textId="77777777" w:rsidR="00CE1D0D" w:rsidRPr="00C7378F" w:rsidRDefault="00CE1D0D" w:rsidP="00F4238B">
            <w:pPr>
              <w:jc w:val="both"/>
              <w:rPr>
                <w:rFonts w:ascii="Barlow" w:hAnsi="Barlow"/>
                <w:sz w:val="20"/>
                <w:szCs w:val="20"/>
              </w:rPr>
            </w:pPr>
          </w:p>
        </w:tc>
      </w:tr>
      <w:tr w:rsidR="00CE1D0D" w:rsidRPr="00C7378F" w14:paraId="17E885E1" w14:textId="77777777" w:rsidTr="00F4238B">
        <w:tc>
          <w:tcPr>
            <w:tcW w:w="4332" w:type="dxa"/>
          </w:tcPr>
          <w:p w14:paraId="7C7EC5F0" w14:textId="77777777" w:rsidR="00CE1D0D" w:rsidRPr="00C7378F" w:rsidRDefault="00CE1D0D" w:rsidP="00F4238B">
            <w:pPr>
              <w:jc w:val="both"/>
              <w:rPr>
                <w:rFonts w:ascii="Barlow" w:hAnsi="Barlow"/>
                <w:sz w:val="20"/>
                <w:szCs w:val="20"/>
              </w:rPr>
            </w:pPr>
            <w:r w:rsidRPr="00C7378F">
              <w:rPr>
                <w:rFonts w:ascii="Barlow" w:hAnsi="Barlow"/>
                <w:sz w:val="20"/>
                <w:szCs w:val="20"/>
              </w:rPr>
              <w:t>Esta prestación procederá durante el tiempo que el trabajador permanezca laborando ininterrumpidamente</w:t>
            </w:r>
          </w:p>
        </w:tc>
        <w:tc>
          <w:tcPr>
            <w:tcW w:w="4332" w:type="dxa"/>
          </w:tcPr>
          <w:p w14:paraId="267C7369" w14:textId="77777777" w:rsidR="00CE1D0D" w:rsidRPr="00C7378F" w:rsidRDefault="00CE1D0D" w:rsidP="00F4238B">
            <w:pPr>
              <w:jc w:val="both"/>
              <w:rPr>
                <w:rFonts w:ascii="Barlow" w:hAnsi="Barlow"/>
                <w:sz w:val="20"/>
                <w:szCs w:val="20"/>
              </w:rPr>
            </w:pPr>
          </w:p>
        </w:tc>
        <w:tc>
          <w:tcPr>
            <w:tcW w:w="4332" w:type="dxa"/>
          </w:tcPr>
          <w:p w14:paraId="0F645A4A" w14:textId="77777777" w:rsidR="00CE1D0D" w:rsidRPr="00C7378F" w:rsidRDefault="00CE1D0D" w:rsidP="00F4238B">
            <w:pPr>
              <w:jc w:val="both"/>
              <w:rPr>
                <w:rFonts w:ascii="Barlow" w:hAnsi="Barlow"/>
                <w:sz w:val="20"/>
                <w:szCs w:val="20"/>
              </w:rPr>
            </w:pPr>
          </w:p>
        </w:tc>
      </w:tr>
      <w:tr w:rsidR="00CE1D0D" w:rsidRPr="00C7378F" w14:paraId="5275B1AB" w14:textId="77777777" w:rsidTr="00F4238B">
        <w:tc>
          <w:tcPr>
            <w:tcW w:w="4332" w:type="dxa"/>
          </w:tcPr>
          <w:p w14:paraId="4E64B6AB" w14:textId="77777777" w:rsidR="00CE1D0D" w:rsidRPr="00C7378F" w:rsidRDefault="00CE1D0D" w:rsidP="00F4238B">
            <w:pPr>
              <w:jc w:val="both"/>
              <w:rPr>
                <w:rFonts w:ascii="Barlow" w:hAnsi="Barlow"/>
                <w:sz w:val="20"/>
                <w:szCs w:val="20"/>
              </w:rPr>
            </w:pPr>
          </w:p>
        </w:tc>
        <w:tc>
          <w:tcPr>
            <w:tcW w:w="4332" w:type="dxa"/>
          </w:tcPr>
          <w:p w14:paraId="08C0A53A" w14:textId="77777777" w:rsidR="00CE1D0D" w:rsidRPr="00C7378F" w:rsidRDefault="00CE1D0D" w:rsidP="00F4238B">
            <w:pPr>
              <w:jc w:val="both"/>
              <w:rPr>
                <w:rFonts w:ascii="Barlow" w:hAnsi="Barlow"/>
                <w:sz w:val="20"/>
                <w:szCs w:val="20"/>
              </w:rPr>
            </w:pPr>
            <w:r w:rsidRPr="00C7378F">
              <w:rPr>
                <w:rFonts w:ascii="Barlow" w:hAnsi="Barlow"/>
                <w:sz w:val="20"/>
                <w:szCs w:val="20"/>
              </w:rPr>
              <w:t>Se adecuan las prestaciones de aguinaldo, prima vacacional y prima de antigüedad</w:t>
            </w:r>
          </w:p>
        </w:tc>
        <w:tc>
          <w:tcPr>
            <w:tcW w:w="4332" w:type="dxa"/>
          </w:tcPr>
          <w:p w14:paraId="618F5326" w14:textId="77777777" w:rsidR="00CE1D0D" w:rsidRPr="00C7378F" w:rsidRDefault="00CE1D0D" w:rsidP="00F4238B">
            <w:pPr>
              <w:jc w:val="both"/>
              <w:rPr>
                <w:rFonts w:ascii="Barlow" w:hAnsi="Barlow"/>
                <w:sz w:val="20"/>
                <w:szCs w:val="20"/>
              </w:rPr>
            </w:pPr>
          </w:p>
        </w:tc>
      </w:tr>
    </w:tbl>
    <w:p w14:paraId="082DD74C" w14:textId="77777777" w:rsidR="00CE1D0D" w:rsidRPr="00C7378F" w:rsidRDefault="00CE1D0D" w:rsidP="00CE1D0D">
      <w:pPr>
        <w:jc w:val="both"/>
        <w:rPr>
          <w:rFonts w:ascii="Barlow" w:hAnsi="Barlow"/>
          <w:sz w:val="20"/>
          <w:szCs w:val="20"/>
        </w:rPr>
      </w:pPr>
    </w:p>
    <w:p w14:paraId="61A940D8" w14:textId="77777777" w:rsidR="00CE1D0D" w:rsidRPr="00C7378F" w:rsidRDefault="00CE1D0D" w:rsidP="00CE1D0D">
      <w:pPr>
        <w:jc w:val="both"/>
        <w:rPr>
          <w:rFonts w:ascii="Barlow" w:hAnsi="Barlow"/>
          <w:sz w:val="20"/>
          <w:szCs w:val="20"/>
        </w:rPr>
      </w:pPr>
    </w:p>
    <w:p w14:paraId="35298E30" w14:textId="77777777" w:rsidR="00CE1D0D" w:rsidRPr="00C7378F" w:rsidRDefault="00CE1D0D" w:rsidP="00CE1D0D">
      <w:pPr>
        <w:jc w:val="both"/>
        <w:rPr>
          <w:rFonts w:ascii="Barlow" w:hAnsi="Barlow"/>
          <w:sz w:val="20"/>
          <w:szCs w:val="20"/>
        </w:rPr>
      </w:pPr>
    </w:p>
    <w:p w14:paraId="16409A9C" w14:textId="77777777" w:rsidR="00CE1D0D" w:rsidRPr="00C7378F" w:rsidRDefault="00CE1D0D" w:rsidP="00CE1D0D">
      <w:pPr>
        <w:jc w:val="both"/>
        <w:rPr>
          <w:rFonts w:ascii="Barlow" w:hAnsi="Barlow"/>
          <w:sz w:val="20"/>
          <w:szCs w:val="20"/>
        </w:rPr>
      </w:pPr>
    </w:p>
    <w:p w14:paraId="6756250F" w14:textId="64B6EF83" w:rsidR="00CE1D0D" w:rsidRPr="00C7378F" w:rsidRDefault="00CE1D0D" w:rsidP="00CE1D0D">
      <w:pPr>
        <w:jc w:val="both"/>
        <w:rPr>
          <w:rFonts w:ascii="Barlow" w:hAnsi="Barlow" w:cstheme="minorHAnsi"/>
          <w:sz w:val="20"/>
          <w:szCs w:val="20"/>
        </w:rPr>
      </w:pPr>
    </w:p>
    <w:p w14:paraId="091212F3" w14:textId="16F8E896" w:rsidR="00CE1D0D" w:rsidRPr="00C7378F" w:rsidRDefault="00283951" w:rsidP="00CE1D0D">
      <w:pPr>
        <w:jc w:val="both"/>
        <w:rPr>
          <w:rFonts w:ascii="Barlow" w:hAnsi="Barlow"/>
          <w:sz w:val="20"/>
          <w:szCs w:val="20"/>
        </w:rPr>
      </w:pPr>
      <w:r w:rsidRPr="00C7378F">
        <w:rPr>
          <w:rFonts w:ascii="Barlow" w:hAnsi="Barlow" w:cstheme="minorHAnsi"/>
          <w:color w:val="000000"/>
          <w:sz w:val="20"/>
          <w:szCs w:val="20"/>
        </w:rPr>
        <w:lastRenderedPageBreak/>
        <w:t>Con el propósito de cuantificar el impacto financiero inherente a la reforma se presenta un resumen de los resultados de la última valuación actuarial estandarizada realizada, practicada al 31 de diciembre del 2022 y 2021, expresado en miles de pesos, con una tasa del 2% y 3% como supuestos, en donde se incluye el monto del pasivo por concepto de pensiones por jubilación, invalidez y viudez, el saldo del Fondo existente y el déficit determinado.</w:t>
      </w:r>
      <w:r w:rsidRPr="00C7378F">
        <w:rPr>
          <w:rFonts w:ascii="Barlow" w:hAnsi="Barlow"/>
          <w:sz w:val="20"/>
          <w:szCs w:val="20"/>
        </w:rPr>
        <w:t xml:space="preserve"> </w:t>
      </w:r>
    </w:p>
    <w:p w14:paraId="65FF80D5" w14:textId="3D0CFFB4" w:rsidR="00283951" w:rsidRPr="00C7378F" w:rsidRDefault="00283951" w:rsidP="00283951">
      <w:pPr>
        <w:jc w:val="center"/>
        <w:rPr>
          <w:rFonts w:ascii="Barlow" w:hAnsi="Barlow"/>
          <w:sz w:val="20"/>
          <w:szCs w:val="20"/>
        </w:rPr>
      </w:pPr>
      <w:r w:rsidRPr="00C7378F">
        <w:rPr>
          <w:rFonts w:ascii="Barlow" w:hAnsi="Barlow"/>
          <w:noProof/>
          <w:sz w:val="20"/>
          <w:szCs w:val="20"/>
          <w:lang w:eastAsia="es-MX"/>
        </w:rPr>
        <w:drawing>
          <wp:inline distT="0" distB="0" distL="0" distR="0" wp14:anchorId="36BA7F86" wp14:editId="2BBAF712">
            <wp:extent cx="5811061" cy="249589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1061" cy="2495898"/>
                    </a:xfrm>
                    <a:prstGeom prst="rect">
                      <a:avLst/>
                    </a:prstGeom>
                  </pic:spPr>
                </pic:pic>
              </a:graphicData>
            </a:graphic>
          </wp:inline>
        </w:drawing>
      </w:r>
    </w:p>
    <w:p w14:paraId="576A3EBD" w14:textId="77777777" w:rsidR="00283951" w:rsidRPr="00C7378F" w:rsidRDefault="00283951" w:rsidP="00CE1D0D">
      <w:pPr>
        <w:jc w:val="both"/>
        <w:rPr>
          <w:rFonts w:ascii="Barlow" w:hAnsi="Barlow" w:cstheme="minorHAnsi"/>
          <w:color w:val="000000"/>
          <w:sz w:val="20"/>
          <w:szCs w:val="20"/>
        </w:rPr>
      </w:pPr>
    </w:p>
    <w:p w14:paraId="156D9FF7" w14:textId="671A3008" w:rsidR="00CE1D0D" w:rsidRPr="00C7378F" w:rsidRDefault="00CE1D0D" w:rsidP="00CE1D0D">
      <w:pPr>
        <w:jc w:val="both"/>
        <w:rPr>
          <w:rFonts w:ascii="Barlow" w:hAnsi="Barlow"/>
          <w:b/>
          <w:bCs/>
          <w:sz w:val="20"/>
          <w:szCs w:val="20"/>
        </w:rPr>
      </w:pPr>
      <w:r w:rsidRPr="00C7378F">
        <w:rPr>
          <w:rFonts w:ascii="Barlow" w:hAnsi="Barlow"/>
          <w:b/>
          <w:bCs/>
          <w:sz w:val="20"/>
          <w:szCs w:val="20"/>
        </w:rPr>
        <w:t>8. Fideicomisos, mandatos y análogos</w:t>
      </w:r>
    </w:p>
    <w:p w14:paraId="299E763D" w14:textId="77777777" w:rsidR="00CE1D0D" w:rsidRPr="00C7378F" w:rsidRDefault="00CE1D0D" w:rsidP="00CE1D0D">
      <w:pPr>
        <w:jc w:val="both"/>
        <w:rPr>
          <w:rFonts w:ascii="Barlow" w:hAnsi="Barlow"/>
          <w:sz w:val="20"/>
          <w:szCs w:val="20"/>
        </w:rPr>
      </w:pPr>
      <w:r w:rsidRPr="00C7378F">
        <w:rPr>
          <w:rFonts w:ascii="Barlow" w:hAnsi="Barlow"/>
          <w:sz w:val="20"/>
          <w:szCs w:val="20"/>
        </w:rPr>
        <w:t>No aplica</w:t>
      </w:r>
    </w:p>
    <w:p w14:paraId="3F2ABBC8" w14:textId="5425B08B" w:rsidR="00CE1D0D" w:rsidRPr="00C7378F" w:rsidRDefault="00CE1D0D" w:rsidP="00CE1D0D">
      <w:pPr>
        <w:jc w:val="both"/>
        <w:rPr>
          <w:rFonts w:ascii="Barlow" w:hAnsi="Barlow"/>
          <w:b/>
          <w:bCs/>
          <w:sz w:val="20"/>
          <w:szCs w:val="20"/>
        </w:rPr>
      </w:pPr>
      <w:r w:rsidRPr="00C7378F">
        <w:rPr>
          <w:rFonts w:ascii="Barlow" w:hAnsi="Barlow"/>
          <w:b/>
          <w:bCs/>
          <w:sz w:val="20"/>
          <w:szCs w:val="20"/>
        </w:rPr>
        <w:t>9. Reporte de la recaudación</w:t>
      </w:r>
    </w:p>
    <w:p w14:paraId="6572B548" w14:textId="77777777" w:rsidR="00CE1D0D" w:rsidRPr="00C7378F" w:rsidRDefault="00CE1D0D" w:rsidP="00CE1D0D">
      <w:pPr>
        <w:jc w:val="both"/>
        <w:rPr>
          <w:rFonts w:ascii="Barlow" w:hAnsi="Barlow"/>
          <w:sz w:val="20"/>
          <w:szCs w:val="20"/>
        </w:rPr>
      </w:pPr>
      <w:r w:rsidRPr="00C7378F">
        <w:rPr>
          <w:rFonts w:ascii="Barlow" w:hAnsi="Barlow"/>
          <w:sz w:val="20"/>
          <w:szCs w:val="20"/>
        </w:rPr>
        <w:t>No aplica</w:t>
      </w:r>
    </w:p>
    <w:p w14:paraId="7CA16BE3" w14:textId="53418DC2" w:rsidR="00CE1D0D" w:rsidRPr="00C7378F" w:rsidRDefault="00CE1D0D" w:rsidP="00CE1D0D">
      <w:pPr>
        <w:jc w:val="both"/>
        <w:rPr>
          <w:rFonts w:ascii="Barlow" w:hAnsi="Barlow"/>
          <w:b/>
          <w:bCs/>
          <w:sz w:val="20"/>
          <w:szCs w:val="20"/>
        </w:rPr>
      </w:pPr>
      <w:r w:rsidRPr="00C7378F">
        <w:rPr>
          <w:rFonts w:ascii="Barlow" w:hAnsi="Barlow"/>
          <w:b/>
          <w:bCs/>
          <w:sz w:val="20"/>
          <w:szCs w:val="20"/>
        </w:rPr>
        <w:t>10. Información sobre la deuda y reporte analítico de la deuda</w:t>
      </w:r>
    </w:p>
    <w:p w14:paraId="57B4D069" w14:textId="77777777" w:rsidR="00CE1D0D" w:rsidRPr="00C7378F" w:rsidRDefault="00CE1D0D" w:rsidP="00CE1D0D">
      <w:pPr>
        <w:jc w:val="both"/>
        <w:rPr>
          <w:rFonts w:ascii="Barlow" w:hAnsi="Barlow"/>
          <w:sz w:val="20"/>
          <w:szCs w:val="20"/>
        </w:rPr>
      </w:pPr>
      <w:r w:rsidRPr="00C7378F">
        <w:rPr>
          <w:rFonts w:ascii="Barlow" w:hAnsi="Barlow"/>
          <w:sz w:val="20"/>
          <w:szCs w:val="20"/>
        </w:rPr>
        <w:lastRenderedPageBreak/>
        <w:t>No aplica</w:t>
      </w:r>
    </w:p>
    <w:p w14:paraId="4EAC2A2E" w14:textId="16A12EEA" w:rsidR="00CE1D0D" w:rsidRPr="00C7378F" w:rsidRDefault="00CE1D0D" w:rsidP="00CE1D0D">
      <w:pPr>
        <w:jc w:val="both"/>
        <w:rPr>
          <w:rFonts w:ascii="Barlow" w:hAnsi="Barlow"/>
          <w:b/>
          <w:bCs/>
          <w:sz w:val="20"/>
          <w:szCs w:val="20"/>
        </w:rPr>
      </w:pPr>
      <w:r w:rsidRPr="00C7378F">
        <w:rPr>
          <w:rFonts w:ascii="Barlow" w:hAnsi="Barlow"/>
          <w:b/>
          <w:bCs/>
          <w:sz w:val="20"/>
          <w:szCs w:val="20"/>
        </w:rPr>
        <w:t>11. Calificaciones otorgadas</w:t>
      </w:r>
    </w:p>
    <w:p w14:paraId="3DDAFEFA" w14:textId="77777777" w:rsidR="00CE1D0D" w:rsidRPr="00C7378F" w:rsidRDefault="00CE1D0D" w:rsidP="00CE1D0D">
      <w:pPr>
        <w:jc w:val="both"/>
        <w:rPr>
          <w:rFonts w:ascii="Barlow" w:hAnsi="Barlow"/>
          <w:sz w:val="20"/>
          <w:szCs w:val="20"/>
        </w:rPr>
      </w:pPr>
      <w:r w:rsidRPr="00C7378F">
        <w:rPr>
          <w:rFonts w:ascii="Barlow" w:hAnsi="Barlow"/>
          <w:sz w:val="20"/>
          <w:szCs w:val="20"/>
        </w:rPr>
        <w:t>No aplica</w:t>
      </w:r>
    </w:p>
    <w:p w14:paraId="4246D210" w14:textId="191566DE" w:rsidR="00CE1D0D" w:rsidRPr="00C7378F" w:rsidRDefault="00CE1D0D" w:rsidP="00CE1D0D">
      <w:pPr>
        <w:jc w:val="both"/>
        <w:rPr>
          <w:rFonts w:ascii="Barlow" w:hAnsi="Barlow"/>
          <w:b/>
          <w:bCs/>
          <w:sz w:val="20"/>
          <w:szCs w:val="20"/>
        </w:rPr>
      </w:pPr>
      <w:r w:rsidRPr="00C7378F">
        <w:rPr>
          <w:rFonts w:ascii="Barlow" w:hAnsi="Barlow"/>
          <w:b/>
          <w:bCs/>
          <w:sz w:val="20"/>
          <w:szCs w:val="20"/>
        </w:rPr>
        <w:t>12. Procesos de mejora</w:t>
      </w:r>
    </w:p>
    <w:p w14:paraId="333BA284" w14:textId="671CDADF" w:rsidR="00CE1D0D" w:rsidRPr="00C7378F" w:rsidRDefault="00CE1D0D" w:rsidP="00CE1D0D">
      <w:pPr>
        <w:jc w:val="both"/>
        <w:rPr>
          <w:rFonts w:ascii="Barlow" w:hAnsi="Barlow"/>
          <w:sz w:val="20"/>
          <w:szCs w:val="20"/>
        </w:rPr>
      </w:pPr>
      <w:r w:rsidRPr="00C7378F">
        <w:rPr>
          <w:rFonts w:ascii="Barlow" w:hAnsi="Barlow"/>
          <w:sz w:val="20"/>
          <w:szCs w:val="20"/>
        </w:rPr>
        <w:t>La Universidad Autónoma de Yucatán (UADY) juega un papel preponderante en la educación superior en el Estado. Y es por lo que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14:paraId="11D6605F" w14:textId="77777777" w:rsidR="00CE1D0D" w:rsidRPr="00C7378F" w:rsidRDefault="00CE1D0D" w:rsidP="00CE1D0D">
      <w:pPr>
        <w:jc w:val="both"/>
        <w:rPr>
          <w:rFonts w:ascii="Barlow" w:hAnsi="Barlow"/>
          <w:sz w:val="20"/>
          <w:szCs w:val="20"/>
        </w:rPr>
      </w:pPr>
      <w:r w:rsidRPr="00C7378F">
        <w:rPr>
          <w:rFonts w:ascii="Barlow" w:hAnsi="Barlow"/>
          <w:sz w:val="20"/>
          <w:szCs w:val="20"/>
        </w:rPr>
        <w:t>Actualmente la Universidad cuenta con el certificado en ISO 9001-2008 de los siguientes procesos:</w:t>
      </w:r>
    </w:p>
    <w:p w14:paraId="683BDBC0"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Selección de aspirantes</w:t>
      </w:r>
      <w:r w:rsidRPr="00C7378F">
        <w:rPr>
          <w:rFonts w:ascii="Barlow" w:hAnsi="Barlow"/>
          <w:sz w:val="20"/>
          <w:szCs w:val="20"/>
        </w:rPr>
        <w:tab/>
      </w:r>
      <w:r w:rsidRPr="00C7378F">
        <w:rPr>
          <w:rFonts w:ascii="Barlow" w:hAnsi="Barlow"/>
          <w:sz w:val="20"/>
          <w:szCs w:val="20"/>
        </w:rPr>
        <w:tab/>
      </w:r>
    </w:p>
    <w:p w14:paraId="5B6A3A47"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Diseño y provisión de servicios de tecnologías de la información y comunicaciones</w:t>
      </w:r>
      <w:r w:rsidRPr="00C7378F">
        <w:rPr>
          <w:rFonts w:ascii="Barlow" w:hAnsi="Barlow"/>
          <w:sz w:val="20"/>
          <w:szCs w:val="20"/>
        </w:rPr>
        <w:tab/>
      </w:r>
      <w:r w:rsidRPr="00C7378F">
        <w:rPr>
          <w:rFonts w:ascii="Barlow" w:hAnsi="Barlow"/>
          <w:sz w:val="20"/>
          <w:szCs w:val="20"/>
        </w:rPr>
        <w:tab/>
      </w:r>
    </w:p>
    <w:p w14:paraId="154A945B"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Provisión de servicios bibliotecarios</w:t>
      </w:r>
      <w:r w:rsidRPr="00C7378F">
        <w:rPr>
          <w:rFonts w:ascii="Barlow" w:hAnsi="Barlow"/>
          <w:sz w:val="20"/>
          <w:szCs w:val="20"/>
        </w:rPr>
        <w:tab/>
      </w:r>
      <w:r w:rsidRPr="00C7378F">
        <w:rPr>
          <w:rFonts w:ascii="Barlow" w:hAnsi="Barlow"/>
          <w:sz w:val="20"/>
          <w:szCs w:val="20"/>
        </w:rPr>
        <w:tab/>
      </w:r>
    </w:p>
    <w:p w14:paraId="692A2360"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Provisión de servicios financieros, materiales y humanos</w:t>
      </w:r>
      <w:r w:rsidRPr="00C7378F">
        <w:rPr>
          <w:rFonts w:ascii="Barlow" w:hAnsi="Barlow"/>
          <w:sz w:val="20"/>
          <w:szCs w:val="20"/>
        </w:rPr>
        <w:tab/>
      </w:r>
      <w:r w:rsidRPr="00C7378F">
        <w:rPr>
          <w:rFonts w:ascii="Barlow" w:hAnsi="Barlow"/>
          <w:sz w:val="20"/>
          <w:szCs w:val="20"/>
        </w:rPr>
        <w:tab/>
      </w:r>
    </w:p>
    <w:p w14:paraId="109BFC2F"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Provisión de servicios de salud</w:t>
      </w:r>
      <w:r w:rsidRPr="00C7378F">
        <w:rPr>
          <w:rFonts w:ascii="Barlow" w:hAnsi="Barlow"/>
          <w:sz w:val="20"/>
          <w:szCs w:val="20"/>
        </w:rPr>
        <w:tab/>
      </w:r>
      <w:r w:rsidRPr="00C7378F">
        <w:rPr>
          <w:rFonts w:ascii="Barlow" w:hAnsi="Barlow"/>
          <w:sz w:val="20"/>
          <w:szCs w:val="20"/>
        </w:rPr>
        <w:tab/>
      </w:r>
    </w:p>
    <w:p w14:paraId="4B26568A"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Administración del sistema de gestión de la calidad</w:t>
      </w:r>
      <w:r w:rsidRPr="00C7378F">
        <w:rPr>
          <w:rFonts w:ascii="Barlow" w:hAnsi="Barlow"/>
          <w:sz w:val="20"/>
          <w:szCs w:val="20"/>
        </w:rPr>
        <w:tab/>
      </w:r>
      <w:r w:rsidRPr="00C7378F">
        <w:rPr>
          <w:rFonts w:ascii="Barlow" w:hAnsi="Barlow"/>
          <w:sz w:val="20"/>
          <w:szCs w:val="20"/>
        </w:rPr>
        <w:tab/>
      </w:r>
    </w:p>
    <w:p w14:paraId="18D2C034" w14:textId="77777777" w:rsidR="00CE1D0D" w:rsidRPr="00C7378F" w:rsidRDefault="00CE1D0D" w:rsidP="00CE1D0D">
      <w:pPr>
        <w:pStyle w:val="Prrafodelista"/>
        <w:numPr>
          <w:ilvl w:val="0"/>
          <w:numId w:val="10"/>
        </w:numPr>
        <w:spacing w:after="0"/>
        <w:jc w:val="both"/>
        <w:rPr>
          <w:rFonts w:ascii="Barlow" w:hAnsi="Barlow"/>
          <w:sz w:val="20"/>
          <w:szCs w:val="20"/>
        </w:rPr>
      </w:pPr>
      <w:r w:rsidRPr="00C7378F">
        <w:rPr>
          <w:rFonts w:ascii="Barlow" w:hAnsi="Barlow"/>
          <w:sz w:val="20"/>
          <w:szCs w:val="20"/>
        </w:rPr>
        <w:t>Provisión y gestión de servicios escolares y servicio social</w:t>
      </w:r>
      <w:r w:rsidRPr="00C7378F">
        <w:rPr>
          <w:rFonts w:ascii="Barlow" w:hAnsi="Barlow"/>
          <w:sz w:val="20"/>
          <w:szCs w:val="20"/>
        </w:rPr>
        <w:tab/>
      </w:r>
    </w:p>
    <w:p w14:paraId="68245D16" w14:textId="77777777" w:rsidR="00CE1D0D" w:rsidRPr="00C7378F" w:rsidRDefault="00CE1D0D" w:rsidP="00CE1D0D">
      <w:pPr>
        <w:spacing w:after="0"/>
        <w:jc w:val="both"/>
        <w:rPr>
          <w:rFonts w:ascii="Barlow" w:hAnsi="Barlow"/>
          <w:sz w:val="20"/>
          <w:szCs w:val="20"/>
        </w:rPr>
      </w:pPr>
    </w:p>
    <w:p w14:paraId="5613F8CC" w14:textId="72CF958E"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13. Información por segmentos</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573C81D9"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No aplica </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474E5692"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235BF8BB" w14:textId="0D47226D"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14. Eventos posteriores al cierre</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1A61E1AC"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No aplica </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381B3EC1"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08433F98" w14:textId="7B328F11"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t>15. Partes relacionadas</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16EB56A7"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 xml:space="preserve">No aplica </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D68137E"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7CC0A5E8" w14:textId="5C6126A0" w:rsidR="00CE1D0D" w:rsidRPr="00C7378F" w:rsidRDefault="00CE1D0D" w:rsidP="00CE1D0D">
      <w:pPr>
        <w:spacing w:after="0"/>
        <w:jc w:val="both"/>
        <w:rPr>
          <w:rFonts w:ascii="Barlow" w:hAnsi="Barlow"/>
          <w:b/>
          <w:bCs/>
          <w:sz w:val="20"/>
          <w:szCs w:val="20"/>
        </w:rPr>
      </w:pPr>
      <w:r w:rsidRPr="00C7378F">
        <w:rPr>
          <w:rFonts w:ascii="Barlow" w:hAnsi="Barlow"/>
          <w:b/>
          <w:bCs/>
          <w:sz w:val="20"/>
          <w:szCs w:val="20"/>
        </w:rPr>
        <w:lastRenderedPageBreak/>
        <w:t>16. Responsabilidad sobre la presentación razonable de la información contable</w:t>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r w:rsidRPr="00C7378F">
        <w:rPr>
          <w:rFonts w:ascii="Barlow" w:hAnsi="Barlow"/>
          <w:b/>
          <w:bCs/>
          <w:sz w:val="20"/>
          <w:szCs w:val="20"/>
        </w:rPr>
        <w:tab/>
      </w:r>
    </w:p>
    <w:p w14:paraId="05A9AD05"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95F567B" w14:textId="77777777" w:rsidR="00CE1D0D" w:rsidRPr="00C7378F" w:rsidRDefault="00CE1D0D" w:rsidP="00CE1D0D">
      <w:pPr>
        <w:spacing w:after="0"/>
        <w:jc w:val="both"/>
        <w:rPr>
          <w:rFonts w:ascii="Barlow" w:hAnsi="Barlow"/>
          <w:sz w:val="20"/>
          <w:szCs w:val="20"/>
        </w:rPr>
      </w:pPr>
      <w:r w:rsidRPr="00C7378F">
        <w:rPr>
          <w:rFonts w:ascii="Barlow" w:hAnsi="Barlow"/>
          <w:sz w:val="20"/>
          <w:szCs w:val="20"/>
        </w:rPr>
        <w:t>Bajo protesta de decir verdad declaramos que los Estados Financieros y sus notas son razonablemente correctos y son responsabilidad del emisor.</w:t>
      </w:r>
    </w:p>
    <w:p w14:paraId="39859955" w14:textId="77777777" w:rsidR="00CE1D0D" w:rsidRPr="00C7378F" w:rsidRDefault="00CE1D0D" w:rsidP="00CE1D0D">
      <w:pPr>
        <w:spacing w:after="0"/>
        <w:jc w:val="both"/>
        <w:rPr>
          <w:rFonts w:ascii="Barlow" w:hAnsi="Barlow"/>
          <w:sz w:val="20"/>
          <w:szCs w:val="20"/>
        </w:rPr>
      </w:pPr>
    </w:p>
    <w:p w14:paraId="3F3AEF4A" w14:textId="4CCE08C4" w:rsidR="00CE1D0D" w:rsidRPr="00EF063D" w:rsidRDefault="00CE1D0D" w:rsidP="00EF063D">
      <w:pPr>
        <w:spacing w:after="0"/>
        <w:jc w:val="both"/>
        <w:rPr>
          <w:rFonts w:ascii="Barlow" w:hAnsi="Barlow"/>
          <w:color w:val="FFFFFF" w:themeColor="background1"/>
          <w:sz w:val="20"/>
          <w:szCs w:val="20"/>
        </w:rPr>
      </w:pPr>
      <w:r w:rsidRPr="00C7378F">
        <w:rPr>
          <w:rFonts w:ascii="Barlow" w:hAnsi="Barlow"/>
          <w:color w:val="FFFFFF" w:themeColor="background1"/>
          <w:sz w:val="20"/>
          <w:szCs w:val="20"/>
        </w:rPr>
        <w:t>Elaboró</w:t>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Pr="00C7378F">
        <w:rPr>
          <w:rFonts w:ascii="Barlow" w:hAnsi="Barlow"/>
          <w:color w:val="FFFFFF" w:themeColor="background1"/>
          <w:sz w:val="20"/>
          <w:szCs w:val="20"/>
        </w:rPr>
        <w:tab/>
      </w:r>
      <w:r w:rsidR="00EF063D">
        <w:rPr>
          <w:rFonts w:ascii="Barlow" w:hAnsi="Barlow"/>
          <w:color w:val="FFFFFF" w:themeColor="background1"/>
          <w:sz w:val="20"/>
          <w:szCs w:val="20"/>
        </w:rPr>
        <w:t>R</w:t>
      </w:r>
    </w:p>
    <w:p w14:paraId="70A27191" w14:textId="161DE961" w:rsidR="00CE1D0D" w:rsidRPr="00C7378F" w:rsidRDefault="005D4E54" w:rsidP="00CE1D0D">
      <w:pPr>
        <w:pStyle w:val="Prrafodelista"/>
        <w:numPr>
          <w:ilvl w:val="0"/>
          <w:numId w:val="1"/>
        </w:numPr>
        <w:ind w:left="0" w:firstLine="0"/>
        <w:rPr>
          <w:rFonts w:ascii="Barlow" w:hAnsi="Barlow"/>
          <w:b/>
          <w:bCs/>
          <w:sz w:val="20"/>
          <w:szCs w:val="20"/>
          <w:highlight w:val="lightGray"/>
        </w:rPr>
      </w:pPr>
      <w:r w:rsidRPr="00C7378F">
        <w:rPr>
          <w:rFonts w:ascii="Barlow" w:hAnsi="Barlow"/>
          <w:b/>
          <w:bCs/>
          <w:sz w:val="20"/>
          <w:szCs w:val="20"/>
          <w:highlight w:val="lightGray"/>
        </w:rPr>
        <w:t>NOTAS DE DESGLOSE</w:t>
      </w:r>
    </w:p>
    <w:p w14:paraId="148EE5FD" w14:textId="77777777" w:rsidR="00CE1D0D" w:rsidRPr="00C7378F" w:rsidRDefault="00CE1D0D" w:rsidP="00CE1D0D">
      <w:pPr>
        <w:pStyle w:val="Prrafodelista"/>
        <w:ind w:left="0"/>
        <w:rPr>
          <w:rFonts w:ascii="Barlow" w:hAnsi="Barlow"/>
          <w:b/>
          <w:bCs/>
          <w:sz w:val="20"/>
          <w:szCs w:val="20"/>
          <w:highlight w:val="lightGray"/>
        </w:rPr>
      </w:pPr>
    </w:p>
    <w:p w14:paraId="22EBB5F9" w14:textId="77777777" w:rsidR="00CE1D0D" w:rsidRPr="00C7378F" w:rsidRDefault="00CE1D0D" w:rsidP="00CE1D0D">
      <w:pPr>
        <w:pStyle w:val="Prrafodelista"/>
        <w:numPr>
          <w:ilvl w:val="0"/>
          <w:numId w:val="4"/>
        </w:numPr>
        <w:rPr>
          <w:rFonts w:ascii="Barlow" w:hAnsi="Barlow"/>
          <w:sz w:val="20"/>
          <w:szCs w:val="20"/>
        </w:rPr>
      </w:pPr>
      <w:r w:rsidRPr="00C7378F">
        <w:rPr>
          <w:rFonts w:ascii="Barlow" w:hAnsi="Barlow"/>
          <w:sz w:val="20"/>
          <w:szCs w:val="20"/>
        </w:rPr>
        <w:t>NOTAS AL ESTADO DE ACTIVIDADES</w:t>
      </w:r>
    </w:p>
    <w:p w14:paraId="47B0D352" w14:textId="77777777" w:rsidR="00CE1D0D" w:rsidRPr="00C7378F" w:rsidRDefault="00CE1D0D" w:rsidP="00CE1D0D">
      <w:pPr>
        <w:rPr>
          <w:rFonts w:ascii="Barlow" w:hAnsi="Barlow"/>
          <w:b/>
          <w:bCs/>
          <w:sz w:val="20"/>
          <w:szCs w:val="20"/>
        </w:rPr>
      </w:pPr>
      <w:r w:rsidRPr="00C7378F">
        <w:rPr>
          <w:rFonts w:ascii="Barlow" w:hAnsi="Barlow"/>
          <w:b/>
          <w:bCs/>
          <w:sz w:val="20"/>
          <w:szCs w:val="20"/>
        </w:rPr>
        <w:t>Ingresos y otros beneficios</w:t>
      </w:r>
    </w:p>
    <w:p w14:paraId="65A7BDAA"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1. Ingresos de gestión</w:t>
      </w:r>
    </w:p>
    <w:p w14:paraId="6F240A88" w14:textId="77777777" w:rsidR="00CE1D0D" w:rsidRPr="00C7378F" w:rsidRDefault="00CE1D0D" w:rsidP="00CE1D0D">
      <w:pPr>
        <w:rPr>
          <w:rFonts w:ascii="Barlow" w:hAnsi="Barlow"/>
          <w:sz w:val="20"/>
          <w:szCs w:val="20"/>
        </w:rPr>
      </w:pPr>
      <w:r w:rsidRPr="00C7378F">
        <w:rPr>
          <w:rFonts w:ascii="Barlow" w:hAnsi="Barlow"/>
          <w:sz w:val="20"/>
          <w:szCs w:val="20"/>
        </w:rPr>
        <w:t>Los ingresos de gestión se encuentran integrados en las siguientes partidas,</w:t>
      </w:r>
    </w:p>
    <w:p w14:paraId="3CE2C5AB" w14:textId="7C41FAC8" w:rsidR="00CE1D0D" w:rsidRPr="00C7378F" w:rsidRDefault="00CE1D0D" w:rsidP="00CE1D0D">
      <w:pPr>
        <w:rPr>
          <w:rFonts w:ascii="Barlow" w:hAnsi="Barlow"/>
          <w:sz w:val="20"/>
          <w:szCs w:val="20"/>
          <w:u w:val="single"/>
        </w:rPr>
      </w:pPr>
      <w:r w:rsidRPr="00C7378F">
        <w:rPr>
          <w:rFonts w:ascii="Barlow" w:hAnsi="Barlow"/>
          <w:sz w:val="20"/>
          <w:szCs w:val="20"/>
          <w:u w:val="single"/>
        </w:rPr>
        <w:t>Productos</w:t>
      </w:r>
    </w:p>
    <w:p w14:paraId="58239FEA" w14:textId="25736EE6" w:rsidR="00CE1D0D" w:rsidRPr="00C7378F" w:rsidRDefault="006400CF" w:rsidP="00CE1D0D">
      <w:pPr>
        <w:rPr>
          <w:rFonts w:ascii="Barlow" w:hAnsi="Barlow"/>
          <w:sz w:val="20"/>
          <w:szCs w:val="20"/>
          <w:u w:val="single"/>
        </w:rPr>
      </w:pPr>
      <w:bookmarkStart w:id="1" w:name="_MON_1651947263"/>
      <w:bookmarkEnd w:id="1"/>
      <w:r w:rsidRPr="00C7378F">
        <w:rPr>
          <w:rFonts w:ascii="Barlow" w:hAnsi="Barlow"/>
          <w:noProof/>
          <w:sz w:val="20"/>
          <w:szCs w:val="20"/>
          <w:lang w:eastAsia="es-MX"/>
        </w:rPr>
        <w:drawing>
          <wp:inline distT="0" distB="0" distL="0" distR="0" wp14:anchorId="555DD3A5" wp14:editId="010B316A">
            <wp:extent cx="4838700" cy="590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590550"/>
                    </a:xfrm>
                    <a:prstGeom prst="rect">
                      <a:avLst/>
                    </a:prstGeom>
                    <a:noFill/>
                    <a:ln>
                      <a:noFill/>
                    </a:ln>
                  </pic:spPr>
                </pic:pic>
              </a:graphicData>
            </a:graphic>
          </wp:inline>
        </w:drawing>
      </w:r>
    </w:p>
    <w:p w14:paraId="69BAC0A7"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2. Ingresos por venta de bienes y servicios de organismos descentralizados</w:t>
      </w:r>
    </w:p>
    <w:p w14:paraId="3C7DAF0B" w14:textId="32A51909" w:rsidR="00CE1D0D" w:rsidRPr="00C7378F" w:rsidRDefault="005E0618" w:rsidP="00CE1D0D">
      <w:pPr>
        <w:rPr>
          <w:rFonts w:ascii="Barlow" w:hAnsi="Barlow"/>
          <w:sz w:val="20"/>
          <w:szCs w:val="20"/>
          <w:u w:val="single"/>
        </w:rPr>
      </w:pPr>
      <w:r w:rsidRPr="00C7378F">
        <w:rPr>
          <w:rFonts w:ascii="Barlow" w:hAnsi="Barlow"/>
          <w:noProof/>
          <w:sz w:val="20"/>
          <w:szCs w:val="20"/>
          <w:lang w:eastAsia="es-MX"/>
        </w:rPr>
        <w:drawing>
          <wp:inline distT="0" distB="0" distL="0" distR="0" wp14:anchorId="6DE9CF11" wp14:editId="5B4CF6CE">
            <wp:extent cx="4838700" cy="7810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781050"/>
                    </a:xfrm>
                    <a:prstGeom prst="rect">
                      <a:avLst/>
                    </a:prstGeom>
                    <a:noFill/>
                    <a:ln>
                      <a:noFill/>
                    </a:ln>
                  </pic:spPr>
                </pic:pic>
              </a:graphicData>
            </a:graphic>
          </wp:inline>
        </w:drawing>
      </w:r>
    </w:p>
    <w:p w14:paraId="3CB113CF"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3.Transferencias, asignaciones, subsidios y otras ayudas</w:t>
      </w:r>
    </w:p>
    <w:bookmarkStart w:id="2" w:name="_MON_1651951195"/>
    <w:bookmarkEnd w:id="2"/>
    <w:p w14:paraId="159BDC92" w14:textId="2EDDDA11" w:rsidR="00CE1D0D" w:rsidRPr="00EF063D" w:rsidRDefault="008F1B3C" w:rsidP="00CE1D0D">
      <w:pPr>
        <w:rPr>
          <w:rFonts w:ascii="Barlow" w:hAnsi="Barlow"/>
          <w:sz w:val="20"/>
          <w:szCs w:val="20"/>
        </w:rPr>
      </w:pPr>
      <w:r w:rsidRPr="00C7378F">
        <w:rPr>
          <w:rFonts w:ascii="Barlow" w:hAnsi="Barlow"/>
          <w:sz w:val="20"/>
          <w:szCs w:val="20"/>
        </w:rPr>
        <w:object w:dxaOrig="6667" w:dyaOrig="2921" w14:anchorId="6F280C18">
          <v:shape id="_x0000_i1026" type="#_x0000_t75" style="width:297pt;height:131.25pt" o:ole="">
            <v:imagedata r:id="rId16" o:title=""/>
          </v:shape>
          <o:OLEObject Type="Embed" ProgID="Excel.Sheet.12" ShapeID="_x0000_i1026" DrawAspect="Content" ObjectID="_1775035201" r:id="rId17"/>
        </w:object>
      </w:r>
    </w:p>
    <w:p w14:paraId="176978F3"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4.Otros Ingresos</w:t>
      </w:r>
    </w:p>
    <w:bookmarkStart w:id="3" w:name="_MON_1718703734"/>
    <w:bookmarkEnd w:id="3"/>
    <w:p w14:paraId="67E4C91C" w14:textId="284FD972" w:rsidR="00CE1D0D" w:rsidRPr="00C7378F" w:rsidRDefault="00DA285E" w:rsidP="00CE1D0D">
      <w:pPr>
        <w:rPr>
          <w:rFonts w:ascii="Barlow" w:hAnsi="Barlow"/>
          <w:sz w:val="20"/>
          <w:szCs w:val="20"/>
          <w:u w:val="single"/>
        </w:rPr>
      </w:pPr>
      <w:r w:rsidRPr="00C7378F">
        <w:rPr>
          <w:rFonts w:ascii="Barlow" w:hAnsi="Barlow"/>
          <w:sz w:val="20"/>
          <w:szCs w:val="20"/>
        </w:rPr>
        <w:object w:dxaOrig="8457" w:dyaOrig="1327" w14:anchorId="6E64D466">
          <v:shape id="_x0000_i1027" type="#_x0000_t75" style="width:399pt;height:66.75pt" o:ole="">
            <v:imagedata r:id="rId18" o:title=""/>
          </v:shape>
          <o:OLEObject Type="Embed" ProgID="Excel.Sheet.12" ShapeID="_x0000_i1027" DrawAspect="Content" ObjectID="_1775035202" r:id="rId19"/>
        </w:object>
      </w:r>
    </w:p>
    <w:p w14:paraId="4F042F5B" w14:textId="77777777" w:rsidR="00CE1D0D" w:rsidRPr="00C7378F" w:rsidRDefault="00CE1D0D" w:rsidP="00CE1D0D">
      <w:pPr>
        <w:rPr>
          <w:rFonts w:ascii="Barlow" w:hAnsi="Barlow"/>
          <w:b/>
          <w:bCs/>
          <w:sz w:val="20"/>
          <w:szCs w:val="20"/>
        </w:rPr>
      </w:pPr>
      <w:r w:rsidRPr="00C7378F">
        <w:rPr>
          <w:rFonts w:ascii="Barlow" w:hAnsi="Barlow"/>
          <w:b/>
          <w:bCs/>
          <w:sz w:val="20"/>
          <w:szCs w:val="20"/>
        </w:rPr>
        <w:t>Gastos y otras pérdidas</w:t>
      </w:r>
    </w:p>
    <w:p w14:paraId="6E999D62" w14:textId="77777777" w:rsidR="00CE1D0D" w:rsidRPr="00C7378F" w:rsidRDefault="00CE1D0D" w:rsidP="00CE1D0D">
      <w:pPr>
        <w:rPr>
          <w:rFonts w:ascii="Barlow" w:hAnsi="Barlow"/>
          <w:sz w:val="20"/>
          <w:szCs w:val="20"/>
        </w:rPr>
      </w:pPr>
      <w:r w:rsidRPr="00C7378F">
        <w:rPr>
          <w:rFonts w:ascii="Barlow" w:hAnsi="Barlow"/>
          <w:sz w:val="20"/>
          <w:szCs w:val="20"/>
        </w:rPr>
        <w:t>1.El rubro de gastos y otras pérdidas está integrado por:</w:t>
      </w:r>
    </w:p>
    <w:p w14:paraId="1637A4F3"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Gastos de funcionamiento</w:t>
      </w:r>
    </w:p>
    <w:bookmarkStart w:id="4" w:name="_MON_1651954100"/>
    <w:bookmarkEnd w:id="4"/>
    <w:p w14:paraId="39FC95D3" w14:textId="74E59460" w:rsidR="00CE1D0D" w:rsidRPr="00C7378F" w:rsidRDefault="00DA285E" w:rsidP="00CE1D0D">
      <w:pPr>
        <w:rPr>
          <w:rFonts w:ascii="Barlow" w:hAnsi="Barlow"/>
          <w:sz w:val="20"/>
          <w:szCs w:val="20"/>
        </w:rPr>
      </w:pPr>
      <w:r w:rsidRPr="00C7378F">
        <w:rPr>
          <w:rFonts w:ascii="Barlow" w:hAnsi="Barlow"/>
          <w:sz w:val="20"/>
          <w:szCs w:val="20"/>
        </w:rPr>
        <w:object w:dxaOrig="5907" w:dyaOrig="1180" w14:anchorId="2D354B9C">
          <v:shape id="_x0000_i1028" type="#_x0000_t75" style="width:294.75pt;height:64.5pt" o:ole="">
            <v:imagedata r:id="rId20" o:title=""/>
          </v:shape>
          <o:OLEObject Type="Embed" ProgID="Excel.Sheet.12" ShapeID="_x0000_i1028" DrawAspect="Content" ObjectID="_1775035203" r:id="rId21"/>
        </w:object>
      </w:r>
    </w:p>
    <w:p w14:paraId="7160FE30" w14:textId="77777777" w:rsidR="00DA285E" w:rsidRPr="00C7378F" w:rsidRDefault="00DA285E" w:rsidP="00CE1D0D">
      <w:pPr>
        <w:rPr>
          <w:rFonts w:ascii="Barlow" w:hAnsi="Barlow"/>
          <w:sz w:val="20"/>
          <w:szCs w:val="20"/>
          <w:u w:val="single"/>
        </w:rPr>
      </w:pPr>
    </w:p>
    <w:p w14:paraId="11DC326F" w14:textId="77777777" w:rsidR="00DA285E" w:rsidRPr="00C7378F" w:rsidRDefault="00DA285E" w:rsidP="00CE1D0D">
      <w:pPr>
        <w:rPr>
          <w:rFonts w:ascii="Barlow" w:hAnsi="Barlow"/>
          <w:sz w:val="20"/>
          <w:szCs w:val="20"/>
          <w:u w:val="single"/>
        </w:rPr>
      </w:pPr>
    </w:p>
    <w:p w14:paraId="35723F4F" w14:textId="77777777" w:rsidR="00DA285E" w:rsidRPr="00C7378F" w:rsidRDefault="00DA285E" w:rsidP="00CE1D0D">
      <w:pPr>
        <w:rPr>
          <w:rFonts w:ascii="Barlow" w:hAnsi="Barlow"/>
          <w:sz w:val="20"/>
          <w:szCs w:val="20"/>
          <w:u w:val="single"/>
        </w:rPr>
      </w:pPr>
    </w:p>
    <w:p w14:paraId="2A0C803E" w14:textId="478787D1" w:rsidR="00CE1D0D" w:rsidRPr="00C7378F" w:rsidRDefault="00CE1D0D" w:rsidP="00CE1D0D">
      <w:pPr>
        <w:rPr>
          <w:rFonts w:ascii="Barlow" w:hAnsi="Barlow"/>
          <w:sz w:val="20"/>
          <w:szCs w:val="20"/>
          <w:u w:val="single"/>
        </w:rPr>
      </w:pPr>
      <w:r w:rsidRPr="00C7378F">
        <w:rPr>
          <w:rFonts w:ascii="Barlow" w:hAnsi="Barlow"/>
          <w:sz w:val="20"/>
          <w:szCs w:val="20"/>
          <w:u w:val="single"/>
        </w:rPr>
        <w:t>Transferencias, asignaciones, subsidios y otras ayudas</w:t>
      </w:r>
    </w:p>
    <w:p w14:paraId="122FDB64" w14:textId="741F8C4E" w:rsidR="00CE1D0D" w:rsidRPr="00EF063D" w:rsidRDefault="00DA285E" w:rsidP="00CE1D0D">
      <w:pPr>
        <w:rPr>
          <w:rFonts w:ascii="Barlow" w:hAnsi="Barlow"/>
          <w:sz w:val="20"/>
          <w:szCs w:val="20"/>
        </w:rPr>
      </w:pPr>
      <w:r w:rsidRPr="00C7378F">
        <w:rPr>
          <w:rFonts w:ascii="Barlow" w:hAnsi="Barlow"/>
          <w:noProof/>
          <w:sz w:val="20"/>
          <w:szCs w:val="20"/>
          <w:lang w:eastAsia="es-MX"/>
        </w:rPr>
        <w:drawing>
          <wp:inline distT="0" distB="0" distL="0" distR="0" wp14:anchorId="1C5E5E12" wp14:editId="326B995E">
            <wp:extent cx="4838700" cy="11525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0" cy="1152525"/>
                    </a:xfrm>
                    <a:prstGeom prst="rect">
                      <a:avLst/>
                    </a:prstGeom>
                    <a:noFill/>
                    <a:ln>
                      <a:noFill/>
                    </a:ln>
                  </pic:spPr>
                </pic:pic>
              </a:graphicData>
            </a:graphic>
          </wp:inline>
        </w:drawing>
      </w:r>
    </w:p>
    <w:p w14:paraId="510053DC" w14:textId="77777777" w:rsidR="00CE1D0D" w:rsidRPr="00C7378F" w:rsidRDefault="00CE1D0D" w:rsidP="00CE1D0D">
      <w:pPr>
        <w:rPr>
          <w:rFonts w:ascii="Barlow" w:hAnsi="Barlow"/>
          <w:sz w:val="20"/>
          <w:szCs w:val="20"/>
          <w:u w:val="single"/>
        </w:rPr>
      </w:pPr>
      <w:r w:rsidRPr="00C7378F">
        <w:rPr>
          <w:rFonts w:ascii="Barlow" w:hAnsi="Barlow"/>
          <w:sz w:val="20"/>
          <w:szCs w:val="20"/>
          <w:u w:val="single"/>
        </w:rPr>
        <w:t>Otros Gastos</w:t>
      </w:r>
    </w:p>
    <w:p w14:paraId="149DF22C" w14:textId="06E251DF" w:rsidR="00CE1D0D" w:rsidRPr="00C7378F" w:rsidRDefault="002E3498" w:rsidP="00CE1D0D">
      <w:pPr>
        <w:rPr>
          <w:rFonts w:ascii="Barlow" w:hAnsi="Barlow"/>
          <w:sz w:val="20"/>
          <w:szCs w:val="20"/>
          <w:u w:val="single"/>
        </w:rPr>
      </w:pPr>
      <w:r w:rsidRPr="00C7378F">
        <w:rPr>
          <w:rFonts w:ascii="Barlow" w:hAnsi="Barlow"/>
          <w:noProof/>
          <w:sz w:val="20"/>
          <w:szCs w:val="20"/>
          <w:lang w:eastAsia="es-MX"/>
        </w:rPr>
        <w:drawing>
          <wp:inline distT="0" distB="0" distL="0" distR="0" wp14:anchorId="4602FC62" wp14:editId="403D3335">
            <wp:extent cx="4838700" cy="11525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8700" cy="1152525"/>
                    </a:xfrm>
                    <a:prstGeom prst="rect">
                      <a:avLst/>
                    </a:prstGeom>
                    <a:noFill/>
                    <a:ln>
                      <a:noFill/>
                    </a:ln>
                  </pic:spPr>
                </pic:pic>
              </a:graphicData>
            </a:graphic>
          </wp:inline>
        </w:drawing>
      </w:r>
    </w:p>
    <w:p w14:paraId="0A602DE5" w14:textId="336B94C8" w:rsidR="00CE1D0D" w:rsidRPr="00EF063D" w:rsidRDefault="00CE1D0D" w:rsidP="00EF063D">
      <w:pPr>
        <w:rPr>
          <w:rFonts w:ascii="Barlow" w:hAnsi="Barlow"/>
          <w:sz w:val="20"/>
          <w:szCs w:val="20"/>
        </w:rPr>
      </w:pPr>
    </w:p>
    <w:p w14:paraId="41377C0C" w14:textId="7C48CC80" w:rsidR="002E3498" w:rsidRPr="00C7378F" w:rsidRDefault="002E3498" w:rsidP="00CE1D0D">
      <w:pPr>
        <w:pStyle w:val="Prrafodelista"/>
        <w:ind w:left="1080"/>
        <w:rPr>
          <w:rFonts w:ascii="Barlow" w:hAnsi="Barlow"/>
          <w:sz w:val="20"/>
          <w:szCs w:val="20"/>
        </w:rPr>
      </w:pPr>
    </w:p>
    <w:p w14:paraId="0FDA4C21" w14:textId="44A74AC1" w:rsidR="002E3498" w:rsidRPr="00C7378F" w:rsidRDefault="002E3498" w:rsidP="00CE1D0D">
      <w:pPr>
        <w:pStyle w:val="Prrafodelista"/>
        <w:ind w:left="1080"/>
        <w:rPr>
          <w:rFonts w:ascii="Barlow" w:hAnsi="Barlow"/>
          <w:sz w:val="20"/>
          <w:szCs w:val="20"/>
        </w:rPr>
      </w:pPr>
    </w:p>
    <w:p w14:paraId="60EBB3DD" w14:textId="4D6018C0" w:rsidR="002E3498" w:rsidRPr="00C7378F" w:rsidRDefault="002E3498" w:rsidP="00CE1D0D">
      <w:pPr>
        <w:pStyle w:val="Prrafodelista"/>
        <w:ind w:left="1080"/>
        <w:rPr>
          <w:rFonts w:ascii="Barlow" w:hAnsi="Barlow"/>
          <w:sz w:val="20"/>
          <w:szCs w:val="20"/>
        </w:rPr>
      </w:pPr>
    </w:p>
    <w:p w14:paraId="26CD6E9A" w14:textId="45D879E7" w:rsidR="00CE1D0D" w:rsidRPr="00EF063D" w:rsidRDefault="00CE1D0D" w:rsidP="00EF063D">
      <w:pPr>
        <w:rPr>
          <w:rFonts w:ascii="Barlow" w:hAnsi="Barlow"/>
          <w:sz w:val="20"/>
          <w:szCs w:val="20"/>
        </w:rPr>
      </w:pPr>
    </w:p>
    <w:p w14:paraId="3770DFBD" w14:textId="71BAF2B7" w:rsidR="005D4E54" w:rsidRPr="00C7378F" w:rsidRDefault="005D4E54" w:rsidP="00CE1D0D">
      <w:pPr>
        <w:pStyle w:val="Prrafodelista"/>
        <w:numPr>
          <w:ilvl w:val="0"/>
          <w:numId w:val="4"/>
        </w:numPr>
        <w:rPr>
          <w:rFonts w:ascii="Barlow" w:hAnsi="Barlow"/>
          <w:sz w:val="20"/>
          <w:szCs w:val="20"/>
        </w:rPr>
      </w:pPr>
      <w:r w:rsidRPr="00C7378F">
        <w:rPr>
          <w:rFonts w:ascii="Barlow" w:hAnsi="Barlow"/>
          <w:sz w:val="20"/>
          <w:szCs w:val="20"/>
        </w:rPr>
        <w:lastRenderedPageBreak/>
        <w:t>NOTAS AL ESTADO DE SITUACIÓN FINANCIERA</w:t>
      </w:r>
    </w:p>
    <w:p w14:paraId="755306EA" w14:textId="43F174C1" w:rsidR="005D4E54" w:rsidRPr="00C7378F" w:rsidRDefault="009C0B4D" w:rsidP="005D4E54">
      <w:pPr>
        <w:rPr>
          <w:rFonts w:ascii="Barlow" w:hAnsi="Barlow"/>
          <w:b/>
          <w:bCs/>
          <w:sz w:val="20"/>
          <w:szCs w:val="20"/>
        </w:rPr>
      </w:pPr>
      <w:r w:rsidRPr="00C7378F">
        <w:rPr>
          <w:rFonts w:ascii="Barlow" w:hAnsi="Barlow"/>
          <w:b/>
          <w:bCs/>
          <w:noProof/>
          <w:sz w:val="20"/>
          <w:szCs w:val="20"/>
        </w:rPr>
        <w:object w:dxaOrig="1440" w:dyaOrig="1440" w14:anchorId="0F01F7EE">
          <v:shape id="_x0000_s1105" type="#_x0000_t75" style="position:absolute;margin-left:0;margin-top:23.8pt;width:327.1pt;height:163.55pt;z-index:251668480;mso-position-horizontal:left;mso-position-horizontal-relative:text;mso-position-vertical-relative:text">
            <v:imagedata r:id="rId24" o:title=""/>
            <w10:wrap type="square" side="right"/>
          </v:shape>
          <o:OLEObject Type="Embed" ProgID="Excel.Sheet.12" ShapeID="_x0000_s1105" DrawAspect="Content" ObjectID="_1775035213" r:id="rId25"/>
        </w:object>
      </w:r>
      <w:r w:rsidR="005D4E54" w:rsidRPr="00C7378F">
        <w:rPr>
          <w:rFonts w:ascii="Barlow" w:hAnsi="Barlow"/>
          <w:b/>
          <w:bCs/>
          <w:sz w:val="20"/>
          <w:szCs w:val="20"/>
        </w:rPr>
        <w:t>Activo</w:t>
      </w:r>
    </w:p>
    <w:p w14:paraId="1AAA2AC1" w14:textId="2764843D" w:rsidR="00123C14" w:rsidRPr="00C7378F" w:rsidRDefault="00F43EDD" w:rsidP="005D4E54">
      <w:pPr>
        <w:rPr>
          <w:rFonts w:ascii="Barlow" w:hAnsi="Barlow"/>
          <w:b/>
          <w:bCs/>
          <w:sz w:val="20"/>
          <w:szCs w:val="20"/>
        </w:rPr>
      </w:pPr>
      <w:r w:rsidRPr="00C7378F">
        <w:rPr>
          <w:rFonts w:ascii="Barlow" w:hAnsi="Barlow"/>
          <w:b/>
          <w:bCs/>
          <w:sz w:val="20"/>
          <w:szCs w:val="20"/>
        </w:rPr>
        <w:br w:type="textWrapping" w:clear="all"/>
      </w:r>
    </w:p>
    <w:p w14:paraId="6692C6D5" w14:textId="6CC3C56D" w:rsidR="005D4E54" w:rsidRPr="00C7378F" w:rsidRDefault="00F4382D" w:rsidP="000F521A">
      <w:pPr>
        <w:jc w:val="both"/>
        <w:rPr>
          <w:rFonts w:ascii="Barlow" w:hAnsi="Barlow"/>
          <w:sz w:val="20"/>
          <w:szCs w:val="20"/>
          <w:u w:val="single"/>
        </w:rPr>
      </w:pPr>
      <w:r w:rsidRPr="00C7378F">
        <w:rPr>
          <w:rFonts w:ascii="Barlow" w:hAnsi="Barlow"/>
          <w:sz w:val="20"/>
          <w:szCs w:val="20"/>
        </w:rPr>
        <w:t xml:space="preserve">1. </w:t>
      </w:r>
      <w:r w:rsidR="005D4E54" w:rsidRPr="00C7378F">
        <w:rPr>
          <w:rFonts w:ascii="Barlow" w:hAnsi="Barlow"/>
          <w:sz w:val="20"/>
          <w:szCs w:val="20"/>
        </w:rPr>
        <w:t>Los saldos de efectivo y equivalentes que se presentan en este rubro del Estado de situación financiera,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p w14:paraId="08466F5C" w14:textId="37B591A1" w:rsidR="00D10D85" w:rsidRPr="00C7378F" w:rsidRDefault="00D10D85" w:rsidP="00D10D85">
      <w:pPr>
        <w:rPr>
          <w:rFonts w:ascii="Barlow" w:hAnsi="Barlow"/>
          <w:sz w:val="20"/>
          <w:szCs w:val="20"/>
          <w:u w:val="single"/>
        </w:rPr>
      </w:pPr>
      <w:r w:rsidRPr="00C7378F">
        <w:rPr>
          <w:rFonts w:ascii="Barlow" w:hAnsi="Barlow"/>
          <w:sz w:val="20"/>
          <w:szCs w:val="20"/>
          <w:u w:val="single"/>
        </w:rPr>
        <w:t xml:space="preserve">Derechos a recibir </w:t>
      </w:r>
      <w:r w:rsidR="00674494" w:rsidRPr="00C7378F">
        <w:rPr>
          <w:rFonts w:ascii="Barlow" w:hAnsi="Barlow"/>
          <w:sz w:val="20"/>
          <w:szCs w:val="20"/>
          <w:u w:val="single"/>
        </w:rPr>
        <w:t>e</w:t>
      </w:r>
      <w:r w:rsidRPr="00C7378F">
        <w:rPr>
          <w:rFonts w:ascii="Barlow" w:hAnsi="Barlow"/>
          <w:sz w:val="20"/>
          <w:szCs w:val="20"/>
          <w:u w:val="single"/>
        </w:rPr>
        <w:t>fectivo y equivalentes</w:t>
      </w:r>
    </w:p>
    <w:p w14:paraId="3E9D6D53" w14:textId="1FC386F9" w:rsidR="00981C36" w:rsidRPr="00C7378F" w:rsidRDefault="008E5A8F" w:rsidP="008E5A8F">
      <w:pPr>
        <w:rPr>
          <w:rFonts w:ascii="Barlow" w:hAnsi="Barlow"/>
          <w:sz w:val="20"/>
          <w:szCs w:val="20"/>
        </w:rPr>
      </w:pPr>
      <w:r w:rsidRPr="00C7378F">
        <w:rPr>
          <w:rFonts w:ascii="Barlow" w:hAnsi="Barlow"/>
          <w:sz w:val="20"/>
          <w:szCs w:val="20"/>
        </w:rPr>
        <w:t>2.</w:t>
      </w:r>
      <w:r w:rsidR="00F4382D" w:rsidRPr="00C7378F">
        <w:rPr>
          <w:rFonts w:ascii="Barlow" w:hAnsi="Barlow"/>
          <w:sz w:val="20"/>
          <w:szCs w:val="20"/>
        </w:rPr>
        <w:t xml:space="preserve"> </w:t>
      </w:r>
      <w:r w:rsidRPr="00C7378F">
        <w:rPr>
          <w:rFonts w:ascii="Barlow" w:hAnsi="Barlow"/>
          <w:sz w:val="20"/>
          <w:szCs w:val="20"/>
        </w:rPr>
        <w:t>No aplica</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5BA712E9" w14:textId="4A6E796F" w:rsidR="00AD104A" w:rsidRPr="00C7378F" w:rsidRDefault="008E5A8F" w:rsidP="008E5A8F">
      <w:pPr>
        <w:rPr>
          <w:rFonts w:ascii="Barlow" w:hAnsi="Barlow"/>
          <w:sz w:val="20"/>
          <w:szCs w:val="20"/>
        </w:rPr>
      </w:pPr>
      <w:r w:rsidRPr="00C7378F">
        <w:rPr>
          <w:rFonts w:ascii="Barlow" w:hAnsi="Barlow"/>
          <w:sz w:val="20"/>
          <w:szCs w:val="20"/>
        </w:rPr>
        <w:t>3.</w:t>
      </w:r>
      <w:r w:rsidR="00F4382D" w:rsidRPr="00C7378F">
        <w:rPr>
          <w:rFonts w:ascii="Barlow" w:hAnsi="Barlow"/>
          <w:sz w:val="20"/>
          <w:szCs w:val="20"/>
        </w:rPr>
        <w:t xml:space="preserve"> </w:t>
      </w:r>
      <w:r w:rsidRPr="00C7378F">
        <w:rPr>
          <w:rFonts w:ascii="Barlow" w:hAnsi="Barlow"/>
          <w:sz w:val="20"/>
          <w:szCs w:val="20"/>
        </w:rPr>
        <w:t>El saldo de esta cuenta a la fecha que se presentan los estados financieros está integrado por las siguientes partidas:</w:t>
      </w:r>
    </w:p>
    <w:p w14:paraId="4E24F11D" w14:textId="310B2728" w:rsidR="0067627F" w:rsidRPr="00C7378F" w:rsidRDefault="0067627F" w:rsidP="008E5A8F">
      <w:pPr>
        <w:rPr>
          <w:rFonts w:ascii="Barlow" w:hAnsi="Barlow"/>
          <w:sz w:val="20"/>
          <w:szCs w:val="20"/>
        </w:rPr>
      </w:pPr>
    </w:p>
    <w:p w14:paraId="13EA07A5" w14:textId="03AC6004" w:rsidR="00C91981" w:rsidRPr="00C7378F" w:rsidRDefault="00C91981" w:rsidP="008E5A8F">
      <w:pPr>
        <w:rPr>
          <w:rFonts w:ascii="Barlow" w:hAnsi="Barlow"/>
          <w:sz w:val="20"/>
          <w:szCs w:val="20"/>
        </w:rPr>
      </w:pPr>
    </w:p>
    <w:p w14:paraId="06EC3C4B" w14:textId="77777777" w:rsidR="00C91981" w:rsidRPr="00C7378F" w:rsidRDefault="00C91981" w:rsidP="008E5A8F">
      <w:pPr>
        <w:rPr>
          <w:rFonts w:ascii="Barlow" w:hAnsi="Barlow"/>
          <w:sz w:val="20"/>
          <w:szCs w:val="20"/>
        </w:rPr>
      </w:pPr>
    </w:p>
    <w:tbl>
      <w:tblPr>
        <w:tblW w:w="7420" w:type="dxa"/>
        <w:tblCellMar>
          <w:left w:w="70" w:type="dxa"/>
          <w:right w:w="70" w:type="dxa"/>
        </w:tblCellMar>
        <w:tblLook w:val="04A0" w:firstRow="1" w:lastRow="0" w:firstColumn="1" w:lastColumn="0" w:noHBand="0" w:noVBand="1"/>
      </w:tblPr>
      <w:tblGrid>
        <w:gridCol w:w="7420"/>
      </w:tblGrid>
      <w:tr w:rsidR="0067627F" w:rsidRPr="00C7378F" w14:paraId="500CED8B" w14:textId="77777777" w:rsidTr="00303B79">
        <w:trPr>
          <w:trHeight w:val="183"/>
        </w:trPr>
        <w:tc>
          <w:tcPr>
            <w:tcW w:w="7420" w:type="dxa"/>
            <w:tcBorders>
              <w:top w:val="nil"/>
              <w:right w:val="nil"/>
            </w:tcBorders>
            <w:shd w:val="clear" w:color="auto" w:fill="auto"/>
            <w:noWrap/>
            <w:vAlign w:val="bottom"/>
            <w:hideMark/>
          </w:tcPr>
          <w:p w14:paraId="03520E43" w14:textId="6675A0E4" w:rsidR="003F33E1" w:rsidRPr="00C7378F" w:rsidRDefault="0067627F" w:rsidP="0067627F">
            <w:pPr>
              <w:spacing w:after="0" w:line="240" w:lineRule="auto"/>
              <w:rPr>
                <w:rFonts w:ascii="Barlow" w:eastAsia="Times New Roman" w:hAnsi="Barlow" w:cs="Calibri"/>
                <w:color w:val="000000"/>
                <w:sz w:val="20"/>
                <w:szCs w:val="20"/>
                <w:lang w:eastAsia="es-MX"/>
              </w:rPr>
            </w:pPr>
            <w:r w:rsidRPr="00C7378F">
              <w:rPr>
                <w:rFonts w:ascii="Barlow" w:eastAsia="Times New Roman" w:hAnsi="Barlow" w:cs="Calibri"/>
                <w:color w:val="000000"/>
                <w:sz w:val="20"/>
                <w:szCs w:val="20"/>
                <w:lang w:eastAsia="es-MX"/>
              </w:rPr>
              <w:t xml:space="preserve">                b2) Cuentas por Cobrar a Corto Plazo</w:t>
            </w:r>
          </w:p>
          <w:p w14:paraId="752B7FFE" w14:textId="77777777" w:rsidR="003F33E1" w:rsidRPr="00C7378F" w:rsidRDefault="003F33E1" w:rsidP="0067627F">
            <w:pPr>
              <w:spacing w:after="0" w:line="240" w:lineRule="auto"/>
              <w:rPr>
                <w:rFonts w:ascii="Barlow" w:eastAsia="Times New Roman" w:hAnsi="Barlow" w:cs="Calibri"/>
                <w:color w:val="000000"/>
                <w:sz w:val="20"/>
                <w:szCs w:val="20"/>
                <w:lang w:eastAsia="es-MX"/>
              </w:rPr>
            </w:pPr>
          </w:p>
          <w:p w14:paraId="42F1C485" w14:textId="7DF9D9F5" w:rsidR="003F33E1" w:rsidRPr="00C7378F" w:rsidRDefault="003F33E1" w:rsidP="0067627F">
            <w:pPr>
              <w:spacing w:after="0" w:line="240" w:lineRule="auto"/>
              <w:rPr>
                <w:rFonts w:ascii="Barlow" w:eastAsia="Times New Roman" w:hAnsi="Barlow" w:cs="Calibri"/>
                <w:color w:val="000000"/>
                <w:sz w:val="20"/>
                <w:szCs w:val="20"/>
                <w:lang w:eastAsia="es-MX"/>
              </w:rPr>
            </w:pPr>
          </w:p>
        </w:tc>
      </w:tr>
    </w:tbl>
    <w:bookmarkStart w:id="5" w:name="_MON_1651652340"/>
    <w:bookmarkEnd w:id="5"/>
    <w:p w14:paraId="3235FC3C" w14:textId="6C3EB385" w:rsidR="00A41C63" w:rsidRPr="00C7378F" w:rsidRDefault="006A3D3D" w:rsidP="00C41FA2">
      <w:pPr>
        <w:rPr>
          <w:rFonts w:ascii="Barlow" w:hAnsi="Barlow"/>
          <w:sz w:val="20"/>
          <w:szCs w:val="20"/>
        </w:rPr>
      </w:pPr>
      <w:r w:rsidRPr="00C7378F">
        <w:rPr>
          <w:rFonts w:ascii="Barlow" w:hAnsi="Barlow"/>
          <w:sz w:val="20"/>
          <w:szCs w:val="20"/>
        </w:rPr>
        <w:object w:dxaOrig="7361" w:dyaOrig="2341" w14:anchorId="2CD22D82">
          <v:shape id="_x0000_i1030" type="#_x0000_t75" style="width:349.5pt;height:115.5pt" o:ole="">
            <v:imagedata r:id="rId26" o:title=""/>
          </v:shape>
          <o:OLEObject Type="Embed" ProgID="Excel.Sheet.12" ShapeID="_x0000_i1030" DrawAspect="Content" ObjectID="_1775035204" r:id="rId27"/>
        </w:object>
      </w:r>
    </w:p>
    <w:p w14:paraId="09617ECF" w14:textId="06E6E294" w:rsidR="00C41FA2" w:rsidRPr="00C7378F" w:rsidRDefault="00B974E0" w:rsidP="00C41FA2">
      <w:pPr>
        <w:rPr>
          <w:rFonts w:ascii="Barlow" w:hAnsi="Barlow"/>
          <w:sz w:val="20"/>
          <w:szCs w:val="20"/>
        </w:rPr>
      </w:pPr>
      <w:r w:rsidRPr="00C7378F">
        <w:rPr>
          <w:rFonts w:ascii="Barlow" w:hAnsi="Barlow"/>
          <w:sz w:val="20"/>
          <w:szCs w:val="20"/>
        </w:rPr>
        <w:t xml:space="preserve">             </w:t>
      </w:r>
      <w:r w:rsidR="00C41FA2" w:rsidRPr="00C7378F">
        <w:rPr>
          <w:rFonts w:ascii="Barlow" w:eastAsia="Times New Roman" w:hAnsi="Barlow" w:cs="Calibri"/>
          <w:color w:val="000000"/>
          <w:sz w:val="20"/>
          <w:szCs w:val="20"/>
          <w:lang w:eastAsia="es-MX"/>
        </w:rPr>
        <w:t xml:space="preserve">  </w:t>
      </w:r>
      <w:r w:rsidRPr="00C7378F">
        <w:rPr>
          <w:rFonts w:ascii="Barlow" w:eastAsia="Times New Roman" w:hAnsi="Barlow" w:cs="Calibri"/>
          <w:color w:val="000000"/>
          <w:sz w:val="20"/>
          <w:szCs w:val="20"/>
          <w:lang w:eastAsia="es-MX"/>
        </w:rPr>
        <w:t>b3</w:t>
      </w:r>
      <w:r w:rsidR="00C41FA2" w:rsidRPr="00C7378F">
        <w:rPr>
          <w:rFonts w:ascii="Barlow" w:eastAsia="Times New Roman" w:hAnsi="Barlow" w:cs="Calibri"/>
          <w:color w:val="000000"/>
          <w:sz w:val="20"/>
          <w:szCs w:val="20"/>
          <w:lang w:eastAsia="es-MX"/>
        </w:rPr>
        <w:t xml:space="preserve">) </w:t>
      </w:r>
      <w:r w:rsidRPr="00C7378F">
        <w:rPr>
          <w:rFonts w:ascii="Barlow" w:eastAsia="Times New Roman" w:hAnsi="Barlow" w:cs="Calibri"/>
          <w:color w:val="000000"/>
          <w:sz w:val="20"/>
          <w:szCs w:val="20"/>
          <w:lang w:eastAsia="es-MX"/>
        </w:rPr>
        <w:t>Deudores diversos</w:t>
      </w:r>
    </w:p>
    <w:bookmarkStart w:id="6" w:name="_Hlk108013106"/>
    <w:bookmarkStart w:id="7" w:name="_MON_1681993427"/>
    <w:bookmarkEnd w:id="7"/>
    <w:p w14:paraId="6745B3D6" w14:textId="03BFA6AA" w:rsidR="00400AE0" w:rsidRPr="00C7378F" w:rsidRDefault="006A3D3D" w:rsidP="008E5A8F">
      <w:pPr>
        <w:rPr>
          <w:rFonts w:ascii="Barlow" w:hAnsi="Barlow"/>
          <w:sz w:val="20"/>
          <w:szCs w:val="20"/>
        </w:rPr>
      </w:pPr>
      <w:r w:rsidRPr="00C7378F">
        <w:rPr>
          <w:rFonts w:ascii="Barlow" w:hAnsi="Barlow"/>
          <w:sz w:val="20"/>
          <w:szCs w:val="20"/>
        </w:rPr>
        <w:object w:dxaOrig="5571" w:dyaOrig="1471" w14:anchorId="07C89CB7">
          <v:shape id="_x0000_i1031" type="#_x0000_t75" style="width:280.5pt;height:1in" o:ole="">
            <v:imagedata r:id="rId28" o:title=""/>
          </v:shape>
          <o:OLEObject Type="Embed" ProgID="Excel.Sheet.12" ShapeID="_x0000_i1031" DrawAspect="Content" ObjectID="_1775035205" r:id="rId29"/>
        </w:object>
      </w:r>
      <w:bookmarkEnd w:id="6"/>
      <w:r w:rsidR="003F0FB6" w:rsidRPr="00C7378F">
        <w:rPr>
          <w:rFonts w:ascii="Barlow" w:hAnsi="Barlow"/>
          <w:sz w:val="20"/>
          <w:szCs w:val="20"/>
        </w:rPr>
        <w:tab/>
      </w:r>
      <w:r w:rsidR="003F0FB6" w:rsidRPr="00C7378F">
        <w:rPr>
          <w:rFonts w:ascii="Barlow" w:hAnsi="Barlow"/>
          <w:sz w:val="20"/>
          <w:szCs w:val="20"/>
        </w:rPr>
        <w:tab/>
      </w:r>
    </w:p>
    <w:p w14:paraId="11F07662" w14:textId="10B9C9C7" w:rsidR="002357AA" w:rsidRPr="00C7378F" w:rsidRDefault="002357AA" w:rsidP="008E5A8F">
      <w:pPr>
        <w:rPr>
          <w:rFonts w:ascii="Barlow" w:hAnsi="Barlow"/>
          <w:sz w:val="20"/>
          <w:szCs w:val="20"/>
        </w:rPr>
      </w:pPr>
    </w:p>
    <w:p w14:paraId="427E7E8E" w14:textId="77777777" w:rsidR="002357AA" w:rsidRPr="00C7378F" w:rsidRDefault="002357AA" w:rsidP="008E5A8F">
      <w:pPr>
        <w:rPr>
          <w:rFonts w:ascii="Barlow" w:hAnsi="Barlow"/>
          <w:sz w:val="20"/>
          <w:szCs w:val="20"/>
        </w:rPr>
      </w:pPr>
    </w:p>
    <w:p w14:paraId="3BC5777B" w14:textId="1D384B5B" w:rsidR="0063054D" w:rsidRPr="00C7378F" w:rsidRDefault="00C95584" w:rsidP="00C95584">
      <w:pPr>
        <w:rPr>
          <w:rFonts w:ascii="Barlow" w:eastAsia="Times New Roman" w:hAnsi="Barlow" w:cs="Calibri"/>
          <w:color w:val="000000"/>
          <w:sz w:val="20"/>
          <w:szCs w:val="20"/>
          <w:lang w:eastAsia="es-MX"/>
        </w:rPr>
      </w:pPr>
      <w:r w:rsidRPr="00C7378F">
        <w:rPr>
          <w:rFonts w:ascii="Barlow" w:hAnsi="Barlow"/>
          <w:sz w:val="20"/>
          <w:szCs w:val="20"/>
        </w:rPr>
        <w:t xml:space="preserve">             </w:t>
      </w:r>
      <w:r w:rsidRPr="00C7378F">
        <w:rPr>
          <w:rFonts w:ascii="Barlow" w:eastAsia="Times New Roman" w:hAnsi="Barlow" w:cs="Calibri"/>
          <w:color w:val="000000"/>
          <w:sz w:val="20"/>
          <w:szCs w:val="20"/>
          <w:lang w:eastAsia="es-MX"/>
        </w:rPr>
        <w:t xml:space="preserve">  B4) Otros de</w:t>
      </w:r>
      <w:r w:rsidR="0063054D" w:rsidRPr="00C7378F">
        <w:rPr>
          <w:rFonts w:ascii="Barlow" w:eastAsia="Times New Roman" w:hAnsi="Barlow" w:cs="Calibri"/>
          <w:color w:val="000000"/>
          <w:sz w:val="20"/>
          <w:szCs w:val="20"/>
          <w:lang w:eastAsia="es-MX"/>
        </w:rPr>
        <w:t>rechos a recibir efectivo y equivalentes</w:t>
      </w:r>
    </w:p>
    <w:bookmarkStart w:id="8" w:name="_MON_1718626483"/>
    <w:bookmarkEnd w:id="8"/>
    <w:p w14:paraId="1A109D7C" w14:textId="6E8CBC54" w:rsidR="0063054D" w:rsidRPr="00C7378F" w:rsidRDefault="00175CF6" w:rsidP="00C95584">
      <w:pPr>
        <w:rPr>
          <w:rFonts w:ascii="Barlow" w:hAnsi="Barlow"/>
          <w:sz w:val="20"/>
          <w:szCs w:val="20"/>
        </w:rPr>
      </w:pPr>
      <w:r w:rsidRPr="00C7378F">
        <w:rPr>
          <w:rFonts w:ascii="Barlow" w:hAnsi="Barlow"/>
          <w:sz w:val="20"/>
          <w:szCs w:val="20"/>
        </w:rPr>
        <w:object w:dxaOrig="6861" w:dyaOrig="1180" w14:anchorId="3AE776C9">
          <v:shape id="_x0000_i1032" type="#_x0000_t75" style="width:345.75pt;height:58.5pt" o:ole="">
            <v:imagedata r:id="rId30" o:title=""/>
          </v:shape>
          <o:OLEObject Type="Embed" ProgID="Excel.Sheet.12" ShapeID="_x0000_i1032" DrawAspect="Content" ObjectID="_1775035206" r:id="rId31"/>
        </w:object>
      </w:r>
    </w:p>
    <w:p w14:paraId="071D38CF" w14:textId="026DA007" w:rsidR="00175CF6" w:rsidRPr="00C7378F" w:rsidRDefault="00175CF6" w:rsidP="0067627F">
      <w:pPr>
        <w:rPr>
          <w:rFonts w:ascii="Barlow" w:hAnsi="Barlow"/>
          <w:sz w:val="20"/>
          <w:szCs w:val="20"/>
          <w:u w:val="single"/>
        </w:rPr>
      </w:pPr>
    </w:p>
    <w:p w14:paraId="1633AABD" w14:textId="3DFBFCC7" w:rsidR="0067627F" w:rsidRPr="00C7378F" w:rsidRDefault="005F4848" w:rsidP="0067627F">
      <w:pPr>
        <w:rPr>
          <w:rFonts w:ascii="Barlow" w:hAnsi="Barlow"/>
          <w:sz w:val="20"/>
          <w:szCs w:val="20"/>
          <w:u w:val="single"/>
        </w:rPr>
      </w:pPr>
      <w:r w:rsidRPr="00C7378F">
        <w:rPr>
          <w:rFonts w:ascii="Barlow" w:hAnsi="Barlow"/>
          <w:sz w:val="20"/>
          <w:szCs w:val="20"/>
          <w:u w:val="single"/>
        </w:rPr>
        <w:t xml:space="preserve">Derechos a recibir </w:t>
      </w:r>
      <w:r w:rsidR="00674494" w:rsidRPr="00C7378F">
        <w:rPr>
          <w:rFonts w:ascii="Barlow" w:hAnsi="Barlow"/>
          <w:sz w:val="20"/>
          <w:szCs w:val="20"/>
          <w:u w:val="single"/>
        </w:rPr>
        <w:t>b</w:t>
      </w:r>
      <w:r w:rsidR="0020096E" w:rsidRPr="00C7378F">
        <w:rPr>
          <w:rFonts w:ascii="Barlow" w:hAnsi="Barlow"/>
          <w:sz w:val="20"/>
          <w:szCs w:val="20"/>
          <w:u w:val="single"/>
        </w:rPr>
        <w:t xml:space="preserve">ienes o </w:t>
      </w:r>
      <w:r w:rsidR="00674494" w:rsidRPr="00C7378F">
        <w:rPr>
          <w:rFonts w:ascii="Barlow" w:hAnsi="Barlow"/>
          <w:sz w:val="20"/>
          <w:szCs w:val="20"/>
          <w:u w:val="single"/>
        </w:rPr>
        <w:t>s</w:t>
      </w:r>
      <w:r w:rsidR="0020096E" w:rsidRPr="00C7378F">
        <w:rPr>
          <w:rFonts w:ascii="Barlow" w:hAnsi="Barlow"/>
          <w:sz w:val="20"/>
          <w:szCs w:val="20"/>
          <w:u w:val="single"/>
        </w:rPr>
        <w:t>ervicios</w:t>
      </w:r>
    </w:p>
    <w:p w14:paraId="25294F5B" w14:textId="3624E7CB" w:rsidR="0067627F" w:rsidRPr="00C7378F" w:rsidRDefault="0067627F" w:rsidP="005F4848">
      <w:pPr>
        <w:rPr>
          <w:rFonts w:ascii="Barlow" w:hAnsi="Barlow"/>
          <w:sz w:val="20"/>
          <w:szCs w:val="20"/>
        </w:rPr>
      </w:pPr>
      <w:r w:rsidRPr="00C7378F">
        <w:rPr>
          <w:rFonts w:ascii="Barlow" w:hAnsi="Barlow"/>
          <w:sz w:val="20"/>
          <w:szCs w:val="20"/>
        </w:rPr>
        <w:t>Otros Derechos a Recibir Bienes o Servicios a Corto Plazo</w:t>
      </w:r>
    </w:p>
    <w:bookmarkStart w:id="9" w:name="_MON_1651655856"/>
    <w:bookmarkEnd w:id="9"/>
    <w:p w14:paraId="304BB18C" w14:textId="0B009091" w:rsidR="00AD104A" w:rsidRPr="00C7378F" w:rsidRDefault="00B968DB" w:rsidP="005F4848">
      <w:pPr>
        <w:rPr>
          <w:rFonts w:ascii="Barlow" w:hAnsi="Barlow"/>
          <w:sz w:val="20"/>
          <w:szCs w:val="20"/>
        </w:rPr>
      </w:pPr>
      <w:r w:rsidRPr="00C7378F">
        <w:rPr>
          <w:rFonts w:ascii="Barlow" w:hAnsi="Barlow"/>
          <w:sz w:val="20"/>
          <w:szCs w:val="20"/>
        </w:rPr>
        <w:object w:dxaOrig="6893" w:dyaOrig="1789" w14:anchorId="4901282E">
          <v:shape id="_x0000_i1033" type="#_x0000_t75" style="width:325.5pt;height:85.5pt" o:ole="">
            <v:imagedata r:id="rId32" o:title=""/>
          </v:shape>
          <o:OLEObject Type="Embed" ProgID="Excel.Sheet.12" ShapeID="_x0000_i1033" DrawAspect="Content" ObjectID="_1775035207" r:id="rId33"/>
        </w:object>
      </w:r>
    </w:p>
    <w:p w14:paraId="56EDDCA1" w14:textId="763CEF8C" w:rsidR="00AD104A" w:rsidRPr="00C7378F" w:rsidRDefault="00946D97" w:rsidP="005F4848">
      <w:pPr>
        <w:rPr>
          <w:rFonts w:ascii="Barlow" w:hAnsi="Barlow"/>
          <w:sz w:val="20"/>
          <w:szCs w:val="20"/>
          <w:u w:val="single"/>
        </w:rPr>
      </w:pPr>
      <w:r w:rsidRPr="00C7378F">
        <w:rPr>
          <w:rFonts w:ascii="Barlow" w:hAnsi="Barlow"/>
          <w:sz w:val="20"/>
          <w:szCs w:val="20"/>
        </w:rPr>
        <w:t>4</w:t>
      </w:r>
      <w:r w:rsidR="009270BA" w:rsidRPr="00C7378F">
        <w:rPr>
          <w:rFonts w:ascii="Barlow" w:hAnsi="Barlow"/>
          <w:sz w:val="20"/>
          <w:szCs w:val="20"/>
        </w:rPr>
        <w:t xml:space="preserve">. </w:t>
      </w:r>
      <w:r w:rsidR="00B256F1" w:rsidRPr="00C7378F">
        <w:rPr>
          <w:rFonts w:ascii="Barlow" w:hAnsi="Barlow"/>
          <w:sz w:val="20"/>
          <w:szCs w:val="20"/>
          <w:u w:val="single"/>
        </w:rPr>
        <w:t>Inventarios</w:t>
      </w:r>
    </w:p>
    <w:p w14:paraId="000036F7" w14:textId="77777777" w:rsidR="00E872FD" w:rsidRPr="00C7378F" w:rsidRDefault="00E872FD" w:rsidP="00E872FD">
      <w:pPr>
        <w:jc w:val="both"/>
        <w:rPr>
          <w:rFonts w:ascii="Barlow" w:hAnsi="Barlow"/>
          <w:sz w:val="20"/>
          <w:szCs w:val="20"/>
        </w:rPr>
      </w:pPr>
    </w:p>
    <w:bookmarkStart w:id="10" w:name="_MON_1718627710"/>
    <w:bookmarkEnd w:id="10"/>
    <w:p w14:paraId="2CBBB95A" w14:textId="3D01D0D3" w:rsidR="00651830" w:rsidRPr="00C7378F" w:rsidRDefault="00984C7E" w:rsidP="005F4848">
      <w:pPr>
        <w:rPr>
          <w:rFonts w:ascii="Barlow" w:hAnsi="Barlow"/>
          <w:sz w:val="20"/>
          <w:szCs w:val="20"/>
        </w:rPr>
      </w:pPr>
      <w:r w:rsidRPr="00C7378F">
        <w:rPr>
          <w:rFonts w:ascii="Barlow" w:hAnsi="Barlow"/>
          <w:sz w:val="20"/>
          <w:szCs w:val="20"/>
        </w:rPr>
        <w:object w:dxaOrig="6861" w:dyaOrig="1180" w14:anchorId="3E3AFA7F">
          <v:shape id="_x0000_i1034" type="#_x0000_t75" style="width:333pt;height:58.5pt" o:ole="">
            <v:imagedata r:id="rId34" o:title=""/>
          </v:shape>
          <o:OLEObject Type="Embed" ProgID="Excel.Sheet.12" ShapeID="_x0000_i1034" DrawAspect="Content" ObjectID="_1775035208" r:id="rId35"/>
        </w:object>
      </w:r>
    </w:p>
    <w:p w14:paraId="7FF6F7CC" w14:textId="5F38A377" w:rsidR="00BF029B" w:rsidRPr="00C7378F" w:rsidRDefault="00651830" w:rsidP="0083286C">
      <w:pPr>
        <w:jc w:val="both"/>
        <w:rPr>
          <w:rFonts w:ascii="Barlow" w:hAnsi="Barlow"/>
          <w:sz w:val="20"/>
          <w:szCs w:val="20"/>
        </w:rPr>
      </w:pPr>
      <w:r w:rsidRPr="00C7378F">
        <w:rPr>
          <w:rFonts w:ascii="Barlow" w:hAnsi="Barlow"/>
          <w:sz w:val="20"/>
          <w:szCs w:val="20"/>
        </w:rPr>
        <w:t>5. 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p w14:paraId="306EB68A" w14:textId="77777777" w:rsidR="002357AA" w:rsidRPr="00C7378F" w:rsidRDefault="002357AA" w:rsidP="004C4F08">
      <w:pPr>
        <w:rPr>
          <w:rFonts w:ascii="Barlow" w:hAnsi="Barlow"/>
          <w:sz w:val="20"/>
          <w:szCs w:val="20"/>
          <w:u w:val="single"/>
        </w:rPr>
      </w:pPr>
    </w:p>
    <w:p w14:paraId="70377808" w14:textId="77777777" w:rsidR="002357AA" w:rsidRPr="00C7378F" w:rsidRDefault="002357AA" w:rsidP="004C4F08">
      <w:pPr>
        <w:rPr>
          <w:rFonts w:ascii="Barlow" w:hAnsi="Barlow"/>
          <w:sz w:val="20"/>
          <w:szCs w:val="20"/>
          <w:u w:val="single"/>
        </w:rPr>
      </w:pPr>
    </w:p>
    <w:p w14:paraId="31D7CFEA" w14:textId="77777777" w:rsidR="002357AA" w:rsidRPr="00C7378F" w:rsidRDefault="002357AA" w:rsidP="004C4F08">
      <w:pPr>
        <w:rPr>
          <w:rFonts w:ascii="Barlow" w:hAnsi="Barlow"/>
          <w:sz w:val="20"/>
          <w:szCs w:val="20"/>
          <w:u w:val="single"/>
        </w:rPr>
      </w:pPr>
    </w:p>
    <w:p w14:paraId="5FC932E7" w14:textId="77777777" w:rsidR="002357AA" w:rsidRPr="00C7378F" w:rsidRDefault="002357AA" w:rsidP="004C4F08">
      <w:pPr>
        <w:rPr>
          <w:rFonts w:ascii="Barlow" w:hAnsi="Barlow"/>
          <w:sz w:val="20"/>
          <w:szCs w:val="20"/>
          <w:u w:val="single"/>
        </w:rPr>
      </w:pPr>
    </w:p>
    <w:p w14:paraId="5A3988BD" w14:textId="65F0BE80" w:rsidR="004C4F08" w:rsidRPr="00C7378F" w:rsidRDefault="004C4F08" w:rsidP="004C4F08">
      <w:pPr>
        <w:rPr>
          <w:rFonts w:ascii="Barlow" w:hAnsi="Barlow"/>
          <w:sz w:val="20"/>
          <w:szCs w:val="20"/>
        </w:rPr>
      </w:pPr>
      <w:r w:rsidRPr="00C7378F">
        <w:rPr>
          <w:rFonts w:ascii="Barlow" w:hAnsi="Barlow"/>
          <w:sz w:val="20"/>
          <w:szCs w:val="20"/>
          <w:u w:val="single"/>
        </w:rPr>
        <w:t>Inversiones financieras</w:t>
      </w:r>
      <w:r w:rsidRPr="00C7378F">
        <w:rPr>
          <w:rFonts w:ascii="Barlow" w:hAnsi="Barlow"/>
          <w:sz w:val="20"/>
          <w:szCs w:val="20"/>
        </w:rPr>
        <w:tab/>
      </w:r>
      <w:r w:rsidRPr="00C7378F">
        <w:rPr>
          <w:rFonts w:ascii="Barlow" w:hAnsi="Barlow"/>
          <w:sz w:val="20"/>
          <w:szCs w:val="20"/>
        </w:rPr>
        <w:tab/>
      </w:r>
      <w:r w:rsidRPr="00C7378F">
        <w:rPr>
          <w:rFonts w:ascii="Barlow" w:hAnsi="Barlow"/>
          <w:sz w:val="20"/>
          <w:szCs w:val="20"/>
        </w:rPr>
        <w:tab/>
      </w:r>
    </w:p>
    <w:p w14:paraId="77B0F009" w14:textId="304A2206" w:rsidR="00FB0A5D" w:rsidRPr="00C7378F" w:rsidRDefault="00946D97" w:rsidP="004C4F08">
      <w:pPr>
        <w:rPr>
          <w:rFonts w:ascii="Barlow" w:hAnsi="Barlow"/>
          <w:sz w:val="20"/>
          <w:szCs w:val="20"/>
        </w:rPr>
      </w:pPr>
      <w:r w:rsidRPr="00C7378F">
        <w:rPr>
          <w:rFonts w:ascii="Barlow" w:hAnsi="Barlow"/>
          <w:sz w:val="20"/>
          <w:szCs w:val="20"/>
        </w:rPr>
        <w:t>6</w:t>
      </w:r>
      <w:r w:rsidR="004C4F08" w:rsidRPr="00C7378F">
        <w:rPr>
          <w:rFonts w:ascii="Barlow" w:hAnsi="Barlow"/>
          <w:sz w:val="20"/>
          <w:szCs w:val="20"/>
        </w:rPr>
        <w:t xml:space="preserve">. Integración del saldo de inversiones temporales (hasta 3 meses) </w:t>
      </w:r>
      <w:r w:rsidR="004C4F08" w:rsidRPr="00C7378F">
        <w:rPr>
          <w:rFonts w:ascii="Barlow" w:hAnsi="Barlow"/>
          <w:sz w:val="20"/>
          <w:szCs w:val="20"/>
        </w:rPr>
        <w:tab/>
      </w:r>
      <w:r w:rsidR="004C4F08" w:rsidRPr="00C7378F">
        <w:rPr>
          <w:rFonts w:ascii="Barlow" w:hAnsi="Barlow"/>
          <w:sz w:val="20"/>
          <w:szCs w:val="20"/>
        </w:rPr>
        <w:tab/>
      </w:r>
      <w:r w:rsidR="004C4F08" w:rsidRPr="00C7378F">
        <w:rPr>
          <w:rFonts w:ascii="Barlow" w:hAnsi="Barlow"/>
          <w:sz w:val="20"/>
          <w:szCs w:val="20"/>
        </w:rPr>
        <w:tab/>
      </w:r>
    </w:p>
    <w:bookmarkStart w:id="11" w:name="_MON_1651658938"/>
    <w:bookmarkEnd w:id="11"/>
    <w:bookmarkStart w:id="12" w:name="_MON_1681825739"/>
    <w:bookmarkEnd w:id="12"/>
    <w:p w14:paraId="0EE21045" w14:textId="61C6CCA1" w:rsidR="00651830" w:rsidRPr="00C7378F" w:rsidRDefault="004E62D5" w:rsidP="002357AA">
      <w:pPr>
        <w:rPr>
          <w:rFonts w:ascii="Barlow" w:hAnsi="Barlow"/>
          <w:sz w:val="20"/>
          <w:szCs w:val="20"/>
        </w:rPr>
      </w:pPr>
      <w:r w:rsidRPr="00C7378F">
        <w:rPr>
          <w:rFonts w:ascii="Barlow" w:hAnsi="Barlow"/>
          <w:sz w:val="20"/>
          <w:szCs w:val="20"/>
        </w:rPr>
        <w:object w:dxaOrig="6618" w:dyaOrig="1760" w14:anchorId="2ED204D3">
          <v:shape id="_x0000_i1035" type="#_x0000_t75" style="width:334.5pt;height:85.5pt" o:ole="">
            <v:imagedata r:id="rId36" o:title=""/>
          </v:shape>
          <o:OLEObject Type="Embed" ProgID="Excel.Sheet.12" ShapeID="_x0000_i1035" DrawAspect="Content" ObjectID="_1775035209" r:id="rId37"/>
        </w:object>
      </w:r>
    </w:p>
    <w:p w14:paraId="61622E27" w14:textId="77777777" w:rsidR="00651830" w:rsidRPr="00C7378F" w:rsidRDefault="00651830" w:rsidP="00533DDC">
      <w:pPr>
        <w:spacing w:after="0" w:line="240" w:lineRule="auto"/>
        <w:rPr>
          <w:rFonts w:ascii="Barlow" w:eastAsia="Times New Roman" w:hAnsi="Barlow" w:cstheme="minorHAnsi"/>
          <w:color w:val="000000"/>
          <w:sz w:val="20"/>
          <w:szCs w:val="20"/>
          <w:lang w:eastAsia="es-MX"/>
        </w:rPr>
      </w:pPr>
    </w:p>
    <w:p w14:paraId="377CBA2D" w14:textId="1196CDCF" w:rsidR="00867CD3" w:rsidRPr="00C7378F" w:rsidRDefault="00946D97" w:rsidP="00533DDC">
      <w:pPr>
        <w:spacing w:after="0" w:line="240" w:lineRule="auto"/>
        <w:rPr>
          <w:rFonts w:ascii="Barlow" w:eastAsia="Times New Roman" w:hAnsi="Barlow" w:cstheme="minorHAnsi"/>
          <w:color w:val="000000"/>
          <w:sz w:val="20"/>
          <w:szCs w:val="20"/>
          <w:lang w:eastAsia="es-MX"/>
        </w:rPr>
      </w:pPr>
      <w:r w:rsidRPr="00C7378F">
        <w:rPr>
          <w:rFonts w:ascii="Barlow" w:eastAsia="Times New Roman" w:hAnsi="Barlow" w:cstheme="minorHAnsi"/>
          <w:color w:val="000000"/>
          <w:sz w:val="20"/>
          <w:szCs w:val="20"/>
          <w:lang w:eastAsia="es-MX"/>
        </w:rPr>
        <w:t>7</w:t>
      </w:r>
      <w:r w:rsidR="00FF66D1" w:rsidRPr="00C7378F">
        <w:rPr>
          <w:rFonts w:ascii="Barlow" w:eastAsia="Times New Roman" w:hAnsi="Barlow" w:cstheme="minorHAnsi"/>
          <w:color w:val="000000"/>
          <w:sz w:val="20"/>
          <w:szCs w:val="20"/>
          <w:lang w:eastAsia="es-MX"/>
        </w:rPr>
        <w:t>.</w:t>
      </w:r>
      <w:r w:rsidR="006C6D4A" w:rsidRPr="00C7378F">
        <w:rPr>
          <w:rFonts w:ascii="Barlow" w:eastAsia="Times New Roman" w:hAnsi="Barlow" w:cstheme="minorHAnsi"/>
          <w:color w:val="000000"/>
          <w:sz w:val="20"/>
          <w:szCs w:val="20"/>
          <w:lang w:eastAsia="es-MX"/>
        </w:rPr>
        <w:t xml:space="preserve"> Participaciones y aportaciones de capital</w:t>
      </w:r>
    </w:p>
    <w:p w14:paraId="17B3B9C4" w14:textId="7FEC4EF0" w:rsidR="00470239" w:rsidRPr="00C7378F" w:rsidRDefault="00470239" w:rsidP="00B005B1">
      <w:pPr>
        <w:tabs>
          <w:tab w:val="left" w:pos="3555"/>
        </w:tabs>
        <w:rPr>
          <w:rFonts w:ascii="Barlow" w:hAnsi="Barlow"/>
          <w:sz w:val="20"/>
          <w:szCs w:val="20"/>
          <w:u w:val="single"/>
        </w:rPr>
      </w:pPr>
    </w:p>
    <w:p w14:paraId="7648C858" w14:textId="7E86232A" w:rsidR="004C0D86" w:rsidRPr="00C7378F" w:rsidRDefault="00E53445" w:rsidP="00B45099">
      <w:pPr>
        <w:rPr>
          <w:rFonts w:ascii="Barlow" w:hAnsi="Barlow"/>
          <w:sz w:val="20"/>
          <w:szCs w:val="20"/>
        </w:rPr>
      </w:pPr>
      <w:r w:rsidRPr="00C7378F">
        <w:rPr>
          <w:rFonts w:ascii="Barlow" w:hAnsi="Barlow"/>
          <w:sz w:val="20"/>
          <w:szCs w:val="20"/>
        </w:rPr>
        <w:t>Aportación a empresas Universitarias</w:t>
      </w:r>
      <w:r w:rsidR="00BD468F" w:rsidRPr="00C7378F">
        <w:rPr>
          <w:rFonts w:ascii="Barlow" w:hAnsi="Barlow"/>
          <w:sz w:val="20"/>
          <w:szCs w:val="20"/>
        </w:rPr>
        <w:tab/>
        <w:t>$</w:t>
      </w:r>
      <w:r w:rsidR="00374855" w:rsidRPr="00C7378F">
        <w:rPr>
          <w:rFonts w:ascii="Barlow" w:hAnsi="Barlow"/>
          <w:sz w:val="20"/>
          <w:szCs w:val="20"/>
        </w:rPr>
        <w:t>505,000.00</w:t>
      </w:r>
    </w:p>
    <w:p w14:paraId="2716FDAB" w14:textId="77777777" w:rsidR="004C0D86" w:rsidRPr="00C7378F" w:rsidRDefault="004C0D86" w:rsidP="00B45099">
      <w:pPr>
        <w:rPr>
          <w:rFonts w:ascii="Barlow" w:hAnsi="Barlow"/>
          <w:sz w:val="20"/>
          <w:szCs w:val="20"/>
          <w:u w:val="single"/>
        </w:rPr>
      </w:pPr>
    </w:p>
    <w:p w14:paraId="2D6BA053" w14:textId="7A225F38" w:rsidR="00B45099" w:rsidRPr="00C7378F" w:rsidRDefault="00B45099" w:rsidP="00EA39DE">
      <w:pPr>
        <w:rPr>
          <w:rFonts w:ascii="Barlow" w:eastAsia="Times New Roman" w:hAnsi="Barlow" w:cstheme="minorHAnsi"/>
          <w:color w:val="000000"/>
          <w:sz w:val="20"/>
          <w:szCs w:val="20"/>
          <w:lang w:eastAsia="es-MX"/>
        </w:rPr>
      </w:pPr>
      <w:r w:rsidRPr="00C7378F">
        <w:rPr>
          <w:rFonts w:ascii="Barlow" w:hAnsi="Barlow"/>
          <w:sz w:val="20"/>
          <w:szCs w:val="20"/>
          <w:u w:val="single"/>
        </w:rPr>
        <w:t>Bienes muebles, inmuebles e intangibles</w:t>
      </w:r>
      <w:r w:rsidRPr="00C7378F">
        <w:rPr>
          <w:rFonts w:ascii="Barlow" w:eastAsia="Times New Roman" w:hAnsi="Barlow" w:cstheme="minorHAnsi"/>
          <w:color w:val="000000"/>
          <w:sz w:val="20"/>
          <w:szCs w:val="20"/>
          <w:lang w:eastAsia="es-MX"/>
        </w:rPr>
        <w:tab/>
      </w:r>
      <w:r w:rsidRPr="00C7378F">
        <w:rPr>
          <w:rFonts w:ascii="Barlow" w:eastAsia="Times New Roman" w:hAnsi="Barlow" w:cstheme="minorHAnsi"/>
          <w:color w:val="000000"/>
          <w:sz w:val="20"/>
          <w:szCs w:val="20"/>
          <w:lang w:eastAsia="es-MX"/>
        </w:rPr>
        <w:tab/>
      </w:r>
      <w:r w:rsidRPr="00C7378F">
        <w:rPr>
          <w:rFonts w:ascii="Barlow" w:eastAsia="Times New Roman" w:hAnsi="Barlow" w:cstheme="minorHAnsi"/>
          <w:color w:val="000000"/>
          <w:sz w:val="20"/>
          <w:szCs w:val="20"/>
          <w:lang w:eastAsia="es-MX"/>
        </w:rPr>
        <w:tab/>
      </w:r>
    </w:p>
    <w:p w14:paraId="30F8FC8B" w14:textId="14103FD9" w:rsidR="00B45099" w:rsidRPr="00C7378F" w:rsidRDefault="00946D97" w:rsidP="00B45099">
      <w:pPr>
        <w:spacing w:after="0" w:line="240" w:lineRule="auto"/>
        <w:rPr>
          <w:rFonts w:ascii="Barlow" w:eastAsia="Times New Roman" w:hAnsi="Barlow" w:cstheme="minorHAnsi"/>
          <w:color w:val="000000"/>
          <w:sz w:val="20"/>
          <w:szCs w:val="20"/>
          <w:lang w:eastAsia="es-MX"/>
        </w:rPr>
      </w:pPr>
      <w:r w:rsidRPr="00C7378F">
        <w:rPr>
          <w:rFonts w:ascii="Barlow" w:eastAsia="Times New Roman" w:hAnsi="Barlow" w:cstheme="minorHAnsi"/>
          <w:color w:val="000000"/>
          <w:sz w:val="20"/>
          <w:szCs w:val="20"/>
          <w:lang w:eastAsia="es-MX"/>
        </w:rPr>
        <w:t>8</w:t>
      </w:r>
      <w:r w:rsidR="00B45099" w:rsidRPr="00C7378F">
        <w:rPr>
          <w:rFonts w:ascii="Barlow" w:eastAsia="Times New Roman" w:hAnsi="Barlow" w:cstheme="minorHAnsi"/>
          <w:color w:val="000000"/>
          <w:sz w:val="20"/>
          <w:szCs w:val="20"/>
          <w:lang w:eastAsia="es-MX"/>
        </w:rPr>
        <w:t>. Su integración es la siguiente:</w:t>
      </w:r>
    </w:p>
    <w:p w14:paraId="02139645" w14:textId="3D155E46" w:rsidR="007F5C38" w:rsidRPr="00C7378F" w:rsidRDefault="009F5257" w:rsidP="00EF063D">
      <w:pPr>
        <w:spacing w:after="0" w:line="240" w:lineRule="auto"/>
        <w:jc w:val="center"/>
        <w:rPr>
          <w:rFonts w:ascii="Barlow" w:hAnsi="Barlow"/>
          <w:noProof/>
          <w:sz w:val="20"/>
          <w:szCs w:val="20"/>
        </w:rPr>
      </w:pPr>
      <w:r w:rsidRPr="00C7378F">
        <w:rPr>
          <w:rFonts w:ascii="Barlow" w:hAnsi="Barlow"/>
          <w:noProof/>
          <w:sz w:val="20"/>
          <w:szCs w:val="20"/>
          <w:lang w:eastAsia="es-MX"/>
        </w:rPr>
        <w:lastRenderedPageBreak/>
        <w:drawing>
          <wp:inline distT="0" distB="0" distL="0" distR="0" wp14:anchorId="3D5EB564" wp14:editId="49D64B58">
            <wp:extent cx="6562725" cy="19145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62725" cy="1914525"/>
                    </a:xfrm>
                    <a:prstGeom prst="rect">
                      <a:avLst/>
                    </a:prstGeom>
                    <a:noFill/>
                    <a:ln>
                      <a:noFill/>
                    </a:ln>
                  </pic:spPr>
                </pic:pic>
              </a:graphicData>
            </a:graphic>
          </wp:inline>
        </w:drawing>
      </w:r>
    </w:p>
    <w:p w14:paraId="59561E99" w14:textId="0B867D3D" w:rsidR="00AD104A" w:rsidRPr="00C7378F" w:rsidRDefault="00AD104A" w:rsidP="00EA39DE">
      <w:pPr>
        <w:spacing w:after="0" w:line="240" w:lineRule="auto"/>
        <w:rPr>
          <w:rFonts w:ascii="Barlow" w:eastAsia="Times New Roman" w:hAnsi="Barlow" w:cstheme="minorHAnsi"/>
          <w:color w:val="000000"/>
          <w:sz w:val="20"/>
          <w:szCs w:val="20"/>
          <w:lang w:eastAsia="es-MX"/>
        </w:rPr>
      </w:pPr>
      <w:bookmarkStart w:id="13" w:name="_MON_1651660031"/>
      <w:bookmarkEnd w:id="13"/>
    </w:p>
    <w:p w14:paraId="7D95C944" w14:textId="6730619D" w:rsidR="000F70A8" w:rsidRPr="00C7378F" w:rsidRDefault="00946D97" w:rsidP="00946D97">
      <w:pPr>
        <w:rPr>
          <w:rFonts w:ascii="Barlow" w:hAnsi="Barlow"/>
          <w:sz w:val="20"/>
          <w:szCs w:val="20"/>
        </w:rPr>
      </w:pPr>
      <w:r w:rsidRPr="00C7378F">
        <w:rPr>
          <w:rFonts w:ascii="Barlow" w:hAnsi="Barlow"/>
          <w:sz w:val="20"/>
          <w:szCs w:val="20"/>
        </w:rPr>
        <w:t>9</w:t>
      </w:r>
      <w:r w:rsidR="000E50FA" w:rsidRPr="00C7378F">
        <w:rPr>
          <w:rFonts w:ascii="Barlow" w:hAnsi="Barlow"/>
          <w:sz w:val="20"/>
          <w:szCs w:val="20"/>
        </w:rPr>
        <w:t>. No aplica</w:t>
      </w:r>
    </w:p>
    <w:p w14:paraId="0C03884A" w14:textId="7A2461B3" w:rsidR="000F70A8" w:rsidRPr="00EF063D" w:rsidRDefault="00946D97" w:rsidP="00946D97">
      <w:pPr>
        <w:rPr>
          <w:rFonts w:ascii="Barlow" w:hAnsi="Barlow"/>
          <w:sz w:val="20"/>
          <w:szCs w:val="20"/>
        </w:rPr>
      </w:pPr>
      <w:r w:rsidRPr="00C7378F">
        <w:rPr>
          <w:rFonts w:ascii="Barlow" w:hAnsi="Barlow"/>
          <w:sz w:val="20"/>
          <w:szCs w:val="20"/>
        </w:rPr>
        <w:t>10. No aplica</w:t>
      </w:r>
    </w:p>
    <w:p w14:paraId="20F8246C" w14:textId="76573E72" w:rsidR="0067627F" w:rsidRPr="00C7378F" w:rsidRDefault="00D665FE" w:rsidP="00946D97">
      <w:pPr>
        <w:rPr>
          <w:rFonts w:ascii="Barlow" w:hAnsi="Barlow"/>
          <w:sz w:val="20"/>
          <w:szCs w:val="20"/>
          <w:u w:val="single"/>
        </w:rPr>
      </w:pPr>
      <w:r w:rsidRPr="00C7378F">
        <w:rPr>
          <w:rFonts w:ascii="Barlow" w:hAnsi="Barlow"/>
          <w:sz w:val="20"/>
          <w:szCs w:val="20"/>
          <w:u w:val="single"/>
        </w:rPr>
        <w:t>Otros Activos Circulantes</w:t>
      </w:r>
    </w:p>
    <w:p w14:paraId="3B6A3CCA" w14:textId="461AA4DE" w:rsidR="00E44749" w:rsidRPr="00EF063D" w:rsidRDefault="00373A28" w:rsidP="00946D97">
      <w:pPr>
        <w:rPr>
          <w:rFonts w:ascii="Barlow" w:hAnsi="Barlow"/>
          <w:sz w:val="20"/>
          <w:szCs w:val="20"/>
        </w:rPr>
      </w:pPr>
      <w:r w:rsidRPr="00C7378F">
        <w:rPr>
          <w:rFonts w:ascii="Barlow" w:hAnsi="Barlow"/>
          <w:sz w:val="20"/>
          <w:szCs w:val="20"/>
        </w:rPr>
        <w:t xml:space="preserve">11. </w:t>
      </w:r>
      <w:r w:rsidR="00261DC4" w:rsidRPr="00C7378F">
        <w:rPr>
          <w:rFonts w:ascii="Barlow" w:hAnsi="Barlow"/>
          <w:sz w:val="20"/>
          <w:szCs w:val="20"/>
        </w:rPr>
        <w:t>No aplica</w:t>
      </w:r>
    </w:p>
    <w:p w14:paraId="60362A7A" w14:textId="3145C630" w:rsidR="00983911" w:rsidRPr="00C7378F" w:rsidRDefault="00983911" w:rsidP="00946D97">
      <w:pPr>
        <w:rPr>
          <w:rFonts w:ascii="Barlow" w:hAnsi="Barlow"/>
          <w:sz w:val="20"/>
          <w:szCs w:val="20"/>
        </w:rPr>
      </w:pPr>
      <w:r w:rsidRPr="00C7378F">
        <w:rPr>
          <w:rFonts w:ascii="Barlow" w:hAnsi="Barlow"/>
          <w:b/>
          <w:bCs/>
          <w:sz w:val="20"/>
          <w:szCs w:val="20"/>
        </w:rPr>
        <w:t>Pasivo</w:t>
      </w:r>
      <w:r w:rsidR="00373A28" w:rsidRPr="00C7378F">
        <w:rPr>
          <w:rFonts w:ascii="Barlow" w:hAnsi="Barlow"/>
          <w:sz w:val="20"/>
          <w:szCs w:val="20"/>
        </w:rPr>
        <w:tab/>
      </w:r>
    </w:p>
    <w:p w14:paraId="5C04ED13" w14:textId="7F916145" w:rsidR="00DC3BF8" w:rsidRPr="00EF063D" w:rsidRDefault="003433E2" w:rsidP="00EF063D">
      <w:pPr>
        <w:spacing w:after="0" w:line="240" w:lineRule="auto"/>
        <w:rPr>
          <w:rFonts w:ascii="Barlow" w:hAnsi="Barlow"/>
          <w:sz w:val="20"/>
          <w:szCs w:val="20"/>
        </w:rPr>
      </w:pPr>
      <w:r w:rsidRPr="00C7378F">
        <w:rPr>
          <w:rFonts w:ascii="Barlow" w:hAnsi="Barlow"/>
          <w:sz w:val="20"/>
          <w:szCs w:val="20"/>
        </w:rPr>
        <w:t>1. El rubro de pasivos se integra por pasivos a corto plazo y se generó en la presente administración</w:t>
      </w:r>
      <w:r w:rsidR="008F008D" w:rsidRPr="00C7378F">
        <w:rPr>
          <w:rFonts w:ascii="Barlow" w:hAnsi="Barlow"/>
          <w:sz w:val="20"/>
          <w:szCs w:val="20"/>
        </w:rPr>
        <w:t>.</w:t>
      </w:r>
    </w:p>
    <w:p w14:paraId="22558556" w14:textId="3CC7E765" w:rsidR="00373A28" w:rsidRPr="00C7378F" w:rsidRDefault="003300E3" w:rsidP="00946D97">
      <w:pPr>
        <w:rPr>
          <w:rFonts w:ascii="Barlow" w:hAnsi="Barlow"/>
          <w:sz w:val="20"/>
          <w:szCs w:val="20"/>
          <w:u w:val="single"/>
        </w:rPr>
      </w:pPr>
      <w:r w:rsidRPr="00C7378F">
        <w:rPr>
          <w:rFonts w:ascii="Barlow" w:hAnsi="Barlow"/>
          <w:sz w:val="20"/>
          <w:szCs w:val="20"/>
          <w:u w:val="single"/>
        </w:rPr>
        <w:t>Cuentas por pagar</w:t>
      </w:r>
    </w:p>
    <w:bookmarkStart w:id="14" w:name="_MON_1651938971"/>
    <w:bookmarkEnd w:id="14"/>
    <w:p w14:paraId="0CE46966" w14:textId="7C1EF740" w:rsidR="00C56749" w:rsidRPr="00C7378F" w:rsidRDefault="005B2D36" w:rsidP="00946D97">
      <w:pPr>
        <w:rPr>
          <w:rFonts w:ascii="Barlow" w:hAnsi="Barlow"/>
          <w:sz w:val="20"/>
          <w:szCs w:val="20"/>
        </w:rPr>
      </w:pPr>
      <w:r w:rsidRPr="00C7378F">
        <w:rPr>
          <w:rFonts w:ascii="Barlow" w:hAnsi="Barlow"/>
          <w:sz w:val="20"/>
          <w:szCs w:val="20"/>
        </w:rPr>
        <w:object w:dxaOrig="6345" w:dyaOrig="1471" w14:anchorId="4E8F0FBE">
          <v:shape id="_x0000_i1036" type="#_x0000_t75" style="width:364.5pt;height:84.75pt" o:ole="">
            <v:imagedata r:id="rId39" o:title=""/>
          </v:shape>
          <o:OLEObject Type="Embed" ProgID="Excel.Sheet.12" ShapeID="_x0000_i1036" DrawAspect="Content" ObjectID="_1775035210" r:id="rId40"/>
        </w:object>
      </w:r>
    </w:p>
    <w:p w14:paraId="36694F3B" w14:textId="148CDEBB" w:rsidR="00C56749" w:rsidRPr="00C7378F" w:rsidRDefault="009C0B4D" w:rsidP="00946D97">
      <w:pPr>
        <w:rPr>
          <w:rFonts w:ascii="Barlow" w:hAnsi="Barlow"/>
          <w:sz w:val="20"/>
          <w:szCs w:val="20"/>
        </w:rPr>
      </w:pPr>
      <w:r w:rsidRPr="00C7378F">
        <w:rPr>
          <w:rFonts w:ascii="Barlow" w:hAnsi="Barlow"/>
          <w:noProof/>
          <w:sz w:val="20"/>
          <w:szCs w:val="20"/>
        </w:rPr>
        <w:object w:dxaOrig="1440" w:dyaOrig="1440" w14:anchorId="57A7A8B3">
          <v:shape id="_x0000_s1119" type="#_x0000_t75" style="position:absolute;margin-left:.2pt;margin-top:12.05pt;width:368.05pt;height:82.9pt;z-index:251673600;mso-position-horizontal-relative:text;mso-position-vertical-relative:text">
            <v:imagedata r:id="rId41" o:title=""/>
            <w10:wrap type="square" side="right"/>
          </v:shape>
          <o:OLEObject Type="Embed" ProgID="Excel.Sheet.12" ShapeID="_x0000_s1119" DrawAspect="Content" ObjectID="_1775035214" r:id="rId42"/>
        </w:object>
      </w:r>
    </w:p>
    <w:p w14:paraId="06380D0B" w14:textId="3EC1314B" w:rsidR="0007140A" w:rsidRPr="00C7378F" w:rsidRDefault="0007140A" w:rsidP="00946D97">
      <w:pPr>
        <w:rPr>
          <w:rFonts w:ascii="Barlow" w:hAnsi="Barlow"/>
          <w:sz w:val="20"/>
          <w:szCs w:val="20"/>
        </w:rPr>
      </w:pPr>
    </w:p>
    <w:p w14:paraId="073D7C99" w14:textId="5CE1B200" w:rsidR="0007140A" w:rsidRPr="00C7378F" w:rsidRDefault="0007140A" w:rsidP="00946D97">
      <w:pPr>
        <w:rPr>
          <w:rFonts w:ascii="Barlow" w:hAnsi="Barlow"/>
          <w:sz w:val="20"/>
          <w:szCs w:val="20"/>
        </w:rPr>
      </w:pPr>
    </w:p>
    <w:p w14:paraId="5976A196" w14:textId="3721CD70" w:rsidR="0007140A" w:rsidRPr="00C7378F" w:rsidRDefault="0007140A" w:rsidP="00946D97">
      <w:pPr>
        <w:rPr>
          <w:rFonts w:ascii="Barlow" w:hAnsi="Barlow"/>
          <w:sz w:val="20"/>
          <w:szCs w:val="20"/>
        </w:rPr>
      </w:pPr>
    </w:p>
    <w:p w14:paraId="26D30247" w14:textId="77777777" w:rsidR="0007140A" w:rsidRPr="00C7378F" w:rsidRDefault="0007140A" w:rsidP="00946D97">
      <w:pPr>
        <w:rPr>
          <w:rFonts w:ascii="Barlow" w:hAnsi="Barlow"/>
          <w:sz w:val="20"/>
          <w:szCs w:val="20"/>
        </w:rPr>
      </w:pPr>
    </w:p>
    <w:p w14:paraId="30932127" w14:textId="40B6113D" w:rsidR="0007140A" w:rsidRPr="00C7378F" w:rsidRDefault="0007140A" w:rsidP="00946D97">
      <w:pPr>
        <w:rPr>
          <w:rFonts w:ascii="Barlow" w:hAnsi="Barlow"/>
          <w:sz w:val="20"/>
          <w:szCs w:val="20"/>
          <w:u w:val="single"/>
        </w:rPr>
      </w:pPr>
    </w:p>
    <w:p w14:paraId="7D6956E9" w14:textId="6789E7EB" w:rsidR="00C92BC2" w:rsidRPr="00C7378F" w:rsidRDefault="00BF1BDF" w:rsidP="00946D97">
      <w:pPr>
        <w:rPr>
          <w:rFonts w:ascii="Barlow" w:hAnsi="Barlow"/>
          <w:sz w:val="20"/>
          <w:szCs w:val="20"/>
          <w:u w:val="single"/>
        </w:rPr>
      </w:pPr>
      <w:r w:rsidRPr="00C7378F">
        <w:rPr>
          <w:rFonts w:ascii="Barlow" w:hAnsi="Barlow"/>
          <w:sz w:val="20"/>
          <w:szCs w:val="20"/>
          <w:u w:val="single"/>
        </w:rPr>
        <w:t xml:space="preserve">Otras </w:t>
      </w:r>
      <w:r w:rsidR="00C92BC2" w:rsidRPr="00C7378F">
        <w:rPr>
          <w:rFonts w:ascii="Barlow" w:hAnsi="Barlow"/>
          <w:sz w:val="20"/>
          <w:szCs w:val="20"/>
          <w:u w:val="single"/>
        </w:rPr>
        <w:t>Cuentas por pagar</w:t>
      </w:r>
    </w:p>
    <w:p w14:paraId="5B1466FB" w14:textId="0357D6E8" w:rsidR="00705BFA" w:rsidRPr="00C7378F" w:rsidRDefault="00705BFA" w:rsidP="00946D97">
      <w:pPr>
        <w:rPr>
          <w:rFonts w:ascii="Barlow" w:hAnsi="Barlow"/>
          <w:sz w:val="20"/>
          <w:szCs w:val="20"/>
        </w:rPr>
      </w:pPr>
      <w:r w:rsidRPr="00C7378F">
        <w:rPr>
          <w:rFonts w:ascii="Barlow" w:hAnsi="Barlow"/>
          <w:sz w:val="20"/>
          <w:szCs w:val="20"/>
        </w:rPr>
        <w:t>Provisi</w:t>
      </w:r>
      <w:r w:rsidR="001E63E9" w:rsidRPr="00C7378F">
        <w:rPr>
          <w:rFonts w:ascii="Barlow" w:hAnsi="Barlow"/>
          <w:sz w:val="20"/>
          <w:szCs w:val="20"/>
        </w:rPr>
        <w:t>ó</w:t>
      </w:r>
      <w:r w:rsidRPr="00C7378F">
        <w:rPr>
          <w:rFonts w:ascii="Barlow" w:hAnsi="Barlow"/>
          <w:sz w:val="20"/>
          <w:szCs w:val="20"/>
        </w:rPr>
        <w:t>n de gastos</w:t>
      </w:r>
      <w:r w:rsidR="001E63E9" w:rsidRPr="00C7378F">
        <w:rPr>
          <w:rFonts w:ascii="Barlow" w:hAnsi="Barlow"/>
          <w:sz w:val="20"/>
          <w:szCs w:val="20"/>
        </w:rPr>
        <w:t xml:space="preserve"> </w:t>
      </w:r>
    </w:p>
    <w:bookmarkStart w:id="15" w:name="_MON_1651939219"/>
    <w:bookmarkEnd w:id="15"/>
    <w:p w14:paraId="06326898" w14:textId="7BDEC938" w:rsidR="00EE5E79" w:rsidRPr="00C7378F" w:rsidRDefault="001F47E8" w:rsidP="009053D8">
      <w:pPr>
        <w:rPr>
          <w:rFonts w:ascii="Barlow" w:hAnsi="Barlow"/>
          <w:sz w:val="20"/>
          <w:szCs w:val="20"/>
        </w:rPr>
      </w:pPr>
      <w:r w:rsidRPr="00C7378F">
        <w:rPr>
          <w:rFonts w:ascii="Barlow" w:hAnsi="Barlow"/>
          <w:sz w:val="20"/>
          <w:szCs w:val="20"/>
        </w:rPr>
        <w:object w:dxaOrig="7762" w:dyaOrig="1760" w14:anchorId="39AA29FB">
          <v:shape id="_x0000_i1038" type="#_x0000_t75" style="width:375.75pt;height:87pt" o:ole="">
            <v:imagedata r:id="rId43" o:title=""/>
          </v:shape>
          <o:OLEObject Type="Embed" ProgID="Excel.Sheet.12" ShapeID="_x0000_i1038" DrawAspect="Content" ObjectID="_1775035211" r:id="rId44"/>
        </w:object>
      </w:r>
    </w:p>
    <w:p w14:paraId="190411EB" w14:textId="6AEDA9ED" w:rsidR="00D77651" w:rsidRPr="00C7378F" w:rsidRDefault="009053D8" w:rsidP="009053D8">
      <w:pPr>
        <w:rPr>
          <w:rFonts w:ascii="Barlow" w:hAnsi="Barlow"/>
          <w:sz w:val="20"/>
          <w:szCs w:val="20"/>
        </w:rPr>
      </w:pPr>
      <w:r w:rsidRPr="00C7378F">
        <w:rPr>
          <w:rFonts w:ascii="Barlow" w:hAnsi="Barlow"/>
          <w:sz w:val="20"/>
          <w:szCs w:val="20"/>
        </w:rPr>
        <w:t xml:space="preserve">2. </w:t>
      </w:r>
      <w:r w:rsidR="005536F0" w:rsidRPr="00C7378F">
        <w:rPr>
          <w:rFonts w:ascii="Barlow" w:hAnsi="Barlow"/>
          <w:sz w:val="20"/>
          <w:szCs w:val="20"/>
        </w:rPr>
        <w:t xml:space="preserve">Fondos y Bienes de Terceros en Garantía y/o Administración </w:t>
      </w:r>
    </w:p>
    <w:p w14:paraId="3A9CCB7B" w14:textId="0CA4FDC8" w:rsidR="005536F0" w:rsidRPr="00C7378F" w:rsidRDefault="005536F0" w:rsidP="009053D8">
      <w:pPr>
        <w:rPr>
          <w:rFonts w:ascii="Barlow" w:hAnsi="Barlow"/>
          <w:sz w:val="20"/>
          <w:szCs w:val="20"/>
        </w:rPr>
      </w:pPr>
      <w:r w:rsidRPr="00C7378F">
        <w:rPr>
          <w:rFonts w:ascii="Barlow" w:hAnsi="Barlow"/>
          <w:sz w:val="20"/>
          <w:szCs w:val="20"/>
        </w:rPr>
        <w:lastRenderedPageBreak/>
        <w:t>No aplica</w:t>
      </w:r>
    </w:p>
    <w:p w14:paraId="6D2FEF32" w14:textId="36EE08B1" w:rsidR="003A70D5" w:rsidRPr="00C7378F" w:rsidRDefault="009053D8" w:rsidP="009053D8">
      <w:pPr>
        <w:rPr>
          <w:rFonts w:ascii="Barlow" w:hAnsi="Barlow"/>
          <w:sz w:val="20"/>
          <w:szCs w:val="20"/>
        </w:rPr>
      </w:pPr>
      <w:r w:rsidRPr="00C7378F">
        <w:rPr>
          <w:rFonts w:ascii="Barlow" w:hAnsi="Barlow"/>
          <w:sz w:val="20"/>
          <w:szCs w:val="20"/>
        </w:rPr>
        <w:t>3</w:t>
      </w:r>
      <w:r w:rsidR="005536F0" w:rsidRPr="00C7378F">
        <w:rPr>
          <w:rFonts w:ascii="Barlow" w:hAnsi="Barlow"/>
          <w:sz w:val="20"/>
          <w:szCs w:val="20"/>
        </w:rPr>
        <w:t>. Pasivos Diferidos</w:t>
      </w:r>
    </w:p>
    <w:p w14:paraId="64D032DC" w14:textId="20560F20" w:rsidR="005536F0" w:rsidRPr="00C7378F" w:rsidRDefault="005536F0" w:rsidP="009053D8">
      <w:pPr>
        <w:rPr>
          <w:rFonts w:ascii="Barlow" w:hAnsi="Barlow"/>
          <w:sz w:val="20"/>
          <w:szCs w:val="20"/>
        </w:rPr>
      </w:pPr>
      <w:r w:rsidRPr="00C7378F">
        <w:rPr>
          <w:rFonts w:ascii="Barlow" w:hAnsi="Barlow"/>
          <w:sz w:val="20"/>
          <w:szCs w:val="20"/>
        </w:rPr>
        <w:t>No aplica</w:t>
      </w:r>
    </w:p>
    <w:p w14:paraId="208EF088" w14:textId="1953518D" w:rsidR="005536F0" w:rsidRPr="00C7378F" w:rsidRDefault="005536F0" w:rsidP="009053D8">
      <w:pPr>
        <w:rPr>
          <w:rFonts w:ascii="Barlow" w:hAnsi="Barlow"/>
          <w:sz w:val="20"/>
          <w:szCs w:val="20"/>
        </w:rPr>
      </w:pPr>
      <w:r w:rsidRPr="00C7378F">
        <w:rPr>
          <w:rFonts w:ascii="Barlow" w:hAnsi="Barlow"/>
          <w:sz w:val="20"/>
          <w:szCs w:val="20"/>
        </w:rPr>
        <w:t>4. Provisiones</w:t>
      </w:r>
    </w:p>
    <w:p w14:paraId="2C6C60A5" w14:textId="1DF492F4" w:rsidR="005536F0" w:rsidRPr="00C7378F" w:rsidRDefault="005536F0" w:rsidP="009053D8">
      <w:pPr>
        <w:rPr>
          <w:rFonts w:ascii="Barlow" w:hAnsi="Barlow"/>
          <w:sz w:val="20"/>
          <w:szCs w:val="20"/>
        </w:rPr>
      </w:pPr>
      <w:r w:rsidRPr="00C7378F">
        <w:rPr>
          <w:rFonts w:ascii="Barlow" w:hAnsi="Barlow"/>
          <w:sz w:val="20"/>
          <w:szCs w:val="20"/>
        </w:rPr>
        <w:t>No aplica</w:t>
      </w:r>
    </w:p>
    <w:p w14:paraId="4AB65C94" w14:textId="149A86D0" w:rsidR="005536F0" w:rsidRPr="00C7378F" w:rsidRDefault="005536F0" w:rsidP="009053D8">
      <w:pPr>
        <w:rPr>
          <w:rFonts w:ascii="Barlow" w:hAnsi="Barlow"/>
          <w:sz w:val="20"/>
          <w:szCs w:val="20"/>
        </w:rPr>
      </w:pPr>
      <w:r w:rsidRPr="00C7378F">
        <w:rPr>
          <w:rFonts w:ascii="Barlow" w:hAnsi="Barlow"/>
          <w:sz w:val="20"/>
          <w:szCs w:val="20"/>
        </w:rPr>
        <w:t>5. Otros pasivos</w:t>
      </w:r>
    </w:p>
    <w:p w14:paraId="0732858D" w14:textId="183C33BD" w:rsidR="005536F0" w:rsidRPr="00C7378F" w:rsidRDefault="005536F0" w:rsidP="009053D8">
      <w:pPr>
        <w:rPr>
          <w:rFonts w:ascii="Barlow" w:hAnsi="Barlow"/>
          <w:sz w:val="20"/>
          <w:szCs w:val="20"/>
        </w:rPr>
      </w:pPr>
      <w:r w:rsidRPr="00C7378F">
        <w:rPr>
          <w:rFonts w:ascii="Barlow" w:hAnsi="Barlow"/>
          <w:sz w:val="20"/>
          <w:szCs w:val="20"/>
        </w:rPr>
        <w:t>No aplica</w:t>
      </w:r>
    </w:p>
    <w:p w14:paraId="41526192" w14:textId="77777777" w:rsidR="00253DF8" w:rsidRPr="00C7378F" w:rsidRDefault="00253DF8" w:rsidP="009053D8">
      <w:pPr>
        <w:rPr>
          <w:rFonts w:ascii="Barlow" w:hAnsi="Barlow"/>
          <w:sz w:val="20"/>
          <w:szCs w:val="20"/>
        </w:rPr>
      </w:pPr>
    </w:p>
    <w:p w14:paraId="6370985C" w14:textId="72799B78" w:rsidR="00660CB0" w:rsidRPr="00C7378F" w:rsidRDefault="00690C20" w:rsidP="00381CF6">
      <w:pPr>
        <w:pStyle w:val="Prrafodelista"/>
        <w:numPr>
          <w:ilvl w:val="0"/>
          <w:numId w:val="4"/>
        </w:numPr>
        <w:rPr>
          <w:rFonts w:ascii="Barlow" w:hAnsi="Barlow"/>
          <w:sz w:val="20"/>
          <w:szCs w:val="20"/>
        </w:rPr>
      </w:pPr>
      <w:r w:rsidRPr="00C7378F">
        <w:rPr>
          <w:rFonts w:ascii="Barlow" w:hAnsi="Barlow"/>
          <w:sz w:val="20"/>
          <w:szCs w:val="20"/>
        </w:rPr>
        <w:t>NOTAS AL ESTADO DE VARIACIONES EN LA HACIENDA</w:t>
      </w:r>
    </w:p>
    <w:p w14:paraId="373968C8" w14:textId="7AB2EDA1" w:rsidR="00B57D66" w:rsidRPr="00C7378F" w:rsidRDefault="00BE3DDA" w:rsidP="00B57D66">
      <w:pPr>
        <w:spacing w:after="0" w:line="240" w:lineRule="auto"/>
        <w:jc w:val="both"/>
        <w:rPr>
          <w:rFonts w:ascii="Barlow" w:eastAsia="Times New Roman" w:hAnsi="Barlow" w:cstheme="minorHAnsi"/>
          <w:color w:val="000000"/>
          <w:sz w:val="20"/>
          <w:szCs w:val="20"/>
          <w:lang w:eastAsia="es-MX"/>
        </w:rPr>
      </w:pPr>
      <w:r w:rsidRPr="00C7378F">
        <w:rPr>
          <w:rFonts w:ascii="Barlow" w:eastAsia="Times New Roman" w:hAnsi="Barlow" w:cstheme="minorHAnsi"/>
          <w:color w:val="000000"/>
          <w:sz w:val="20"/>
          <w:szCs w:val="20"/>
          <w:lang w:eastAsia="es-MX"/>
        </w:rPr>
        <w:t>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w:t>
      </w:r>
      <w:r w:rsidR="00AE405C" w:rsidRPr="00C7378F">
        <w:rPr>
          <w:rFonts w:ascii="Barlow" w:eastAsia="Times New Roman" w:hAnsi="Barlow" w:cstheme="minorHAnsi"/>
          <w:color w:val="000000"/>
          <w:sz w:val="20"/>
          <w:szCs w:val="20"/>
          <w:lang w:eastAsia="es-MX"/>
        </w:rPr>
        <w:t>.</w:t>
      </w:r>
    </w:p>
    <w:p w14:paraId="1B29C0F2" w14:textId="2EA7DF62" w:rsidR="008B47C5" w:rsidRPr="00C7378F" w:rsidRDefault="008B47C5" w:rsidP="00B57D66">
      <w:pPr>
        <w:spacing w:after="0" w:line="240" w:lineRule="auto"/>
        <w:jc w:val="both"/>
        <w:rPr>
          <w:rFonts w:ascii="Barlow" w:eastAsia="Times New Roman" w:hAnsi="Barlow" w:cstheme="minorHAnsi"/>
          <w:color w:val="000000"/>
          <w:sz w:val="20"/>
          <w:szCs w:val="20"/>
          <w:lang w:eastAsia="es-MX"/>
        </w:rPr>
      </w:pPr>
    </w:p>
    <w:p w14:paraId="7F0D59DC" w14:textId="70D684E0" w:rsidR="00A21932" w:rsidRPr="00C7378F" w:rsidRDefault="00A21932" w:rsidP="00B57D66">
      <w:pPr>
        <w:spacing w:after="0" w:line="240" w:lineRule="auto"/>
        <w:jc w:val="both"/>
        <w:rPr>
          <w:rFonts w:ascii="Barlow" w:eastAsia="Times New Roman" w:hAnsi="Barlow" w:cstheme="minorHAnsi"/>
          <w:color w:val="000000"/>
          <w:sz w:val="20"/>
          <w:szCs w:val="20"/>
          <w:lang w:eastAsia="es-MX"/>
        </w:rPr>
      </w:pPr>
    </w:p>
    <w:p w14:paraId="29395CE2" w14:textId="2E551A74" w:rsidR="00B57D66" w:rsidRPr="00C7378F" w:rsidRDefault="00F10448" w:rsidP="00B57D66">
      <w:pPr>
        <w:spacing w:after="0" w:line="240" w:lineRule="auto"/>
        <w:jc w:val="both"/>
        <w:rPr>
          <w:rFonts w:ascii="Barlow" w:eastAsia="Times New Roman" w:hAnsi="Barlow" w:cstheme="minorHAnsi"/>
          <w:color w:val="000000"/>
          <w:sz w:val="20"/>
          <w:szCs w:val="20"/>
          <w:lang w:eastAsia="es-MX"/>
        </w:rPr>
      </w:pPr>
      <w:r w:rsidRPr="00C7378F">
        <w:rPr>
          <w:rFonts w:ascii="Barlow" w:eastAsia="Times New Roman" w:hAnsi="Barlow" w:cstheme="minorHAnsi"/>
          <w:color w:val="000000"/>
          <w:sz w:val="20"/>
          <w:szCs w:val="20"/>
          <w:lang w:eastAsia="es-MX"/>
        </w:rPr>
        <w:t>1.Aportaciones de capital contribuido</w:t>
      </w:r>
    </w:p>
    <w:p w14:paraId="11E4A691" w14:textId="0BD6B4AA" w:rsidR="00F10448" w:rsidRPr="00C7378F" w:rsidRDefault="00F10448" w:rsidP="00B57D66">
      <w:pPr>
        <w:spacing w:after="0" w:line="240" w:lineRule="auto"/>
        <w:jc w:val="both"/>
        <w:rPr>
          <w:rFonts w:ascii="Barlow" w:eastAsia="Times New Roman" w:hAnsi="Barlow" w:cstheme="minorHAnsi"/>
          <w:color w:val="000000"/>
          <w:sz w:val="20"/>
          <w:szCs w:val="20"/>
          <w:lang w:eastAsia="es-MX"/>
        </w:rPr>
      </w:pPr>
    </w:p>
    <w:p w14:paraId="46DD82C6" w14:textId="022FB5FB" w:rsidR="00F10448" w:rsidRPr="00C7378F" w:rsidRDefault="00A21932" w:rsidP="00B57D66">
      <w:pPr>
        <w:spacing w:after="0" w:line="240" w:lineRule="auto"/>
        <w:jc w:val="both"/>
        <w:rPr>
          <w:rFonts w:ascii="Barlow" w:eastAsia="Times New Roman" w:hAnsi="Barlow" w:cstheme="minorHAnsi"/>
          <w:color w:val="000000"/>
          <w:sz w:val="20"/>
          <w:szCs w:val="20"/>
          <w:lang w:eastAsia="es-MX"/>
        </w:rPr>
      </w:pPr>
      <w:r w:rsidRPr="00C7378F">
        <w:rPr>
          <w:rFonts w:ascii="Barlow" w:hAnsi="Barlow"/>
          <w:noProof/>
          <w:sz w:val="20"/>
          <w:szCs w:val="20"/>
          <w:lang w:eastAsia="es-MX"/>
        </w:rPr>
        <w:drawing>
          <wp:inline distT="0" distB="0" distL="0" distR="0" wp14:anchorId="49F9DA68" wp14:editId="1EA02ECA">
            <wp:extent cx="4838700" cy="581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38700" cy="581025"/>
                    </a:xfrm>
                    <a:prstGeom prst="rect">
                      <a:avLst/>
                    </a:prstGeom>
                    <a:noFill/>
                    <a:ln>
                      <a:noFill/>
                    </a:ln>
                  </pic:spPr>
                </pic:pic>
              </a:graphicData>
            </a:graphic>
          </wp:inline>
        </w:drawing>
      </w:r>
    </w:p>
    <w:p w14:paraId="2BDFD1E9" w14:textId="7C41C417" w:rsidR="008B47C5" w:rsidRPr="00C7378F" w:rsidRDefault="008B47C5" w:rsidP="00B57D66">
      <w:pPr>
        <w:spacing w:after="0" w:line="240" w:lineRule="auto"/>
        <w:jc w:val="both"/>
        <w:rPr>
          <w:rFonts w:ascii="Barlow" w:eastAsia="Times New Roman" w:hAnsi="Barlow" w:cstheme="minorHAnsi"/>
          <w:color w:val="000000"/>
          <w:sz w:val="20"/>
          <w:szCs w:val="20"/>
          <w:lang w:eastAsia="es-MX"/>
        </w:rPr>
      </w:pPr>
    </w:p>
    <w:p w14:paraId="1142A67C" w14:textId="77777777" w:rsidR="000C1268" w:rsidRPr="00C7378F" w:rsidRDefault="000C1268" w:rsidP="00B57D66">
      <w:pPr>
        <w:spacing w:after="0" w:line="240" w:lineRule="auto"/>
        <w:jc w:val="both"/>
        <w:rPr>
          <w:rFonts w:ascii="Barlow" w:eastAsia="Times New Roman" w:hAnsi="Barlow" w:cstheme="minorHAnsi"/>
          <w:color w:val="000000"/>
          <w:sz w:val="20"/>
          <w:szCs w:val="20"/>
          <w:lang w:eastAsia="es-MX"/>
        </w:rPr>
      </w:pPr>
    </w:p>
    <w:p w14:paraId="424F5645" w14:textId="77777777" w:rsidR="00521219" w:rsidRPr="00C7378F" w:rsidRDefault="00521219" w:rsidP="00B57D66">
      <w:pPr>
        <w:spacing w:after="0" w:line="240" w:lineRule="auto"/>
        <w:jc w:val="both"/>
        <w:rPr>
          <w:rFonts w:ascii="Barlow" w:eastAsia="Times New Roman" w:hAnsi="Barlow" w:cstheme="minorHAnsi"/>
          <w:color w:val="000000"/>
          <w:sz w:val="20"/>
          <w:szCs w:val="20"/>
          <w:lang w:eastAsia="es-MX"/>
        </w:rPr>
      </w:pPr>
    </w:p>
    <w:p w14:paraId="76A55762" w14:textId="20F8D70F" w:rsidR="00863090" w:rsidRPr="00C7378F" w:rsidRDefault="00002E04" w:rsidP="00863090">
      <w:pPr>
        <w:spacing w:after="0" w:line="240" w:lineRule="auto"/>
        <w:jc w:val="both"/>
        <w:rPr>
          <w:rFonts w:ascii="Barlow" w:eastAsia="Times New Roman" w:hAnsi="Barlow" w:cstheme="minorHAnsi"/>
          <w:color w:val="000000"/>
          <w:sz w:val="20"/>
          <w:szCs w:val="20"/>
          <w:lang w:eastAsia="es-MX"/>
        </w:rPr>
      </w:pPr>
      <w:r w:rsidRPr="00C7378F">
        <w:rPr>
          <w:rFonts w:ascii="Barlow" w:eastAsia="Times New Roman" w:hAnsi="Barlow" w:cstheme="minorHAnsi"/>
          <w:color w:val="000000"/>
          <w:sz w:val="20"/>
          <w:szCs w:val="20"/>
          <w:lang w:eastAsia="es-MX"/>
        </w:rPr>
        <w:t>2</w:t>
      </w:r>
      <w:r w:rsidR="00863090" w:rsidRPr="00C7378F">
        <w:rPr>
          <w:rFonts w:ascii="Barlow" w:eastAsia="Times New Roman" w:hAnsi="Barlow" w:cstheme="minorHAnsi"/>
          <w:color w:val="000000"/>
          <w:sz w:val="20"/>
          <w:szCs w:val="20"/>
          <w:lang w:eastAsia="es-MX"/>
        </w:rPr>
        <w:t>.</w:t>
      </w:r>
      <w:r w:rsidR="00110BFB" w:rsidRPr="00C7378F">
        <w:rPr>
          <w:rFonts w:ascii="Barlow" w:eastAsia="Times New Roman" w:hAnsi="Barlow" w:cstheme="minorHAnsi"/>
          <w:color w:val="000000"/>
          <w:sz w:val="20"/>
          <w:szCs w:val="20"/>
          <w:lang w:eastAsia="es-MX"/>
        </w:rPr>
        <w:t>Patrimonio generado</w:t>
      </w:r>
    </w:p>
    <w:p w14:paraId="5A702810" w14:textId="77777777" w:rsidR="00A25672" w:rsidRPr="00C7378F" w:rsidRDefault="00A25672" w:rsidP="00863090">
      <w:pPr>
        <w:spacing w:after="0" w:line="240" w:lineRule="auto"/>
        <w:jc w:val="both"/>
        <w:rPr>
          <w:rFonts w:ascii="Barlow" w:eastAsia="Times New Roman" w:hAnsi="Barlow" w:cstheme="minorHAnsi"/>
          <w:color w:val="000000"/>
          <w:sz w:val="20"/>
          <w:szCs w:val="20"/>
          <w:lang w:eastAsia="es-MX"/>
        </w:rPr>
      </w:pPr>
    </w:p>
    <w:p w14:paraId="719A02F7" w14:textId="5C28248B" w:rsidR="001F37D9" w:rsidRPr="00C7378F" w:rsidRDefault="006310B6" w:rsidP="00863090">
      <w:pPr>
        <w:spacing w:after="0" w:line="240" w:lineRule="auto"/>
        <w:jc w:val="both"/>
        <w:rPr>
          <w:rFonts w:ascii="Barlow" w:eastAsia="Times New Roman" w:hAnsi="Barlow" w:cstheme="minorHAnsi"/>
          <w:color w:val="000000"/>
          <w:sz w:val="20"/>
          <w:szCs w:val="20"/>
          <w:lang w:eastAsia="es-MX"/>
        </w:rPr>
      </w:pPr>
      <w:bookmarkStart w:id="16" w:name="_MON_1750148455"/>
      <w:bookmarkEnd w:id="16"/>
      <w:r w:rsidRPr="00C7378F">
        <w:rPr>
          <w:rFonts w:ascii="Barlow" w:hAnsi="Barlow"/>
          <w:noProof/>
          <w:sz w:val="20"/>
          <w:szCs w:val="20"/>
          <w:lang w:eastAsia="es-MX"/>
        </w:rPr>
        <w:lastRenderedPageBreak/>
        <w:drawing>
          <wp:inline distT="0" distB="0" distL="0" distR="0" wp14:anchorId="73D9904D" wp14:editId="43883A0F">
            <wp:extent cx="4838700" cy="7715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38700" cy="771525"/>
                    </a:xfrm>
                    <a:prstGeom prst="rect">
                      <a:avLst/>
                    </a:prstGeom>
                    <a:noFill/>
                    <a:ln>
                      <a:noFill/>
                    </a:ln>
                  </pic:spPr>
                </pic:pic>
              </a:graphicData>
            </a:graphic>
          </wp:inline>
        </w:drawing>
      </w:r>
    </w:p>
    <w:p w14:paraId="2EDFD3B6" w14:textId="2CA2A66A" w:rsidR="00F86626" w:rsidRPr="00C7378F" w:rsidRDefault="00F86626" w:rsidP="00863090">
      <w:pPr>
        <w:spacing w:after="0" w:line="240" w:lineRule="auto"/>
        <w:jc w:val="both"/>
        <w:rPr>
          <w:rFonts w:ascii="Barlow" w:eastAsia="Times New Roman" w:hAnsi="Barlow" w:cstheme="minorHAnsi"/>
          <w:color w:val="000000"/>
          <w:sz w:val="20"/>
          <w:szCs w:val="20"/>
          <w:lang w:eastAsia="es-MX"/>
        </w:rPr>
      </w:pPr>
    </w:p>
    <w:p w14:paraId="4B3FBE75" w14:textId="63006EAF" w:rsidR="009C129E" w:rsidRPr="00C7378F" w:rsidRDefault="009C129E" w:rsidP="00863090">
      <w:pPr>
        <w:spacing w:after="0" w:line="240" w:lineRule="auto"/>
        <w:jc w:val="both"/>
        <w:rPr>
          <w:rFonts w:ascii="Barlow" w:eastAsia="Times New Roman" w:hAnsi="Barlow" w:cstheme="minorHAnsi"/>
          <w:color w:val="000000"/>
          <w:sz w:val="20"/>
          <w:szCs w:val="20"/>
          <w:lang w:eastAsia="es-MX"/>
        </w:rPr>
      </w:pPr>
    </w:p>
    <w:p w14:paraId="0F42B14D" w14:textId="522418CD" w:rsidR="00B62492" w:rsidRPr="00C7378F" w:rsidRDefault="00550F43" w:rsidP="00550F43">
      <w:pPr>
        <w:pStyle w:val="Prrafodelista"/>
        <w:numPr>
          <w:ilvl w:val="0"/>
          <w:numId w:val="4"/>
        </w:numPr>
        <w:rPr>
          <w:rFonts w:ascii="Barlow" w:hAnsi="Barlow"/>
          <w:sz w:val="20"/>
          <w:szCs w:val="20"/>
        </w:rPr>
      </w:pPr>
      <w:r w:rsidRPr="00C7378F">
        <w:rPr>
          <w:rFonts w:ascii="Barlow" w:hAnsi="Barlow"/>
          <w:sz w:val="20"/>
          <w:szCs w:val="20"/>
        </w:rPr>
        <w:t>NOTAS AL ESTADO DE VARIACIONES DE FLUJOS DE EFECTIVO</w:t>
      </w:r>
    </w:p>
    <w:p w14:paraId="5AB470A4" w14:textId="3A6AE980" w:rsidR="00F86626" w:rsidRPr="00C7378F" w:rsidRDefault="00513F2C" w:rsidP="00550F43">
      <w:pPr>
        <w:rPr>
          <w:rFonts w:ascii="Barlow" w:hAnsi="Barlow"/>
          <w:sz w:val="20"/>
          <w:szCs w:val="20"/>
        </w:rPr>
      </w:pPr>
      <w:r w:rsidRPr="00C7378F">
        <w:rPr>
          <w:rFonts w:ascii="Barlow" w:hAnsi="Barlow"/>
          <w:sz w:val="20"/>
          <w:szCs w:val="20"/>
        </w:rPr>
        <w:t>1.</w:t>
      </w:r>
      <w:r w:rsidR="00A93242" w:rsidRPr="00C7378F">
        <w:rPr>
          <w:rFonts w:ascii="Barlow" w:hAnsi="Barlow"/>
          <w:sz w:val="20"/>
          <w:szCs w:val="20"/>
        </w:rPr>
        <w:t>Efectivo y equivalente</w:t>
      </w:r>
      <w:r w:rsidR="00B62492" w:rsidRPr="00C7378F">
        <w:rPr>
          <w:rFonts w:ascii="Barlow" w:hAnsi="Barlow"/>
          <w:sz w:val="20"/>
          <w:szCs w:val="20"/>
        </w:rPr>
        <w:t>s</w:t>
      </w:r>
    </w:p>
    <w:p w14:paraId="28CCE692" w14:textId="4785AFC6" w:rsidR="00521219" w:rsidRPr="00C7378F" w:rsidRDefault="00087728" w:rsidP="00550F43">
      <w:pPr>
        <w:rPr>
          <w:rFonts w:ascii="Barlow" w:hAnsi="Barlow"/>
          <w:sz w:val="20"/>
          <w:szCs w:val="20"/>
        </w:rPr>
      </w:pPr>
      <w:r w:rsidRPr="00C7378F">
        <w:rPr>
          <w:rFonts w:ascii="Barlow" w:hAnsi="Barlow"/>
          <w:noProof/>
          <w:sz w:val="20"/>
          <w:szCs w:val="20"/>
          <w:lang w:eastAsia="es-MX"/>
        </w:rPr>
        <w:drawing>
          <wp:inline distT="0" distB="0" distL="0" distR="0" wp14:anchorId="0C5A8AD4" wp14:editId="4F0D2D0A">
            <wp:extent cx="6086475" cy="191452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86475" cy="1914525"/>
                    </a:xfrm>
                    <a:prstGeom prst="rect">
                      <a:avLst/>
                    </a:prstGeom>
                    <a:noFill/>
                    <a:ln>
                      <a:noFill/>
                    </a:ln>
                  </pic:spPr>
                </pic:pic>
              </a:graphicData>
            </a:graphic>
          </wp:inline>
        </w:drawing>
      </w:r>
    </w:p>
    <w:p w14:paraId="0D866008" w14:textId="1154B6FC" w:rsidR="00521219" w:rsidRPr="00C7378F" w:rsidRDefault="00521219" w:rsidP="00550F43">
      <w:pPr>
        <w:rPr>
          <w:rFonts w:ascii="Barlow" w:hAnsi="Barlow"/>
          <w:sz w:val="20"/>
          <w:szCs w:val="20"/>
        </w:rPr>
      </w:pPr>
    </w:p>
    <w:p w14:paraId="08038C73" w14:textId="2D530E14" w:rsidR="00EB4767" w:rsidRPr="00C7378F" w:rsidRDefault="00EB4767" w:rsidP="00550F43">
      <w:pPr>
        <w:rPr>
          <w:rFonts w:ascii="Barlow" w:hAnsi="Barlow"/>
          <w:sz w:val="20"/>
          <w:szCs w:val="20"/>
        </w:rPr>
      </w:pPr>
    </w:p>
    <w:p w14:paraId="2220EE8E" w14:textId="7169E7FA" w:rsidR="00521219" w:rsidRPr="00C7378F" w:rsidRDefault="00521219" w:rsidP="00550F43">
      <w:pPr>
        <w:rPr>
          <w:rFonts w:ascii="Barlow" w:hAnsi="Barlow"/>
          <w:sz w:val="20"/>
          <w:szCs w:val="20"/>
        </w:rPr>
      </w:pPr>
    </w:p>
    <w:p w14:paraId="75DF86C1" w14:textId="086F949F" w:rsidR="00521219" w:rsidRPr="00C7378F" w:rsidRDefault="00521219" w:rsidP="00082A0B">
      <w:pPr>
        <w:rPr>
          <w:rFonts w:ascii="Barlow" w:hAnsi="Barlow"/>
          <w:sz w:val="20"/>
          <w:szCs w:val="20"/>
        </w:rPr>
      </w:pPr>
      <w:r w:rsidRPr="00C7378F">
        <w:rPr>
          <w:rFonts w:ascii="Barlow" w:hAnsi="Barlow"/>
          <w:sz w:val="20"/>
          <w:szCs w:val="20"/>
        </w:rPr>
        <w:t>2. Adquisiciones de actividades de inversión efectivamente pagadas</w:t>
      </w:r>
    </w:p>
    <w:p w14:paraId="55916B2F" w14:textId="5418DC12" w:rsidR="000C6F30" w:rsidRPr="00C7378F" w:rsidRDefault="009B094A" w:rsidP="009B094A">
      <w:pPr>
        <w:jc w:val="center"/>
        <w:rPr>
          <w:rFonts w:ascii="Barlow" w:hAnsi="Barlow"/>
          <w:sz w:val="20"/>
          <w:szCs w:val="20"/>
        </w:rPr>
      </w:pPr>
      <w:r w:rsidRPr="00C7378F">
        <w:rPr>
          <w:rFonts w:ascii="Barlow" w:hAnsi="Barlow"/>
          <w:noProof/>
          <w:sz w:val="20"/>
          <w:szCs w:val="20"/>
          <w:lang w:eastAsia="es-MX"/>
        </w:rPr>
        <w:lastRenderedPageBreak/>
        <w:drawing>
          <wp:inline distT="0" distB="0" distL="0" distR="0" wp14:anchorId="5453773F" wp14:editId="1D82F07C">
            <wp:extent cx="6086475" cy="44481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86475" cy="4448175"/>
                    </a:xfrm>
                    <a:prstGeom prst="rect">
                      <a:avLst/>
                    </a:prstGeom>
                    <a:noFill/>
                    <a:ln>
                      <a:noFill/>
                    </a:ln>
                  </pic:spPr>
                </pic:pic>
              </a:graphicData>
            </a:graphic>
          </wp:inline>
        </w:drawing>
      </w:r>
    </w:p>
    <w:p w14:paraId="69EA7EB4" w14:textId="7B704F8F" w:rsidR="00C03807" w:rsidRPr="00C7378F" w:rsidRDefault="00C03807" w:rsidP="00550F43">
      <w:pPr>
        <w:rPr>
          <w:rFonts w:ascii="Barlow" w:hAnsi="Barlow"/>
          <w:sz w:val="20"/>
          <w:szCs w:val="20"/>
        </w:rPr>
      </w:pPr>
    </w:p>
    <w:p w14:paraId="172115D1" w14:textId="0A0E9E2C" w:rsidR="00521219" w:rsidRPr="00C7378F" w:rsidRDefault="00134781" w:rsidP="00521219">
      <w:pPr>
        <w:rPr>
          <w:rFonts w:ascii="Barlow" w:hAnsi="Barlow"/>
          <w:sz w:val="20"/>
          <w:szCs w:val="20"/>
        </w:rPr>
      </w:pPr>
      <w:r w:rsidRPr="00C7378F">
        <w:rPr>
          <w:rFonts w:ascii="Barlow" w:hAnsi="Barlow"/>
          <w:sz w:val="20"/>
          <w:szCs w:val="20"/>
        </w:rPr>
        <w:lastRenderedPageBreak/>
        <w:t>3</w:t>
      </w:r>
      <w:r w:rsidR="00521219" w:rsidRPr="00C7378F">
        <w:rPr>
          <w:rFonts w:ascii="Barlow" w:hAnsi="Barlow"/>
          <w:sz w:val="20"/>
          <w:szCs w:val="20"/>
        </w:rPr>
        <w:t>. Conciliación de flujos de operación y cuenta de ahorro/desahorro</w:t>
      </w:r>
      <w:r w:rsidR="00521219" w:rsidRPr="00C7378F">
        <w:rPr>
          <w:rFonts w:ascii="Barlow" w:hAnsi="Barlow"/>
          <w:sz w:val="20"/>
          <w:szCs w:val="20"/>
        </w:rPr>
        <w:tab/>
      </w:r>
    </w:p>
    <w:p w14:paraId="6DD6A3E5" w14:textId="77777777" w:rsidR="009B094A" w:rsidRPr="00C7378F" w:rsidRDefault="009B094A" w:rsidP="00521219">
      <w:pPr>
        <w:rPr>
          <w:rFonts w:ascii="Barlow" w:hAnsi="Barlow"/>
          <w:sz w:val="20"/>
          <w:szCs w:val="20"/>
        </w:rPr>
      </w:pPr>
    </w:p>
    <w:p w14:paraId="24FF20F1" w14:textId="788E41E2" w:rsidR="00CA77B9" w:rsidRPr="00C7378F" w:rsidRDefault="00FD4932" w:rsidP="00EF063D">
      <w:pPr>
        <w:jc w:val="center"/>
        <w:rPr>
          <w:rFonts w:ascii="Barlow" w:hAnsi="Barlow"/>
          <w:sz w:val="20"/>
          <w:szCs w:val="20"/>
        </w:rPr>
      </w:pPr>
      <w:r w:rsidRPr="00C7378F">
        <w:rPr>
          <w:rFonts w:ascii="Barlow" w:hAnsi="Barlow"/>
          <w:noProof/>
          <w:sz w:val="20"/>
          <w:szCs w:val="20"/>
          <w:lang w:eastAsia="es-MX"/>
        </w:rPr>
        <w:drawing>
          <wp:inline distT="0" distB="0" distL="0" distR="0" wp14:anchorId="13411533" wp14:editId="72F51375">
            <wp:extent cx="5734050" cy="3781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050" cy="3781425"/>
                    </a:xfrm>
                    <a:prstGeom prst="rect">
                      <a:avLst/>
                    </a:prstGeom>
                    <a:noFill/>
                    <a:ln>
                      <a:noFill/>
                    </a:ln>
                  </pic:spPr>
                </pic:pic>
              </a:graphicData>
            </a:graphic>
          </wp:inline>
        </w:drawing>
      </w:r>
    </w:p>
    <w:p w14:paraId="29094312" w14:textId="18D695BB" w:rsidR="00B62549" w:rsidRPr="00C7378F" w:rsidRDefault="00B71AE3" w:rsidP="00B62549">
      <w:pPr>
        <w:pStyle w:val="Prrafodelista"/>
        <w:numPr>
          <w:ilvl w:val="0"/>
          <w:numId w:val="4"/>
        </w:numPr>
        <w:jc w:val="both"/>
        <w:rPr>
          <w:rFonts w:ascii="Barlow" w:hAnsi="Barlow"/>
          <w:sz w:val="20"/>
          <w:szCs w:val="20"/>
        </w:rPr>
      </w:pPr>
      <w:r w:rsidRPr="00C7378F">
        <w:rPr>
          <w:rFonts w:ascii="Barlow" w:hAnsi="Barlow"/>
          <w:sz w:val="20"/>
          <w:szCs w:val="20"/>
        </w:rPr>
        <w:t>CONCILIACIÓN ENTRE LOS INGRESOS PRESUPUESTARIOS Y CONTABLES, ASÍ COMO ENTRE LOS EGRESOS PRESUPUESTARIOS Y LOS GASTOS CONTABLES</w:t>
      </w:r>
    </w:p>
    <w:p w14:paraId="144A6EB9" w14:textId="716B6048" w:rsidR="00EA471D" w:rsidRPr="00C7378F" w:rsidRDefault="000E4968" w:rsidP="00631302">
      <w:pPr>
        <w:jc w:val="center"/>
        <w:rPr>
          <w:rFonts w:ascii="Barlow" w:hAnsi="Barlow"/>
          <w:sz w:val="20"/>
          <w:szCs w:val="20"/>
        </w:rPr>
      </w:pPr>
      <w:r w:rsidRPr="00C7378F">
        <w:rPr>
          <w:rFonts w:ascii="Barlow" w:hAnsi="Barlow"/>
          <w:noProof/>
          <w:sz w:val="20"/>
          <w:szCs w:val="20"/>
          <w:lang w:eastAsia="es-MX"/>
        </w:rPr>
        <w:lastRenderedPageBreak/>
        <w:drawing>
          <wp:inline distT="0" distB="0" distL="0" distR="0" wp14:anchorId="7ADB0318" wp14:editId="3E34248F">
            <wp:extent cx="5667375" cy="451485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67375" cy="4514850"/>
                    </a:xfrm>
                    <a:prstGeom prst="rect">
                      <a:avLst/>
                    </a:prstGeom>
                    <a:noFill/>
                    <a:ln>
                      <a:noFill/>
                    </a:ln>
                  </pic:spPr>
                </pic:pic>
              </a:graphicData>
            </a:graphic>
          </wp:inline>
        </w:drawing>
      </w:r>
    </w:p>
    <w:p w14:paraId="325AA312" w14:textId="29726CC2" w:rsidR="00380D64" w:rsidRPr="00C7378F" w:rsidRDefault="00380D64" w:rsidP="00631302">
      <w:pPr>
        <w:jc w:val="center"/>
        <w:rPr>
          <w:rFonts w:ascii="Barlow" w:hAnsi="Barlow"/>
          <w:sz w:val="20"/>
          <w:szCs w:val="20"/>
        </w:rPr>
      </w:pPr>
    </w:p>
    <w:p w14:paraId="25C307A6" w14:textId="4192062F" w:rsidR="00380D64" w:rsidRPr="00C7378F" w:rsidRDefault="000E4968" w:rsidP="00631302">
      <w:pPr>
        <w:jc w:val="center"/>
        <w:rPr>
          <w:rFonts w:ascii="Barlow" w:hAnsi="Barlow"/>
          <w:sz w:val="20"/>
          <w:szCs w:val="20"/>
        </w:rPr>
      </w:pPr>
      <w:r w:rsidRPr="00C7378F">
        <w:rPr>
          <w:rFonts w:ascii="Barlow" w:hAnsi="Barlow"/>
          <w:noProof/>
          <w:sz w:val="20"/>
          <w:szCs w:val="20"/>
          <w:lang w:eastAsia="es-MX"/>
        </w:rPr>
        <w:lastRenderedPageBreak/>
        <w:drawing>
          <wp:inline distT="0" distB="0" distL="0" distR="0" wp14:anchorId="730440C7" wp14:editId="3C68E988">
            <wp:extent cx="5229225" cy="518196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rotWithShape="1">
                    <a:blip r:embed="rId51">
                      <a:extLst>
                        <a:ext uri="{28A0092B-C50C-407E-A947-70E740481C1C}">
                          <a14:useLocalDpi xmlns:a14="http://schemas.microsoft.com/office/drawing/2010/main" val="0"/>
                        </a:ext>
                      </a:extLst>
                    </a:blip>
                    <a:srcRect b="26773"/>
                    <a:stretch/>
                  </pic:blipFill>
                  <pic:spPr bwMode="auto">
                    <a:xfrm>
                      <a:off x="0" y="0"/>
                      <a:ext cx="5251144" cy="5203681"/>
                    </a:xfrm>
                    <a:prstGeom prst="rect">
                      <a:avLst/>
                    </a:prstGeom>
                    <a:noFill/>
                    <a:ln>
                      <a:noFill/>
                    </a:ln>
                    <a:extLst>
                      <a:ext uri="{53640926-AAD7-44D8-BBD7-CCE9431645EC}">
                        <a14:shadowObscured xmlns:a14="http://schemas.microsoft.com/office/drawing/2010/main"/>
                      </a:ext>
                    </a:extLst>
                  </pic:spPr>
                </pic:pic>
              </a:graphicData>
            </a:graphic>
          </wp:inline>
        </w:drawing>
      </w:r>
    </w:p>
    <w:p w14:paraId="145B4900" w14:textId="2868DF3C" w:rsidR="00604860" w:rsidRPr="00C7378F" w:rsidRDefault="00EF063D" w:rsidP="00D02668">
      <w:pPr>
        <w:spacing w:after="0" w:line="240" w:lineRule="auto"/>
        <w:jc w:val="center"/>
        <w:rPr>
          <w:rFonts w:ascii="Barlow" w:hAnsi="Barlow"/>
          <w:sz w:val="20"/>
          <w:szCs w:val="20"/>
        </w:rPr>
      </w:pPr>
      <w:r w:rsidRPr="00C7378F">
        <w:rPr>
          <w:rFonts w:ascii="Barlow" w:hAnsi="Barlow"/>
          <w:noProof/>
          <w:sz w:val="20"/>
          <w:szCs w:val="20"/>
          <w:lang w:eastAsia="es-MX"/>
        </w:rPr>
        <w:lastRenderedPageBreak/>
        <w:drawing>
          <wp:inline distT="0" distB="0" distL="0" distR="0" wp14:anchorId="5A48B7CB" wp14:editId="097F3032">
            <wp:extent cx="501142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rotWithShape="1">
                    <a:blip r:embed="rId51">
                      <a:extLst>
                        <a:ext uri="{28A0092B-C50C-407E-A947-70E740481C1C}">
                          <a14:useLocalDpi xmlns:a14="http://schemas.microsoft.com/office/drawing/2010/main" val="0"/>
                        </a:ext>
                      </a:extLst>
                    </a:blip>
                    <a:srcRect t="72332"/>
                    <a:stretch/>
                  </pic:blipFill>
                  <pic:spPr bwMode="auto">
                    <a:xfrm>
                      <a:off x="0" y="0"/>
                      <a:ext cx="5011420" cy="1876425"/>
                    </a:xfrm>
                    <a:prstGeom prst="rect">
                      <a:avLst/>
                    </a:prstGeom>
                    <a:noFill/>
                    <a:ln>
                      <a:noFill/>
                    </a:ln>
                    <a:extLst>
                      <a:ext uri="{53640926-AAD7-44D8-BBD7-CCE9431645EC}">
                        <a14:shadowObscured xmlns:a14="http://schemas.microsoft.com/office/drawing/2010/main"/>
                      </a:ext>
                    </a:extLst>
                  </pic:spPr>
                </pic:pic>
              </a:graphicData>
            </a:graphic>
          </wp:inline>
        </w:drawing>
      </w:r>
    </w:p>
    <w:p w14:paraId="16A50D76" w14:textId="77777777" w:rsidR="002357AA" w:rsidRPr="00C7378F" w:rsidRDefault="002357AA" w:rsidP="00863090">
      <w:pPr>
        <w:spacing w:after="0" w:line="240" w:lineRule="auto"/>
        <w:jc w:val="both"/>
        <w:rPr>
          <w:rFonts w:ascii="Barlow" w:eastAsia="Times New Roman" w:hAnsi="Barlow" w:cstheme="minorHAnsi"/>
          <w:color w:val="000000"/>
          <w:sz w:val="20"/>
          <w:szCs w:val="20"/>
          <w:lang w:eastAsia="es-MX"/>
        </w:rPr>
      </w:pPr>
    </w:p>
    <w:p w14:paraId="2C5ADEAB" w14:textId="3500042C" w:rsidR="00AA46DA" w:rsidRPr="00C7378F" w:rsidRDefault="00AA46DA" w:rsidP="00863090">
      <w:pPr>
        <w:spacing w:after="0" w:line="240" w:lineRule="auto"/>
        <w:jc w:val="both"/>
        <w:rPr>
          <w:rFonts w:ascii="Barlow" w:eastAsia="Times New Roman" w:hAnsi="Barlow" w:cstheme="minorHAnsi"/>
          <w:color w:val="000000"/>
          <w:sz w:val="20"/>
          <w:szCs w:val="20"/>
          <w:lang w:eastAsia="es-MX"/>
        </w:rPr>
      </w:pPr>
    </w:p>
    <w:p w14:paraId="5EAB525F" w14:textId="36E71652" w:rsidR="00646EE0" w:rsidRPr="00C7378F" w:rsidRDefault="00646EE0" w:rsidP="00646EE0">
      <w:pPr>
        <w:pStyle w:val="Prrafodelista"/>
        <w:numPr>
          <w:ilvl w:val="0"/>
          <w:numId w:val="1"/>
        </w:numPr>
        <w:ind w:left="0" w:firstLine="0"/>
        <w:rPr>
          <w:rFonts w:ascii="Barlow" w:hAnsi="Barlow"/>
          <w:b/>
          <w:bCs/>
          <w:sz w:val="20"/>
          <w:szCs w:val="20"/>
          <w:highlight w:val="lightGray"/>
        </w:rPr>
      </w:pPr>
      <w:r w:rsidRPr="00C7378F">
        <w:rPr>
          <w:rFonts w:ascii="Barlow" w:hAnsi="Barlow"/>
          <w:b/>
          <w:bCs/>
          <w:sz w:val="20"/>
          <w:szCs w:val="20"/>
          <w:highlight w:val="lightGray"/>
        </w:rPr>
        <w:t xml:space="preserve">NOTAS DE MEMORIA Y CUENTAS DE </w:t>
      </w:r>
      <w:r w:rsidR="00DB2754" w:rsidRPr="00C7378F">
        <w:rPr>
          <w:rFonts w:ascii="Barlow" w:hAnsi="Barlow"/>
          <w:b/>
          <w:bCs/>
          <w:sz w:val="20"/>
          <w:szCs w:val="20"/>
          <w:highlight w:val="lightGray"/>
        </w:rPr>
        <w:t>ORDEN</w:t>
      </w:r>
    </w:p>
    <w:p w14:paraId="09BC7AED" w14:textId="23680A6B" w:rsidR="00DB2754" w:rsidRPr="00C7378F" w:rsidRDefault="00DB2754" w:rsidP="00DB2754">
      <w:pPr>
        <w:rPr>
          <w:rFonts w:ascii="Barlow" w:hAnsi="Barlow"/>
          <w:b/>
          <w:bCs/>
          <w:sz w:val="20"/>
          <w:szCs w:val="20"/>
          <w:highlight w:val="lightGray"/>
        </w:rPr>
      </w:pPr>
    </w:p>
    <w:p w14:paraId="69646CBB" w14:textId="7B4BC867" w:rsidR="00DB2754" w:rsidRPr="00C7378F" w:rsidRDefault="00467147" w:rsidP="00DB2754">
      <w:pPr>
        <w:rPr>
          <w:rFonts w:ascii="Barlow" w:hAnsi="Barlow"/>
          <w:b/>
          <w:bCs/>
          <w:sz w:val="20"/>
          <w:szCs w:val="20"/>
        </w:rPr>
      </w:pPr>
      <w:r w:rsidRPr="00C7378F">
        <w:rPr>
          <w:rFonts w:ascii="Barlow" w:hAnsi="Barlow"/>
          <w:b/>
          <w:bCs/>
          <w:sz w:val="20"/>
          <w:szCs w:val="20"/>
        </w:rPr>
        <w:t>Contables</w:t>
      </w:r>
    </w:p>
    <w:p w14:paraId="58D2168F" w14:textId="4E60DB5B" w:rsidR="00B61742" w:rsidRPr="00C7378F" w:rsidRDefault="00467147" w:rsidP="00DB2754">
      <w:pPr>
        <w:rPr>
          <w:rFonts w:ascii="Barlow" w:hAnsi="Barlow"/>
          <w:sz w:val="20"/>
          <w:szCs w:val="20"/>
        </w:rPr>
      </w:pPr>
      <w:r w:rsidRPr="00C7378F">
        <w:rPr>
          <w:rFonts w:ascii="Barlow" w:hAnsi="Barlow"/>
          <w:sz w:val="20"/>
          <w:szCs w:val="20"/>
        </w:rPr>
        <w:t xml:space="preserve">En estas cuentas de orden se registran </w:t>
      </w:r>
      <w:r w:rsidR="00A665B7" w:rsidRPr="00C7378F">
        <w:rPr>
          <w:rFonts w:ascii="Barlow" w:hAnsi="Barlow"/>
          <w:sz w:val="20"/>
          <w:szCs w:val="20"/>
        </w:rPr>
        <w:t>las siguientes situaciones:</w:t>
      </w:r>
    </w:p>
    <w:p w14:paraId="00AA4F0C" w14:textId="77777777" w:rsidR="00604860" w:rsidRPr="00C7378F" w:rsidRDefault="00604860" w:rsidP="00DB2754">
      <w:pPr>
        <w:rPr>
          <w:rFonts w:ascii="Barlow" w:hAnsi="Barlow"/>
          <w:sz w:val="20"/>
          <w:szCs w:val="20"/>
        </w:rPr>
      </w:pPr>
    </w:p>
    <w:p w14:paraId="2EC1BCA9" w14:textId="66070EE5" w:rsidR="00B61742" w:rsidRPr="00C7378F" w:rsidRDefault="00B61742" w:rsidP="00B61742">
      <w:pPr>
        <w:rPr>
          <w:rFonts w:ascii="Barlow" w:hAnsi="Barlow"/>
          <w:sz w:val="20"/>
          <w:szCs w:val="20"/>
          <w:u w:val="single"/>
        </w:rPr>
      </w:pPr>
      <w:r w:rsidRPr="00C7378F">
        <w:rPr>
          <w:rFonts w:ascii="Barlow" w:hAnsi="Barlow"/>
          <w:sz w:val="20"/>
          <w:szCs w:val="20"/>
          <w:u w:val="single"/>
        </w:rPr>
        <w:t>Litigios en proceso</w:t>
      </w:r>
    </w:p>
    <w:p w14:paraId="0CBF885E" w14:textId="77777777" w:rsidR="006F0A29" w:rsidRPr="00C7378F" w:rsidRDefault="006F0A29" w:rsidP="006F0A29">
      <w:pPr>
        <w:rPr>
          <w:rFonts w:ascii="Barlow" w:hAnsi="Barlow"/>
          <w:sz w:val="20"/>
          <w:szCs w:val="20"/>
        </w:rPr>
      </w:pPr>
      <w:r w:rsidRPr="00C7378F">
        <w:rPr>
          <w:rFonts w:ascii="Barlow" w:hAnsi="Barlow"/>
          <w:sz w:val="20"/>
          <w:szCs w:val="20"/>
        </w:rPr>
        <w:t>Conforme a la información proporcionada por el departamento de asuntos jurídicos de la oficina del abogado general de la Universidad, la Institución al cierre de año, tiene los siguientes litigios en proceso</w:t>
      </w:r>
    </w:p>
    <w:bookmarkStart w:id="17" w:name="_MON_1652028998"/>
    <w:bookmarkEnd w:id="17"/>
    <w:p w14:paraId="0A18B624" w14:textId="75353BA4" w:rsidR="007A279B" w:rsidRPr="00D02668" w:rsidRDefault="00EA471D" w:rsidP="00B61742">
      <w:pPr>
        <w:rPr>
          <w:rFonts w:ascii="Barlow" w:hAnsi="Barlow"/>
          <w:sz w:val="20"/>
          <w:szCs w:val="20"/>
        </w:rPr>
      </w:pPr>
      <w:r w:rsidRPr="00C7378F">
        <w:rPr>
          <w:rFonts w:ascii="Barlow" w:hAnsi="Barlow"/>
          <w:sz w:val="20"/>
          <w:szCs w:val="20"/>
        </w:rPr>
        <w:object w:dxaOrig="8623" w:dyaOrig="3531" w14:anchorId="4CA483FF">
          <v:shape id="_x0000_i1039" type="#_x0000_t75" style="width:431.25pt;height:179.25pt" o:ole="">
            <v:imagedata r:id="rId52" o:title=""/>
          </v:shape>
          <o:OLEObject Type="Embed" ProgID="Excel.Sheet.12" ShapeID="_x0000_i1039" DrawAspect="Content" ObjectID="_1775035212" r:id="rId53"/>
        </w:object>
      </w:r>
    </w:p>
    <w:p w14:paraId="1C542282" w14:textId="25DF7F05" w:rsidR="00EA41D6" w:rsidRPr="00C7378F" w:rsidRDefault="004F0A95" w:rsidP="00B61742">
      <w:pPr>
        <w:rPr>
          <w:rFonts w:ascii="Barlow" w:hAnsi="Barlow"/>
          <w:sz w:val="20"/>
          <w:szCs w:val="20"/>
          <w:u w:val="single"/>
        </w:rPr>
      </w:pPr>
      <w:r w:rsidRPr="00C7378F">
        <w:rPr>
          <w:rFonts w:ascii="Barlow" w:hAnsi="Barlow"/>
          <w:sz w:val="20"/>
          <w:szCs w:val="20"/>
          <w:u w:val="single"/>
        </w:rPr>
        <w:t>Cuentas de orden</w:t>
      </w:r>
    </w:p>
    <w:p w14:paraId="7D54A6E9" w14:textId="2F3D1EA0" w:rsidR="00E34CA5" w:rsidRPr="00C7378F" w:rsidRDefault="0009326F" w:rsidP="00B61742">
      <w:pPr>
        <w:rPr>
          <w:rFonts w:ascii="Barlow" w:hAnsi="Barlow"/>
          <w:b/>
          <w:bCs/>
          <w:sz w:val="20"/>
          <w:szCs w:val="20"/>
        </w:rPr>
      </w:pPr>
      <w:r w:rsidRPr="00C7378F">
        <w:rPr>
          <w:rFonts w:ascii="Barlow" w:hAnsi="Barlow"/>
          <w:b/>
          <w:bCs/>
          <w:sz w:val="20"/>
          <w:szCs w:val="20"/>
        </w:rPr>
        <w:t>Presupuestarias</w:t>
      </w:r>
    </w:p>
    <w:p w14:paraId="56CCB4DE" w14:textId="6E9605DB" w:rsidR="003E3FE0" w:rsidRPr="00C7378F" w:rsidRDefault="003E3FE0" w:rsidP="00B61742">
      <w:pPr>
        <w:rPr>
          <w:rFonts w:ascii="Barlow" w:hAnsi="Barlow"/>
          <w:b/>
          <w:bCs/>
          <w:sz w:val="20"/>
          <w:szCs w:val="20"/>
        </w:rPr>
      </w:pPr>
    </w:p>
    <w:p w14:paraId="0C6B9534" w14:textId="0670BC34" w:rsidR="003E3FE0" w:rsidRPr="00C7378F" w:rsidRDefault="002A0022" w:rsidP="008C060C">
      <w:pPr>
        <w:jc w:val="center"/>
        <w:rPr>
          <w:rFonts w:ascii="Barlow" w:hAnsi="Barlow"/>
          <w:b/>
          <w:bCs/>
          <w:sz w:val="20"/>
          <w:szCs w:val="20"/>
        </w:rPr>
      </w:pPr>
      <w:r w:rsidRPr="00C7378F">
        <w:rPr>
          <w:rFonts w:ascii="Barlow" w:hAnsi="Barlow"/>
          <w:noProof/>
          <w:sz w:val="20"/>
          <w:szCs w:val="20"/>
          <w:lang w:eastAsia="es-MX"/>
        </w:rPr>
        <w:lastRenderedPageBreak/>
        <w:drawing>
          <wp:inline distT="0" distB="0" distL="0" distR="0" wp14:anchorId="5BA5D33F" wp14:editId="1A2AC9A7">
            <wp:extent cx="7391400" cy="334327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406885" cy="3350279"/>
                    </a:xfrm>
                    <a:prstGeom prst="rect">
                      <a:avLst/>
                    </a:prstGeom>
                    <a:noFill/>
                    <a:ln>
                      <a:noFill/>
                    </a:ln>
                  </pic:spPr>
                </pic:pic>
              </a:graphicData>
            </a:graphic>
          </wp:inline>
        </w:drawing>
      </w:r>
    </w:p>
    <w:p w14:paraId="2DF0D5E8" w14:textId="77777777" w:rsidR="002A0022" w:rsidRPr="00C7378F" w:rsidRDefault="002A0022" w:rsidP="008C060C">
      <w:pPr>
        <w:jc w:val="center"/>
        <w:rPr>
          <w:rFonts w:ascii="Barlow" w:hAnsi="Barlow"/>
          <w:b/>
          <w:bCs/>
          <w:sz w:val="20"/>
          <w:szCs w:val="20"/>
        </w:rPr>
      </w:pPr>
    </w:p>
    <w:p w14:paraId="76E46038" w14:textId="1FED3F9C" w:rsidR="003E3FE0" w:rsidRPr="00C7378F" w:rsidRDefault="003E3FE0" w:rsidP="00B61742">
      <w:pPr>
        <w:rPr>
          <w:rFonts w:ascii="Barlow" w:hAnsi="Barlow"/>
          <w:b/>
          <w:bCs/>
          <w:sz w:val="20"/>
          <w:szCs w:val="20"/>
        </w:rPr>
      </w:pPr>
    </w:p>
    <w:p w14:paraId="0A076F94" w14:textId="6930269F" w:rsidR="002170CC" w:rsidRPr="00C7378F" w:rsidRDefault="002170CC" w:rsidP="00B61742">
      <w:pPr>
        <w:rPr>
          <w:rFonts w:ascii="Barlow" w:hAnsi="Barlow"/>
          <w:b/>
          <w:bCs/>
          <w:sz w:val="20"/>
          <w:szCs w:val="20"/>
        </w:rPr>
      </w:pPr>
    </w:p>
    <w:p w14:paraId="1C38B7A1" w14:textId="06C09240" w:rsidR="00743D7B" w:rsidRPr="00C7378F" w:rsidRDefault="0007715F" w:rsidP="00B61742">
      <w:pPr>
        <w:rPr>
          <w:rFonts w:ascii="Barlow" w:hAnsi="Barlow"/>
          <w:b/>
          <w:bCs/>
          <w:sz w:val="20"/>
          <w:szCs w:val="20"/>
        </w:rPr>
      </w:pPr>
      <w:r w:rsidRPr="00C7378F">
        <w:rPr>
          <w:rFonts w:ascii="Barlow" w:hAnsi="Barlow"/>
          <w:b/>
          <w:bCs/>
          <w:sz w:val="20"/>
          <w:szCs w:val="20"/>
        </w:rPr>
        <w:t xml:space="preserve">                 </w:t>
      </w:r>
    </w:p>
    <w:p w14:paraId="36DE72E8" w14:textId="77777777" w:rsidR="00743D7B" w:rsidRPr="00C7378F" w:rsidRDefault="00743D7B" w:rsidP="00B61742">
      <w:pPr>
        <w:rPr>
          <w:rFonts w:ascii="Barlow" w:hAnsi="Barlow"/>
          <w:b/>
          <w:bCs/>
          <w:sz w:val="20"/>
          <w:szCs w:val="20"/>
        </w:rPr>
      </w:pPr>
      <w:r w:rsidRPr="00C7378F">
        <w:rPr>
          <w:rFonts w:ascii="Barlow" w:hAnsi="Barlow"/>
          <w:b/>
          <w:bCs/>
          <w:sz w:val="20"/>
          <w:szCs w:val="20"/>
        </w:rPr>
        <w:t xml:space="preserve"> </w:t>
      </w:r>
    </w:p>
    <w:p w14:paraId="0D7D2C63" w14:textId="7E7C64D5" w:rsidR="00EA471D" w:rsidRPr="00C7378F" w:rsidRDefault="00743D7B" w:rsidP="00B61742">
      <w:pPr>
        <w:rPr>
          <w:rFonts w:ascii="Barlow" w:hAnsi="Barlow"/>
          <w:b/>
          <w:bCs/>
          <w:sz w:val="20"/>
          <w:szCs w:val="20"/>
        </w:rPr>
      </w:pPr>
      <w:r w:rsidRPr="00C7378F">
        <w:rPr>
          <w:rFonts w:ascii="Barlow" w:hAnsi="Barlow"/>
          <w:b/>
          <w:bCs/>
          <w:sz w:val="20"/>
          <w:szCs w:val="20"/>
        </w:rPr>
        <w:lastRenderedPageBreak/>
        <w:t xml:space="preserve">         </w:t>
      </w:r>
      <w:r w:rsidR="0002638F" w:rsidRPr="00C7378F">
        <w:rPr>
          <w:rFonts w:ascii="Barlow" w:hAnsi="Barlow"/>
          <w:b/>
          <w:bCs/>
          <w:sz w:val="20"/>
          <w:szCs w:val="20"/>
        </w:rPr>
        <w:t xml:space="preserve">  </w:t>
      </w:r>
      <w:r w:rsidR="00EB545D" w:rsidRPr="00C7378F">
        <w:rPr>
          <w:rFonts w:ascii="Barlow" w:hAnsi="Barlow"/>
          <w:b/>
          <w:bCs/>
          <w:sz w:val="20"/>
          <w:szCs w:val="20"/>
        </w:rPr>
        <w:t xml:space="preserve">  </w:t>
      </w:r>
      <w:r w:rsidR="00C91981" w:rsidRPr="00C7378F">
        <w:rPr>
          <w:rFonts w:ascii="Barlow" w:hAnsi="Barlow"/>
          <w:noProof/>
          <w:sz w:val="20"/>
          <w:szCs w:val="20"/>
          <w:lang w:eastAsia="es-MX"/>
        </w:rPr>
        <w:drawing>
          <wp:inline distT="0" distB="0" distL="0" distR="0" wp14:anchorId="6E24C507" wp14:editId="722EE06D">
            <wp:extent cx="3352800" cy="176212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52800" cy="1762125"/>
                    </a:xfrm>
                    <a:prstGeom prst="rect">
                      <a:avLst/>
                    </a:prstGeom>
                    <a:noFill/>
                    <a:ln>
                      <a:noFill/>
                    </a:ln>
                  </pic:spPr>
                </pic:pic>
              </a:graphicData>
            </a:graphic>
          </wp:inline>
        </w:drawing>
      </w:r>
      <w:r w:rsidR="00C91981" w:rsidRPr="00C7378F">
        <w:rPr>
          <w:rFonts w:ascii="Barlow" w:hAnsi="Barlow"/>
          <w:b/>
          <w:bCs/>
          <w:sz w:val="20"/>
          <w:szCs w:val="20"/>
        </w:rPr>
        <w:t xml:space="preserve">          </w:t>
      </w:r>
      <w:r w:rsidR="00C91981" w:rsidRPr="00C7378F">
        <w:rPr>
          <w:rFonts w:ascii="Barlow" w:hAnsi="Barlow"/>
          <w:noProof/>
          <w:sz w:val="20"/>
          <w:szCs w:val="20"/>
          <w:lang w:eastAsia="es-MX"/>
        </w:rPr>
        <w:drawing>
          <wp:inline distT="0" distB="0" distL="0" distR="0" wp14:anchorId="127266E2" wp14:editId="6F079DF5">
            <wp:extent cx="3352800" cy="216217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52800" cy="2162175"/>
                    </a:xfrm>
                    <a:prstGeom prst="rect">
                      <a:avLst/>
                    </a:prstGeom>
                    <a:noFill/>
                    <a:ln>
                      <a:noFill/>
                    </a:ln>
                  </pic:spPr>
                </pic:pic>
              </a:graphicData>
            </a:graphic>
          </wp:inline>
        </w:drawing>
      </w:r>
    </w:p>
    <w:p w14:paraId="60D31F3A" w14:textId="7C2FEA9D" w:rsidR="002A31C9" w:rsidRPr="00C7378F" w:rsidRDefault="002A31C9" w:rsidP="00B61742">
      <w:pPr>
        <w:rPr>
          <w:rFonts w:ascii="Barlow" w:hAnsi="Barlow"/>
          <w:b/>
          <w:bCs/>
          <w:sz w:val="20"/>
          <w:szCs w:val="20"/>
        </w:rPr>
      </w:pPr>
    </w:p>
    <w:p w14:paraId="3FC3B20A" w14:textId="77777777" w:rsidR="002A31C9" w:rsidRPr="00C7378F" w:rsidRDefault="002A31C9" w:rsidP="002A31C9">
      <w:pPr>
        <w:rPr>
          <w:rFonts w:ascii="Barlow" w:hAnsi="Barlow"/>
          <w:sz w:val="20"/>
          <w:szCs w:val="20"/>
        </w:rPr>
      </w:pPr>
      <w:bookmarkStart w:id="18" w:name="_GoBack"/>
      <w:bookmarkEnd w:id="18"/>
    </w:p>
    <w:sectPr w:rsidR="002A31C9" w:rsidRPr="00C7378F" w:rsidSect="00C7378F">
      <w:pgSz w:w="15840" w:h="12240" w:orient="landscape"/>
      <w:pgMar w:top="2835" w:right="1134" w:bottom="1701"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C2C3A" w14:textId="77777777" w:rsidR="009C0B4D" w:rsidRDefault="009C0B4D" w:rsidP="00311F53">
      <w:pPr>
        <w:spacing w:after="0" w:line="240" w:lineRule="auto"/>
      </w:pPr>
      <w:r>
        <w:separator/>
      </w:r>
    </w:p>
  </w:endnote>
  <w:endnote w:type="continuationSeparator" w:id="0">
    <w:p w14:paraId="51F94935" w14:textId="77777777" w:rsidR="009C0B4D" w:rsidRDefault="009C0B4D" w:rsidP="0031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Times New Roman"/>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D7946" w14:textId="77777777" w:rsidR="009C0B4D" w:rsidRDefault="009C0B4D" w:rsidP="00311F53">
      <w:pPr>
        <w:spacing w:after="0" w:line="240" w:lineRule="auto"/>
      </w:pPr>
      <w:r>
        <w:separator/>
      </w:r>
    </w:p>
  </w:footnote>
  <w:footnote w:type="continuationSeparator" w:id="0">
    <w:p w14:paraId="03B9665E" w14:textId="77777777" w:rsidR="009C0B4D" w:rsidRDefault="009C0B4D" w:rsidP="0031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11"/>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14E96"/>
    <w:multiLevelType w:val="hybridMultilevel"/>
    <w:tmpl w:val="41AC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C06C3"/>
    <w:multiLevelType w:val="hybridMultilevel"/>
    <w:tmpl w:val="8C9A6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86E06"/>
    <w:multiLevelType w:val="hybridMultilevel"/>
    <w:tmpl w:val="2B104C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90647"/>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321E6F"/>
    <w:multiLevelType w:val="hybridMultilevel"/>
    <w:tmpl w:val="C77ED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228D0"/>
    <w:multiLevelType w:val="hybridMultilevel"/>
    <w:tmpl w:val="D76A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894F3B"/>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604DB"/>
    <w:multiLevelType w:val="hybridMultilevel"/>
    <w:tmpl w:val="F904B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2C30AD"/>
    <w:multiLevelType w:val="hybridMultilevel"/>
    <w:tmpl w:val="00923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F52CC5"/>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54"/>
    <w:rsid w:val="000012AF"/>
    <w:rsid w:val="00002294"/>
    <w:rsid w:val="00002E04"/>
    <w:rsid w:val="00003258"/>
    <w:rsid w:val="00003DE1"/>
    <w:rsid w:val="00004184"/>
    <w:rsid w:val="000049A1"/>
    <w:rsid w:val="000060C0"/>
    <w:rsid w:val="00006B74"/>
    <w:rsid w:val="00007324"/>
    <w:rsid w:val="000073A1"/>
    <w:rsid w:val="00007A83"/>
    <w:rsid w:val="000100E9"/>
    <w:rsid w:val="00011679"/>
    <w:rsid w:val="000119BB"/>
    <w:rsid w:val="00012120"/>
    <w:rsid w:val="00012AE3"/>
    <w:rsid w:val="000135F9"/>
    <w:rsid w:val="0001396B"/>
    <w:rsid w:val="00014EF9"/>
    <w:rsid w:val="0001588F"/>
    <w:rsid w:val="0001784A"/>
    <w:rsid w:val="00021074"/>
    <w:rsid w:val="0002298E"/>
    <w:rsid w:val="00023297"/>
    <w:rsid w:val="000240F8"/>
    <w:rsid w:val="0002477F"/>
    <w:rsid w:val="000251A4"/>
    <w:rsid w:val="000251F9"/>
    <w:rsid w:val="00025A07"/>
    <w:rsid w:val="00026214"/>
    <w:rsid w:val="000262F7"/>
    <w:rsid w:val="0002638F"/>
    <w:rsid w:val="000268F4"/>
    <w:rsid w:val="0002746A"/>
    <w:rsid w:val="00027931"/>
    <w:rsid w:val="000305B7"/>
    <w:rsid w:val="0003095C"/>
    <w:rsid w:val="00030C11"/>
    <w:rsid w:val="0003107B"/>
    <w:rsid w:val="000321FA"/>
    <w:rsid w:val="000323CF"/>
    <w:rsid w:val="000327A8"/>
    <w:rsid w:val="00032969"/>
    <w:rsid w:val="00033EDF"/>
    <w:rsid w:val="000345F2"/>
    <w:rsid w:val="00034BC2"/>
    <w:rsid w:val="00035A6D"/>
    <w:rsid w:val="00035DFE"/>
    <w:rsid w:val="00037054"/>
    <w:rsid w:val="00041788"/>
    <w:rsid w:val="000417A4"/>
    <w:rsid w:val="00041C79"/>
    <w:rsid w:val="00041CB4"/>
    <w:rsid w:val="00041D6B"/>
    <w:rsid w:val="00043C8E"/>
    <w:rsid w:val="00044D73"/>
    <w:rsid w:val="00044DDB"/>
    <w:rsid w:val="00046548"/>
    <w:rsid w:val="00046ABB"/>
    <w:rsid w:val="00047796"/>
    <w:rsid w:val="00047D8C"/>
    <w:rsid w:val="00050F43"/>
    <w:rsid w:val="00054A32"/>
    <w:rsid w:val="00054B2F"/>
    <w:rsid w:val="0005650C"/>
    <w:rsid w:val="00057B22"/>
    <w:rsid w:val="00057FE6"/>
    <w:rsid w:val="00060745"/>
    <w:rsid w:val="00060C64"/>
    <w:rsid w:val="000611D6"/>
    <w:rsid w:val="00061C84"/>
    <w:rsid w:val="00062F11"/>
    <w:rsid w:val="00062F90"/>
    <w:rsid w:val="000643A5"/>
    <w:rsid w:val="00065DDC"/>
    <w:rsid w:val="000664D7"/>
    <w:rsid w:val="00066ACA"/>
    <w:rsid w:val="00066E6A"/>
    <w:rsid w:val="00066EDC"/>
    <w:rsid w:val="00067053"/>
    <w:rsid w:val="00070484"/>
    <w:rsid w:val="000708CB"/>
    <w:rsid w:val="0007140A"/>
    <w:rsid w:val="00072029"/>
    <w:rsid w:val="0007267D"/>
    <w:rsid w:val="00072786"/>
    <w:rsid w:val="00072B0E"/>
    <w:rsid w:val="00072B14"/>
    <w:rsid w:val="00073238"/>
    <w:rsid w:val="000741E8"/>
    <w:rsid w:val="0007490A"/>
    <w:rsid w:val="0007542A"/>
    <w:rsid w:val="0007606E"/>
    <w:rsid w:val="0007622D"/>
    <w:rsid w:val="00076EAF"/>
    <w:rsid w:val="0007715F"/>
    <w:rsid w:val="00077201"/>
    <w:rsid w:val="00080233"/>
    <w:rsid w:val="0008111E"/>
    <w:rsid w:val="000812B4"/>
    <w:rsid w:val="000815E6"/>
    <w:rsid w:val="00081D4A"/>
    <w:rsid w:val="00081D99"/>
    <w:rsid w:val="0008201D"/>
    <w:rsid w:val="00082A0B"/>
    <w:rsid w:val="00083FA2"/>
    <w:rsid w:val="0008452C"/>
    <w:rsid w:val="0008535C"/>
    <w:rsid w:val="00085B82"/>
    <w:rsid w:val="00085CC9"/>
    <w:rsid w:val="00085E3E"/>
    <w:rsid w:val="00086455"/>
    <w:rsid w:val="00087728"/>
    <w:rsid w:val="00087D95"/>
    <w:rsid w:val="00090923"/>
    <w:rsid w:val="00090F97"/>
    <w:rsid w:val="000914CF"/>
    <w:rsid w:val="00091651"/>
    <w:rsid w:val="00091A8B"/>
    <w:rsid w:val="00092CDA"/>
    <w:rsid w:val="0009326F"/>
    <w:rsid w:val="00094A81"/>
    <w:rsid w:val="00094FF1"/>
    <w:rsid w:val="0009591F"/>
    <w:rsid w:val="00096E1C"/>
    <w:rsid w:val="000975CA"/>
    <w:rsid w:val="000979EA"/>
    <w:rsid w:val="00097A73"/>
    <w:rsid w:val="000A04A4"/>
    <w:rsid w:val="000A0C3C"/>
    <w:rsid w:val="000A107A"/>
    <w:rsid w:val="000A1AEC"/>
    <w:rsid w:val="000A3330"/>
    <w:rsid w:val="000A3BC9"/>
    <w:rsid w:val="000A41C9"/>
    <w:rsid w:val="000A49CB"/>
    <w:rsid w:val="000A5301"/>
    <w:rsid w:val="000A5FB5"/>
    <w:rsid w:val="000A6126"/>
    <w:rsid w:val="000A6504"/>
    <w:rsid w:val="000A6764"/>
    <w:rsid w:val="000B01F4"/>
    <w:rsid w:val="000B06CB"/>
    <w:rsid w:val="000B0FC0"/>
    <w:rsid w:val="000B194B"/>
    <w:rsid w:val="000B1E84"/>
    <w:rsid w:val="000B4968"/>
    <w:rsid w:val="000B4B7C"/>
    <w:rsid w:val="000B52B3"/>
    <w:rsid w:val="000B53D2"/>
    <w:rsid w:val="000B5409"/>
    <w:rsid w:val="000B55AF"/>
    <w:rsid w:val="000B6761"/>
    <w:rsid w:val="000B70CD"/>
    <w:rsid w:val="000B7C0F"/>
    <w:rsid w:val="000C03B3"/>
    <w:rsid w:val="000C0AD4"/>
    <w:rsid w:val="000C1268"/>
    <w:rsid w:val="000C2E06"/>
    <w:rsid w:val="000C3074"/>
    <w:rsid w:val="000C3393"/>
    <w:rsid w:val="000C3B77"/>
    <w:rsid w:val="000C3C6A"/>
    <w:rsid w:val="000C3C85"/>
    <w:rsid w:val="000C477F"/>
    <w:rsid w:val="000C4A47"/>
    <w:rsid w:val="000C4EF8"/>
    <w:rsid w:val="000C5335"/>
    <w:rsid w:val="000C5A60"/>
    <w:rsid w:val="000C5FCC"/>
    <w:rsid w:val="000C62A4"/>
    <w:rsid w:val="000C64C5"/>
    <w:rsid w:val="000C6F30"/>
    <w:rsid w:val="000D0032"/>
    <w:rsid w:val="000D01D6"/>
    <w:rsid w:val="000D03D2"/>
    <w:rsid w:val="000D079A"/>
    <w:rsid w:val="000D33A5"/>
    <w:rsid w:val="000D3505"/>
    <w:rsid w:val="000D42AB"/>
    <w:rsid w:val="000D466B"/>
    <w:rsid w:val="000D4AEB"/>
    <w:rsid w:val="000D5AA4"/>
    <w:rsid w:val="000D5E11"/>
    <w:rsid w:val="000D5F09"/>
    <w:rsid w:val="000D6A83"/>
    <w:rsid w:val="000D751C"/>
    <w:rsid w:val="000E0174"/>
    <w:rsid w:val="000E109D"/>
    <w:rsid w:val="000E23BC"/>
    <w:rsid w:val="000E243E"/>
    <w:rsid w:val="000E2A6A"/>
    <w:rsid w:val="000E2D73"/>
    <w:rsid w:val="000E3987"/>
    <w:rsid w:val="000E3CC4"/>
    <w:rsid w:val="000E3D41"/>
    <w:rsid w:val="000E4968"/>
    <w:rsid w:val="000E4CDA"/>
    <w:rsid w:val="000E50FA"/>
    <w:rsid w:val="000E57CF"/>
    <w:rsid w:val="000E6436"/>
    <w:rsid w:val="000E6583"/>
    <w:rsid w:val="000E7041"/>
    <w:rsid w:val="000E7A0E"/>
    <w:rsid w:val="000F2696"/>
    <w:rsid w:val="000F2BD6"/>
    <w:rsid w:val="000F376E"/>
    <w:rsid w:val="000F521A"/>
    <w:rsid w:val="000F70A8"/>
    <w:rsid w:val="000F7A57"/>
    <w:rsid w:val="000F7D13"/>
    <w:rsid w:val="0010010F"/>
    <w:rsid w:val="00100DED"/>
    <w:rsid w:val="00100E1F"/>
    <w:rsid w:val="001011F6"/>
    <w:rsid w:val="00101659"/>
    <w:rsid w:val="001017CA"/>
    <w:rsid w:val="00102942"/>
    <w:rsid w:val="00103098"/>
    <w:rsid w:val="00103821"/>
    <w:rsid w:val="0010488D"/>
    <w:rsid w:val="00105181"/>
    <w:rsid w:val="0010558B"/>
    <w:rsid w:val="00105E73"/>
    <w:rsid w:val="001101AF"/>
    <w:rsid w:val="00110BFB"/>
    <w:rsid w:val="001112FD"/>
    <w:rsid w:val="00112DF9"/>
    <w:rsid w:val="00114AD2"/>
    <w:rsid w:val="00114B69"/>
    <w:rsid w:val="001155DD"/>
    <w:rsid w:val="00115CC0"/>
    <w:rsid w:val="001164E7"/>
    <w:rsid w:val="001165CD"/>
    <w:rsid w:val="00116B63"/>
    <w:rsid w:val="00117AB1"/>
    <w:rsid w:val="00121B3E"/>
    <w:rsid w:val="001224CA"/>
    <w:rsid w:val="001231C1"/>
    <w:rsid w:val="00123C14"/>
    <w:rsid w:val="00124520"/>
    <w:rsid w:val="001245D9"/>
    <w:rsid w:val="00126982"/>
    <w:rsid w:val="00127427"/>
    <w:rsid w:val="00131310"/>
    <w:rsid w:val="00132326"/>
    <w:rsid w:val="0013440A"/>
    <w:rsid w:val="00134781"/>
    <w:rsid w:val="00134973"/>
    <w:rsid w:val="00134E20"/>
    <w:rsid w:val="001355FF"/>
    <w:rsid w:val="00136037"/>
    <w:rsid w:val="00136287"/>
    <w:rsid w:val="001373B8"/>
    <w:rsid w:val="0014027D"/>
    <w:rsid w:val="00141A83"/>
    <w:rsid w:val="00142F0F"/>
    <w:rsid w:val="001433F2"/>
    <w:rsid w:val="001435B9"/>
    <w:rsid w:val="001447B8"/>
    <w:rsid w:val="0014673D"/>
    <w:rsid w:val="001478FF"/>
    <w:rsid w:val="00147DBD"/>
    <w:rsid w:val="001501AD"/>
    <w:rsid w:val="00150B94"/>
    <w:rsid w:val="00150DF1"/>
    <w:rsid w:val="00150E60"/>
    <w:rsid w:val="00151178"/>
    <w:rsid w:val="00151B54"/>
    <w:rsid w:val="00151D9C"/>
    <w:rsid w:val="001524BD"/>
    <w:rsid w:val="001530AF"/>
    <w:rsid w:val="001539D1"/>
    <w:rsid w:val="00153F39"/>
    <w:rsid w:val="00155BFF"/>
    <w:rsid w:val="00155E41"/>
    <w:rsid w:val="00156B73"/>
    <w:rsid w:val="00157126"/>
    <w:rsid w:val="00157E69"/>
    <w:rsid w:val="0016136D"/>
    <w:rsid w:val="00161E44"/>
    <w:rsid w:val="001621AC"/>
    <w:rsid w:val="001636DF"/>
    <w:rsid w:val="00163A20"/>
    <w:rsid w:val="00163EAC"/>
    <w:rsid w:val="00164862"/>
    <w:rsid w:val="00165DB4"/>
    <w:rsid w:val="0016696B"/>
    <w:rsid w:val="001670DC"/>
    <w:rsid w:val="00167C96"/>
    <w:rsid w:val="0017024C"/>
    <w:rsid w:val="00171444"/>
    <w:rsid w:val="00171CF4"/>
    <w:rsid w:val="00172346"/>
    <w:rsid w:val="0017293C"/>
    <w:rsid w:val="00172E90"/>
    <w:rsid w:val="00173353"/>
    <w:rsid w:val="001733E8"/>
    <w:rsid w:val="001759F9"/>
    <w:rsid w:val="00175CF6"/>
    <w:rsid w:val="00176041"/>
    <w:rsid w:val="00176F8B"/>
    <w:rsid w:val="0017792D"/>
    <w:rsid w:val="001808A2"/>
    <w:rsid w:val="00180CDD"/>
    <w:rsid w:val="001815AE"/>
    <w:rsid w:val="00181E25"/>
    <w:rsid w:val="00182365"/>
    <w:rsid w:val="0018321F"/>
    <w:rsid w:val="00185653"/>
    <w:rsid w:val="00185930"/>
    <w:rsid w:val="00190DD3"/>
    <w:rsid w:val="00191051"/>
    <w:rsid w:val="00192028"/>
    <w:rsid w:val="00192BF3"/>
    <w:rsid w:val="001931B3"/>
    <w:rsid w:val="001936A8"/>
    <w:rsid w:val="00193CC8"/>
    <w:rsid w:val="001941C5"/>
    <w:rsid w:val="00194596"/>
    <w:rsid w:val="00194D98"/>
    <w:rsid w:val="00195269"/>
    <w:rsid w:val="001970F6"/>
    <w:rsid w:val="00197198"/>
    <w:rsid w:val="00197B11"/>
    <w:rsid w:val="00197E18"/>
    <w:rsid w:val="00197E86"/>
    <w:rsid w:val="001A1ADB"/>
    <w:rsid w:val="001A1AE9"/>
    <w:rsid w:val="001A1C3F"/>
    <w:rsid w:val="001A260E"/>
    <w:rsid w:val="001A31D3"/>
    <w:rsid w:val="001A3EBE"/>
    <w:rsid w:val="001A4333"/>
    <w:rsid w:val="001A5195"/>
    <w:rsid w:val="001A6705"/>
    <w:rsid w:val="001A73CB"/>
    <w:rsid w:val="001A7589"/>
    <w:rsid w:val="001B14EF"/>
    <w:rsid w:val="001B1553"/>
    <w:rsid w:val="001B1E0F"/>
    <w:rsid w:val="001B20A5"/>
    <w:rsid w:val="001B233D"/>
    <w:rsid w:val="001B42B7"/>
    <w:rsid w:val="001B4430"/>
    <w:rsid w:val="001B4E11"/>
    <w:rsid w:val="001B542F"/>
    <w:rsid w:val="001B550E"/>
    <w:rsid w:val="001B5A7E"/>
    <w:rsid w:val="001B65AF"/>
    <w:rsid w:val="001B6719"/>
    <w:rsid w:val="001B67AE"/>
    <w:rsid w:val="001B67E9"/>
    <w:rsid w:val="001B7812"/>
    <w:rsid w:val="001B78C6"/>
    <w:rsid w:val="001B7A92"/>
    <w:rsid w:val="001B7A94"/>
    <w:rsid w:val="001C0700"/>
    <w:rsid w:val="001C141A"/>
    <w:rsid w:val="001C378C"/>
    <w:rsid w:val="001C3D95"/>
    <w:rsid w:val="001C438A"/>
    <w:rsid w:val="001C5043"/>
    <w:rsid w:val="001C60E0"/>
    <w:rsid w:val="001C6A24"/>
    <w:rsid w:val="001D03CE"/>
    <w:rsid w:val="001D2692"/>
    <w:rsid w:val="001D27D8"/>
    <w:rsid w:val="001D3CEE"/>
    <w:rsid w:val="001D42D2"/>
    <w:rsid w:val="001D49CC"/>
    <w:rsid w:val="001D5B2A"/>
    <w:rsid w:val="001D5ECD"/>
    <w:rsid w:val="001D6473"/>
    <w:rsid w:val="001D6A11"/>
    <w:rsid w:val="001D7DDB"/>
    <w:rsid w:val="001E047A"/>
    <w:rsid w:val="001E099F"/>
    <w:rsid w:val="001E1CC5"/>
    <w:rsid w:val="001E1E2A"/>
    <w:rsid w:val="001E3861"/>
    <w:rsid w:val="001E490E"/>
    <w:rsid w:val="001E49CE"/>
    <w:rsid w:val="001E4C89"/>
    <w:rsid w:val="001E63E9"/>
    <w:rsid w:val="001E644F"/>
    <w:rsid w:val="001E698F"/>
    <w:rsid w:val="001E7380"/>
    <w:rsid w:val="001F0756"/>
    <w:rsid w:val="001F0B9A"/>
    <w:rsid w:val="001F0F64"/>
    <w:rsid w:val="001F11F2"/>
    <w:rsid w:val="001F2710"/>
    <w:rsid w:val="001F37D9"/>
    <w:rsid w:val="001F419D"/>
    <w:rsid w:val="001F47E8"/>
    <w:rsid w:val="001F4893"/>
    <w:rsid w:val="001F48B4"/>
    <w:rsid w:val="001F4E6C"/>
    <w:rsid w:val="001F67EB"/>
    <w:rsid w:val="001F7511"/>
    <w:rsid w:val="001F7A84"/>
    <w:rsid w:val="0020010F"/>
    <w:rsid w:val="0020044E"/>
    <w:rsid w:val="0020096E"/>
    <w:rsid w:val="00200AC9"/>
    <w:rsid w:val="0020254A"/>
    <w:rsid w:val="00202A3D"/>
    <w:rsid w:val="00202F5F"/>
    <w:rsid w:val="00203705"/>
    <w:rsid w:val="0020451A"/>
    <w:rsid w:val="00204798"/>
    <w:rsid w:val="0020493A"/>
    <w:rsid w:val="002050A7"/>
    <w:rsid w:val="002052EB"/>
    <w:rsid w:val="002066A9"/>
    <w:rsid w:val="00206ACC"/>
    <w:rsid w:val="00207A98"/>
    <w:rsid w:val="002106E6"/>
    <w:rsid w:val="002106FD"/>
    <w:rsid w:val="00211C88"/>
    <w:rsid w:val="00212C00"/>
    <w:rsid w:val="00212E93"/>
    <w:rsid w:val="0021351A"/>
    <w:rsid w:val="00213594"/>
    <w:rsid w:val="00214075"/>
    <w:rsid w:val="0021418A"/>
    <w:rsid w:val="0021423D"/>
    <w:rsid w:val="002152DF"/>
    <w:rsid w:val="00215B79"/>
    <w:rsid w:val="002160C8"/>
    <w:rsid w:val="002170CC"/>
    <w:rsid w:val="00217252"/>
    <w:rsid w:val="002173D4"/>
    <w:rsid w:val="002209B1"/>
    <w:rsid w:val="0022147F"/>
    <w:rsid w:val="0022208B"/>
    <w:rsid w:val="002222C6"/>
    <w:rsid w:val="00223B60"/>
    <w:rsid w:val="002257C6"/>
    <w:rsid w:val="00226B06"/>
    <w:rsid w:val="002276BD"/>
    <w:rsid w:val="0022791A"/>
    <w:rsid w:val="002301E2"/>
    <w:rsid w:val="00230C55"/>
    <w:rsid w:val="002314A3"/>
    <w:rsid w:val="00231AA0"/>
    <w:rsid w:val="00231B92"/>
    <w:rsid w:val="00232064"/>
    <w:rsid w:val="00233477"/>
    <w:rsid w:val="002341D3"/>
    <w:rsid w:val="002357AA"/>
    <w:rsid w:val="00235AE1"/>
    <w:rsid w:val="00236468"/>
    <w:rsid w:val="0024024D"/>
    <w:rsid w:val="002407BB"/>
    <w:rsid w:val="00240AB2"/>
    <w:rsid w:val="00241C41"/>
    <w:rsid w:val="00241E80"/>
    <w:rsid w:val="00242AF8"/>
    <w:rsid w:val="0024332E"/>
    <w:rsid w:val="002438E3"/>
    <w:rsid w:val="002442D0"/>
    <w:rsid w:val="002450B6"/>
    <w:rsid w:val="00245764"/>
    <w:rsid w:val="00245922"/>
    <w:rsid w:val="002459B9"/>
    <w:rsid w:val="00246422"/>
    <w:rsid w:val="00246455"/>
    <w:rsid w:val="00250835"/>
    <w:rsid w:val="0025191B"/>
    <w:rsid w:val="00252376"/>
    <w:rsid w:val="002537E7"/>
    <w:rsid w:val="00253C82"/>
    <w:rsid w:val="00253DF8"/>
    <w:rsid w:val="00254BE9"/>
    <w:rsid w:val="002552E7"/>
    <w:rsid w:val="00257295"/>
    <w:rsid w:val="00257726"/>
    <w:rsid w:val="002578A1"/>
    <w:rsid w:val="002607AB"/>
    <w:rsid w:val="00261DC4"/>
    <w:rsid w:val="00262B30"/>
    <w:rsid w:val="00264C31"/>
    <w:rsid w:val="0026615C"/>
    <w:rsid w:val="0026629F"/>
    <w:rsid w:val="00266B4E"/>
    <w:rsid w:val="00267186"/>
    <w:rsid w:val="002671D9"/>
    <w:rsid w:val="00270948"/>
    <w:rsid w:val="00270A0A"/>
    <w:rsid w:val="00274239"/>
    <w:rsid w:val="00274FB3"/>
    <w:rsid w:val="002750AD"/>
    <w:rsid w:val="00275814"/>
    <w:rsid w:val="00275DC8"/>
    <w:rsid w:val="00276843"/>
    <w:rsid w:val="00276FEA"/>
    <w:rsid w:val="00277003"/>
    <w:rsid w:val="00282142"/>
    <w:rsid w:val="00282604"/>
    <w:rsid w:val="00282C7C"/>
    <w:rsid w:val="00283346"/>
    <w:rsid w:val="00283951"/>
    <w:rsid w:val="00284438"/>
    <w:rsid w:val="00284594"/>
    <w:rsid w:val="002849A7"/>
    <w:rsid w:val="002849E4"/>
    <w:rsid w:val="00284F84"/>
    <w:rsid w:val="002858C0"/>
    <w:rsid w:val="00285D82"/>
    <w:rsid w:val="00286BDE"/>
    <w:rsid w:val="0029079F"/>
    <w:rsid w:val="00292190"/>
    <w:rsid w:val="0029379C"/>
    <w:rsid w:val="00293918"/>
    <w:rsid w:val="00293D7F"/>
    <w:rsid w:val="00294D2F"/>
    <w:rsid w:val="00294DC5"/>
    <w:rsid w:val="00295C83"/>
    <w:rsid w:val="00295F11"/>
    <w:rsid w:val="0029647F"/>
    <w:rsid w:val="0029651D"/>
    <w:rsid w:val="002969F2"/>
    <w:rsid w:val="00296B8C"/>
    <w:rsid w:val="0029744C"/>
    <w:rsid w:val="00297A30"/>
    <w:rsid w:val="00297DAA"/>
    <w:rsid w:val="002A0022"/>
    <w:rsid w:val="002A0ADA"/>
    <w:rsid w:val="002A0B13"/>
    <w:rsid w:val="002A30F8"/>
    <w:rsid w:val="002A31C9"/>
    <w:rsid w:val="002A321F"/>
    <w:rsid w:val="002A337F"/>
    <w:rsid w:val="002A37D6"/>
    <w:rsid w:val="002A39BF"/>
    <w:rsid w:val="002A3D72"/>
    <w:rsid w:val="002A3E67"/>
    <w:rsid w:val="002A4008"/>
    <w:rsid w:val="002A58B1"/>
    <w:rsid w:val="002A59CE"/>
    <w:rsid w:val="002A6AB9"/>
    <w:rsid w:val="002B0887"/>
    <w:rsid w:val="002B09A3"/>
    <w:rsid w:val="002B0C1A"/>
    <w:rsid w:val="002B12B6"/>
    <w:rsid w:val="002B15A0"/>
    <w:rsid w:val="002B25D5"/>
    <w:rsid w:val="002B33BF"/>
    <w:rsid w:val="002B36EC"/>
    <w:rsid w:val="002B399E"/>
    <w:rsid w:val="002B3B91"/>
    <w:rsid w:val="002B5851"/>
    <w:rsid w:val="002B6ACD"/>
    <w:rsid w:val="002C0722"/>
    <w:rsid w:val="002C0B39"/>
    <w:rsid w:val="002C0B79"/>
    <w:rsid w:val="002C18DA"/>
    <w:rsid w:val="002C1F1D"/>
    <w:rsid w:val="002C44A5"/>
    <w:rsid w:val="002C4D75"/>
    <w:rsid w:val="002C5DFB"/>
    <w:rsid w:val="002C63F5"/>
    <w:rsid w:val="002C6776"/>
    <w:rsid w:val="002C6871"/>
    <w:rsid w:val="002C6AA0"/>
    <w:rsid w:val="002C7276"/>
    <w:rsid w:val="002C7757"/>
    <w:rsid w:val="002C7A68"/>
    <w:rsid w:val="002D14A3"/>
    <w:rsid w:val="002D28D8"/>
    <w:rsid w:val="002D4217"/>
    <w:rsid w:val="002D4219"/>
    <w:rsid w:val="002D4F8D"/>
    <w:rsid w:val="002D53EC"/>
    <w:rsid w:val="002D5591"/>
    <w:rsid w:val="002D56F4"/>
    <w:rsid w:val="002D7621"/>
    <w:rsid w:val="002D7F88"/>
    <w:rsid w:val="002E0385"/>
    <w:rsid w:val="002E0F36"/>
    <w:rsid w:val="002E1675"/>
    <w:rsid w:val="002E18B3"/>
    <w:rsid w:val="002E1E51"/>
    <w:rsid w:val="002E1F8D"/>
    <w:rsid w:val="002E3498"/>
    <w:rsid w:val="002E4322"/>
    <w:rsid w:val="002E4826"/>
    <w:rsid w:val="002E4F07"/>
    <w:rsid w:val="002E513B"/>
    <w:rsid w:val="002E520A"/>
    <w:rsid w:val="002E5330"/>
    <w:rsid w:val="002E5506"/>
    <w:rsid w:val="002E61D5"/>
    <w:rsid w:val="002E6879"/>
    <w:rsid w:val="002E717B"/>
    <w:rsid w:val="002E7429"/>
    <w:rsid w:val="002F016A"/>
    <w:rsid w:val="002F060F"/>
    <w:rsid w:val="002F0B67"/>
    <w:rsid w:val="002F1414"/>
    <w:rsid w:val="002F14F6"/>
    <w:rsid w:val="002F1E6E"/>
    <w:rsid w:val="002F2982"/>
    <w:rsid w:val="002F2CC3"/>
    <w:rsid w:val="002F2EAA"/>
    <w:rsid w:val="002F324F"/>
    <w:rsid w:val="002F359D"/>
    <w:rsid w:val="002F3AF2"/>
    <w:rsid w:val="002F48C5"/>
    <w:rsid w:val="002F50DD"/>
    <w:rsid w:val="002F5581"/>
    <w:rsid w:val="002F63F1"/>
    <w:rsid w:val="002F6C60"/>
    <w:rsid w:val="00300706"/>
    <w:rsid w:val="00300DEE"/>
    <w:rsid w:val="00300EDC"/>
    <w:rsid w:val="003013C5"/>
    <w:rsid w:val="003017E5"/>
    <w:rsid w:val="00301A40"/>
    <w:rsid w:val="003035CB"/>
    <w:rsid w:val="00303B79"/>
    <w:rsid w:val="003044BD"/>
    <w:rsid w:val="003047E4"/>
    <w:rsid w:val="003049D4"/>
    <w:rsid w:val="00305533"/>
    <w:rsid w:val="00305D88"/>
    <w:rsid w:val="00306A07"/>
    <w:rsid w:val="00306D63"/>
    <w:rsid w:val="003101EB"/>
    <w:rsid w:val="003103F5"/>
    <w:rsid w:val="00310E5D"/>
    <w:rsid w:val="00311074"/>
    <w:rsid w:val="0031107C"/>
    <w:rsid w:val="00311415"/>
    <w:rsid w:val="003116E9"/>
    <w:rsid w:val="00311E58"/>
    <w:rsid w:val="00311F53"/>
    <w:rsid w:val="003122E7"/>
    <w:rsid w:val="00312417"/>
    <w:rsid w:val="00312630"/>
    <w:rsid w:val="00313ECD"/>
    <w:rsid w:val="003144AA"/>
    <w:rsid w:val="003146E6"/>
    <w:rsid w:val="003150F4"/>
    <w:rsid w:val="0031571B"/>
    <w:rsid w:val="003167E8"/>
    <w:rsid w:val="00316D41"/>
    <w:rsid w:val="003173EE"/>
    <w:rsid w:val="003175C3"/>
    <w:rsid w:val="00317617"/>
    <w:rsid w:val="00317C45"/>
    <w:rsid w:val="00317D57"/>
    <w:rsid w:val="00317E83"/>
    <w:rsid w:val="00320083"/>
    <w:rsid w:val="0032030C"/>
    <w:rsid w:val="00320B04"/>
    <w:rsid w:val="00321264"/>
    <w:rsid w:val="00322DCA"/>
    <w:rsid w:val="0032302E"/>
    <w:rsid w:val="0032328D"/>
    <w:rsid w:val="00323671"/>
    <w:rsid w:val="003239F3"/>
    <w:rsid w:val="0032590F"/>
    <w:rsid w:val="00326946"/>
    <w:rsid w:val="00326EC7"/>
    <w:rsid w:val="00327AA5"/>
    <w:rsid w:val="00327E3F"/>
    <w:rsid w:val="003300E3"/>
    <w:rsid w:val="00330801"/>
    <w:rsid w:val="0033127B"/>
    <w:rsid w:val="00331CE2"/>
    <w:rsid w:val="00331E55"/>
    <w:rsid w:val="003320E4"/>
    <w:rsid w:val="003331DF"/>
    <w:rsid w:val="00333821"/>
    <w:rsid w:val="00333A4A"/>
    <w:rsid w:val="00335123"/>
    <w:rsid w:val="00335ED6"/>
    <w:rsid w:val="0033702F"/>
    <w:rsid w:val="003408FF"/>
    <w:rsid w:val="00341538"/>
    <w:rsid w:val="00341554"/>
    <w:rsid w:val="003421F1"/>
    <w:rsid w:val="003433E2"/>
    <w:rsid w:val="00344F5B"/>
    <w:rsid w:val="00345F6F"/>
    <w:rsid w:val="00346A37"/>
    <w:rsid w:val="00346C83"/>
    <w:rsid w:val="0034717A"/>
    <w:rsid w:val="003475F5"/>
    <w:rsid w:val="00347C2C"/>
    <w:rsid w:val="00347C66"/>
    <w:rsid w:val="00347D17"/>
    <w:rsid w:val="00350707"/>
    <w:rsid w:val="00350841"/>
    <w:rsid w:val="00350CF3"/>
    <w:rsid w:val="003521AF"/>
    <w:rsid w:val="00352D54"/>
    <w:rsid w:val="003535F9"/>
    <w:rsid w:val="00353A52"/>
    <w:rsid w:val="00353A5F"/>
    <w:rsid w:val="00353DCA"/>
    <w:rsid w:val="003557D3"/>
    <w:rsid w:val="0035595E"/>
    <w:rsid w:val="00355A68"/>
    <w:rsid w:val="00355DC8"/>
    <w:rsid w:val="00356686"/>
    <w:rsid w:val="00356804"/>
    <w:rsid w:val="00356ACC"/>
    <w:rsid w:val="003602CE"/>
    <w:rsid w:val="003603F5"/>
    <w:rsid w:val="00360577"/>
    <w:rsid w:val="0036113C"/>
    <w:rsid w:val="00361C00"/>
    <w:rsid w:val="00362890"/>
    <w:rsid w:val="00362B88"/>
    <w:rsid w:val="00362B9F"/>
    <w:rsid w:val="00363331"/>
    <w:rsid w:val="00364198"/>
    <w:rsid w:val="00364322"/>
    <w:rsid w:val="003643A5"/>
    <w:rsid w:val="00365E24"/>
    <w:rsid w:val="00366298"/>
    <w:rsid w:val="00367D0D"/>
    <w:rsid w:val="003700E2"/>
    <w:rsid w:val="00370C9D"/>
    <w:rsid w:val="0037140F"/>
    <w:rsid w:val="00372F6D"/>
    <w:rsid w:val="00373A28"/>
    <w:rsid w:val="003741C4"/>
    <w:rsid w:val="00374855"/>
    <w:rsid w:val="003751A5"/>
    <w:rsid w:val="003752B2"/>
    <w:rsid w:val="003759E6"/>
    <w:rsid w:val="00377235"/>
    <w:rsid w:val="003774F7"/>
    <w:rsid w:val="00380D64"/>
    <w:rsid w:val="0038108F"/>
    <w:rsid w:val="00381CF6"/>
    <w:rsid w:val="0038309D"/>
    <w:rsid w:val="00386979"/>
    <w:rsid w:val="00386A0E"/>
    <w:rsid w:val="00386CFE"/>
    <w:rsid w:val="00386FBA"/>
    <w:rsid w:val="00387873"/>
    <w:rsid w:val="003901E1"/>
    <w:rsid w:val="0039060F"/>
    <w:rsid w:val="00390803"/>
    <w:rsid w:val="00391895"/>
    <w:rsid w:val="00393A6A"/>
    <w:rsid w:val="00394013"/>
    <w:rsid w:val="00394E34"/>
    <w:rsid w:val="003950EA"/>
    <w:rsid w:val="00395BA0"/>
    <w:rsid w:val="00396F4B"/>
    <w:rsid w:val="00397F9E"/>
    <w:rsid w:val="003A04E6"/>
    <w:rsid w:val="003A1455"/>
    <w:rsid w:val="003A1B79"/>
    <w:rsid w:val="003A2CEE"/>
    <w:rsid w:val="003A4AD0"/>
    <w:rsid w:val="003A4C3B"/>
    <w:rsid w:val="003A5B4F"/>
    <w:rsid w:val="003A5C27"/>
    <w:rsid w:val="003A5ED3"/>
    <w:rsid w:val="003A70D5"/>
    <w:rsid w:val="003A7E6F"/>
    <w:rsid w:val="003B011D"/>
    <w:rsid w:val="003B05AA"/>
    <w:rsid w:val="003B112C"/>
    <w:rsid w:val="003B13A6"/>
    <w:rsid w:val="003B16D7"/>
    <w:rsid w:val="003B24CA"/>
    <w:rsid w:val="003B2A3E"/>
    <w:rsid w:val="003B2E56"/>
    <w:rsid w:val="003B4707"/>
    <w:rsid w:val="003B69D8"/>
    <w:rsid w:val="003B6CE4"/>
    <w:rsid w:val="003B7005"/>
    <w:rsid w:val="003B7FAC"/>
    <w:rsid w:val="003C1013"/>
    <w:rsid w:val="003C12F1"/>
    <w:rsid w:val="003C1643"/>
    <w:rsid w:val="003C3CFE"/>
    <w:rsid w:val="003C5132"/>
    <w:rsid w:val="003C6D9F"/>
    <w:rsid w:val="003D0C8D"/>
    <w:rsid w:val="003D14DD"/>
    <w:rsid w:val="003D1DB9"/>
    <w:rsid w:val="003D297F"/>
    <w:rsid w:val="003D3058"/>
    <w:rsid w:val="003D4F70"/>
    <w:rsid w:val="003D6AC6"/>
    <w:rsid w:val="003E1001"/>
    <w:rsid w:val="003E1CB4"/>
    <w:rsid w:val="003E25AE"/>
    <w:rsid w:val="003E3FE0"/>
    <w:rsid w:val="003E48C1"/>
    <w:rsid w:val="003E5129"/>
    <w:rsid w:val="003E5A8D"/>
    <w:rsid w:val="003E6DA3"/>
    <w:rsid w:val="003E7842"/>
    <w:rsid w:val="003F0D94"/>
    <w:rsid w:val="003F0F36"/>
    <w:rsid w:val="003F0FB6"/>
    <w:rsid w:val="003F2EB7"/>
    <w:rsid w:val="003F33E1"/>
    <w:rsid w:val="003F4296"/>
    <w:rsid w:val="003F565A"/>
    <w:rsid w:val="003F65CE"/>
    <w:rsid w:val="003F6BE9"/>
    <w:rsid w:val="003F6E10"/>
    <w:rsid w:val="00400AE0"/>
    <w:rsid w:val="00401420"/>
    <w:rsid w:val="00402858"/>
    <w:rsid w:val="00402C30"/>
    <w:rsid w:val="00402C3E"/>
    <w:rsid w:val="0040430F"/>
    <w:rsid w:val="004044F0"/>
    <w:rsid w:val="0040573D"/>
    <w:rsid w:val="004070E5"/>
    <w:rsid w:val="00410C19"/>
    <w:rsid w:val="00411EA7"/>
    <w:rsid w:val="00413459"/>
    <w:rsid w:val="00413A41"/>
    <w:rsid w:val="00413BDA"/>
    <w:rsid w:val="00414118"/>
    <w:rsid w:val="004142D1"/>
    <w:rsid w:val="0041559B"/>
    <w:rsid w:val="004159C5"/>
    <w:rsid w:val="00415A58"/>
    <w:rsid w:val="00416060"/>
    <w:rsid w:val="004164F0"/>
    <w:rsid w:val="004238AF"/>
    <w:rsid w:val="00423DEE"/>
    <w:rsid w:val="00424290"/>
    <w:rsid w:val="004244A6"/>
    <w:rsid w:val="00424BED"/>
    <w:rsid w:val="004252DF"/>
    <w:rsid w:val="00425C57"/>
    <w:rsid w:val="00427970"/>
    <w:rsid w:val="0043042E"/>
    <w:rsid w:val="00430DC7"/>
    <w:rsid w:val="00431095"/>
    <w:rsid w:val="00431114"/>
    <w:rsid w:val="004331F3"/>
    <w:rsid w:val="0043394B"/>
    <w:rsid w:val="00433A98"/>
    <w:rsid w:val="004346AB"/>
    <w:rsid w:val="004349D0"/>
    <w:rsid w:val="0043516F"/>
    <w:rsid w:val="004357E0"/>
    <w:rsid w:val="00435A00"/>
    <w:rsid w:val="00436211"/>
    <w:rsid w:val="00436B5C"/>
    <w:rsid w:val="004377A5"/>
    <w:rsid w:val="00441B91"/>
    <w:rsid w:val="00441E73"/>
    <w:rsid w:val="004423E1"/>
    <w:rsid w:val="00442BBD"/>
    <w:rsid w:val="0044384D"/>
    <w:rsid w:val="00443B23"/>
    <w:rsid w:val="00445FE5"/>
    <w:rsid w:val="00446679"/>
    <w:rsid w:val="00450AC1"/>
    <w:rsid w:val="00450C87"/>
    <w:rsid w:val="0045165F"/>
    <w:rsid w:val="00452498"/>
    <w:rsid w:val="0045374B"/>
    <w:rsid w:val="00454851"/>
    <w:rsid w:val="00455131"/>
    <w:rsid w:val="00455708"/>
    <w:rsid w:val="00455C34"/>
    <w:rsid w:val="00456343"/>
    <w:rsid w:val="004569BF"/>
    <w:rsid w:val="00456F10"/>
    <w:rsid w:val="00457C59"/>
    <w:rsid w:val="00460AF2"/>
    <w:rsid w:val="00461135"/>
    <w:rsid w:val="00461908"/>
    <w:rsid w:val="00461A73"/>
    <w:rsid w:val="00462638"/>
    <w:rsid w:val="00462E1E"/>
    <w:rsid w:val="00462F57"/>
    <w:rsid w:val="00463A31"/>
    <w:rsid w:val="0046489B"/>
    <w:rsid w:val="004655BE"/>
    <w:rsid w:val="00465669"/>
    <w:rsid w:val="00465CC5"/>
    <w:rsid w:val="00465D1F"/>
    <w:rsid w:val="0046686B"/>
    <w:rsid w:val="00466A25"/>
    <w:rsid w:val="00466A68"/>
    <w:rsid w:val="00467147"/>
    <w:rsid w:val="00467593"/>
    <w:rsid w:val="00470239"/>
    <w:rsid w:val="004702BA"/>
    <w:rsid w:val="0047049C"/>
    <w:rsid w:val="004706DB"/>
    <w:rsid w:val="00471735"/>
    <w:rsid w:val="00471979"/>
    <w:rsid w:val="00471D23"/>
    <w:rsid w:val="00471E63"/>
    <w:rsid w:val="00471F75"/>
    <w:rsid w:val="00474000"/>
    <w:rsid w:val="00474587"/>
    <w:rsid w:val="004745F9"/>
    <w:rsid w:val="00474CEB"/>
    <w:rsid w:val="004755F7"/>
    <w:rsid w:val="00475602"/>
    <w:rsid w:val="00477877"/>
    <w:rsid w:val="00477D4F"/>
    <w:rsid w:val="00477EE7"/>
    <w:rsid w:val="00480B06"/>
    <w:rsid w:val="00481B55"/>
    <w:rsid w:val="004825DF"/>
    <w:rsid w:val="00483B29"/>
    <w:rsid w:val="00486708"/>
    <w:rsid w:val="004876EE"/>
    <w:rsid w:val="004902A9"/>
    <w:rsid w:val="004907B3"/>
    <w:rsid w:val="004909A3"/>
    <w:rsid w:val="00492B8D"/>
    <w:rsid w:val="00492F1C"/>
    <w:rsid w:val="004930A1"/>
    <w:rsid w:val="0049384F"/>
    <w:rsid w:val="0049686B"/>
    <w:rsid w:val="004A1315"/>
    <w:rsid w:val="004A404E"/>
    <w:rsid w:val="004A4B71"/>
    <w:rsid w:val="004A506E"/>
    <w:rsid w:val="004A51C8"/>
    <w:rsid w:val="004A53F2"/>
    <w:rsid w:val="004A575F"/>
    <w:rsid w:val="004A689B"/>
    <w:rsid w:val="004A716F"/>
    <w:rsid w:val="004A75DE"/>
    <w:rsid w:val="004B1641"/>
    <w:rsid w:val="004B1EA6"/>
    <w:rsid w:val="004B300B"/>
    <w:rsid w:val="004B3044"/>
    <w:rsid w:val="004B3107"/>
    <w:rsid w:val="004B3108"/>
    <w:rsid w:val="004B388E"/>
    <w:rsid w:val="004B3BB9"/>
    <w:rsid w:val="004B45DD"/>
    <w:rsid w:val="004B4B6E"/>
    <w:rsid w:val="004B53C7"/>
    <w:rsid w:val="004B5E55"/>
    <w:rsid w:val="004B659A"/>
    <w:rsid w:val="004B7089"/>
    <w:rsid w:val="004B7511"/>
    <w:rsid w:val="004B786C"/>
    <w:rsid w:val="004C0B3D"/>
    <w:rsid w:val="004C0D86"/>
    <w:rsid w:val="004C1B6C"/>
    <w:rsid w:val="004C242E"/>
    <w:rsid w:val="004C2A54"/>
    <w:rsid w:val="004C4497"/>
    <w:rsid w:val="004C4D1A"/>
    <w:rsid w:val="004C4F08"/>
    <w:rsid w:val="004C506F"/>
    <w:rsid w:val="004C5D0A"/>
    <w:rsid w:val="004C5DFA"/>
    <w:rsid w:val="004C5F42"/>
    <w:rsid w:val="004C65F1"/>
    <w:rsid w:val="004C6B1D"/>
    <w:rsid w:val="004C6C5F"/>
    <w:rsid w:val="004C7EA4"/>
    <w:rsid w:val="004D05DD"/>
    <w:rsid w:val="004D0666"/>
    <w:rsid w:val="004D0B42"/>
    <w:rsid w:val="004D1477"/>
    <w:rsid w:val="004D1CBD"/>
    <w:rsid w:val="004D1EC2"/>
    <w:rsid w:val="004D1F2A"/>
    <w:rsid w:val="004D243D"/>
    <w:rsid w:val="004D261F"/>
    <w:rsid w:val="004D3B95"/>
    <w:rsid w:val="004D3D86"/>
    <w:rsid w:val="004D4A39"/>
    <w:rsid w:val="004D4D35"/>
    <w:rsid w:val="004D4E82"/>
    <w:rsid w:val="004D5496"/>
    <w:rsid w:val="004D586B"/>
    <w:rsid w:val="004D58BA"/>
    <w:rsid w:val="004D5A44"/>
    <w:rsid w:val="004D6344"/>
    <w:rsid w:val="004D6714"/>
    <w:rsid w:val="004D67EC"/>
    <w:rsid w:val="004D68E3"/>
    <w:rsid w:val="004D6A92"/>
    <w:rsid w:val="004D7218"/>
    <w:rsid w:val="004E0BED"/>
    <w:rsid w:val="004E0C36"/>
    <w:rsid w:val="004E1F8F"/>
    <w:rsid w:val="004E2EF2"/>
    <w:rsid w:val="004E3398"/>
    <w:rsid w:val="004E3C36"/>
    <w:rsid w:val="004E3D98"/>
    <w:rsid w:val="004E41E1"/>
    <w:rsid w:val="004E4973"/>
    <w:rsid w:val="004E5ABB"/>
    <w:rsid w:val="004E5CA6"/>
    <w:rsid w:val="004E62D5"/>
    <w:rsid w:val="004E7485"/>
    <w:rsid w:val="004E7690"/>
    <w:rsid w:val="004E7D91"/>
    <w:rsid w:val="004F02F6"/>
    <w:rsid w:val="004F0A95"/>
    <w:rsid w:val="004F1A8D"/>
    <w:rsid w:val="004F3275"/>
    <w:rsid w:val="004F35C3"/>
    <w:rsid w:val="004F5E06"/>
    <w:rsid w:val="004F61D1"/>
    <w:rsid w:val="004F6512"/>
    <w:rsid w:val="004F736C"/>
    <w:rsid w:val="00501A12"/>
    <w:rsid w:val="00502AF4"/>
    <w:rsid w:val="00502DA7"/>
    <w:rsid w:val="005037CE"/>
    <w:rsid w:val="00503B37"/>
    <w:rsid w:val="00503DC7"/>
    <w:rsid w:val="0050424A"/>
    <w:rsid w:val="00504A7B"/>
    <w:rsid w:val="00504DB7"/>
    <w:rsid w:val="00505341"/>
    <w:rsid w:val="005059B6"/>
    <w:rsid w:val="00505D94"/>
    <w:rsid w:val="00506835"/>
    <w:rsid w:val="0050706B"/>
    <w:rsid w:val="00507D5A"/>
    <w:rsid w:val="005103B6"/>
    <w:rsid w:val="0051159F"/>
    <w:rsid w:val="00512407"/>
    <w:rsid w:val="005124F7"/>
    <w:rsid w:val="00512633"/>
    <w:rsid w:val="00513F2C"/>
    <w:rsid w:val="00514E74"/>
    <w:rsid w:val="00515534"/>
    <w:rsid w:val="00516470"/>
    <w:rsid w:val="0051703F"/>
    <w:rsid w:val="005202C0"/>
    <w:rsid w:val="0052118B"/>
    <w:rsid w:val="00521219"/>
    <w:rsid w:val="005216AB"/>
    <w:rsid w:val="00521C54"/>
    <w:rsid w:val="00522BD8"/>
    <w:rsid w:val="00522E9C"/>
    <w:rsid w:val="005230DD"/>
    <w:rsid w:val="00523295"/>
    <w:rsid w:val="00523F90"/>
    <w:rsid w:val="00524B22"/>
    <w:rsid w:val="00524E67"/>
    <w:rsid w:val="00525B4E"/>
    <w:rsid w:val="005260EA"/>
    <w:rsid w:val="005267AD"/>
    <w:rsid w:val="00527653"/>
    <w:rsid w:val="005277AA"/>
    <w:rsid w:val="00527985"/>
    <w:rsid w:val="005279ED"/>
    <w:rsid w:val="005309C6"/>
    <w:rsid w:val="00530AE5"/>
    <w:rsid w:val="005312B8"/>
    <w:rsid w:val="0053187C"/>
    <w:rsid w:val="00532006"/>
    <w:rsid w:val="00533779"/>
    <w:rsid w:val="00533DDC"/>
    <w:rsid w:val="00534445"/>
    <w:rsid w:val="005346F5"/>
    <w:rsid w:val="00534910"/>
    <w:rsid w:val="00536935"/>
    <w:rsid w:val="005374BF"/>
    <w:rsid w:val="00537714"/>
    <w:rsid w:val="00540137"/>
    <w:rsid w:val="00540670"/>
    <w:rsid w:val="00540872"/>
    <w:rsid w:val="00541A4D"/>
    <w:rsid w:val="00545939"/>
    <w:rsid w:val="005459D3"/>
    <w:rsid w:val="00550D4A"/>
    <w:rsid w:val="00550F43"/>
    <w:rsid w:val="00552E56"/>
    <w:rsid w:val="005536F0"/>
    <w:rsid w:val="00554395"/>
    <w:rsid w:val="005546BE"/>
    <w:rsid w:val="00554EF6"/>
    <w:rsid w:val="005551B0"/>
    <w:rsid w:val="005557B6"/>
    <w:rsid w:val="00555A6D"/>
    <w:rsid w:val="00555AFC"/>
    <w:rsid w:val="00555C33"/>
    <w:rsid w:val="00555DF5"/>
    <w:rsid w:val="005561C4"/>
    <w:rsid w:val="0055776A"/>
    <w:rsid w:val="005578FE"/>
    <w:rsid w:val="00560895"/>
    <w:rsid w:val="00560B2A"/>
    <w:rsid w:val="00561135"/>
    <w:rsid w:val="00563C81"/>
    <w:rsid w:val="00563FA5"/>
    <w:rsid w:val="0056425D"/>
    <w:rsid w:val="005647E0"/>
    <w:rsid w:val="00564BCC"/>
    <w:rsid w:val="00565588"/>
    <w:rsid w:val="00565C70"/>
    <w:rsid w:val="00566BDF"/>
    <w:rsid w:val="005703A0"/>
    <w:rsid w:val="0057229D"/>
    <w:rsid w:val="00573028"/>
    <w:rsid w:val="00573777"/>
    <w:rsid w:val="00573CFB"/>
    <w:rsid w:val="005746BD"/>
    <w:rsid w:val="00576628"/>
    <w:rsid w:val="005772EC"/>
    <w:rsid w:val="00577BB7"/>
    <w:rsid w:val="00580468"/>
    <w:rsid w:val="0058158E"/>
    <w:rsid w:val="00581FBF"/>
    <w:rsid w:val="00582A32"/>
    <w:rsid w:val="005841E8"/>
    <w:rsid w:val="00585192"/>
    <w:rsid w:val="005860B6"/>
    <w:rsid w:val="005860DF"/>
    <w:rsid w:val="005868A9"/>
    <w:rsid w:val="00592188"/>
    <w:rsid w:val="00592A43"/>
    <w:rsid w:val="00592B89"/>
    <w:rsid w:val="00593602"/>
    <w:rsid w:val="00594218"/>
    <w:rsid w:val="005943CF"/>
    <w:rsid w:val="00594A6B"/>
    <w:rsid w:val="00594D07"/>
    <w:rsid w:val="005A2A47"/>
    <w:rsid w:val="005A2A75"/>
    <w:rsid w:val="005A3949"/>
    <w:rsid w:val="005A67FD"/>
    <w:rsid w:val="005A7211"/>
    <w:rsid w:val="005A7E58"/>
    <w:rsid w:val="005B0C0E"/>
    <w:rsid w:val="005B1633"/>
    <w:rsid w:val="005B2309"/>
    <w:rsid w:val="005B25A6"/>
    <w:rsid w:val="005B26D8"/>
    <w:rsid w:val="005B2D36"/>
    <w:rsid w:val="005B3041"/>
    <w:rsid w:val="005B3D44"/>
    <w:rsid w:val="005B6591"/>
    <w:rsid w:val="005B69AA"/>
    <w:rsid w:val="005B72C6"/>
    <w:rsid w:val="005C1299"/>
    <w:rsid w:val="005C133B"/>
    <w:rsid w:val="005C2F65"/>
    <w:rsid w:val="005C30A3"/>
    <w:rsid w:val="005C33B9"/>
    <w:rsid w:val="005C39DF"/>
    <w:rsid w:val="005C3A94"/>
    <w:rsid w:val="005C46DD"/>
    <w:rsid w:val="005C55A8"/>
    <w:rsid w:val="005D2F91"/>
    <w:rsid w:val="005D383E"/>
    <w:rsid w:val="005D3FEB"/>
    <w:rsid w:val="005D493C"/>
    <w:rsid w:val="005D49A1"/>
    <w:rsid w:val="005D4E54"/>
    <w:rsid w:val="005D5FEC"/>
    <w:rsid w:val="005D7E02"/>
    <w:rsid w:val="005E0446"/>
    <w:rsid w:val="005E0618"/>
    <w:rsid w:val="005E204F"/>
    <w:rsid w:val="005E4637"/>
    <w:rsid w:val="005E48BE"/>
    <w:rsid w:val="005E5387"/>
    <w:rsid w:val="005E5A9D"/>
    <w:rsid w:val="005E5B47"/>
    <w:rsid w:val="005E66E5"/>
    <w:rsid w:val="005E68C1"/>
    <w:rsid w:val="005E72BF"/>
    <w:rsid w:val="005E7508"/>
    <w:rsid w:val="005E76E5"/>
    <w:rsid w:val="005E78C2"/>
    <w:rsid w:val="005F06E3"/>
    <w:rsid w:val="005F15DF"/>
    <w:rsid w:val="005F1BFA"/>
    <w:rsid w:val="005F21A8"/>
    <w:rsid w:val="005F2F2D"/>
    <w:rsid w:val="005F4848"/>
    <w:rsid w:val="005F4A34"/>
    <w:rsid w:val="005F4CB6"/>
    <w:rsid w:val="005F530F"/>
    <w:rsid w:val="005F5871"/>
    <w:rsid w:val="005F5B28"/>
    <w:rsid w:val="005F5B2B"/>
    <w:rsid w:val="005F5CAF"/>
    <w:rsid w:val="005F6D38"/>
    <w:rsid w:val="005F75AC"/>
    <w:rsid w:val="005F7A79"/>
    <w:rsid w:val="00600AE1"/>
    <w:rsid w:val="006033C9"/>
    <w:rsid w:val="006037AE"/>
    <w:rsid w:val="00604860"/>
    <w:rsid w:val="00604B8B"/>
    <w:rsid w:val="0060501D"/>
    <w:rsid w:val="00605D71"/>
    <w:rsid w:val="00606231"/>
    <w:rsid w:val="00606904"/>
    <w:rsid w:val="0060778D"/>
    <w:rsid w:val="00611030"/>
    <w:rsid w:val="0061146E"/>
    <w:rsid w:val="00612D85"/>
    <w:rsid w:val="00614178"/>
    <w:rsid w:val="0061420D"/>
    <w:rsid w:val="00615367"/>
    <w:rsid w:val="00615DF9"/>
    <w:rsid w:val="006165E0"/>
    <w:rsid w:val="00616767"/>
    <w:rsid w:val="006177ED"/>
    <w:rsid w:val="00620180"/>
    <w:rsid w:val="00620257"/>
    <w:rsid w:val="006202B4"/>
    <w:rsid w:val="00620AC5"/>
    <w:rsid w:val="0062113F"/>
    <w:rsid w:val="006212EF"/>
    <w:rsid w:val="00622883"/>
    <w:rsid w:val="00623183"/>
    <w:rsid w:val="006232F2"/>
    <w:rsid w:val="00623826"/>
    <w:rsid w:val="00627429"/>
    <w:rsid w:val="00627AC3"/>
    <w:rsid w:val="0063054D"/>
    <w:rsid w:val="00630A76"/>
    <w:rsid w:val="006310B6"/>
    <w:rsid w:val="00631302"/>
    <w:rsid w:val="006314A1"/>
    <w:rsid w:val="00632174"/>
    <w:rsid w:val="00633440"/>
    <w:rsid w:val="006337BA"/>
    <w:rsid w:val="00634559"/>
    <w:rsid w:val="00636D19"/>
    <w:rsid w:val="00640098"/>
    <w:rsid w:val="006400CF"/>
    <w:rsid w:val="00640118"/>
    <w:rsid w:val="00640503"/>
    <w:rsid w:val="00641A1C"/>
    <w:rsid w:val="0064235F"/>
    <w:rsid w:val="00642C6A"/>
    <w:rsid w:val="00643346"/>
    <w:rsid w:val="006433BA"/>
    <w:rsid w:val="0064342F"/>
    <w:rsid w:val="00643A00"/>
    <w:rsid w:val="00644B0D"/>
    <w:rsid w:val="00644B94"/>
    <w:rsid w:val="006456E5"/>
    <w:rsid w:val="00645D40"/>
    <w:rsid w:val="00646A74"/>
    <w:rsid w:val="00646E36"/>
    <w:rsid w:val="00646EE0"/>
    <w:rsid w:val="006472EC"/>
    <w:rsid w:val="00651450"/>
    <w:rsid w:val="00651830"/>
    <w:rsid w:val="00652164"/>
    <w:rsid w:val="00653CA8"/>
    <w:rsid w:val="00654DEA"/>
    <w:rsid w:val="00656AE0"/>
    <w:rsid w:val="00656ED5"/>
    <w:rsid w:val="00656F4F"/>
    <w:rsid w:val="00657231"/>
    <w:rsid w:val="00657475"/>
    <w:rsid w:val="00660012"/>
    <w:rsid w:val="006609E3"/>
    <w:rsid w:val="00660CB0"/>
    <w:rsid w:val="00661500"/>
    <w:rsid w:val="00662976"/>
    <w:rsid w:val="00662E7D"/>
    <w:rsid w:val="00663140"/>
    <w:rsid w:val="00663693"/>
    <w:rsid w:val="006639FE"/>
    <w:rsid w:val="00664E1B"/>
    <w:rsid w:val="006652D2"/>
    <w:rsid w:val="0066703A"/>
    <w:rsid w:val="0066760A"/>
    <w:rsid w:val="006678BF"/>
    <w:rsid w:val="006712ED"/>
    <w:rsid w:val="006718F9"/>
    <w:rsid w:val="00672115"/>
    <w:rsid w:val="00674079"/>
    <w:rsid w:val="00674494"/>
    <w:rsid w:val="00674A7F"/>
    <w:rsid w:val="00674B56"/>
    <w:rsid w:val="006754E6"/>
    <w:rsid w:val="00675A01"/>
    <w:rsid w:val="0067627F"/>
    <w:rsid w:val="00676651"/>
    <w:rsid w:val="00676B82"/>
    <w:rsid w:val="00676D82"/>
    <w:rsid w:val="00676FDF"/>
    <w:rsid w:val="0067729E"/>
    <w:rsid w:val="0067782D"/>
    <w:rsid w:val="00680240"/>
    <w:rsid w:val="00680E72"/>
    <w:rsid w:val="00681405"/>
    <w:rsid w:val="00681AAE"/>
    <w:rsid w:val="00682359"/>
    <w:rsid w:val="00682F6C"/>
    <w:rsid w:val="006848A9"/>
    <w:rsid w:val="0068619C"/>
    <w:rsid w:val="00686249"/>
    <w:rsid w:val="00686732"/>
    <w:rsid w:val="0068791D"/>
    <w:rsid w:val="006879A8"/>
    <w:rsid w:val="00690192"/>
    <w:rsid w:val="00690C20"/>
    <w:rsid w:val="00690F03"/>
    <w:rsid w:val="00691690"/>
    <w:rsid w:val="00691DF5"/>
    <w:rsid w:val="00692A24"/>
    <w:rsid w:val="00694604"/>
    <w:rsid w:val="00695A12"/>
    <w:rsid w:val="006977E8"/>
    <w:rsid w:val="006A2144"/>
    <w:rsid w:val="006A2C55"/>
    <w:rsid w:val="006A3262"/>
    <w:rsid w:val="006A3D3D"/>
    <w:rsid w:val="006A414D"/>
    <w:rsid w:val="006A4415"/>
    <w:rsid w:val="006A4E34"/>
    <w:rsid w:val="006A58BA"/>
    <w:rsid w:val="006A5D63"/>
    <w:rsid w:val="006A6B05"/>
    <w:rsid w:val="006A6E21"/>
    <w:rsid w:val="006A7266"/>
    <w:rsid w:val="006A79B0"/>
    <w:rsid w:val="006B199A"/>
    <w:rsid w:val="006B3509"/>
    <w:rsid w:val="006B412E"/>
    <w:rsid w:val="006B4742"/>
    <w:rsid w:val="006B5030"/>
    <w:rsid w:val="006B534B"/>
    <w:rsid w:val="006B5551"/>
    <w:rsid w:val="006B591C"/>
    <w:rsid w:val="006B6C84"/>
    <w:rsid w:val="006C036F"/>
    <w:rsid w:val="006C14D9"/>
    <w:rsid w:val="006C1B2A"/>
    <w:rsid w:val="006C20F6"/>
    <w:rsid w:val="006C2F66"/>
    <w:rsid w:val="006C5044"/>
    <w:rsid w:val="006C50FB"/>
    <w:rsid w:val="006C6D4A"/>
    <w:rsid w:val="006C6FA2"/>
    <w:rsid w:val="006C761C"/>
    <w:rsid w:val="006D0250"/>
    <w:rsid w:val="006D03AB"/>
    <w:rsid w:val="006D081D"/>
    <w:rsid w:val="006D0D49"/>
    <w:rsid w:val="006D17D6"/>
    <w:rsid w:val="006D1AEB"/>
    <w:rsid w:val="006D1BAA"/>
    <w:rsid w:val="006D4F01"/>
    <w:rsid w:val="006D560D"/>
    <w:rsid w:val="006D6F65"/>
    <w:rsid w:val="006D7059"/>
    <w:rsid w:val="006D7689"/>
    <w:rsid w:val="006D7A29"/>
    <w:rsid w:val="006E0347"/>
    <w:rsid w:val="006E042A"/>
    <w:rsid w:val="006E0809"/>
    <w:rsid w:val="006E20FF"/>
    <w:rsid w:val="006E252B"/>
    <w:rsid w:val="006E2C05"/>
    <w:rsid w:val="006E2F6F"/>
    <w:rsid w:val="006E39A2"/>
    <w:rsid w:val="006E3AB4"/>
    <w:rsid w:val="006E45EF"/>
    <w:rsid w:val="006E4733"/>
    <w:rsid w:val="006E480A"/>
    <w:rsid w:val="006E5092"/>
    <w:rsid w:val="006E5696"/>
    <w:rsid w:val="006E70AC"/>
    <w:rsid w:val="006E794F"/>
    <w:rsid w:val="006F09B0"/>
    <w:rsid w:val="006F0A29"/>
    <w:rsid w:val="006F0B92"/>
    <w:rsid w:val="006F1E81"/>
    <w:rsid w:val="006F224C"/>
    <w:rsid w:val="006F2724"/>
    <w:rsid w:val="006F2CF2"/>
    <w:rsid w:val="006F3A66"/>
    <w:rsid w:val="006F3DD7"/>
    <w:rsid w:val="006F4843"/>
    <w:rsid w:val="006F500D"/>
    <w:rsid w:val="006F54FE"/>
    <w:rsid w:val="006F5502"/>
    <w:rsid w:val="006F64FF"/>
    <w:rsid w:val="006F752A"/>
    <w:rsid w:val="006F75DA"/>
    <w:rsid w:val="007000AB"/>
    <w:rsid w:val="007005D1"/>
    <w:rsid w:val="007009B9"/>
    <w:rsid w:val="00700F31"/>
    <w:rsid w:val="00702B2A"/>
    <w:rsid w:val="00705678"/>
    <w:rsid w:val="00705BFA"/>
    <w:rsid w:val="00710ED5"/>
    <w:rsid w:val="00711333"/>
    <w:rsid w:val="00712CCF"/>
    <w:rsid w:val="00713229"/>
    <w:rsid w:val="00713839"/>
    <w:rsid w:val="00713F61"/>
    <w:rsid w:val="00714137"/>
    <w:rsid w:val="00714DB5"/>
    <w:rsid w:val="00714EAB"/>
    <w:rsid w:val="0071544C"/>
    <w:rsid w:val="00715516"/>
    <w:rsid w:val="00715603"/>
    <w:rsid w:val="00715B93"/>
    <w:rsid w:val="00715CE7"/>
    <w:rsid w:val="007161C9"/>
    <w:rsid w:val="007170A1"/>
    <w:rsid w:val="007202BB"/>
    <w:rsid w:val="007203C9"/>
    <w:rsid w:val="00721AF2"/>
    <w:rsid w:val="00722CDC"/>
    <w:rsid w:val="00722D61"/>
    <w:rsid w:val="00723F00"/>
    <w:rsid w:val="00724B03"/>
    <w:rsid w:val="00725806"/>
    <w:rsid w:val="00725FD7"/>
    <w:rsid w:val="00726376"/>
    <w:rsid w:val="00726CB6"/>
    <w:rsid w:val="00726F41"/>
    <w:rsid w:val="007301DD"/>
    <w:rsid w:val="0073039D"/>
    <w:rsid w:val="007306D4"/>
    <w:rsid w:val="00731DA2"/>
    <w:rsid w:val="00731E83"/>
    <w:rsid w:val="00733636"/>
    <w:rsid w:val="00735A43"/>
    <w:rsid w:val="0073682E"/>
    <w:rsid w:val="00736940"/>
    <w:rsid w:val="00736AAA"/>
    <w:rsid w:val="00737274"/>
    <w:rsid w:val="0073761F"/>
    <w:rsid w:val="00737830"/>
    <w:rsid w:val="0073789A"/>
    <w:rsid w:val="0074060A"/>
    <w:rsid w:val="007412C2"/>
    <w:rsid w:val="00741CB6"/>
    <w:rsid w:val="00743D7B"/>
    <w:rsid w:val="00744230"/>
    <w:rsid w:val="00744A54"/>
    <w:rsid w:val="00750A24"/>
    <w:rsid w:val="00750C4B"/>
    <w:rsid w:val="007510D7"/>
    <w:rsid w:val="007520B5"/>
    <w:rsid w:val="00753526"/>
    <w:rsid w:val="0075568F"/>
    <w:rsid w:val="0075667B"/>
    <w:rsid w:val="007603CC"/>
    <w:rsid w:val="00761DDA"/>
    <w:rsid w:val="00761F20"/>
    <w:rsid w:val="007620C0"/>
    <w:rsid w:val="00763945"/>
    <w:rsid w:val="007641C3"/>
    <w:rsid w:val="00764271"/>
    <w:rsid w:val="00764A32"/>
    <w:rsid w:val="00765CA5"/>
    <w:rsid w:val="00765F6F"/>
    <w:rsid w:val="00766C98"/>
    <w:rsid w:val="00767022"/>
    <w:rsid w:val="00767A5C"/>
    <w:rsid w:val="00770EB6"/>
    <w:rsid w:val="0077129B"/>
    <w:rsid w:val="00771881"/>
    <w:rsid w:val="007723B3"/>
    <w:rsid w:val="007727BB"/>
    <w:rsid w:val="007756C6"/>
    <w:rsid w:val="00775AD1"/>
    <w:rsid w:val="00775CFE"/>
    <w:rsid w:val="0077670F"/>
    <w:rsid w:val="00776812"/>
    <w:rsid w:val="00776E9B"/>
    <w:rsid w:val="00777217"/>
    <w:rsid w:val="00777783"/>
    <w:rsid w:val="00777973"/>
    <w:rsid w:val="007779C4"/>
    <w:rsid w:val="00777CE4"/>
    <w:rsid w:val="00777DBD"/>
    <w:rsid w:val="00780731"/>
    <w:rsid w:val="007814F5"/>
    <w:rsid w:val="0078190C"/>
    <w:rsid w:val="00782118"/>
    <w:rsid w:val="00782E71"/>
    <w:rsid w:val="00783209"/>
    <w:rsid w:val="00783C5B"/>
    <w:rsid w:val="00783F60"/>
    <w:rsid w:val="00784340"/>
    <w:rsid w:val="007849E8"/>
    <w:rsid w:val="00785A14"/>
    <w:rsid w:val="007870EB"/>
    <w:rsid w:val="007879D7"/>
    <w:rsid w:val="0079063A"/>
    <w:rsid w:val="00790CD6"/>
    <w:rsid w:val="00790E3B"/>
    <w:rsid w:val="00791234"/>
    <w:rsid w:val="00791F87"/>
    <w:rsid w:val="007922CC"/>
    <w:rsid w:val="00792769"/>
    <w:rsid w:val="00792B7C"/>
    <w:rsid w:val="00792F0C"/>
    <w:rsid w:val="0079317A"/>
    <w:rsid w:val="00794FCD"/>
    <w:rsid w:val="00795A9F"/>
    <w:rsid w:val="00795AA7"/>
    <w:rsid w:val="007967DA"/>
    <w:rsid w:val="00796E77"/>
    <w:rsid w:val="00796F67"/>
    <w:rsid w:val="00797BFB"/>
    <w:rsid w:val="007A0F39"/>
    <w:rsid w:val="007A1F49"/>
    <w:rsid w:val="007A20AC"/>
    <w:rsid w:val="007A279B"/>
    <w:rsid w:val="007A2DAA"/>
    <w:rsid w:val="007A2E7F"/>
    <w:rsid w:val="007A49BC"/>
    <w:rsid w:val="007A4EC2"/>
    <w:rsid w:val="007A57F2"/>
    <w:rsid w:val="007A61FB"/>
    <w:rsid w:val="007A6CF3"/>
    <w:rsid w:val="007A7A89"/>
    <w:rsid w:val="007A7EC1"/>
    <w:rsid w:val="007B081E"/>
    <w:rsid w:val="007B1309"/>
    <w:rsid w:val="007B1913"/>
    <w:rsid w:val="007B1DB3"/>
    <w:rsid w:val="007B293E"/>
    <w:rsid w:val="007B2B95"/>
    <w:rsid w:val="007B3015"/>
    <w:rsid w:val="007B33DB"/>
    <w:rsid w:val="007B3A55"/>
    <w:rsid w:val="007B4539"/>
    <w:rsid w:val="007B6624"/>
    <w:rsid w:val="007B6EF6"/>
    <w:rsid w:val="007B72D4"/>
    <w:rsid w:val="007C12B4"/>
    <w:rsid w:val="007C1838"/>
    <w:rsid w:val="007C185E"/>
    <w:rsid w:val="007C2085"/>
    <w:rsid w:val="007C2A0E"/>
    <w:rsid w:val="007C2BC6"/>
    <w:rsid w:val="007C37A5"/>
    <w:rsid w:val="007C38E9"/>
    <w:rsid w:val="007C5764"/>
    <w:rsid w:val="007C5F41"/>
    <w:rsid w:val="007C765A"/>
    <w:rsid w:val="007C782D"/>
    <w:rsid w:val="007C79A3"/>
    <w:rsid w:val="007D035D"/>
    <w:rsid w:val="007D0A8C"/>
    <w:rsid w:val="007D16F9"/>
    <w:rsid w:val="007D2DA9"/>
    <w:rsid w:val="007D3214"/>
    <w:rsid w:val="007D3C4E"/>
    <w:rsid w:val="007D3CE6"/>
    <w:rsid w:val="007D3DEA"/>
    <w:rsid w:val="007D400D"/>
    <w:rsid w:val="007D42CB"/>
    <w:rsid w:val="007D4507"/>
    <w:rsid w:val="007D4BFD"/>
    <w:rsid w:val="007D50B4"/>
    <w:rsid w:val="007D5FE5"/>
    <w:rsid w:val="007D6DA6"/>
    <w:rsid w:val="007E0629"/>
    <w:rsid w:val="007E348F"/>
    <w:rsid w:val="007E4797"/>
    <w:rsid w:val="007E4852"/>
    <w:rsid w:val="007E558B"/>
    <w:rsid w:val="007E5B33"/>
    <w:rsid w:val="007E76A1"/>
    <w:rsid w:val="007E77A6"/>
    <w:rsid w:val="007F022C"/>
    <w:rsid w:val="007F0233"/>
    <w:rsid w:val="007F0568"/>
    <w:rsid w:val="007F188C"/>
    <w:rsid w:val="007F37E2"/>
    <w:rsid w:val="007F3C97"/>
    <w:rsid w:val="007F4950"/>
    <w:rsid w:val="007F5C38"/>
    <w:rsid w:val="007F5C60"/>
    <w:rsid w:val="007F5D33"/>
    <w:rsid w:val="007F5D7E"/>
    <w:rsid w:val="007F6849"/>
    <w:rsid w:val="007F6AFA"/>
    <w:rsid w:val="007F6E7E"/>
    <w:rsid w:val="007F7913"/>
    <w:rsid w:val="00800DD5"/>
    <w:rsid w:val="00800E46"/>
    <w:rsid w:val="008019A8"/>
    <w:rsid w:val="00801AE6"/>
    <w:rsid w:val="00802520"/>
    <w:rsid w:val="008041D2"/>
    <w:rsid w:val="00804363"/>
    <w:rsid w:val="00805346"/>
    <w:rsid w:val="00805F55"/>
    <w:rsid w:val="00806FEF"/>
    <w:rsid w:val="00810A68"/>
    <w:rsid w:val="00811180"/>
    <w:rsid w:val="00812161"/>
    <w:rsid w:val="00813131"/>
    <w:rsid w:val="0081388B"/>
    <w:rsid w:val="00813A71"/>
    <w:rsid w:val="00813B01"/>
    <w:rsid w:val="00814511"/>
    <w:rsid w:val="0081466C"/>
    <w:rsid w:val="0081550C"/>
    <w:rsid w:val="00815E6D"/>
    <w:rsid w:val="00816253"/>
    <w:rsid w:val="00816C5F"/>
    <w:rsid w:val="008202DE"/>
    <w:rsid w:val="008205F8"/>
    <w:rsid w:val="00820BAC"/>
    <w:rsid w:val="00823D4E"/>
    <w:rsid w:val="00823EBF"/>
    <w:rsid w:val="0082403D"/>
    <w:rsid w:val="00824C1E"/>
    <w:rsid w:val="008273A6"/>
    <w:rsid w:val="0082760A"/>
    <w:rsid w:val="0083286C"/>
    <w:rsid w:val="00832A07"/>
    <w:rsid w:val="00832FED"/>
    <w:rsid w:val="00833D6B"/>
    <w:rsid w:val="00834602"/>
    <w:rsid w:val="008358E7"/>
    <w:rsid w:val="00835F6D"/>
    <w:rsid w:val="00836898"/>
    <w:rsid w:val="00836993"/>
    <w:rsid w:val="008377A5"/>
    <w:rsid w:val="00837AF6"/>
    <w:rsid w:val="008402F9"/>
    <w:rsid w:val="008408E4"/>
    <w:rsid w:val="008418A4"/>
    <w:rsid w:val="00841FF7"/>
    <w:rsid w:val="00842A08"/>
    <w:rsid w:val="008444D8"/>
    <w:rsid w:val="00844F58"/>
    <w:rsid w:val="0084511A"/>
    <w:rsid w:val="008461D2"/>
    <w:rsid w:val="00846A94"/>
    <w:rsid w:val="00847AE2"/>
    <w:rsid w:val="00847B10"/>
    <w:rsid w:val="00851330"/>
    <w:rsid w:val="008516FF"/>
    <w:rsid w:val="0085288C"/>
    <w:rsid w:val="00852930"/>
    <w:rsid w:val="00853A35"/>
    <w:rsid w:val="00854449"/>
    <w:rsid w:val="00854A79"/>
    <w:rsid w:val="00854E73"/>
    <w:rsid w:val="00856C57"/>
    <w:rsid w:val="00856EF8"/>
    <w:rsid w:val="00857909"/>
    <w:rsid w:val="00857E5C"/>
    <w:rsid w:val="008605DB"/>
    <w:rsid w:val="00860711"/>
    <w:rsid w:val="00860B02"/>
    <w:rsid w:val="00860FCE"/>
    <w:rsid w:val="008617DD"/>
    <w:rsid w:val="008621B2"/>
    <w:rsid w:val="00862B47"/>
    <w:rsid w:val="00863090"/>
    <w:rsid w:val="00863823"/>
    <w:rsid w:val="00863A76"/>
    <w:rsid w:val="00863E58"/>
    <w:rsid w:val="00864477"/>
    <w:rsid w:val="00864E98"/>
    <w:rsid w:val="0086581F"/>
    <w:rsid w:val="0086702E"/>
    <w:rsid w:val="00867168"/>
    <w:rsid w:val="00867CD3"/>
    <w:rsid w:val="00871A33"/>
    <w:rsid w:val="00872006"/>
    <w:rsid w:val="00875667"/>
    <w:rsid w:val="00876144"/>
    <w:rsid w:val="008765B8"/>
    <w:rsid w:val="008765F4"/>
    <w:rsid w:val="00876951"/>
    <w:rsid w:val="00876C33"/>
    <w:rsid w:val="008775C2"/>
    <w:rsid w:val="0088123E"/>
    <w:rsid w:val="00881379"/>
    <w:rsid w:val="008818EC"/>
    <w:rsid w:val="00882C72"/>
    <w:rsid w:val="008841C7"/>
    <w:rsid w:val="0088535D"/>
    <w:rsid w:val="008870E3"/>
    <w:rsid w:val="00890254"/>
    <w:rsid w:val="00890944"/>
    <w:rsid w:val="0089171C"/>
    <w:rsid w:val="00891D3C"/>
    <w:rsid w:val="00892197"/>
    <w:rsid w:val="008922A4"/>
    <w:rsid w:val="00892A9C"/>
    <w:rsid w:val="00893272"/>
    <w:rsid w:val="008932F9"/>
    <w:rsid w:val="008935AD"/>
    <w:rsid w:val="00893849"/>
    <w:rsid w:val="00893D09"/>
    <w:rsid w:val="00894B38"/>
    <w:rsid w:val="008950B6"/>
    <w:rsid w:val="0089525B"/>
    <w:rsid w:val="008962FA"/>
    <w:rsid w:val="0089654D"/>
    <w:rsid w:val="008969DB"/>
    <w:rsid w:val="00896AC6"/>
    <w:rsid w:val="00896BF7"/>
    <w:rsid w:val="00897EF8"/>
    <w:rsid w:val="008A0026"/>
    <w:rsid w:val="008A0572"/>
    <w:rsid w:val="008A0CB2"/>
    <w:rsid w:val="008A1787"/>
    <w:rsid w:val="008A1994"/>
    <w:rsid w:val="008A1DE0"/>
    <w:rsid w:val="008A2A21"/>
    <w:rsid w:val="008A3D70"/>
    <w:rsid w:val="008A49D9"/>
    <w:rsid w:val="008A5F9F"/>
    <w:rsid w:val="008B0297"/>
    <w:rsid w:val="008B0A25"/>
    <w:rsid w:val="008B16AF"/>
    <w:rsid w:val="008B1BD8"/>
    <w:rsid w:val="008B42CE"/>
    <w:rsid w:val="008B47C5"/>
    <w:rsid w:val="008B48AD"/>
    <w:rsid w:val="008B4B0D"/>
    <w:rsid w:val="008B5634"/>
    <w:rsid w:val="008B6710"/>
    <w:rsid w:val="008B6AA7"/>
    <w:rsid w:val="008B7CBE"/>
    <w:rsid w:val="008C008C"/>
    <w:rsid w:val="008C060C"/>
    <w:rsid w:val="008C0886"/>
    <w:rsid w:val="008C17B9"/>
    <w:rsid w:val="008C1A4C"/>
    <w:rsid w:val="008C2E4D"/>
    <w:rsid w:val="008C38F7"/>
    <w:rsid w:val="008C49A8"/>
    <w:rsid w:val="008C4B0B"/>
    <w:rsid w:val="008C52DD"/>
    <w:rsid w:val="008C656A"/>
    <w:rsid w:val="008C7481"/>
    <w:rsid w:val="008C7C24"/>
    <w:rsid w:val="008D026A"/>
    <w:rsid w:val="008D2067"/>
    <w:rsid w:val="008D2A04"/>
    <w:rsid w:val="008D2F91"/>
    <w:rsid w:val="008D32D9"/>
    <w:rsid w:val="008D3B7B"/>
    <w:rsid w:val="008D434B"/>
    <w:rsid w:val="008D4597"/>
    <w:rsid w:val="008D45BB"/>
    <w:rsid w:val="008D4940"/>
    <w:rsid w:val="008D4C9F"/>
    <w:rsid w:val="008D4CB9"/>
    <w:rsid w:val="008D54F5"/>
    <w:rsid w:val="008D63AE"/>
    <w:rsid w:val="008D665A"/>
    <w:rsid w:val="008E0C2B"/>
    <w:rsid w:val="008E0EE0"/>
    <w:rsid w:val="008E223A"/>
    <w:rsid w:val="008E25BB"/>
    <w:rsid w:val="008E3C9F"/>
    <w:rsid w:val="008E4062"/>
    <w:rsid w:val="008E467F"/>
    <w:rsid w:val="008E5A8F"/>
    <w:rsid w:val="008E5C40"/>
    <w:rsid w:val="008E78F6"/>
    <w:rsid w:val="008E7B23"/>
    <w:rsid w:val="008E7CD7"/>
    <w:rsid w:val="008F008D"/>
    <w:rsid w:val="008F1B3C"/>
    <w:rsid w:val="008F1B4F"/>
    <w:rsid w:val="008F23D5"/>
    <w:rsid w:val="008F5B5B"/>
    <w:rsid w:val="0090400A"/>
    <w:rsid w:val="00904C73"/>
    <w:rsid w:val="009053D8"/>
    <w:rsid w:val="009059EE"/>
    <w:rsid w:val="00906298"/>
    <w:rsid w:val="00906958"/>
    <w:rsid w:val="00906CE6"/>
    <w:rsid w:val="00906DBA"/>
    <w:rsid w:val="009073C1"/>
    <w:rsid w:val="00911B81"/>
    <w:rsid w:val="00912AE5"/>
    <w:rsid w:val="00913278"/>
    <w:rsid w:val="00913651"/>
    <w:rsid w:val="009136E4"/>
    <w:rsid w:val="00915528"/>
    <w:rsid w:val="00915DD3"/>
    <w:rsid w:val="00915E60"/>
    <w:rsid w:val="00916A4A"/>
    <w:rsid w:val="00916B4C"/>
    <w:rsid w:val="00917E17"/>
    <w:rsid w:val="00917FB3"/>
    <w:rsid w:val="00921033"/>
    <w:rsid w:val="00921EA5"/>
    <w:rsid w:val="009221A7"/>
    <w:rsid w:val="009230B4"/>
    <w:rsid w:val="009231F4"/>
    <w:rsid w:val="00923A75"/>
    <w:rsid w:val="00923B5B"/>
    <w:rsid w:val="00924651"/>
    <w:rsid w:val="00924748"/>
    <w:rsid w:val="00925E1B"/>
    <w:rsid w:val="009261E2"/>
    <w:rsid w:val="009270BA"/>
    <w:rsid w:val="00927629"/>
    <w:rsid w:val="00927C74"/>
    <w:rsid w:val="00927D52"/>
    <w:rsid w:val="009301F4"/>
    <w:rsid w:val="009305E9"/>
    <w:rsid w:val="0093185E"/>
    <w:rsid w:val="00931887"/>
    <w:rsid w:val="00931AC6"/>
    <w:rsid w:val="00931D4F"/>
    <w:rsid w:val="00932C13"/>
    <w:rsid w:val="00933B81"/>
    <w:rsid w:val="00933DD1"/>
    <w:rsid w:val="00934188"/>
    <w:rsid w:val="00936631"/>
    <w:rsid w:val="00936DD9"/>
    <w:rsid w:val="00937237"/>
    <w:rsid w:val="00937631"/>
    <w:rsid w:val="00940CE6"/>
    <w:rsid w:val="00941A10"/>
    <w:rsid w:val="00942A91"/>
    <w:rsid w:val="009445FF"/>
    <w:rsid w:val="00946385"/>
    <w:rsid w:val="00946D97"/>
    <w:rsid w:val="00947496"/>
    <w:rsid w:val="009500BB"/>
    <w:rsid w:val="00950BFD"/>
    <w:rsid w:val="00951D71"/>
    <w:rsid w:val="009537A2"/>
    <w:rsid w:val="009550A0"/>
    <w:rsid w:val="0095661D"/>
    <w:rsid w:val="00957A6C"/>
    <w:rsid w:val="0096008A"/>
    <w:rsid w:val="0096075F"/>
    <w:rsid w:val="00961740"/>
    <w:rsid w:val="00961ACF"/>
    <w:rsid w:val="009632FB"/>
    <w:rsid w:val="009634A2"/>
    <w:rsid w:val="00964135"/>
    <w:rsid w:val="00966D47"/>
    <w:rsid w:val="00967928"/>
    <w:rsid w:val="00967BAE"/>
    <w:rsid w:val="0097079D"/>
    <w:rsid w:val="009708E8"/>
    <w:rsid w:val="0097181F"/>
    <w:rsid w:val="00972152"/>
    <w:rsid w:val="00972E41"/>
    <w:rsid w:val="00973392"/>
    <w:rsid w:val="00973D86"/>
    <w:rsid w:val="009741D3"/>
    <w:rsid w:val="0097553D"/>
    <w:rsid w:val="009755BA"/>
    <w:rsid w:val="00975EDF"/>
    <w:rsid w:val="00976697"/>
    <w:rsid w:val="00976ADC"/>
    <w:rsid w:val="00977CB6"/>
    <w:rsid w:val="0098020D"/>
    <w:rsid w:val="00980CCA"/>
    <w:rsid w:val="00981995"/>
    <w:rsid w:val="00981C36"/>
    <w:rsid w:val="00981CF2"/>
    <w:rsid w:val="0098241A"/>
    <w:rsid w:val="009827C1"/>
    <w:rsid w:val="00982B00"/>
    <w:rsid w:val="00982B8D"/>
    <w:rsid w:val="00983911"/>
    <w:rsid w:val="00983938"/>
    <w:rsid w:val="00983DEA"/>
    <w:rsid w:val="0098496A"/>
    <w:rsid w:val="00984C7E"/>
    <w:rsid w:val="009905E0"/>
    <w:rsid w:val="0099104B"/>
    <w:rsid w:val="0099107F"/>
    <w:rsid w:val="00991531"/>
    <w:rsid w:val="00993B70"/>
    <w:rsid w:val="00994183"/>
    <w:rsid w:val="00994FE9"/>
    <w:rsid w:val="00995B6D"/>
    <w:rsid w:val="0099690A"/>
    <w:rsid w:val="0099700F"/>
    <w:rsid w:val="00997663"/>
    <w:rsid w:val="00997CE9"/>
    <w:rsid w:val="009A1E17"/>
    <w:rsid w:val="009A2097"/>
    <w:rsid w:val="009A2E0D"/>
    <w:rsid w:val="009A370F"/>
    <w:rsid w:val="009A4AD5"/>
    <w:rsid w:val="009A5DC5"/>
    <w:rsid w:val="009B08BA"/>
    <w:rsid w:val="009B094A"/>
    <w:rsid w:val="009B1AE2"/>
    <w:rsid w:val="009B1F15"/>
    <w:rsid w:val="009B429C"/>
    <w:rsid w:val="009B53C1"/>
    <w:rsid w:val="009B70E2"/>
    <w:rsid w:val="009B7620"/>
    <w:rsid w:val="009B76C1"/>
    <w:rsid w:val="009C0B4D"/>
    <w:rsid w:val="009C129E"/>
    <w:rsid w:val="009C1E56"/>
    <w:rsid w:val="009C1F1F"/>
    <w:rsid w:val="009C3142"/>
    <w:rsid w:val="009C424F"/>
    <w:rsid w:val="009C4C70"/>
    <w:rsid w:val="009C5D2F"/>
    <w:rsid w:val="009C5EF7"/>
    <w:rsid w:val="009C61B0"/>
    <w:rsid w:val="009C671B"/>
    <w:rsid w:val="009C74DE"/>
    <w:rsid w:val="009C771C"/>
    <w:rsid w:val="009C7F23"/>
    <w:rsid w:val="009C7FC6"/>
    <w:rsid w:val="009D03DD"/>
    <w:rsid w:val="009D1BC9"/>
    <w:rsid w:val="009D3BDE"/>
    <w:rsid w:val="009D402C"/>
    <w:rsid w:val="009D4D5F"/>
    <w:rsid w:val="009D5158"/>
    <w:rsid w:val="009D5322"/>
    <w:rsid w:val="009E03FE"/>
    <w:rsid w:val="009E183C"/>
    <w:rsid w:val="009E2A92"/>
    <w:rsid w:val="009E3815"/>
    <w:rsid w:val="009E39D1"/>
    <w:rsid w:val="009E39E2"/>
    <w:rsid w:val="009E3CC9"/>
    <w:rsid w:val="009E4D9B"/>
    <w:rsid w:val="009E57DE"/>
    <w:rsid w:val="009E59D8"/>
    <w:rsid w:val="009E76E8"/>
    <w:rsid w:val="009F020D"/>
    <w:rsid w:val="009F0BD7"/>
    <w:rsid w:val="009F0D51"/>
    <w:rsid w:val="009F3361"/>
    <w:rsid w:val="009F5257"/>
    <w:rsid w:val="009F556B"/>
    <w:rsid w:val="009F5AF6"/>
    <w:rsid w:val="00A01201"/>
    <w:rsid w:val="00A0130D"/>
    <w:rsid w:val="00A01903"/>
    <w:rsid w:val="00A01B41"/>
    <w:rsid w:val="00A02092"/>
    <w:rsid w:val="00A02626"/>
    <w:rsid w:val="00A027BA"/>
    <w:rsid w:val="00A03C1E"/>
    <w:rsid w:val="00A03FBF"/>
    <w:rsid w:val="00A04AA5"/>
    <w:rsid w:val="00A05109"/>
    <w:rsid w:val="00A05284"/>
    <w:rsid w:val="00A055E8"/>
    <w:rsid w:val="00A05C61"/>
    <w:rsid w:val="00A0644A"/>
    <w:rsid w:val="00A06CE6"/>
    <w:rsid w:val="00A1019D"/>
    <w:rsid w:val="00A11A36"/>
    <w:rsid w:val="00A12BF4"/>
    <w:rsid w:val="00A138A7"/>
    <w:rsid w:val="00A13D07"/>
    <w:rsid w:val="00A13F77"/>
    <w:rsid w:val="00A14591"/>
    <w:rsid w:val="00A160FE"/>
    <w:rsid w:val="00A16DD3"/>
    <w:rsid w:val="00A16FF8"/>
    <w:rsid w:val="00A200F8"/>
    <w:rsid w:val="00A20351"/>
    <w:rsid w:val="00A21932"/>
    <w:rsid w:val="00A221A2"/>
    <w:rsid w:val="00A232FA"/>
    <w:rsid w:val="00A233E9"/>
    <w:rsid w:val="00A24916"/>
    <w:rsid w:val="00A24BED"/>
    <w:rsid w:val="00A25672"/>
    <w:rsid w:val="00A264D7"/>
    <w:rsid w:val="00A265E1"/>
    <w:rsid w:val="00A2673B"/>
    <w:rsid w:val="00A26753"/>
    <w:rsid w:val="00A279BB"/>
    <w:rsid w:val="00A30BCD"/>
    <w:rsid w:val="00A31CD3"/>
    <w:rsid w:val="00A323E8"/>
    <w:rsid w:val="00A32A9C"/>
    <w:rsid w:val="00A32D35"/>
    <w:rsid w:val="00A33D1C"/>
    <w:rsid w:val="00A34247"/>
    <w:rsid w:val="00A35029"/>
    <w:rsid w:val="00A35503"/>
    <w:rsid w:val="00A35CF9"/>
    <w:rsid w:val="00A360E4"/>
    <w:rsid w:val="00A368CA"/>
    <w:rsid w:val="00A36A65"/>
    <w:rsid w:val="00A36E01"/>
    <w:rsid w:val="00A36FE5"/>
    <w:rsid w:val="00A3777E"/>
    <w:rsid w:val="00A41C63"/>
    <w:rsid w:val="00A41E29"/>
    <w:rsid w:val="00A43A69"/>
    <w:rsid w:val="00A4487B"/>
    <w:rsid w:val="00A45AC7"/>
    <w:rsid w:val="00A45C6B"/>
    <w:rsid w:val="00A46B47"/>
    <w:rsid w:val="00A473AA"/>
    <w:rsid w:val="00A475A4"/>
    <w:rsid w:val="00A47725"/>
    <w:rsid w:val="00A47F81"/>
    <w:rsid w:val="00A47F93"/>
    <w:rsid w:val="00A503C4"/>
    <w:rsid w:val="00A5282F"/>
    <w:rsid w:val="00A52F20"/>
    <w:rsid w:val="00A53196"/>
    <w:rsid w:val="00A531D8"/>
    <w:rsid w:val="00A5381B"/>
    <w:rsid w:val="00A5490E"/>
    <w:rsid w:val="00A549B7"/>
    <w:rsid w:val="00A550BC"/>
    <w:rsid w:val="00A5611C"/>
    <w:rsid w:val="00A566D5"/>
    <w:rsid w:val="00A573C7"/>
    <w:rsid w:val="00A57815"/>
    <w:rsid w:val="00A60B50"/>
    <w:rsid w:val="00A616C5"/>
    <w:rsid w:val="00A62384"/>
    <w:rsid w:val="00A63E49"/>
    <w:rsid w:val="00A648D4"/>
    <w:rsid w:val="00A649AD"/>
    <w:rsid w:val="00A65F23"/>
    <w:rsid w:val="00A665B7"/>
    <w:rsid w:val="00A665C0"/>
    <w:rsid w:val="00A67B01"/>
    <w:rsid w:val="00A70141"/>
    <w:rsid w:val="00A704AF"/>
    <w:rsid w:val="00A70A6F"/>
    <w:rsid w:val="00A71F19"/>
    <w:rsid w:val="00A724EE"/>
    <w:rsid w:val="00A72C32"/>
    <w:rsid w:val="00A73536"/>
    <w:rsid w:val="00A7379E"/>
    <w:rsid w:val="00A77CF0"/>
    <w:rsid w:val="00A77F2C"/>
    <w:rsid w:val="00A810DE"/>
    <w:rsid w:val="00A82D53"/>
    <w:rsid w:val="00A83B14"/>
    <w:rsid w:val="00A83D06"/>
    <w:rsid w:val="00A83F48"/>
    <w:rsid w:val="00A844C1"/>
    <w:rsid w:val="00A85483"/>
    <w:rsid w:val="00A85689"/>
    <w:rsid w:val="00A877EE"/>
    <w:rsid w:val="00A87ED5"/>
    <w:rsid w:val="00A907F3"/>
    <w:rsid w:val="00A91117"/>
    <w:rsid w:val="00A91C08"/>
    <w:rsid w:val="00A91D61"/>
    <w:rsid w:val="00A91DCD"/>
    <w:rsid w:val="00A93242"/>
    <w:rsid w:val="00A93898"/>
    <w:rsid w:val="00A9425D"/>
    <w:rsid w:val="00A94A49"/>
    <w:rsid w:val="00A94AD9"/>
    <w:rsid w:val="00A95024"/>
    <w:rsid w:val="00A954A4"/>
    <w:rsid w:val="00A960D1"/>
    <w:rsid w:val="00A964CC"/>
    <w:rsid w:val="00A979DB"/>
    <w:rsid w:val="00A97C91"/>
    <w:rsid w:val="00A97CE1"/>
    <w:rsid w:val="00AA0037"/>
    <w:rsid w:val="00AA0C29"/>
    <w:rsid w:val="00AA0EB3"/>
    <w:rsid w:val="00AA0EC0"/>
    <w:rsid w:val="00AA11E7"/>
    <w:rsid w:val="00AA1438"/>
    <w:rsid w:val="00AA2CF1"/>
    <w:rsid w:val="00AA2E2D"/>
    <w:rsid w:val="00AA3488"/>
    <w:rsid w:val="00AA34AD"/>
    <w:rsid w:val="00AA3A1A"/>
    <w:rsid w:val="00AA46DA"/>
    <w:rsid w:val="00AA4A97"/>
    <w:rsid w:val="00AA53AB"/>
    <w:rsid w:val="00AA59FB"/>
    <w:rsid w:val="00AA659A"/>
    <w:rsid w:val="00AA6600"/>
    <w:rsid w:val="00AA69AE"/>
    <w:rsid w:val="00AA6FAB"/>
    <w:rsid w:val="00AA72C1"/>
    <w:rsid w:val="00AA731A"/>
    <w:rsid w:val="00AB1DA1"/>
    <w:rsid w:val="00AB1E50"/>
    <w:rsid w:val="00AB30F7"/>
    <w:rsid w:val="00AB3595"/>
    <w:rsid w:val="00AB3A4A"/>
    <w:rsid w:val="00AB4A34"/>
    <w:rsid w:val="00AB4A4B"/>
    <w:rsid w:val="00AB4C4E"/>
    <w:rsid w:val="00AB5098"/>
    <w:rsid w:val="00AB51A8"/>
    <w:rsid w:val="00AB51AA"/>
    <w:rsid w:val="00AB5599"/>
    <w:rsid w:val="00AB5FD4"/>
    <w:rsid w:val="00AB6BDB"/>
    <w:rsid w:val="00AB71A7"/>
    <w:rsid w:val="00AB742C"/>
    <w:rsid w:val="00AB755B"/>
    <w:rsid w:val="00AC1B1F"/>
    <w:rsid w:val="00AC2A18"/>
    <w:rsid w:val="00AC40FD"/>
    <w:rsid w:val="00AC4601"/>
    <w:rsid w:val="00AC4BE3"/>
    <w:rsid w:val="00AC528A"/>
    <w:rsid w:val="00AC59E0"/>
    <w:rsid w:val="00AC6203"/>
    <w:rsid w:val="00AC63F9"/>
    <w:rsid w:val="00AC68E8"/>
    <w:rsid w:val="00AC7B18"/>
    <w:rsid w:val="00AC7D0A"/>
    <w:rsid w:val="00AC7E1C"/>
    <w:rsid w:val="00AD00A2"/>
    <w:rsid w:val="00AD104A"/>
    <w:rsid w:val="00AD1381"/>
    <w:rsid w:val="00AD4889"/>
    <w:rsid w:val="00AD64D9"/>
    <w:rsid w:val="00AE0273"/>
    <w:rsid w:val="00AE11D6"/>
    <w:rsid w:val="00AE24B2"/>
    <w:rsid w:val="00AE405C"/>
    <w:rsid w:val="00AE50FC"/>
    <w:rsid w:val="00AE563A"/>
    <w:rsid w:val="00AE5D4E"/>
    <w:rsid w:val="00AF109E"/>
    <w:rsid w:val="00AF1357"/>
    <w:rsid w:val="00AF18E0"/>
    <w:rsid w:val="00AF2EB8"/>
    <w:rsid w:val="00AF4870"/>
    <w:rsid w:val="00AF4D48"/>
    <w:rsid w:val="00B001DE"/>
    <w:rsid w:val="00B00229"/>
    <w:rsid w:val="00B0024A"/>
    <w:rsid w:val="00B00576"/>
    <w:rsid w:val="00B005B1"/>
    <w:rsid w:val="00B01567"/>
    <w:rsid w:val="00B021E5"/>
    <w:rsid w:val="00B02F50"/>
    <w:rsid w:val="00B04D9F"/>
    <w:rsid w:val="00B05447"/>
    <w:rsid w:val="00B05B7E"/>
    <w:rsid w:val="00B06632"/>
    <w:rsid w:val="00B069CC"/>
    <w:rsid w:val="00B106D6"/>
    <w:rsid w:val="00B125BF"/>
    <w:rsid w:val="00B128C1"/>
    <w:rsid w:val="00B1343B"/>
    <w:rsid w:val="00B13AD1"/>
    <w:rsid w:val="00B13D5E"/>
    <w:rsid w:val="00B13E0F"/>
    <w:rsid w:val="00B146B6"/>
    <w:rsid w:val="00B15217"/>
    <w:rsid w:val="00B16CF7"/>
    <w:rsid w:val="00B17712"/>
    <w:rsid w:val="00B20AA5"/>
    <w:rsid w:val="00B211B0"/>
    <w:rsid w:val="00B216B6"/>
    <w:rsid w:val="00B21C9B"/>
    <w:rsid w:val="00B21FA8"/>
    <w:rsid w:val="00B22159"/>
    <w:rsid w:val="00B22346"/>
    <w:rsid w:val="00B22D26"/>
    <w:rsid w:val="00B23A84"/>
    <w:rsid w:val="00B24908"/>
    <w:rsid w:val="00B251E7"/>
    <w:rsid w:val="00B256F1"/>
    <w:rsid w:val="00B25B7D"/>
    <w:rsid w:val="00B3074F"/>
    <w:rsid w:val="00B314C2"/>
    <w:rsid w:val="00B3196E"/>
    <w:rsid w:val="00B333BF"/>
    <w:rsid w:val="00B33C86"/>
    <w:rsid w:val="00B35B18"/>
    <w:rsid w:val="00B37944"/>
    <w:rsid w:val="00B408BE"/>
    <w:rsid w:val="00B40E27"/>
    <w:rsid w:val="00B41941"/>
    <w:rsid w:val="00B42847"/>
    <w:rsid w:val="00B42E96"/>
    <w:rsid w:val="00B45099"/>
    <w:rsid w:val="00B46A3B"/>
    <w:rsid w:val="00B4706F"/>
    <w:rsid w:val="00B51A92"/>
    <w:rsid w:val="00B5228B"/>
    <w:rsid w:val="00B5298A"/>
    <w:rsid w:val="00B539C5"/>
    <w:rsid w:val="00B540F2"/>
    <w:rsid w:val="00B548BB"/>
    <w:rsid w:val="00B55A01"/>
    <w:rsid w:val="00B55CC5"/>
    <w:rsid w:val="00B56255"/>
    <w:rsid w:val="00B571C2"/>
    <w:rsid w:val="00B57AD6"/>
    <w:rsid w:val="00B57D66"/>
    <w:rsid w:val="00B607FE"/>
    <w:rsid w:val="00B61742"/>
    <w:rsid w:val="00B62364"/>
    <w:rsid w:val="00B62492"/>
    <w:rsid w:val="00B62549"/>
    <w:rsid w:val="00B62B19"/>
    <w:rsid w:val="00B62E66"/>
    <w:rsid w:val="00B62EDF"/>
    <w:rsid w:val="00B63C14"/>
    <w:rsid w:val="00B65750"/>
    <w:rsid w:val="00B66055"/>
    <w:rsid w:val="00B665EC"/>
    <w:rsid w:val="00B67468"/>
    <w:rsid w:val="00B7074B"/>
    <w:rsid w:val="00B71282"/>
    <w:rsid w:val="00B7147B"/>
    <w:rsid w:val="00B71AE3"/>
    <w:rsid w:val="00B72226"/>
    <w:rsid w:val="00B72568"/>
    <w:rsid w:val="00B72CED"/>
    <w:rsid w:val="00B738AC"/>
    <w:rsid w:val="00B73B83"/>
    <w:rsid w:val="00B75470"/>
    <w:rsid w:val="00B75CC4"/>
    <w:rsid w:val="00B76E01"/>
    <w:rsid w:val="00B77F09"/>
    <w:rsid w:val="00B8007A"/>
    <w:rsid w:val="00B813E5"/>
    <w:rsid w:val="00B81EFA"/>
    <w:rsid w:val="00B82C86"/>
    <w:rsid w:val="00B82DDB"/>
    <w:rsid w:val="00B83046"/>
    <w:rsid w:val="00B83722"/>
    <w:rsid w:val="00B87134"/>
    <w:rsid w:val="00B8764E"/>
    <w:rsid w:val="00B8781D"/>
    <w:rsid w:val="00B87F29"/>
    <w:rsid w:val="00B903BA"/>
    <w:rsid w:val="00B90707"/>
    <w:rsid w:val="00B90ABC"/>
    <w:rsid w:val="00B91AF3"/>
    <w:rsid w:val="00B920C5"/>
    <w:rsid w:val="00B93107"/>
    <w:rsid w:val="00B93BC5"/>
    <w:rsid w:val="00B948FA"/>
    <w:rsid w:val="00B94DDD"/>
    <w:rsid w:val="00B956E7"/>
    <w:rsid w:val="00B95E8D"/>
    <w:rsid w:val="00B968DB"/>
    <w:rsid w:val="00B96B75"/>
    <w:rsid w:val="00B974E0"/>
    <w:rsid w:val="00B979F2"/>
    <w:rsid w:val="00BA05DF"/>
    <w:rsid w:val="00BA0CDD"/>
    <w:rsid w:val="00BA1053"/>
    <w:rsid w:val="00BA17AB"/>
    <w:rsid w:val="00BA1E81"/>
    <w:rsid w:val="00BA2449"/>
    <w:rsid w:val="00BA2641"/>
    <w:rsid w:val="00BA3869"/>
    <w:rsid w:val="00BA3D3B"/>
    <w:rsid w:val="00BA5C99"/>
    <w:rsid w:val="00BA6204"/>
    <w:rsid w:val="00BA6797"/>
    <w:rsid w:val="00BA6BED"/>
    <w:rsid w:val="00BA74A2"/>
    <w:rsid w:val="00BA7D0E"/>
    <w:rsid w:val="00BB031E"/>
    <w:rsid w:val="00BB3AF9"/>
    <w:rsid w:val="00BB3FE4"/>
    <w:rsid w:val="00BB65E1"/>
    <w:rsid w:val="00BB6F96"/>
    <w:rsid w:val="00BB7982"/>
    <w:rsid w:val="00BB7A6B"/>
    <w:rsid w:val="00BC05CA"/>
    <w:rsid w:val="00BC07A6"/>
    <w:rsid w:val="00BC109A"/>
    <w:rsid w:val="00BC13D0"/>
    <w:rsid w:val="00BC1963"/>
    <w:rsid w:val="00BC218D"/>
    <w:rsid w:val="00BC21C5"/>
    <w:rsid w:val="00BC2AF7"/>
    <w:rsid w:val="00BC4D7F"/>
    <w:rsid w:val="00BC57C1"/>
    <w:rsid w:val="00BC5B03"/>
    <w:rsid w:val="00BC630B"/>
    <w:rsid w:val="00BC6B23"/>
    <w:rsid w:val="00BC770D"/>
    <w:rsid w:val="00BD06F3"/>
    <w:rsid w:val="00BD1191"/>
    <w:rsid w:val="00BD16F8"/>
    <w:rsid w:val="00BD2A38"/>
    <w:rsid w:val="00BD468F"/>
    <w:rsid w:val="00BD46CA"/>
    <w:rsid w:val="00BD50E3"/>
    <w:rsid w:val="00BD5324"/>
    <w:rsid w:val="00BD659C"/>
    <w:rsid w:val="00BD6D78"/>
    <w:rsid w:val="00BD73F1"/>
    <w:rsid w:val="00BE36A5"/>
    <w:rsid w:val="00BE3C64"/>
    <w:rsid w:val="00BE3DDA"/>
    <w:rsid w:val="00BE4B19"/>
    <w:rsid w:val="00BF029B"/>
    <w:rsid w:val="00BF1A7A"/>
    <w:rsid w:val="00BF1BDF"/>
    <w:rsid w:val="00BF1DB0"/>
    <w:rsid w:val="00BF2913"/>
    <w:rsid w:val="00BF3261"/>
    <w:rsid w:val="00BF3496"/>
    <w:rsid w:val="00BF3D91"/>
    <w:rsid w:val="00BF426C"/>
    <w:rsid w:val="00BF4897"/>
    <w:rsid w:val="00BF52BD"/>
    <w:rsid w:val="00BF5399"/>
    <w:rsid w:val="00BF62C3"/>
    <w:rsid w:val="00BF6851"/>
    <w:rsid w:val="00BF68E3"/>
    <w:rsid w:val="00BF7C49"/>
    <w:rsid w:val="00C01105"/>
    <w:rsid w:val="00C01123"/>
    <w:rsid w:val="00C01435"/>
    <w:rsid w:val="00C01706"/>
    <w:rsid w:val="00C03006"/>
    <w:rsid w:val="00C03807"/>
    <w:rsid w:val="00C03BDA"/>
    <w:rsid w:val="00C049A2"/>
    <w:rsid w:val="00C0556C"/>
    <w:rsid w:val="00C05B56"/>
    <w:rsid w:val="00C06C66"/>
    <w:rsid w:val="00C1027E"/>
    <w:rsid w:val="00C11689"/>
    <w:rsid w:val="00C12218"/>
    <w:rsid w:val="00C12E58"/>
    <w:rsid w:val="00C13BC2"/>
    <w:rsid w:val="00C1511B"/>
    <w:rsid w:val="00C1524B"/>
    <w:rsid w:val="00C15BF4"/>
    <w:rsid w:val="00C1655C"/>
    <w:rsid w:val="00C1697C"/>
    <w:rsid w:val="00C20983"/>
    <w:rsid w:val="00C20ED2"/>
    <w:rsid w:val="00C21476"/>
    <w:rsid w:val="00C21A5C"/>
    <w:rsid w:val="00C222C8"/>
    <w:rsid w:val="00C2311E"/>
    <w:rsid w:val="00C2325A"/>
    <w:rsid w:val="00C233B0"/>
    <w:rsid w:val="00C252F5"/>
    <w:rsid w:val="00C268F6"/>
    <w:rsid w:val="00C27345"/>
    <w:rsid w:val="00C278B8"/>
    <w:rsid w:val="00C300A3"/>
    <w:rsid w:val="00C300FF"/>
    <w:rsid w:val="00C307CB"/>
    <w:rsid w:val="00C32598"/>
    <w:rsid w:val="00C32A34"/>
    <w:rsid w:val="00C32C59"/>
    <w:rsid w:val="00C33749"/>
    <w:rsid w:val="00C33B47"/>
    <w:rsid w:val="00C34B11"/>
    <w:rsid w:val="00C35161"/>
    <w:rsid w:val="00C359EE"/>
    <w:rsid w:val="00C35C39"/>
    <w:rsid w:val="00C36AF6"/>
    <w:rsid w:val="00C36CE4"/>
    <w:rsid w:val="00C37CB9"/>
    <w:rsid w:val="00C37D26"/>
    <w:rsid w:val="00C40468"/>
    <w:rsid w:val="00C408A6"/>
    <w:rsid w:val="00C40AB5"/>
    <w:rsid w:val="00C40AF5"/>
    <w:rsid w:val="00C40D72"/>
    <w:rsid w:val="00C40E4B"/>
    <w:rsid w:val="00C419F3"/>
    <w:rsid w:val="00C41EAB"/>
    <w:rsid w:val="00C41FA2"/>
    <w:rsid w:val="00C441BF"/>
    <w:rsid w:val="00C45D3B"/>
    <w:rsid w:val="00C47A24"/>
    <w:rsid w:val="00C5082F"/>
    <w:rsid w:val="00C512AC"/>
    <w:rsid w:val="00C51B86"/>
    <w:rsid w:val="00C51FDD"/>
    <w:rsid w:val="00C52656"/>
    <w:rsid w:val="00C5501D"/>
    <w:rsid w:val="00C55E01"/>
    <w:rsid w:val="00C566BB"/>
    <w:rsid w:val="00C56749"/>
    <w:rsid w:val="00C57E70"/>
    <w:rsid w:val="00C607FB"/>
    <w:rsid w:val="00C610BF"/>
    <w:rsid w:val="00C617F2"/>
    <w:rsid w:val="00C61CB4"/>
    <w:rsid w:val="00C62014"/>
    <w:rsid w:val="00C64209"/>
    <w:rsid w:val="00C66F80"/>
    <w:rsid w:val="00C670F0"/>
    <w:rsid w:val="00C6778F"/>
    <w:rsid w:val="00C67C91"/>
    <w:rsid w:val="00C70140"/>
    <w:rsid w:val="00C7098B"/>
    <w:rsid w:val="00C71042"/>
    <w:rsid w:val="00C712FC"/>
    <w:rsid w:val="00C71E91"/>
    <w:rsid w:val="00C725B5"/>
    <w:rsid w:val="00C7378F"/>
    <w:rsid w:val="00C738E0"/>
    <w:rsid w:val="00C73D38"/>
    <w:rsid w:val="00C74A45"/>
    <w:rsid w:val="00C761D0"/>
    <w:rsid w:val="00C76358"/>
    <w:rsid w:val="00C76783"/>
    <w:rsid w:val="00C76A07"/>
    <w:rsid w:val="00C76AB7"/>
    <w:rsid w:val="00C76BE8"/>
    <w:rsid w:val="00C815F9"/>
    <w:rsid w:val="00C81684"/>
    <w:rsid w:val="00C840D6"/>
    <w:rsid w:val="00C84D47"/>
    <w:rsid w:val="00C8662F"/>
    <w:rsid w:val="00C866AE"/>
    <w:rsid w:val="00C86E88"/>
    <w:rsid w:val="00C875DB"/>
    <w:rsid w:val="00C878CC"/>
    <w:rsid w:val="00C90895"/>
    <w:rsid w:val="00C90B3E"/>
    <w:rsid w:val="00C90BEC"/>
    <w:rsid w:val="00C91981"/>
    <w:rsid w:val="00C91E7F"/>
    <w:rsid w:val="00C92BC2"/>
    <w:rsid w:val="00C95584"/>
    <w:rsid w:val="00C955A2"/>
    <w:rsid w:val="00C9627D"/>
    <w:rsid w:val="00C96388"/>
    <w:rsid w:val="00C9647B"/>
    <w:rsid w:val="00C96A4C"/>
    <w:rsid w:val="00C9702D"/>
    <w:rsid w:val="00C979AD"/>
    <w:rsid w:val="00CA08E5"/>
    <w:rsid w:val="00CA097A"/>
    <w:rsid w:val="00CA1BC7"/>
    <w:rsid w:val="00CA2138"/>
    <w:rsid w:val="00CA21F0"/>
    <w:rsid w:val="00CA22AB"/>
    <w:rsid w:val="00CA275A"/>
    <w:rsid w:val="00CA3661"/>
    <w:rsid w:val="00CA37EB"/>
    <w:rsid w:val="00CA3871"/>
    <w:rsid w:val="00CA38B3"/>
    <w:rsid w:val="00CA4C63"/>
    <w:rsid w:val="00CA65EA"/>
    <w:rsid w:val="00CA6681"/>
    <w:rsid w:val="00CA7011"/>
    <w:rsid w:val="00CA7595"/>
    <w:rsid w:val="00CA7610"/>
    <w:rsid w:val="00CA77B9"/>
    <w:rsid w:val="00CB0D4B"/>
    <w:rsid w:val="00CB184F"/>
    <w:rsid w:val="00CB22B1"/>
    <w:rsid w:val="00CB33CE"/>
    <w:rsid w:val="00CB3A78"/>
    <w:rsid w:val="00CB3BD2"/>
    <w:rsid w:val="00CB50AA"/>
    <w:rsid w:val="00CB7B46"/>
    <w:rsid w:val="00CC25D8"/>
    <w:rsid w:val="00CC2BC5"/>
    <w:rsid w:val="00CC31D7"/>
    <w:rsid w:val="00CC3A57"/>
    <w:rsid w:val="00CC52C0"/>
    <w:rsid w:val="00CC58A5"/>
    <w:rsid w:val="00CC58E0"/>
    <w:rsid w:val="00CC5B00"/>
    <w:rsid w:val="00CC5CF5"/>
    <w:rsid w:val="00CC6DE7"/>
    <w:rsid w:val="00CC7416"/>
    <w:rsid w:val="00CC7592"/>
    <w:rsid w:val="00CC7CB0"/>
    <w:rsid w:val="00CD01C7"/>
    <w:rsid w:val="00CD0C08"/>
    <w:rsid w:val="00CD297D"/>
    <w:rsid w:val="00CD3982"/>
    <w:rsid w:val="00CD3D3E"/>
    <w:rsid w:val="00CD5043"/>
    <w:rsid w:val="00CD5A91"/>
    <w:rsid w:val="00CE0A15"/>
    <w:rsid w:val="00CE1933"/>
    <w:rsid w:val="00CE1D0D"/>
    <w:rsid w:val="00CE32A1"/>
    <w:rsid w:val="00CE43BF"/>
    <w:rsid w:val="00CE475F"/>
    <w:rsid w:val="00CE4F91"/>
    <w:rsid w:val="00CE4FE6"/>
    <w:rsid w:val="00CE6E39"/>
    <w:rsid w:val="00CE7BF4"/>
    <w:rsid w:val="00CF0624"/>
    <w:rsid w:val="00CF1632"/>
    <w:rsid w:val="00CF24EA"/>
    <w:rsid w:val="00CF3D11"/>
    <w:rsid w:val="00CF4CF4"/>
    <w:rsid w:val="00CF5A9A"/>
    <w:rsid w:val="00CF6C8A"/>
    <w:rsid w:val="00CF6FF7"/>
    <w:rsid w:val="00D001E2"/>
    <w:rsid w:val="00D006FD"/>
    <w:rsid w:val="00D00DC9"/>
    <w:rsid w:val="00D019E0"/>
    <w:rsid w:val="00D024C6"/>
    <w:rsid w:val="00D02668"/>
    <w:rsid w:val="00D02B30"/>
    <w:rsid w:val="00D05130"/>
    <w:rsid w:val="00D055EC"/>
    <w:rsid w:val="00D05E12"/>
    <w:rsid w:val="00D10C58"/>
    <w:rsid w:val="00D10D85"/>
    <w:rsid w:val="00D10E6A"/>
    <w:rsid w:val="00D11625"/>
    <w:rsid w:val="00D11664"/>
    <w:rsid w:val="00D120D9"/>
    <w:rsid w:val="00D123EF"/>
    <w:rsid w:val="00D12951"/>
    <w:rsid w:val="00D12C29"/>
    <w:rsid w:val="00D135CA"/>
    <w:rsid w:val="00D13622"/>
    <w:rsid w:val="00D138B0"/>
    <w:rsid w:val="00D142FB"/>
    <w:rsid w:val="00D144AD"/>
    <w:rsid w:val="00D14AD7"/>
    <w:rsid w:val="00D15561"/>
    <w:rsid w:val="00D16216"/>
    <w:rsid w:val="00D1627A"/>
    <w:rsid w:val="00D17656"/>
    <w:rsid w:val="00D17AF8"/>
    <w:rsid w:val="00D213E5"/>
    <w:rsid w:val="00D21FB1"/>
    <w:rsid w:val="00D231B0"/>
    <w:rsid w:val="00D2353B"/>
    <w:rsid w:val="00D23F6F"/>
    <w:rsid w:val="00D254A3"/>
    <w:rsid w:val="00D2692A"/>
    <w:rsid w:val="00D272EA"/>
    <w:rsid w:val="00D2773B"/>
    <w:rsid w:val="00D27CA9"/>
    <w:rsid w:val="00D301DD"/>
    <w:rsid w:val="00D325C8"/>
    <w:rsid w:val="00D325F2"/>
    <w:rsid w:val="00D326F0"/>
    <w:rsid w:val="00D32971"/>
    <w:rsid w:val="00D343D4"/>
    <w:rsid w:val="00D34472"/>
    <w:rsid w:val="00D345C3"/>
    <w:rsid w:val="00D3514A"/>
    <w:rsid w:val="00D4001D"/>
    <w:rsid w:val="00D4181C"/>
    <w:rsid w:val="00D424C7"/>
    <w:rsid w:val="00D42860"/>
    <w:rsid w:val="00D42D82"/>
    <w:rsid w:val="00D431DB"/>
    <w:rsid w:val="00D43917"/>
    <w:rsid w:val="00D44184"/>
    <w:rsid w:val="00D45009"/>
    <w:rsid w:val="00D512DD"/>
    <w:rsid w:val="00D51F85"/>
    <w:rsid w:val="00D52375"/>
    <w:rsid w:val="00D5276D"/>
    <w:rsid w:val="00D52AC8"/>
    <w:rsid w:val="00D52E60"/>
    <w:rsid w:val="00D537E1"/>
    <w:rsid w:val="00D53BB6"/>
    <w:rsid w:val="00D53FA6"/>
    <w:rsid w:val="00D55109"/>
    <w:rsid w:val="00D554C7"/>
    <w:rsid w:val="00D555D8"/>
    <w:rsid w:val="00D55B69"/>
    <w:rsid w:val="00D56640"/>
    <w:rsid w:val="00D57AE1"/>
    <w:rsid w:val="00D606B2"/>
    <w:rsid w:val="00D60F82"/>
    <w:rsid w:val="00D611AB"/>
    <w:rsid w:val="00D615C7"/>
    <w:rsid w:val="00D6181B"/>
    <w:rsid w:val="00D61F70"/>
    <w:rsid w:val="00D6255A"/>
    <w:rsid w:val="00D62EED"/>
    <w:rsid w:val="00D643A6"/>
    <w:rsid w:val="00D6444B"/>
    <w:rsid w:val="00D64C9D"/>
    <w:rsid w:val="00D657EA"/>
    <w:rsid w:val="00D65BD6"/>
    <w:rsid w:val="00D65ECC"/>
    <w:rsid w:val="00D664AE"/>
    <w:rsid w:val="00D665FE"/>
    <w:rsid w:val="00D67CBD"/>
    <w:rsid w:val="00D70DCC"/>
    <w:rsid w:val="00D72974"/>
    <w:rsid w:val="00D72CFA"/>
    <w:rsid w:val="00D736C8"/>
    <w:rsid w:val="00D74EC3"/>
    <w:rsid w:val="00D75321"/>
    <w:rsid w:val="00D76335"/>
    <w:rsid w:val="00D76873"/>
    <w:rsid w:val="00D77320"/>
    <w:rsid w:val="00D77651"/>
    <w:rsid w:val="00D778F2"/>
    <w:rsid w:val="00D77E37"/>
    <w:rsid w:val="00D801B4"/>
    <w:rsid w:val="00D80D76"/>
    <w:rsid w:val="00D82483"/>
    <w:rsid w:val="00D82672"/>
    <w:rsid w:val="00D826C6"/>
    <w:rsid w:val="00D828A5"/>
    <w:rsid w:val="00D86BC9"/>
    <w:rsid w:val="00D90D81"/>
    <w:rsid w:val="00D92EC5"/>
    <w:rsid w:val="00D9406A"/>
    <w:rsid w:val="00D940F2"/>
    <w:rsid w:val="00D945D7"/>
    <w:rsid w:val="00D9538D"/>
    <w:rsid w:val="00D95C5F"/>
    <w:rsid w:val="00D95E78"/>
    <w:rsid w:val="00D9607F"/>
    <w:rsid w:val="00D96739"/>
    <w:rsid w:val="00DA041E"/>
    <w:rsid w:val="00DA0DA6"/>
    <w:rsid w:val="00DA1B9C"/>
    <w:rsid w:val="00DA2261"/>
    <w:rsid w:val="00DA2751"/>
    <w:rsid w:val="00DA285E"/>
    <w:rsid w:val="00DA30CE"/>
    <w:rsid w:val="00DA41AB"/>
    <w:rsid w:val="00DA51ED"/>
    <w:rsid w:val="00DA5DF3"/>
    <w:rsid w:val="00DA6479"/>
    <w:rsid w:val="00DA6900"/>
    <w:rsid w:val="00DA7649"/>
    <w:rsid w:val="00DA7A82"/>
    <w:rsid w:val="00DA7DD7"/>
    <w:rsid w:val="00DB0967"/>
    <w:rsid w:val="00DB190B"/>
    <w:rsid w:val="00DB2391"/>
    <w:rsid w:val="00DB2655"/>
    <w:rsid w:val="00DB2705"/>
    <w:rsid w:val="00DB2754"/>
    <w:rsid w:val="00DB3269"/>
    <w:rsid w:val="00DB5127"/>
    <w:rsid w:val="00DB5129"/>
    <w:rsid w:val="00DB5851"/>
    <w:rsid w:val="00DB587A"/>
    <w:rsid w:val="00DB704A"/>
    <w:rsid w:val="00DC0248"/>
    <w:rsid w:val="00DC08C8"/>
    <w:rsid w:val="00DC1334"/>
    <w:rsid w:val="00DC2A0B"/>
    <w:rsid w:val="00DC38DD"/>
    <w:rsid w:val="00DC3BF8"/>
    <w:rsid w:val="00DC434E"/>
    <w:rsid w:val="00DC58E8"/>
    <w:rsid w:val="00DC620E"/>
    <w:rsid w:val="00DC6293"/>
    <w:rsid w:val="00DC6373"/>
    <w:rsid w:val="00DC65E4"/>
    <w:rsid w:val="00DC6A46"/>
    <w:rsid w:val="00DC7D88"/>
    <w:rsid w:val="00DD05F3"/>
    <w:rsid w:val="00DD0D9B"/>
    <w:rsid w:val="00DD11DA"/>
    <w:rsid w:val="00DD14CE"/>
    <w:rsid w:val="00DD18C7"/>
    <w:rsid w:val="00DD2914"/>
    <w:rsid w:val="00DD32FC"/>
    <w:rsid w:val="00DD3510"/>
    <w:rsid w:val="00DD4555"/>
    <w:rsid w:val="00DD4C9E"/>
    <w:rsid w:val="00DD5274"/>
    <w:rsid w:val="00DD5E84"/>
    <w:rsid w:val="00DD5FDC"/>
    <w:rsid w:val="00DD6185"/>
    <w:rsid w:val="00DD66F5"/>
    <w:rsid w:val="00DD6A4B"/>
    <w:rsid w:val="00DD6E79"/>
    <w:rsid w:val="00DD6F65"/>
    <w:rsid w:val="00DD704B"/>
    <w:rsid w:val="00DD70A3"/>
    <w:rsid w:val="00DE3908"/>
    <w:rsid w:val="00DE3C90"/>
    <w:rsid w:val="00DE490A"/>
    <w:rsid w:val="00DE49E7"/>
    <w:rsid w:val="00DE5713"/>
    <w:rsid w:val="00DE5A64"/>
    <w:rsid w:val="00DE5AD1"/>
    <w:rsid w:val="00DE5D5C"/>
    <w:rsid w:val="00DE6676"/>
    <w:rsid w:val="00DE6787"/>
    <w:rsid w:val="00DE67F6"/>
    <w:rsid w:val="00DE7E42"/>
    <w:rsid w:val="00DF156F"/>
    <w:rsid w:val="00DF42B7"/>
    <w:rsid w:val="00DF4BC6"/>
    <w:rsid w:val="00DF5D5B"/>
    <w:rsid w:val="00DF627D"/>
    <w:rsid w:val="00DF72B0"/>
    <w:rsid w:val="00DF783E"/>
    <w:rsid w:val="00E016E6"/>
    <w:rsid w:val="00E01B7F"/>
    <w:rsid w:val="00E03937"/>
    <w:rsid w:val="00E0412D"/>
    <w:rsid w:val="00E054A1"/>
    <w:rsid w:val="00E059E6"/>
    <w:rsid w:val="00E05ECA"/>
    <w:rsid w:val="00E06200"/>
    <w:rsid w:val="00E06AF2"/>
    <w:rsid w:val="00E07167"/>
    <w:rsid w:val="00E07477"/>
    <w:rsid w:val="00E07D01"/>
    <w:rsid w:val="00E1284D"/>
    <w:rsid w:val="00E12BB1"/>
    <w:rsid w:val="00E1315E"/>
    <w:rsid w:val="00E137BF"/>
    <w:rsid w:val="00E14240"/>
    <w:rsid w:val="00E150BE"/>
    <w:rsid w:val="00E15755"/>
    <w:rsid w:val="00E15F02"/>
    <w:rsid w:val="00E16D27"/>
    <w:rsid w:val="00E16EA4"/>
    <w:rsid w:val="00E17C84"/>
    <w:rsid w:val="00E206E4"/>
    <w:rsid w:val="00E20CCE"/>
    <w:rsid w:val="00E20EE8"/>
    <w:rsid w:val="00E21702"/>
    <w:rsid w:val="00E220BE"/>
    <w:rsid w:val="00E22752"/>
    <w:rsid w:val="00E240F1"/>
    <w:rsid w:val="00E2432D"/>
    <w:rsid w:val="00E31E49"/>
    <w:rsid w:val="00E32B4A"/>
    <w:rsid w:val="00E34CA5"/>
    <w:rsid w:val="00E36402"/>
    <w:rsid w:val="00E37C49"/>
    <w:rsid w:val="00E37CE1"/>
    <w:rsid w:val="00E406DB"/>
    <w:rsid w:val="00E40B36"/>
    <w:rsid w:val="00E41C69"/>
    <w:rsid w:val="00E43492"/>
    <w:rsid w:val="00E44749"/>
    <w:rsid w:val="00E457D7"/>
    <w:rsid w:val="00E460D8"/>
    <w:rsid w:val="00E46DED"/>
    <w:rsid w:val="00E47328"/>
    <w:rsid w:val="00E47E2B"/>
    <w:rsid w:val="00E47E65"/>
    <w:rsid w:val="00E51955"/>
    <w:rsid w:val="00E51D0E"/>
    <w:rsid w:val="00E52B78"/>
    <w:rsid w:val="00E53445"/>
    <w:rsid w:val="00E53BDD"/>
    <w:rsid w:val="00E54843"/>
    <w:rsid w:val="00E54A08"/>
    <w:rsid w:val="00E55D21"/>
    <w:rsid w:val="00E607AE"/>
    <w:rsid w:val="00E613D3"/>
    <w:rsid w:val="00E6155D"/>
    <w:rsid w:val="00E6192A"/>
    <w:rsid w:val="00E625BB"/>
    <w:rsid w:val="00E62656"/>
    <w:rsid w:val="00E632B3"/>
    <w:rsid w:val="00E63362"/>
    <w:rsid w:val="00E63F21"/>
    <w:rsid w:val="00E6567E"/>
    <w:rsid w:val="00E656DA"/>
    <w:rsid w:val="00E65FA8"/>
    <w:rsid w:val="00E70937"/>
    <w:rsid w:val="00E720CC"/>
    <w:rsid w:val="00E721BE"/>
    <w:rsid w:val="00E72F02"/>
    <w:rsid w:val="00E7456F"/>
    <w:rsid w:val="00E74774"/>
    <w:rsid w:val="00E74E65"/>
    <w:rsid w:val="00E806B2"/>
    <w:rsid w:val="00E80752"/>
    <w:rsid w:val="00E80AC1"/>
    <w:rsid w:val="00E80CDE"/>
    <w:rsid w:val="00E82DA4"/>
    <w:rsid w:val="00E8318A"/>
    <w:rsid w:val="00E835B7"/>
    <w:rsid w:val="00E847A2"/>
    <w:rsid w:val="00E84974"/>
    <w:rsid w:val="00E84CF2"/>
    <w:rsid w:val="00E866C5"/>
    <w:rsid w:val="00E867B1"/>
    <w:rsid w:val="00E868AD"/>
    <w:rsid w:val="00E86AF2"/>
    <w:rsid w:val="00E86F7D"/>
    <w:rsid w:val="00E872FD"/>
    <w:rsid w:val="00E905C1"/>
    <w:rsid w:val="00E91B72"/>
    <w:rsid w:val="00E91D6C"/>
    <w:rsid w:val="00E92705"/>
    <w:rsid w:val="00E92FD4"/>
    <w:rsid w:val="00E9339F"/>
    <w:rsid w:val="00E9365D"/>
    <w:rsid w:val="00E93AEE"/>
    <w:rsid w:val="00E94290"/>
    <w:rsid w:val="00E95572"/>
    <w:rsid w:val="00E959F8"/>
    <w:rsid w:val="00E95BA2"/>
    <w:rsid w:val="00E967A5"/>
    <w:rsid w:val="00E97798"/>
    <w:rsid w:val="00EA189F"/>
    <w:rsid w:val="00EA2A39"/>
    <w:rsid w:val="00EA318C"/>
    <w:rsid w:val="00EA39DE"/>
    <w:rsid w:val="00EA41D6"/>
    <w:rsid w:val="00EA4528"/>
    <w:rsid w:val="00EA471D"/>
    <w:rsid w:val="00EA5E26"/>
    <w:rsid w:val="00EA5F07"/>
    <w:rsid w:val="00EA6435"/>
    <w:rsid w:val="00EA67EC"/>
    <w:rsid w:val="00EA7C98"/>
    <w:rsid w:val="00EA7F79"/>
    <w:rsid w:val="00EB00DD"/>
    <w:rsid w:val="00EB094C"/>
    <w:rsid w:val="00EB27AF"/>
    <w:rsid w:val="00EB28AD"/>
    <w:rsid w:val="00EB2E48"/>
    <w:rsid w:val="00EB3DDD"/>
    <w:rsid w:val="00EB4767"/>
    <w:rsid w:val="00EB4876"/>
    <w:rsid w:val="00EB4FFF"/>
    <w:rsid w:val="00EB545D"/>
    <w:rsid w:val="00EB5931"/>
    <w:rsid w:val="00EB5B3C"/>
    <w:rsid w:val="00EB63E5"/>
    <w:rsid w:val="00EB6AB0"/>
    <w:rsid w:val="00EC28C6"/>
    <w:rsid w:val="00EC3E8D"/>
    <w:rsid w:val="00EC4CF4"/>
    <w:rsid w:val="00EC50EA"/>
    <w:rsid w:val="00EC594B"/>
    <w:rsid w:val="00EC5D5A"/>
    <w:rsid w:val="00EC697D"/>
    <w:rsid w:val="00EC72E8"/>
    <w:rsid w:val="00EC7368"/>
    <w:rsid w:val="00ED00EC"/>
    <w:rsid w:val="00ED026B"/>
    <w:rsid w:val="00ED04F6"/>
    <w:rsid w:val="00ED05A4"/>
    <w:rsid w:val="00ED1296"/>
    <w:rsid w:val="00ED25BE"/>
    <w:rsid w:val="00ED28FC"/>
    <w:rsid w:val="00ED2DF1"/>
    <w:rsid w:val="00ED5125"/>
    <w:rsid w:val="00ED585D"/>
    <w:rsid w:val="00ED59E8"/>
    <w:rsid w:val="00ED5B9F"/>
    <w:rsid w:val="00ED7783"/>
    <w:rsid w:val="00ED7F96"/>
    <w:rsid w:val="00EE06CD"/>
    <w:rsid w:val="00EE109B"/>
    <w:rsid w:val="00EE1327"/>
    <w:rsid w:val="00EE1B6C"/>
    <w:rsid w:val="00EE258A"/>
    <w:rsid w:val="00EE2EB3"/>
    <w:rsid w:val="00EE3184"/>
    <w:rsid w:val="00EE4F2F"/>
    <w:rsid w:val="00EE57AE"/>
    <w:rsid w:val="00EE5C50"/>
    <w:rsid w:val="00EE5E79"/>
    <w:rsid w:val="00EE6347"/>
    <w:rsid w:val="00EE68EB"/>
    <w:rsid w:val="00EE697B"/>
    <w:rsid w:val="00EE7015"/>
    <w:rsid w:val="00EE714E"/>
    <w:rsid w:val="00EF018F"/>
    <w:rsid w:val="00EF063D"/>
    <w:rsid w:val="00EF0907"/>
    <w:rsid w:val="00EF0C14"/>
    <w:rsid w:val="00EF1D66"/>
    <w:rsid w:val="00EF2D19"/>
    <w:rsid w:val="00EF3E85"/>
    <w:rsid w:val="00EF4668"/>
    <w:rsid w:val="00EF4DB5"/>
    <w:rsid w:val="00EF5A69"/>
    <w:rsid w:val="00EF5B40"/>
    <w:rsid w:val="00EF64F9"/>
    <w:rsid w:val="00EF6900"/>
    <w:rsid w:val="00EF6B63"/>
    <w:rsid w:val="00EF7DB9"/>
    <w:rsid w:val="00F00C19"/>
    <w:rsid w:val="00F0105F"/>
    <w:rsid w:val="00F01C08"/>
    <w:rsid w:val="00F03C2B"/>
    <w:rsid w:val="00F04A01"/>
    <w:rsid w:val="00F04A8F"/>
    <w:rsid w:val="00F04B7F"/>
    <w:rsid w:val="00F05B03"/>
    <w:rsid w:val="00F06506"/>
    <w:rsid w:val="00F06703"/>
    <w:rsid w:val="00F068B6"/>
    <w:rsid w:val="00F06B60"/>
    <w:rsid w:val="00F0765E"/>
    <w:rsid w:val="00F10448"/>
    <w:rsid w:val="00F10A97"/>
    <w:rsid w:val="00F11AF6"/>
    <w:rsid w:val="00F12594"/>
    <w:rsid w:val="00F12B71"/>
    <w:rsid w:val="00F131F6"/>
    <w:rsid w:val="00F14547"/>
    <w:rsid w:val="00F148D9"/>
    <w:rsid w:val="00F162F5"/>
    <w:rsid w:val="00F20830"/>
    <w:rsid w:val="00F20A30"/>
    <w:rsid w:val="00F20B9A"/>
    <w:rsid w:val="00F20D71"/>
    <w:rsid w:val="00F20E6E"/>
    <w:rsid w:val="00F21273"/>
    <w:rsid w:val="00F2162F"/>
    <w:rsid w:val="00F21880"/>
    <w:rsid w:val="00F22688"/>
    <w:rsid w:val="00F22F0B"/>
    <w:rsid w:val="00F2309D"/>
    <w:rsid w:val="00F255AC"/>
    <w:rsid w:val="00F25BD9"/>
    <w:rsid w:val="00F262F3"/>
    <w:rsid w:val="00F26EC1"/>
    <w:rsid w:val="00F27CF3"/>
    <w:rsid w:val="00F304F0"/>
    <w:rsid w:val="00F3067A"/>
    <w:rsid w:val="00F30D65"/>
    <w:rsid w:val="00F30EC3"/>
    <w:rsid w:val="00F31690"/>
    <w:rsid w:val="00F31CF1"/>
    <w:rsid w:val="00F32535"/>
    <w:rsid w:val="00F334CA"/>
    <w:rsid w:val="00F33B4B"/>
    <w:rsid w:val="00F3448A"/>
    <w:rsid w:val="00F34AD3"/>
    <w:rsid w:val="00F3710F"/>
    <w:rsid w:val="00F378A7"/>
    <w:rsid w:val="00F37A4D"/>
    <w:rsid w:val="00F41248"/>
    <w:rsid w:val="00F4154D"/>
    <w:rsid w:val="00F4159E"/>
    <w:rsid w:val="00F41797"/>
    <w:rsid w:val="00F42EA3"/>
    <w:rsid w:val="00F437F3"/>
    <w:rsid w:val="00F4382D"/>
    <w:rsid w:val="00F43EDD"/>
    <w:rsid w:val="00F44C4C"/>
    <w:rsid w:val="00F44F8F"/>
    <w:rsid w:val="00F46863"/>
    <w:rsid w:val="00F505BF"/>
    <w:rsid w:val="00F51776"/>
    <w:rsid w:val="00F517E2"/>
    <w:rsid w:val="00F518A7"/>
    <w:rsid w:val="00F51A44"/>
    <w:rsid w:val="00F52AB6"/>
    <w:rsid w:val="00F52F0D"/>
    <w:rsid w:val="00F533D0"/>
    <w:rsid w:val="00F54554"/>
    <w:rsid w:val="00F5459D"/>
    <w:rsid w:val="00F557D2"/>
    <w:rsid w:val="00F55927"/>
    <w:rsid w:val="00F55D43"/>
    <w:rsid w:val="00F55DD8"/>
    <w:rsid w:val="00F56D18"/>
    <w:rsid w:val="00F56FB1"/>
    <w:rsid w:val="00F5762C"/>
    <w:rsid w:val="00F6083F"/>
    <w:rsid w:val="00F61D6F"/>
    <w:rsid w:val="00F625D8"/>
    <w:rsid w:val="00F63266"/>
    <w:rsid w:val="00F644FC"/>
    <w:rsid w:val="00F64D65"/>
    <w:rsid w:val="00F64E06"/>
    <w:rsid w:val="00F652D5"/>
    <w:rsid w:val="00F65364"/>
    <w:rsid w:val="00F663C1"/>
    <w:rsid w:val="00F66709"/>
    <w:rsid w:val="00F668FC"/>
    <w:rsid w:val="00F67C75"/>
    <w:rsid w:val="00F70C40"/>
    <w:rsid w:val="00F70F0D"/>
    <w:rsid w:val="00F715F2"/>
    <w:rsid w:val="00F72072"/>
    <w:rsid w:val="00F724F4"/>
    <w:rsid w:val="00F72CF3"/>
    <w:rsid w:val="00F73C00"/>
    <w:rsid w:val="00F73FDD"/>
    <w:rsid w:val="00F7592A"/>
    <w:rsid w:val="00F75B5E"/>
    <w:rsid w:val="00F75E6F"/>
    <w:rsid w:val="00F75F4E"/>
    <w:rsid w:val="00F77379"/>
    <w:rsid w:val="00F77F60"/>
    <w:rsid w:val="00F80C71"/>
    <w:rsid w:val="00F80D95"/>
    <w:rsid w:val="00F81094"/>
    <w:rsid w:val="00F812C6"/>
    <w:rsid w:val="00F813F0"/>
    <w:rsid w:val="00F81500"/>
    <w:rsid w:val="00F81654"/>
    <w:rsid w:val="00F817D0"/>
    <w:rsid w:val="00F83075"/>
    <w:rsid w:val="00F8522E"/>
    <w:rsid w:val="00F853A0"/>
    <w:rsid w:val="00F85E0B"/>
    <w:rsid w:val="00F86180"/>
    <w:rsid w:val="00F86555"/>
    <w:rsid w:val="00F86626"/>
    <w:rsid w:val="00F86EF4"/>
    <w:rsid w:val="00F87EF1"/>
    <w:rsid w:val="00F905AA"/>
    <w:rsid w:val="00F91111"/>
    <w:rsid w:val="00F914C8"/>
    <w:rsid w:val="00F92016"/>
    <w:rsid w:val="00F92A73"/>
    <w:rsid w:val="00F92FD0"/>
    <w:rsid w:val="00F93A2B"/>
    <w:rsid w:val="00F95FF1"/>
    <w:rsid w:val="00F96934"/>
    <w:rsid w:val="00F97010"/>
    <w:rsid w:val="00F97EBB"/>
    <w:rsid w:val="00FA231B"/>
    <w:rsid w:val="00FA3316"/>
    <w:rsid w:val="00FA3329"/>
    <w:rsid w:val="00FA44E9"/>
    <w:rsid w:val="00FA49C6"/>
    <w:rsid w:val="00FA5455"/>
    <w:rsid w:val="00FA54F8"/>
    <w:rsid w:val="00FA6124"/>
    <w:rsid w:val="00FA631A"/>
    <w:rsid w:val="00FA6335"/>
    <w:rsid w:val="00FA7DFD"/>
    <w:rsid w:val="00FB004C"/>
    <w:rsid w:val="00FB02A9"/>
    <w:rsid w:val="00FB0A5D"/>
    <w:rsid w:val="00FB1252"/>
    <w:rsid w:val="00FB1863"/>
    <w:rsid w:val="00FB2412"/>
    <w:rsid w:val="00FB472A"/>
    <w:rsid w:val="00FB5175"/>
    <w:rsid w:val="00FB52A0"/>
    <w:rsid w:val="00FB6012"/>
    <w:rsid w:val="00FB7007"/>
    <w:rsid w:val="00FB704A"/>
    <w:rsid w:val="00FB76EC"/>
    <w:rsid w:val="00FB774A"/>
    <w:rsid w:val="00FC0314"/>
    <w:rsid w:val="00FC219D"/>
    <w:rsid w:val="00FC2FB0"/>
    <w:rsid w:val="00FC3301"/>
    <w:rsid w:val="00FC3A2D"/>
    <w:rsid w:val="00FC4E30"/>
    <w:rsid w:val="00FC58F2"/>
    <w:rsid w:val="00FC6A9C"/>
    <w:rsid w:val="00FC7832"/>
    <w:rsid w:val="00FC7A28"/>
    <w:rsid w:val="00FD12E8"/>
    <w:rsid w:val="00FD14EF"/>
    <w:rsid w:val="00FD2271"/>
    <w:rsid w:val="00FD32E8"/>
    <w:rsid w:val="00FD403E"/>
    <w:rsid w:val="00FD4932"/>
    <w:rsid w:val="00FD4F1C"/>
    <w:rsid w:val="00FD519E"/>
    <w:rsid w:val="00FD5A30"/>
    <w:rsid w:val="00FD5ECE"/>
    <w:rsid w:val="00FD67F4"/>
    <w:rsid w:val="00FD6C2C"/>
    <w:rsid w:val="00FD7FED"/>
    <w:rsid w:val="00FE057D"/>
    <w:rsid w:val="00FE0EBF"/>
    <w:rsid w:val="00FE26C8"/>
    <w:rsid w:val="00FE2998"/>
    <w:rsid w:val="00FE2DC1"/>
    <w:rsid w:val="00FE2F38"/>
    <w:rsid w:val="00FE3363"/>
    <w:rsid w:val="00FE33CD"/>
    <w:rsid w:val="00FE3680"/>
    <w:rsid w:val="00FE4591"/>
    <w:rsid w:val="00FE495C"/>
    <w:rsid w:val="00FE5642"/>
    <w:rsid w:val="00FE581D"/>
    <w:rsid w:val="00FE7754"/>
    <w:rsid w:val="00FE799C"/>
    <w:rsid w:val="00FE7BF4"/>
    <w:rsid w:val="00FF0808"/>
    <w:rsid w:val="00FF099F"/>
    <w:rsid w:val="00FF17AC"/>
    <w:rsid w:val="00FF1BCF"/>
    <w:rsid w:val="00FF2069"/>
    <w:rsid w:val="00FF22A7"/>
    <w:rsid w:val="00FF2819"/>
    <w:rsid w:val="00FF5093"/>
    <w:rsid w:val="00FF66D1"/>
    <w:rsid w:val="00FF6775"/>
    <w:rsid w:val="00FF6A33"/>
    <w:rsid w:val="00FF7068"/>
    <w:rsid w:val="00FF7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A5543"/>
  <w15:chartTrackingRefBased/>
  <w15:docId w15:val="{400595D0-8BDD-4431-9990-3A92CA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E54"/>
    <w:pPr>
      <w:ind w:left="720"/>
      <w:contextualSpacing/>
    </w:pPr>
  </w:style>
  <w:style w:type="paragraph" w:styleId="Encabezado">
    <w:name w:val="header"/>
    <w:basedOn w:val="Normal"/>
    <w:link w:val="EncabezadoCar"/>
    <w:uiPriority w:val="99"/>
    <w:unhideWhenUsed/>
    <w:rsid w:val="0031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53"/>
  </w:style>
  <w:style w:type="paragraph" w:styleId="Piedepgina">
    <w:name w:val="footer"/>
    <w:basedOn w:val="Normal"/>
    <w:link w:val="PiedepginaCar"/>
    <w:uiPriority w:val="99"/>
    <w:unhideWhenUsed/>
    <w:rsid w:val="0031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53"/>
  </w:style>
  <w:style w:type="table" w:styleId="Tablaconcuadrcula">
    <w:name w:val="Table Grid"/>
    <w:basedOn w:val="Tablanormal"/>
    <w:uiPriority w:val="39"/>
    <w:rsid w:val="008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E054A1"/>
    <w:rPr>
      <w:rFonts w:ascii="Arial" w:hAnsi="Arial" w:cs="Arial"/>
      <w:sz w:val="18"/>
      <w:lang w:val="es-ES" w:eastAsia="es-ES"/>
    </w:rPr>
  </w:style>
  <w:style w:type="paragraph" w:customStyle="1" w:styleId="Texto">
    <w:name w:val="Texto"/>
    <w:basedOn w:val="Normal"/>
    <w:link w:val="TextoCar"/>
    <w:qFormat/>
    <w:rsid w:val="00E054A1"/>
    <w:pPr>
      <w:spacing w:after="101" w:line="216" w:lineRule="exact"/>
      <w:ind w:firstLine="288"/>
      <w:jc w:val="both"/>
    </w:pPr>
    <w:rPr>
      <w:rFonts w:ascii="Arial" w:hAnsi="Arial" w:cs="Arial"/>
      <w:sz w:val="18"/>
      <w:lang w:val="es-ES" w:eastAsia="es-ES"/>
    </w:rPr>
  </w:style>
  <w:style w:type="character" w:customStyle="1" w:styleId="ROMANOSCar">
    <w:name w:val="ROMANOS Car"/>
    <w:link w:val="ROMANOS"/>
    <w:locked/>
    <w:rsid w:val="00E054A1"/>
    <w:rPr>
      <w:rFonts w:ascii="Arial" w:hAnsi="Arial" w:cs="Arial"/>
      <w:sz w:val="18"/>
      <w:szCs w:val="18"/>
      <w:lang w:val="es-ES" w:eastAsia="es-ES"/>
    </w:rPr>
  </w:style>
  <w:style w:type="paragraph" w:customStyle="1" w:styleId="ROMANOS">
    <w:name w:val="ROMANOS"/>
    <w:basedOn w:val="Normal"/>
    <w:link w:val="ROMANOSCar"/>
    <w:rsid w:val="00E054A1"/>
    <w:pPr>
      <w:tabs>
        <w:tab w:val="left" w:pos="720"/>
      </w:tabs>
      <w:spacing w:after="101" w:line="216" w:lineRule="exact"/>
      <w:ind w:left="720" w:hanging="432"/>
      <w:jc w:val="both"/>
    </w:pPr>
    <w:rPr>
      <w:rFonts w:ascii="Arial" w:hAnsi="Arial" w:cs="Arial"/>
      <w:sz w:val="18"/>
      <w:szCs w:val="18"/>
      <w:lang w:val="es-ES" w:eastAsia="es-ES"/>
    </w:rPr>
  </w:style>
  <w:style w:type="paragraph" w:styleId="Textodeglobo">
    <w:name w:val="Balloon Text"/>
    <w:basedOn w:val="Normal"/>
    <w:link w:val="TextodegloboCar"/>
    <w:uiPriority w:val="99"/>
    <w:semiHidden/>
    <w:unhideWhenUsed/>
    <w:rsid w:val="00F41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0629">
      <w:bodyDiv w:val="1"/>
      <w:marLeft w:val="0"/>
      <w:marRight w:val="0"/>
      <w:marTop w:val="0"/>
      <w:marBottom w:val="0"/>
      <w:divBdr>
        <w:top w:val="none" w:sz="0" w:space="0" w:color="auto"/>
        <w:left w:val="none" w:sz="0" w:space="0" w:color="auto"/>
        <w:bottom w:val="none" w:sz="0" w:space="0" w:color="auto"/>
        <w:right w:val="none" w:sz="0" w:space="0" w:color="auto"/>
      </w:divBdr>
    </w:div>
    <w:div w:id="119887737">
      <w:bodyDiv w:val="1"/>
      <w:marLeft w:val="0"/>
      <w:marRight w:val="0"/>
      <w:marTop w:val="0"/>
      <w:marBottom w:val="0"/>
      <w:divBdr>
        <w:top w:val="none" w:sz="0" w:space="0" w:color="auto"/>
        <w:left w:val="none" w:sz="0" w:space="0" w:color="auto"/>
        <w:bottom w:val="none" w:sz="0" w:space="0" w:color="auto"/>
        <w:right w:val="none" w:sz="0" w:space="0" w:color="auto"/>
      </w:divBdr>
    </w:div>
    <w:div w:id="146940936">
      <w:bodyDiv w:val="1"/>
      <w:marLeft w:val="0"/>
      <w:marRight w:val="0"/>
      <w:marTop w:val="0"/>
      <w:marBottom w:val="0"/>
      <w:divBdr>
        <w:top w:val="none" w:sz="0" w:space="0" w:color="auto"/>
        <w:left w:val="none" w:sz="0" w:space="0" w:color="auto"/>
        <w:bottom w:val="none" w:sz="0" w:space="0" w:color="auto"/>
        <w:right w:val="none" w:sz="0" w:space="0" w:color="auto"/>
      </w:divBdr>
    </w:div>
    <w:div w:id="195429987">
      <w:bodyDiv w:val="1"/>
      <w:marLeft w:val="0"/>
      <w:marRight w:val="0"/>
      <w:marTop w:val="0"/>
      <w:marBottom w:val="0"/>
      <w:divBdr>
        <w:top w:val="none" w:sz="0" w:space="0" w:color="auto"/>
        <w:left w:val="none" w:sz="0" w:space="0" w:color="auto"/>
        <w:bottom w:val="none" w:sz="0" w:space="0" w:color="auto"/>
        <w:right w:val="none" w:sz="0" w:space="0" w:color="auto"/>
      </w:divBdr>
    </w:div>
    <w:div w:id="202834211">
      <w:bodyDiv w:val="1"/>
      <w:marLeft w:val="0"/>
      <w:marRight w:val="0"/>
      <w:marTop w:val="0"/>
      <w:marBottom w:val="0"/>
      <w:divBdr>
        <w:top w:val="none" w:sz="0" w:space="0" w:color="auto"/>
        <w:left w:val="none" w:sz="0" w:space="0" w:color="auto"/>
        <w:bottom w:val="none" w:sz="0" w:space="0" w:color="auto"/>
        <w:right w:val="none" w:sz="0" w:space="0" w:color="auto"/>
      </w:divBdr>
    </w:div>
    <w:div w:id="207035586">
      <w:bodyDiv w:val="1"/>
      <w:marLeft w:val="0"/>
      <w:marRight w:val="0"/>
      <w:marTop w:val="0"/>
      <w:marBottom w:val="0"/>
      <w:divBdr>
        <w:top w:val="none" w:sz="0" w:space="0" w:color="auto"/>
        <w:left w:val="none" w:sz="0" w:space="0" w:color="auto"/>
        <w:bottom w:val="none" w:sz="0" w:space="0" w:color="auto"/>
        <w:right w:val="none" w:sz="0" w:space="0" w:color="auto"/>
      </w:divBdr>
    </w:div>
    <w:div w:id="218250082">
      <w:bodyDiv w:val="1"/>
      <w:marLeft w:val="0"/>
      <w:marRight w:val="0"/>
      <w:marTop w:val="0"/>
      <w:marBottom w:val="0"/>
      <w:divBdr>
        <w:top w:val="none" w:sz="0" w:space="0" w:color="auto"/>
        <w:left w:val="none" w:sz="0" w:space="0" w:color="auto"/>
        <w:bottom w:val="none" w:sz="0" w:space="0" w:color="auto"/>
        <w:right w:val="none" w:sz="0" w:space="0" w:color="auto"/>
      </w:divBdr>
    </w:div>
    <w:div w:id="399789810">
      <w:bodyDiv w:val="1"/>
      <w:marLeft w:val="0"/>
      <w:marRight w:val="0"/>
      <w:marTop w:val="0"/>
      <w:marBottom w:val="0"/>
      <w:divBdr>
        <w:top w:val="none" w:sz="0" w:space="0" w:color="auto"/>
        <w:left w:val="none" w:sz="0" w:space="0" w:color="auto"/>
        <w:bottom w:val="none" w:sz="0" w:space="0" w:color="auto"/>
        <w:right w:val="none" w:sz="0" w:space="0" w:color="auto"/>
      </w:divBdr>
    </w:div>
    <w:div w:id="431170913">
      <w:bodyDiv w:val="1"/>
      <w:marLeft w:val="0"/>
      <w:marRight w:val="0"/>
      <w:marTop w:val="0"/>
      <w:marBottom w:val="0"/>
      <w:divBdr>
        <w:top w:val="none" w:sz="0" w:space="0" w:color="auto"/>
        <w:left w:val="none" w:sz="0" w:space="0" w:color="auto"/>
        <w:bottom w:val="none" w:sz="0" w:space="0" w:color="auto"/>
        <w:right w:val="none" w:sz="0" w:space="0" w:color="auto"/>
      </w:divBdr>
    </w:div>
    <w:div w:id="438573494">
      <w:bodyDiv w:val="1"/>
      <w:marLeft w:val="0"/>
      <w:marRight w:val="0"/>
      <w:marTop w:val="0"/>
      <w:marBottom w:val="0"/>
      <w:divBdr>
        <w:top w:val="none" w:sz="0" w:space="0" w:color="auto"/>
        <w:left w:val="none" w:sz="0" w:space="0" w:color="auto"/>
        <w:bottom w:val="none" w:sz="0" w:space="0" w:color="auto"/>
        <w:right w:val="none" w:sz="0" w:space="0" w:color="auto"/>
      </w:divBdr>
    </w:div>
    <w:div w:id="466168961">
      <w:bodyDiv w:val="1"/>
      <w:marLeft w:val="0"/>
      <w:marRight w:val="0"/>
      <w:marTop w:val="0"/>
      <w:marBottom w:val="0"/>
      <w:divBdr>
        <w:top w:val="none" w:sz="0" w:space="0" w:color="auto"/>
        <w:left w:val="none" w:sz="0" w:space="0" w:color="auto"/>
        <w:bottom w:val="none" w:sz="0" w:space="0" w:color="auto"/>
        <w:right w:val="none" w:sz="0" w:space="0" w:color="auto"/>
      </w:divBdr>
    </w:div>
    <w:div w:id="484442542">
      <w:bodyDiv w:val="1"/>
      <w:marLeft w:val="0"/>
      <w:marRight w:val="0"/>
      <w:marTop w:val="0"/>
      <w:marBottom w:val="0"/>
      <w:divBdr>
        <w:top w:val="none" w:sz="0" w:space="0" w:color="auto"/>
        <w:left w:val="none" w:sz="0" w:space="0" w:color="auto"/>
        <w:bottom w:val="none" w:sz="0" w:space="0" w:color="auto"/>
        <w:right w:val="none" w:sz="0" w:space="0" w:color="auto"/>
      </w:divBdr>
    </w:div>
    <w:div w:id="504325845">
      <w:bodyDiv w:val="1"/>
      <w:marLeft w:val="0"/>
      <w:marRight w:val="0"/>
      <w:marTop w:val="0"/>
      <w:marBottom w:val="0"/>
      <w:divBdr>
        <w:top w:val="none" w:sz="0" w:space="0" w:color="auto"/>
        <w:left w:val="none" w:sz="0" w:space="0" w:color="auto"/>
        <w:bottom w:val="none" w:sz="0" w:space="0" w:color="auto"/>
        <w:right w:val="none" w:sz="0" w:space="0" w:color="auto"/>
      </w:divBdr>
    </w:div>
    <w:div w:id="706032823">
      <w:bodyDiv w:val="1"/>
      <w:marLeft w:val="0"/>
      <w:marRight w:val="0"/>
      <w:marTop w:val="0"/>
      <w:marBottom w:val="0"/>
      <w:divBdr>
        <w:top w:val="none" w:sz="0" w:space="0" w:color="auto"/>
        <w:left w:val="none" w:sz="0" w:space="0" w:color="auto"/>
        <w:bottom w:val="none" w:sz="0" w:space="0" w:color="auto"/>
        <w:right w:val="none" w:sz="0" w:space="0" w:color="auto"/>
      </w:divBdr>
    </w:div>
    <w:div w:id="796995675">
      <w:bodyDiv w:val="1"/>
      <w:marLeft w:val="0"/>
      <w:marRight w:val="0"/>
      <w:marTop w:val="0"/>
      <w:marBottom w:val="0"/>
      <w:divBdr>
        <w:top w:val="none" w:sz="0" w:space="0" w:color="auto"/>
        <w:left w:val="none" w:sz="0" w:space="0" w:color="auto"/>
        <w:bottom w:val="none" w:sz="0" w:space="0" w:color="auto"/>
        <w:right w:val="none" w:sz="0" w:space="0" w:color="auto"/>
      </w:divBdr>
    </w:div>
    <w:div w:id="804852519">
      <w:bodyDiv w:val="1"/>
      <w:marLeft w:val="0"/>
      <w:marRight w:val="0"/>
      <w:marTop w:val="0"/>
      <w:marBottom w:val="0"/>
      <w:divBdr>
        <w:top w:val="none" w:sz="0" w:space="0" w:color="auto"/>
        <w:left w:val="none" w:sz="0" w:space="0" w:color="auto"/>
        <w:bottom w:val="none" w:sz="0" w:space="0" w:color="auto"/>
        <w:right w:val="none" w:sz="0" w:space="0" w:color="auto"/>
      </w:divBdr>
    </w:div>
    <w:div w:id="859589252">
      <w:bodyDiv w:val="1"/>
      <w:marLeft w:val="0"/>
      <w:marRight w:val="0"/>
      <w:marTop w:val="0"/>
      <w:marBottom w:val="0"/>
      <w:divBdr>
        <w:top w:val="none" w:sz="0" w:space="0" w:color="auto"/>
        <w:left w:val="none" w:sz="0" w:space="0" w:color="auto"/>
        <w:bottom w:val="none" w:sz="0" w:space="0" w:color="auto"/>
        <w:right w:val="none" w:sz="0" w:space="0" w:color="auto"/>
      </w:divBdr>
    </w:div>
    <w:div w:id="876626718">
      <w:bodyDiv w:val="1"/>
      <w:marLeft w:val="0"/>
      <w:marRight w:val="0"/>
      <w:marTop w:val="0"/>
      <w:marBottom w:val="0"/>
      <w:divBdr>
        <w:top w:val="none" w:sz="0" w:space="0" w:color="auto"/>
        <w:left w:val="none" w:sz="0" w:space="0" w:color="auto"/>
        <w:bottom w:val="none" w:sz="0" w:space="0" w:color="auto"/>
        <w:right w:val="none" w:sz="0" w:space="0" w:color="auto"/>
      </w:divBdr>
    </w:div>
    <w:div w:id="1000426860">
      <w:bodyDiv w:val="1"/>
      <w:marLeft w:val="0"/>
      <w:marRight w:val="0"/>
      <w:marTop w:val="0"/>
      <w:marBottom w:val="0"/>
      <w:divBdr>
        <w:top w:val="none" w:sz="0" w:space="0" w:color="auto"/>
        <w:left w:val="none" w:sz="0" w:space="0" w:color="auto"/>
        <w:bottom w:val="none" w:sz="0" w:space="0" w:color="auto"/>
        <w:right w:val="none" w:sz="0" w:space="0" w:color="auto"/>
      </w:divBdr>
    </w:div>
    <w:div w:id="1008408289">
      <w:bodyDiv w:val="1"/>
      <w:marLeft w:val="0"/>
      <w:marRight w:val="0"/>
      <w:marTop w:val="0"/>
      <w:marBottom w:val="0"/>
      <w:divBdr>
        <w:top w:val="none" w:sz="0" w:space="0" w:color="auto"/>
        <w:left w:val="none" w:sz="0" w:space="0" w:color="auto"/>
        <w:bottom w:val="none" w:sz="0" w:space="0" w:color="auto"/>
        <w:right w:val="none" w:sz="0" w:space="0" w:color="auto"/>
      </w:divBdr>
    </w:div>
    <w:div w:id="1023476220">
      <w:bodyDiv w:val="1"/>
      <w:marLeft w:val="0"/>
      <w:marRight w:val="0"/>
      <w:marTop w:val="0"/>
      <w:marBottom w:val="0"/>
      <w:divBdr>
        <w:top w:val="none" w:sz="0" w:space="0" w:color="auto"/>
        <w:left w:val="none" w:sz="0" w:space="0" w:color="auto"/>
        <w:bottom w:val="none" w:sz="0" w:space="0" w:color="auto"/>
        <w:right w:val="none" w:sz="0" w:space="0" w:color="auto"/>
      </w:divBdr>
    </w:div>
    <w:div w:id="1160317170">
      <w:bodyDiv w:val="1"/>
      <w:marLeft w:val="0"/>
      <w:marRight w:val="0"/>
      <w:marTop w:val="0"/>
      <w:marBottom w:val="0"/>
      <w:divBdr>
        <w:top w:val="none" w:sz="0" w:space="0" w:color="auto"/>
        <w:left w:val="none" w:sz="0" w:space="0" w:color="auto"/>
        <w:bottom w:val="none" w:sz="0" w:space="0" w:color="auto"/>
        <w:right w:val="none" w:sz="0" w:space="0" w:color="auto"/>
      </w:divBdr>
    </w:div>
    <w:div w:id="1187675610">
      <w:bodyDiv w:val="1"/>
      <w:marLeft w:val="0"/>
      <w:marRight w:val="0"/>
      <w:marTop w:val="0"/>
      <w:marBottom w:val="0"/>
      <w:divBdr>
        <w:top w:val="none" w:sz="0" w:space="0" w:color="auto"/>
        <w:left w:val="none" w:sz="0" w:space="0" w:color="auto"/>
        <w:bottom w:val="none" w:sz="0" w:space="0" w:color="auto"/>
        <w:right w:val="none" w:sz="0" w:space="0" w:color="auto"/>
      </w:divBdr>
    </w:div>
    <w:div w:id="1225605284">
      <w:bodyDiv w:val="1"/>
      <w:marLeft w:val="0"/>
      <w:marRight w:val="0"/>
      <w:marTop w:val="0"/>
      <w:marBottom w:val="0"/>
      <w:divBdr>
        <w:top w:val="none" w:sz="0" w:space="0" w:color="auto"/>
        <w:left w:val="none" w:sz="0" w:space="0" w:color="auto"/>
        <w:bottom w:val="none" w:sz="0" w:space="0" w:color="auto"/>
        <w:right w:val="none" w:sz="0" w:space="0" w:color="auto"/>
      </w:divBdr>
    </w:div>
    <w:div w:id="1338581759">
      <w:bodyDiv w:val="1"/>
      <w:marLeft w:val="0"/>
      <w:marRight w:val="0"/>
      <w:marTop w:val="0"/>
      <w:marBottom w:val="0"/>
      <w:divBdr>
        <w:top w:val="none" w:sz="0" w:space="0" w:color="auto"/>
        <w:left w:val="none" w:sz="0" w:space="0" w:color="auto"/>
        <w:bottom w:val="none" w:sz="0" w:space="0" w:color="auto"/>
        <w:right w:val="none" w:sz="0" w:space="0" w:color="auto"/>
      </w:divBdr>
    </w:div>
    <w:div w:id="1400981737">
      <w:bodyDiv w:val="1"/>
      <w:marLeft w:val="0"/>
      <w:marRight w:val="0"/>
      <w:marTop w:val="0"/>
      <w:marBottom w:val="0"/>
      <w:divBdr>
        <w:top w:val="none" w:sz="0" w:space="0" w:color="auto"/>
        <w:left w:val="none" w:sz="0" w:space="0" w:color="auto"/>
        <w:bottom w:val="none" w:sz="0" w:space="0" w:color="auto"/>
        <w:right w:val="none" w:sz="0" w:space="0" w:color="auto"/>
      </w:divBdr>
    </w:div>
    <w:div w:id="1414930133">
      <w:bodyDiv w:val="1"/>
      <w:marLeft w:val="0"/>
      <w:marRight w:val="0"/>
      <w:marTop w:val="0"/>
      <w:marBottom w:val="0"/>
      <w:divBdr>
        <w:top w:val="none" w:sz="0" w:space="0" w:color="auto"/>
        <w:left w:val="none" w:sz="0" w:space="0" w:color="auto"/>
        <w:bottom w:val="none" w:sz="0" w:space="0" w:color="auto"/>
        <w:right w:val="none" w:sz="0" w:space="0" w:color="auto"/>
      </w:divBdr>
    </w:div>
    <w:div w:id="1454404229">
      <w:bodyDiv w:val="1"/>
      <w:marLeft w:val="0"/>
      <w:marRight w:val="0"/>
      <w:marTop w:val="0"/>
      <w:marBottom w:val="0"/>
      <w:divBdr>
        <w:top w:val="none" w:sz="0" w:space="0" w:color="auto"/>
        <w:left w:val="none" w:sz="0" w:space="0" w:color="auto"/>
        <w:bottom w:val="none" w:sz="0" w:space="0" w:color="auto"/>
        <w:right w:val="none" w:sz="0" w:space="0" w:color="auto"/>
      </w:divBdr>
    </w:div>
    <w:div w:id="1460763107">
      <w:bodyDiv w:val="1"/>
      <w:marLeft w:val="0"/>
      <w:marRight w:val="0"/>
      <w:marTop w:val="0"/>
      <w:marBottom w:val="0"/>
      <w:divBdr>
        <w:top w:val="none" w:sz="0" w:space="0" w:color="auto"/>
        <w:left w:val="none" w:sz="0" w:space="0" w:color="auto"/>
        <w:bottom w:val="none" w:sz="0" w:space="0" w:color="auto"/>
        <w:right w:val="none" w:sz="0" w:space="0" w:color="auto"/>
      </w:divBdr>
    </w:div>
    <w:div w:id="1465151168">
      <w:bodyDiv w:val="1"/>
      <w:marLeft w:val="0"/>
      <w:marRight w:val="0"/>
      <w:marTop w:val="0"/>
      <w:marBottom w:val="0"/>
      <w:divBdr>
        <w:top w:val="none" w:sz="0" w:space="0" w:color="auto"/>
        <w:left w:val="none" w:sz="0" w:space="0" w:color="auto"/>
        <w:bottom w:val="none" w:sz="0" w:space="0" w:color="auto"/>
        <w:right w:val="none" w:sz="0" w:space="0" w:color="auto"/>
      </w:divBdr>
    </w:div>
    <w:div w:id="1592394953">
      <w:bodyDiv w:val="1"/>
      <w:marLeft w:val="0"/>
      <w:marRight w:val="0"/>
      <w:marTop w:val="0"/>
      <w:marBottom w:val="0"/>
      <w:divBdr>
        <w:top w:val="none" w:sz="0" w:space="0" w:color="auto"/>
        <w:left w:val="none" w:sz="0" w:space="0" w:color="auto"/>
        <w:bottom w:val="none" w:sz="0" w:space="0" w:color="auto"/>
        <w:right w:val="none" w:sz="0" w:space="0" w:color="auto"/>
      </w:divBdr>
    </w:div>
    <w:div w:id="1597178214">
      <w:bodyDiv w:val="1"/>
      <w:marLeft w:val="0"/>
      <w:marRight w:val="0"/>
      <w:marTop w:val="0"/>
      <w:marBottom w:val="0"/>
      <w:divBdr>
        <w:top w:val="none" w:sz="0" w:space="0" w:color="auto"/>
        <w:left w:val="none" w:sz="0" w:space="0" w:color="auto"/>
        <w:bottom w:val="none" w:sz="0" w:space="0" w:color="auto"/>
        <w:right w:val="none" w:sz="0" w:space="0" w:color="auto"/>
      </w:divBdr>
    </w:div>
    <w:div w:id="1603108605">
      <w:bodyDiv w:val="1"/>
      <w:marLeft w:val="0"/>
      <w:marRight w:val="0"/>
      <w:marTop w:val="0"/>
      <w:marBottom w:val="0"/>
      <w:divBdr>
        <w:top w:val="none" w:sz="0" w:space="0" w:color="auto"/>
        <w:left w:val="none" w:sz="0" w:space="0" w:color="auto"/>
        <w:bottom w:val="none" w:sz="0" w:space="0" w:color="auto"/>
        <w:right w:val="none" w:sz="0" w:space="0" w:color="auto"/>
      </w:divBdr>
    </w:div>
    <w:div w:id="1633319646">
      <w:bodyDiv w:val="1"/>
      <w:marLeft w:val="0"/>
      <w:marRight w:val="0"/>
      <w:marTop w:val="0"/>
      <w:marBottom w:val="0"/>
      <w:divBdr>
        <w:top w:val="none" w:sz="0" w:space="0" w:color="auto"/>
        <w:left w:val="none" w:sz="0" w:space="0" w:color="auto"/>
        <w:bottom w:val="none" w:sz="0" w:space="0" w:color="auto"/>
        <w:right w:val="none" w:sz="0" w:space="0" w:color="auto"/>
      </w:divBdr>
    </w:div>
    <w:div w:id="1641837776">
      <w:bodyDiv w:val="1"/>
      <w:marLeft w:val="0"/>
      <w:marRight w:val="0"/>
      <w:marTop w:val="0"/>
      <w:marBottom w:val="0"/>
      <w:divBdr>
        <w:top w:val="none" w:sz="0" w:space="0" w:color="auto"/>
        <w:left w:val="none" w:sz="0" w:space="0" w:color="auto"/>
        <w:bottom w:val="none" w:sz="0" w:space="0" w:color="auto"/>
        <w:right w:val="none" w:sz="0" w:space="0" w:color="auto"/>
      </w:divBdr>
    </w:div>
    <w:div w:id="1663003192">
      <w:bodyDiv w:val="1"/>
      <w:marLeft w:val="0"/>
      <w:marRight w:val="0"/>
      <w:marTop w:val="0"/>
      <w:marBottom w:val="0"/>
      <w:divBdr>
        <w:top w:val="none" w:sz="0" w:space="0" w:color="auto"/>
        <w:left w:val="none" w:sz="0" w:space="0" w:color="auto"/>
        <w:bottom w:val="none" w:sz="0" w:space="0" w:color="auto"/>
        <w:right w:val="none" w:sz="0" w:space="0" w:color="auto"/>
      </w:divBdr>
    </w:div>
    <w:div w:id="1691175837">
      <w:bodyDiv w:val="1"/>
      <w:marLeft w:val="0"/>
      <w:marRight w:val="0"/>
      <w:marTop w:val="0"/>
      <w:marBottom w:val="0"/>
      <w:divBdr>
        <w:top w:val="none" w:sz="0" w:space="0" w:color="auto"/>
        <w:left w:val="none" w:sz="0" w:space="0" w:color="auto"/>
        <w:bottom w:val="none" w:sz="0" w:space="0" w:color="auto"/>
        <w:right w:val="none" w:sz="0" w:space="0" w:color="auto"/>
      </w:divBdr>
    </w:div>
    <w:div w:id="1763988964">
      <w:bodyDiv w:val="1"/>
      <w:marLeft w:val="0"/>
      <w:marRight w:val="0"/>
      <w:marTop w:val="0"/>
      <w:marBottom w:val="0"/>
      <w:divBdr>
        <w:top w:val="none" w:sz="0" w:space="0" w:color="auto"/>
        <w:left w:val="none" w:sz="0" w:space="0" w:color="auto"/>
        <w:bottom w:val="none" w:sz="0" w:space="0" w:color="auto"/>
        <w:right w:val="none" w:sz="0" w:space="0" w:color="auto"/>
      </w:divBdr>
    </w:div>
    <w:div w:id="1875195325">
      <w:bodyDiv w:val="1"/>
      <w:marLeft w:val="0"/>
      <w:marRight w:val="0"/>
      <w:marTop w:val="0"/>
      <w:marBottom w:val="0"/>
      <w:divBdr>
        <w:top w:val="none" w:sz="0" w:space="0" w:color="auto"/>
        <w:left w:val="none" w:sz="0" w:space="0" w:color="auto"/>
        <w:bottom w:val="none" w:sz="0" w:space="0" w:color="auto"/>
        <w:right w:val="none" w:sz="0" w:space="0" w:color="auto"/>
      </w:divBdr>
    </w:div>
    <w:div w:id="2069692997">
      <w:bodyDiv w:val="1"/>
      <w:marLeft w:val="0"/>
      <w:marRight w:val="0"/>
      <w:marTop w:val="0"/>
      <w:marBottom w:val="0"/>
      <w:divBdr>
        <w:top w:val="none" w:sz="0" w:space="0" w:color="auto"/>
        <w:left w:val="none" w:sz="0" w:space="0" w:color="auto"/>
        <w:bottom w:val="none" w:sz="0" w:space="0" w:color="auto"/>
        <w:right w:val="none" w:sz="0" w:space="0" w:color="auto"/>
      </w:divBdr>
    </w:div>
    <w:div w:id="21133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1.emf"/><Relationship Id="rId39" Type="http://schemas.openxmlformats.org/officeDocument/2006/relationships/image" Target="media/image18.emf"/><Relationship Id="rId21" Type="http://schemas.openxmlformats.org/officeDocument/2006/relationships/package" Target="embeddings/Hoja_de_c_lculo_de_Microsoft_Excel3.xlsx"/><Relationship Id="rId34" Type="http://schemas.openxmlformats.org/officeDocument/2006/relationships/image" Target="media/image15.emf"/><Relationship Id="rId42" Type="http://schemas.openxmlformats.org/officeDocument/2006/relationships/package" Target="embeddings/Hoja_de_c_lculo_de_Microsoft_Excel12.xlsx"/><Relationship Id="rId47" Type="http://schemas.openxmlformats.org/officeDocument/2006/relationships/image" Target="media/image23.emf"/><Relationship Id="rId50" Type="http://schemas.openxmlformats.org/officeDocument/2006/relationships/image" Target="media/image26.emf"/><Relationship Id="rId55" Type="http://schemas.openxmlformats.org/officeDocument/2006/relationships/image" Target="media/image30.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package" Target="embeddings/Hoja_de_c_lculo_de_Microsoft_Excel6.xlsx"/><Relationship Id="rId11" Type="http://schemas.openxmlformats.org/officeDocument/2006/relationships/image" Target="media/image1.emf"/><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package" Target="embeddings/Hoja_de_c_lculo_de_Microsoft_Excel10.xlsx"/><Relationship Id="rId40" Type="http://schemas.openxmlformats.org/officeDocument/2006/relationships/package" Target="embeddings/Hoja_de_c_lculo_de_Microsoft_Excel11.xlsx"/><Relationship Id="rId45" Type="http://schemas.openxmlformats.org/officeDocument/2006/relationships/image" Target="media/image21.emf"/><Relationship Id="rId53" Type="http://schemas.openxmlformats.org/officeDocument/2006/relationships/package" Target="embeddings/Hoja_de_c_lculo_de_Microsoft_Excel14.xlsx"/><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package" Target="embeddings/Hoja_de_c_lculo_de_Microsoft_Excel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8.emf"/><Relationship Id="rId27" Type="http://schemas.openxmlformats.org/officeDocument/2006/relationships/package" Target="embeddings/Hoja_de_c_lculo_de_Microsoft_Excel5.xlsx"/><Relationship Id="rId30" Type="http://schemas.openxmlformats.org/officeDocument/2006/relationships/image" Target="media/image13.emf"/><Relationship Id="rId35" Type="http://schemas.openxmlformats.org/officeDocument/2006/relationships/package" Target="embeddings/Hoja_de_c_lculo_de_Microsoft_Excel9.xlsx"/><Relationship Id="rId43" Type="http://schemas.openxmlformats.org/officeDocument/2006/relationships/image" Target="media/image20.emf"/><Relationship Id="rId48" Type="http://schemas.openxmlformats.org/officeDocument/2006/relationships/image" Target="media/image24.emf"/><Relationship Id="rId56" Type="http://schemas.openxmlformats.org/officeDocument/2006/relationships/image" Target="media/image31.emf"/><Relationship Id="rId8" Type="http://schemas.openxmlformats.org/officeDocument/2006/relationships/webSettings" Target="webSettings.xml"/><Relationship Id="rId51" Type="http://schemas.openxmlformats.org/officeDocument/2006/relationships/image" Target="media/image27.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package" Target="embeddings/Hoja_de_c_lculo_de_Microsoft_Excel1.xlsx"/><Relationship Id="rId25" Type="http://schemas.openxmlformats.org/officeDocument/2006/relationships/package" Target="embeddings/Hoja_de_c_lculo_de_Microsoft_Excel4.xlsx"/><Relationship Id="rId33" Type="http://schemas.openxmlformats.org/officeDocument/2006/relationships/package" Target="embeddings/Hoja_de_c_lculo_de_Microsoft_Excel8.xlsx"/><Relationship Id="rId38" Type="http://schemas.openxmlformats.org/officeDocument/2006/relationships/image" Target="media/image17.emf"/><Relationship Id="rId46" Type="http://schemas.openxmlformats.org/officeDocument/2006/relationships/image" Target="media/image22.emf"/><Relationship Id="rId20" Type="http://schemas.openxmlformats.org/officeDocument/2006/relationships/image" Target="media/image7.emf"/><Relationship Id="rId41" Type="http://schemas.openxmlformats.org/officeDocument/2006/relationships/image" Target="media/image19.emf"/><Relationship Id="rId54"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image" Target="media/image25.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package" Target="embeddings/Hoja_de_c_lculo_de_Microsoft_Excel7.xlsx"/><Relationship Id="rId44" Type="http://schemas.openxmlformats.org/officeDocument/2006/relationships/package" Target="embeddings/Hoja_de_c_lculo_de_Microsoft_Excel13.xlsx"/><Relationship Id="rId52" Type="http://schemas.openxmlformats.org/officeDocument/2006/relationships/image" Target="media/image2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CAEE22DDB8044B5B2B62E1F050274" ma:contentTypeVersion="14" ma:contentTypeDescription="Create a new document." ma:contentTypeScope="" ma:versionID="bf7cf62a131215c38ca4b2bee7101317">
  <xsd:schema xmlns:xsd="http://www.w3.org/2001/XMLSchema" xmlns:xs="http://www.w3.org/2001/XMLSchema" xmlns:p="http://schemas.microsoft.com/office/2006/metadata/properties" xmlns:ns1="http://schemas.microsoft.com/sharepoint/v3" xmlns:ns3="701610e5-453c-47eb-a170-2a56d3362a70" xmlns:ns4="5d9e3575-cd04-4412-9ac6-d3d8513a0170" targetNamespace="http://schemas.microsoft.com/office/2006/metadata/properties" ma:root="true" ma:fieldsID="daecfc120c4725407ea1872e6f84e4e4" ns1:_="" ns3:_="" ns4:_="">
    <xsd:import namespace="http://schemas.microsoft.com/sharepoint/v3"/>
    <xsd:import namespace="701610e5-453c-47eb-a170-2a56d3362a70"/>
    <xsd:import namespace="5d9e3575-cd04-4412-9ac6-d3d8513a01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610e5-453c-47eb-a170-2a56d3362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e3575-cd04-4412-9ac6-d3d8513a0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273C-1678-4755-987D-2A4D3DA471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3D25B0-C370-41E1-AEA0-1642D395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610e5-453c-47eb-a170-2a56d3362a70"/>
    <ds:schemaRef ds:uri="5d9e3575-cd04-4412-9ac6-d3d8513a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00D0F-4DFA-41AE-9EB4-80A913309863}">
  <ds:schemaRefs>
    <ds:schemaRef ds:uri="http://schemas.microsoft.com/sharepoint/v3/contenttype/forms"/>
  </ds:schemaRefs>
</ds:datastoreItem>
</file>

<file path=customXml/itemProps4.xml><?xml version="1.0" encoding="utf-8"?>
<ds:datastoreItem xmlns:ds="http://schemas.openxmlformats.org/officeDocument/2006/customXml" ds:itemID="{D5FE70DB-D059-4146-B2B9-CD561913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3009</Words>
  <Characters>16555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Soberanis Domínguez</dc:creator>
  <cp:keywords/>
  <dc:description/>
  <cp:lastModifiedBy>Jennifer Estefany Millan Flores</cp:lastModifiedBy>
  <cp:revision>3</cp:revision>
  <cp:lastPrinted>2023-11-08T15:22:00Z</cp:lastPrinted>
  <dcterms:created xsi:type="dcterms:W3CDTF">2024-04-19T18:11:00Z</dcterms:created>
  <dcterms:modified xsi:type="dcterms:W3CDTF">2024-04-19T18:33:00Z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0x010100865CAEE22DDB8044B5B2B62E1F050274</vt:lpwstr>
  </property>
</Properties>
</file>