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E14" w:rsidRDefault="00515E14" w:rsidP="00515E14">
      <w:pPr>
        <w:autoSpaceDE w:val="0"/>
        <w:autoSpaceDN w:val="0"/>
        <w:adjustRightInd w:val="0"/>
        <w:jc w:val="center"/>
        <w:rPr>
          <w:rFonts w:ascii="Barlow" w:hAnsi="Barlow"/>
          <w:b/>
          <w:sz w:val="20"/>
          <w:szCs w:val="20"/>
        </w:rPr>
      </w:pPr>
      <w:r>
        <w:rPr>
          <w:rFonts w:ascii="Barlow" w:hAnsi="Barlow"/>
          <w:b/>
          <w:sz w:val="20"/>
          <w:szCs w:val="20"/>
        </w:rPr>
        <w:t>Notas a los Estados Financieros</w:t>
      </w:r>
    </w:p>
    <w:p w:rsidR="00515E14" w:rsidRDefault="00515E14" w:rsidP="00515E14">
      <w:pPr>
        <w:autoSpaceDE w:val="0"/>
        <w:autoSpaceDN w:val="0"/>
        <w:adjustRightInd w:val="0"/>
        <w:jc w:val="center"/>
        <w:rPr>
          <w:rFonts w:ascii="Barlow" w:hAnsi="Barlow"/>
          <w:b/>
          <w:sz w:val="20"/>
          <w:szCs w:val="20"/>
        </w:rPr>
      </w:pPr>
      <w:r>
        <w:rPr>
          <w:rFonts w:ascii="Barlow" w:hAnsi="Barlow"/>
          <w:b/>
          <w:sz w:val="20"/>
          <w:szCs w:val="20"/>
        </w:rPr>
        <w:t>Al 31 de marzo de 2024</w:t>
      </w:r>
    </w:p>
    <w:p w:rsidR="00515E14" w:rsidRDefault="00515E14" w:rsidP="00515E14">
      <w:pPr>
        <w:autoSpaceDE w:val="0"/>
        <w:autoSpaceDN w:val="0"/>
        <w:adjustRightInd w:val="0"/>
        <w:jc w:val="center"/>
        <w:rPr>
          <w:rFonts w:ascii="Barlow" w:hAnsi="Barlow"/>
          <w:b/>
          <w:sz w:val="20"/>
          <w:szCs w:val="20"/>
        </w:rPr>
      </w:pPr>
      <w:r>
        <w:rPr>
          <w:rFonts w:ascii="Barlow" w:hAnsi="Barlow"/>
          <w:b/>
          <w:sz w:val="20"/>
          <w:szCs w:val="20"/>
        </w:rPr>
        <w:t>(Cifras en Pesos)</w:t>
      </w:r>
    </w:p>
    <w:p w:rsidR="00B30B0E" w:rsidRPr="00515E14" w:rsidRDefault="00B30B0E" w:rsidP="00B30B0E">
      <w:pPr>
        <w:spacing w:after="0" w:line="240" w:lineRule="auto"/>
        <w:jc w:val="center"/>
        <w:rPr>
          <w:rFonts w:ascii="Barlow" w:hAnsi="Barlow" w:cs="Arial"/>
          <w:b/>
          <w:sz w:val="20"/>
          <w:szCs w:val="20"/>
        </w:rPr>
      </w:pPr>
      <w:r w:rsidRPr="00515E14">
        <w:rPr>
          <w:rFonts w:ascii="Barlow" w:hAnsi="Barlow" w:cs="Arial"/>
          <w:b/>
          <w:sz w:val="20"/>
          <w:szCs w:val="20"/>
        </w:rPr>
        <w:tab/>
      </w:r>
    </w:p>
    <w:p w:rsidR="00DE778D" w:rsidRPr="00515E14" w:rsidRDefault="00DE778D" w:rsidP="00DE778D">
      <w:pPr>
        <w:widowControl w:val="0"/>
        <w:autoSpaceDE w:val="0"/>
        <w:autoSpaceDN w:val="0"/>
        <w:adjustRightInd w:val="0"/>
        <w:spacing w:before="26" w:after="0" w:line="240" w:lineRule="auto"/>
        <w:ind w:right="-23"/>
        <w:rPr>
          <w:rFonts w:ascii="Barlow" w:hAnsi="Barlow" w:cs="Calibri"/>
          <w:sz w:val="20"/>
          <w:szCs w:val="20"/>
        </w:rPr>
      </w:pPr>
      <w:r w:rsidRPr="00515E14">
        <w:rPr>
          <w:rFonts w:ascii="Barlow" w:hAnsi="Barlow" w:cs="Calibri"/>
          <w:b/>
          <w:bCs/>
          <w:sz w:val="20"/>
          <w:szCs w:val="20"/>
        </w:rPr>
        <w:t>Ente</w:t>
      </w:r>
      <w:r w:rsidRPr="00515E14">
        <w:rPr>
          <w:rFonts w:ascii="Barlow" w:hAnsi="Barlow" w:cs="Calibri"/>
          <w:b/>
          <w:bCs/>
          <w:spacing w:val="-6"/>
          <w:sz w:val="20"/>
          <w:szCs w:val="20"/>
        </w:rPr>
        <w:t xml:space="preserve"> </w:t>
      </w:r>
      <w:r w:rsidRPr="00515E14">
        <w:rPr>
          <w:rFonts w:ascii="Barlow" w:hAnsi="Barlow" w:cs="Calibri"/>
          <w:b/>
          <w:bCs/>
          <w:sz w:val="20"/>
          <w:szCs w:val="20"/>
        </w:rPr>
        <w:t>Público</w:t>
      </w:r>
      <w:r w:rsidR="00515E14">
        <w:rPr>
          <w:rFonts w:ascii="Barlow" w:hAnsi="Barlow" w:cs="Calibri"/>
          <w:b/>
          <w:bCs/>
          <w:sz w:val="20"/>
          <w:szCs w:val="20"/>
        </w:rPr>
        <w:t xml:space="preserve">: </w:t>
      </w:r>
      <w:r w:rsidR="00515E14">
        <w:rPr>
          <w:rFonts w:ascii="Barlow" w:hAnsi="Barlow" w:cs="Calibri"/>
          <w:b/>
          <w:bCs/>
          <w:spacing w:val="-10"/>
          <w:sz w:val="20"/>
          <w:szCs w:val="20"/>
        </w:rPr>
        <w:t>SERVICIOS DE SALUD DE YUCATÁ</w:t>
      </w:r>
      <w:r w:rsidRPr="00515E14">
        <w:rPr>
          <w:rFonts w:ascii="Barlow" w:hAnsi="Barlow" w:cs="Calibri"/>
          <w:b/>
          <w:bCs/>
          <w:spacing w:val="-10"/>
          <w:sz w:val="20"/>
          <w:szCs w:val="20"/>
        </w:rPr>
        <w:t>N</w:t>
      </w:r>
    </w:p>
    <w:p w:rsidR="00E25D55" w:rsidRPr="0000246B" w:rsidRDefault="00E25D55" w:rsidP="004A3A01">
      <w:pPr>
        <w:widowControl w:val="0"/>
        <w:autoSpaceDE w:val="0"/>
        <w:autoSpaceDN w:val="0"/>
        <w:adjustRightInd w:val="0"/>
        <w:spacing w:before="9" w:after="0" w:line="190" w:lineRule="exact"/>
        <w:rPr>
          <w:rFonts w:cs="Calibri"/>
          <w:sz w:val="20"/>
          <w:szCs w:val="20"/>
        </w:rPr>
      </w:pPr>
    </w:p>
    <w:p w:rsidR="004B0F73" w:rsidRPr="00515E14" w:rsidRDefault="004B0F73" w:rsidP="004B0F73">
      <w:pPr>
        <w:jc w:val="center"/>
        <w:rPr>
          <w:rFonts w:ascii="Barlow" w:hAnsi="Barlow" w:cs="Calibri"/>
          <w:b/>
          <w:sz w:val="20"/>
          <w:szCs w:val="20"/>
        </w:rPr>
      </w:pPr>
      <w:r w:rsidRPr="00515E14">
        <w:rPr>
          <w:rFonts w:ascii="Barlow" w:hAnsi="Barlow" w:cs="Calibri"/>
          <w:b/>
          <w:sz w:val="20"/>
          <w:szCs w:val="20"/>
        </w:rPr>
        <w:t>A.- NOTAS DE GESTIÓN ADMINISTRATIVA</w:t>
      </w:r>
    </w:p>
    <w:p w:rsidR="004B0F73" w:rsidRPr="00515E14" w:rsidRDefault="004B0F73" w:rsidP="004B0F73">
      <w:pPr>
        <w:spacing w:after="0"/>
        <w:rPr>
          <w:rFonts w:ascii="Barlow" w:hAnsi="Barlow" w:cs="Calibri"/>
          <w:b/>
          <w:sz w:val="20"/>
          <w:szCs w:val="20"/>
        </w:rPr>
      </w:pPr>
    </w:p>
    <w:p w:rsidR="004B0F73" w:rsidRPr="00515E14" w:rsidRDefault="004B0F73" w:rsidP="004B0F73">
      <w:pPr>
        <w:spacing w:after="0"/>
        <w:rPr>
          <w:rFonts w:ascii="Barlow" w:hAnsi="Barlow" w:cs="Calibri"/>
          <w:b/>
          <w:sz w:val="20"/>
          <w:szCs w:val="20"/>
        </w:rPr>
      </w:pPr>
      <w:r w:rsidRPr="00515E14">
        <w:rPr>
          <w:rFonts w:ascii="Barlow" w:hAnsi="Barlow" w:cs="Calibri"/>
          <w:b/>
          <w:sz w:val="20"/>
          <w:szCs w:val="20"/>
        </w:rPr>
        <w:t>NOTA 1</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AUTORIZACIÓN E HISTORIA</w:t>
      </w:r>
    </w:p>
    <w:p w:rsidR="004B0F73" w:rsidRPr="00515E14" w:rsidRDefault="004B0F73" w:rsidP="00A171DA">
      <w:pPr>
        <w:spacing w:after="0"/>
        <w:ind w:left="45"/>
        <w:jc w:val="both"/>
        <w:rPr>
          <w:rFonts w:ascii="Barlow" w:hAnsi="Barlow" w:cs="Calibri"/>
          <w:bCs/>
          <w:color w:val="000000"/>
          <w:sz w:val="20"/>
          <w:szCs w:val="20"/>
        </w:rPr>
      </w:pPr>
      <w:r w:rsidRPr="00515E14">
        <w:rPr>
          <w:rFonts w:ascii="Barlow" w:hAnsi="Barlow" w:cs="Calibri"/>
          <w:bCs/>
          <w:color w:val="000000"/>
          <w:sz w:val="20"/>
          <w:szCs w:val="20"/>
        </w:rPr>
        <w:t xml:space="preserve"> Los Servicios de Salud de Yucatán, se crearon como Organismo Descentralizado de la Administración Estatal en la ciudad de Mérida, </w:t>
      </w:r>
      <w:proofErr w:type="spellStart"/>
      <w:r w:rsidRPr="00515E14">
        <w:rPr>
          <w:rFonts w:ascii="Barlow" w:hAnsi="Barlow" w:cs="Calibri"/>
          <w:bCs/>
          <w:color w:val="000000"/>
          <w:sz w:val="20"/>
          <w:szCs w:val="20"/>
        </w:rPr>
        <w:t>Yuc</w:t>
      </w:r>
      <w:proofErr w:type="spellEnd"/>
      <w:r w:rsidRPr="00515E14">
        <w:rPr>
          <w:rFonts w:ascii="Barlow" w:hAnsi="Barlow" w:cs="Calibri"/>
          <w:bCs/>
          <w:color w:val="000000"/>
          <w:sz w:val="20"/>
          <w:szCs w:val="20"/>
        </w:rPr>
        <w:t>. el día 13 de diciembre de 1996, según decreto No. 73 del Gobierno del Estado.</w:t>
      </w:r>
    </w:p>
    <w:p w:rsidR="004B0F73" w:rsidRPr="00515E14" w:rsidRDefault="004B0F73" w:rsidP="004B0F73">
      <w:pPr>
        <w:spacing w:after="0"/>
        <w:rPr>
          <w:rFonts w:ascii="Barlow" w:hAnsi="Barlow" w:cs="Calibri"/>
          <w:b/>
          <w:sz w:val="20"/>
          <w:szCs w:val="20"/>
        </w:rPr>
      </w:pPr>
    </w:p>
    <w:p w:rsidR="004B0F73" w:rsidRPr="00515E14" w:rsidRDefault="004B0F73" w:rsidP="004B0F73">
      <w:pPr>
        <w:spacing w:after="0"/>
        <w:rPr>
          <w:rFonts w:ascii="Barlow" w:hAnsi="Barlow" w:cs="Calibri"/>
          <w:b/>
          <w:bCs/>
          <w:color w:val="000000"/>
          <w:sz w:val="20"/>
          <w:szCs w:val="20"/>
        </w:rPr>
      </w:pPr>
      <w:r w:rsidRPr="00515E14">
        <w:rPr>
          <w:rFonts w:ascii="Barlow" w:hAnsi="Barlow" w:cs="Calibri"/>
          <w:b/>
          <w:bCs/>
          <w:color w:val="000000"/>
          <w:sz w:val="20"/>
          <w:szCs w:val="20"/>
        </w:rPr>
        <w:t>NOTA 2</w:t>
      </w:r>
    </w:p>
    <w:p w:rsidR="004B0F73" w:rsidRPr="00515E14" w:rsidRDefault="004B0F73" w:rsidP="004B0F73">
      <w:pPr>
        <w:spacing w:after="0"/>
        <w:rPr>
          <w:rFonts w:ascii="Barlow" w:hAnsi="Barlow" w:cs="Calibri"/>
          <w:b/>
          <w:bCs/>
          <w:color w:val="000000"/>
          <w:sz w:val="20"/>
          <w:szCs w:val="20"/>
        </w:rPr>
      </w:pPr>
      <w:r w:rsidRPr="00515E14">
        <w:rPr>
          <w:rFonts w:ascii="Barlow" w:hAnsi="Barlow" w:cs="Calibri"/>
          <w:b/>
          <w:bCs/>
          <w:color w:val="000000"/>
          <w:sz w:val="20"/>
          <w:szCs w:val="20"/>
        </w:rPr>
        <w:t>PANORAMA ECONOMICO Y FINANCIERO</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Para su operación los Servicios de Salud de Yucatán, dependen de las condiciones económico-financieras derivadas del Decreto de Presupuesto de Egresos del Estado de Yucatán para el ejercicio</w:t>
      </w:r>
      <w:r w:rsidR="00515E14" w:rsidRPr="00515E14">
        <w:rPr>
          <w:rFonts w:ascii="Barlow" w:hAnsi="Barlow" w:cs="Calibri"/>
          <w:bCs/>
          <w:color w:val="000000"/>
          <w:sz w:val="20"/>
          <w:szCs w:val="20"/>
        </w:rPr>
        <w:t xml:space="preserve"> de que se trate, </w:t>
      </w:r>
      <w:r w:rsidRPr="00515E14">
        <w:rPr>
          <w:rFonts w:ascii="Barlow" w:hAnsi="Barlow" w:cs="Calibri"/>
          <w:bCs/>
          <w:color w:val="000000"/>
          <w:sz w:val="20"/>
          <w:szCs w:val="20"/>
        </w:rPr>
        <w:t>siempre apegándose al mismo y a las Leyes y Normas que rigen a la Dependencia y tomando en consideración la salvaguarda y protección de los recursos del Estado.</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NOTA 3</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ORGANIZACIÓN Y OBJETO SOCIAL</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a) Los Servicios de Salud de Yucatán tienen como Objeto Social:</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 xml:space="preserve">Prestar servicios de salud, eficientes y oportunos, a la población abierta del Estado de Yucatán en materia de salubridad general y de regulación y control sanitario, de manera que, se realicen todas aquellas acciones tendientes a garantizar el derecho a la protección a la salud de los habitantes del Estado, </w:t>
      </w:r>
      <w:r w:rsidRPr="00515E14">
        <w:rPr>
          <w:rFonts w:ascii="Barlow" w:hAnsi="Barlow" w:cs="Calibri"/>
          <w:bCs/>
          <w:color w:val="000000"/>
          <w:sz w:val="20"/>
          <w:szCs w:val="20"/>
        </w:rPr>
        <w:lastRenderedPageBreak/>
        <w:t>enfocándose en brindar servicios de atención y, sobre todo prevención, necesarios para contribuir a mejorar las condiciones y calidad de vida y, por consiguiente, al desarrollo social y humano de la población.</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b) Actividades principales:</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Cs/>
          <w:color w:val="000000"/>
          <w:sz w:val="20"/>
          <w:szCs w:val="20"/>
        </w:rPr>
        <w:t xml:space="preserve">  I </w:t>
      </w:r>
      <w:r w:rsidR="00935CC8" w:rsidRPr="00515E14">
        <w:rPr>
          <w:rFonts w:ascii="Barlow" w:hAnsi="Barlow" w:cs="Calibri"/>
          <w:bCs/>
          <w:color w:val="000000"/>
          <w:sz w:val="20"/>
          <w:szCs w:val="20"/>
        </w:rPr>
        <w:t xml:space="preserve"> </w:t>
      </w:r>
      <w:r w:rsidRPr="00515E14">
        <w:rPr>
          <w:rFonts w:ascii="Barlow" w:hAnsi="Barlow" w:cs="Calibri"/>
          <w:bCs/>
          <w:color w:val="000000"/>
          <w:sz w:val="20"/>
          <w:szCs w:val="20"/>
        </w:rPr>
        <w:t xml:space="preserve"> Coadyuvar al funcionamiento y consolidación del Sistema Nacional de Salud y contribuir a la protección de la salud de la población en general</w:t>
      </w:r>
      <w:r w:rsidRPr="00515E14">
        <w:rPr>
          <w:rFonts w:ascii="Barlow" w:hAnsi="Barlow" w:cs="Calibri"/>
          <w:b/>
          <w:bCs/>
          <w:color w:val="000000"/>
          <w:sz w:val="20"/>
          <w:szCs w:val="20"/>
        </w:rPr>
        <w:t>.</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 xml:space="preserve">  II.- Apoyar la ejecución de los programas sectoriales de salud que le correspondan, según sus funciones y servicios.</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 xml:space="preserve">  III.- Prestar servicios de salud de alta calidad, en t</w:t>
      </w:r>
      <w:r w:rsidR="00935CC8" w:rsidRPr="00515E14">
        <w:rPr>
          <w:rFonts w:ascii="Barlow" w:hAnsi="Barlow" w:cs="Calibri"/>
          <w:bCs/>
          <w:color w:val="000000"/>
          <w:sz w:val="20"/>
          <w:szCs w:val="20"/>
        </w:rPr>
        <w:t xml:space="preserve">odas las especialidades médica </w:t>
      </w:r>
      <w:r w:rsidRPr="00515E14">
        <w:rPr>
          <w:rFonts w:ascii="Barlow" w:hAnsi="Barlow" w:cs="Calibri"/>
          <w:bCs/>
          <w:color w:val="000000"/>
          <w:sz w:val="20"/>
          <w:szCs w:val="20"/>
        </w:rPr>
        <w:t xml:space="preserve">de primer y segundo nivel (servicios de hospitalización) a la </w:t>
      </w:r>
      <w:proofErr w:type="gramStart"/>
      <w:r w:rsidRPr="00515E14">
        <w:rPr>
          <w:rFonts w:ascii="Barlow" w:hAnsi="Barlow" w:cs="Calibri"/>
          <w:bCs/>
          <w:color w:val="000000"/>
          <w:sz w:val="20"/>
          <w:szCs w:val="20"/>
        </w:rPr>
        <w:t>población,</w:t>
      </w:r>
      <w:r w:rsidR="00935CC8" w:rsidRPr="00515E14">
        <w:rPr>
          <w:rFonts w:ascii="Barlow" w:hAnsi="Barlow" w:cs="Calibri"/>
          <w:bCs/>
          <w:color w:val="000000"/>
          <w:sz w:val="20"/>
          <w:szCs w:val="20"/>
        </w:rPr>
        <w:t xml:space="preserve"> </w:t>
      </w:r>
      <w:r w:rsidRPr="00515E14">
        <w:rPr>
          <w:rFonts w:ascii="Barlow" w:hAnsi="Barlow" w:cs="Calibri"/>
          <w:bCs/>
          <w:color w:val="000000"/>
          <w:sz w:val="20"/>
          <w:szCs w:val="20"/>
        </w:rPr>
        <w:t xml:space="preserve">  </w:t>
      </w:r>
      <w:proofErr w:type="gramEnd"/>
      <w:r w:rsidRPr="00515E14">
        <w:rPr>
          <w:rFonts w:ascii="Barlow" w:hAnsi="Barlow" w:cs="Calibri"/>
          <w:bCs/>
          <w:color w:val="000000"/>
          <w:sz w:val="20"/>
          <w:szCs w:val="20"/>
        </w:rPr>
        <w:t>preferentemente</w:t>
      </w:r>
      <w:r w:rsidR="00935CC8" w:rsidRPr="00515E14">
        <w:rPr>
          <w:rFonts w:ascii="Barlow" w:hAnsi="Barlow" w:cs="Calibri"/>
          <w:bCs/>
          <w:color w:val="000000"/>
          <w:sz w:val="20"/>
          <w:szCs w:val="20"/>
        </w:rPr>
        <w:t xml:space="preserve"> de escasos recursos económicos</w:t>
      </w:r>
      <w:r w:rsidRPr="00515E14">
        <w:rPr>
          <w:rFonts w:ascii="Barlow" w:hAnsi="Barlow" w:cs="Calibri"/>
          <w:bCs/>
          <w:color w:val="000000"/>
          <w:sz w:val="20"/>
          <w:szCs w:val="20"/>
        </w:rPr>
        <w:t xml:space="preserve"> que carezcan de Seguridad Social, reduciendo así la mortalidad y ampliando la esperanza de vida.</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c) Ejercicio Fiscal 202</w:t>
      </w:r>
      <w:r w:rsidR="00E1358C" w:rsidRPr="00515E14">
        <w:rPr>
          <w:rFonts w:ascii="Barlow" w:hAnsi="Barlow" w:cs="Calibri"/>
          <w:bCs/>
          <w:color w:val="000000"/>
          <w:sz w:val="20"/>
          <w:szCs w:val="20"/>
        </w:rPr>
        <w:t>4</w:t>
      </w:r>
      <w:r w:rsidRPr="00515E14">
        <w:rPr>
          <w:rFonts w:ascii="Barlow" w:hAnsi="Barlow" w:cs="Calibri"/>
          <w:bCs/>
          <w:color w:val="000000"/>
          <w:sz w:val="20"/>
          <w:szCs w:val="20"/>
        </w:rPr>
        <w:t>:</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-Las cifras contenidas en los Estados Financieros y que se mencionan e</w:t>
      </w:r>
      <w:r w:rsidR="00ED7FAC" w:rsidRPr="00515E14">
        <w:rPr>
          <w:rFonts w:ascii="Barlow" w:hAnsi="Barlow" w:cs="Calibri"/>
          <w:bCs/>
          <w:color w:val="000000"/>
          <w:sz w:val="20"/>
          <w:szCs w:val="20"/>
        </w:rPr>
        <w:t>n estas notas se presentan al 31</w:t>
      </w:r>
      <w:r w:rsidRPr="00515E14">
        <w:rPr>
          <w:rFonts w:ascii="Barlow" w:hAnsi="Barlow" w:cs="Calibri"/>
          <w:bCs/>
          <w:color w:val="000000"/>
          <w:sz w:val="20"/>
          <w:szCs w:val="20"/>
        </w:rPr>
        <w:t xml:space="preserve"> de </w:t>
      </w:r>
      <w:proofErr w:type="gramStart"/>
      <w:r w:rsidR="00ED7FAC" w:rsidRPr="00515E14">
        <w:rPr>
          <w:rFonts w:ascii="Barlow" w:hAnsi="Barlow" w:cs="Calibri"/>
          <w:bCs/>
          <w:color w:val="000000"/>
          <w:sz w:val="20"/>
          <w:szCs w:val="20"/>
        </w:rPr>
        <w:t>Marzo</w:t>
      </w:r>
      <w:proofErr w:type="gramEnd"/>
      <w:r w:rsidRPr="00515E14">
        <w:rPr>
          <w:rFonts w:ascii="Barlow" w:hAnsi="Barlow" w:cs="Calibri"/>
          <w:bCs/>
          <w:color w:val="000000"/>
          <w:sz w:val="20"/>
          <w:szCs w:val="20"/>
        </w:rPr>
        <w:t xml:space="preserve"> del Ejercicio Fiscal 202</w:t>
      </w:r>
      <w:r w:rsidR="00E1358C" w:rsidRPr="00515E14">
        <w:rPr>
          <w:rFonts w:ascii="Barlow" w:hAnsi="Barlow" w:cs="Calibri"/>
          <w:bCs/>
          <w:color w:val="000000"/>
          <w:sz w:val="20"/>
          <w:szCs w:val="20"/>
        </w:rPr>
        <w:t>4</w:t>
      </w:r>
      <w:r w:rsidRPr="00515E14">
        <w:rPr>
          <w:rFonts w:ascii="Barlow" w:hAnsi="Barlow" w:cs="Calibri"/>
          <w:bCs/>
          <w:color w:val="000000"/>
          <w:sz w:val="20"/>
          <w:szCs w:val="20"/>
        </w:rPr>
        <w:t>.</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d) Régimen Jurídico:</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-Los Servicios de Salud de Yucatán está regulado por lo siguiente:</w:t>
      </w:r>
    </w:p>
    <w:p w:rsidR="004B0F73" w:rsidRPr="00515E14" w:rsidRDefault="004B0F73" w:rsidP="004B0F73">
      <w:pPr>
        <w:numPr>
          <w:ilvl w:val="0"/>
          <w:numId w:val="7"/>
        </w:numPr>
        <w:shd w:val="clear" w:color="auto" w:fill="FFFFFF"/>
        <w:spacing w:after="0" w:line="240" w:lineRule="auto"/>
        <w:ind w:left="480"/>
        <w:rPr>
          <w:rFonts w:ascii="Barlow" w:hAnsi="Barlow" w:cs="Calibri"/>
          <w:bCs/>
          <w:color w:val="000000"/>
          <w:sz w:val="20"/>
          <w:szCs w:val="20"/>
        </w:rPr>
      </w:pPr>
      <w:hyperlink r:id="rId8" w:tgtFrame="_blank" w:history="1">
        <w:r w:rsidRPr="00515E14">
          <w:rPr>
            <w:rFonts w:ascii="Barlow" w:hAnsi="Barlow" w:cs="Calibri"/>
            <w:bCs/>
            <w:color w:val="000000"/>
            <w:sz w:val="20"/>
            <w:szCs w:val="20"/>
          </w:rPr>
          <w:t>Constitución Política de los Estados Unidos Mexicanos</w:t>
        </w:r>
      </w:hyperlink>
    </w:p>
    <w:p w:rsidR="004B0F73" w:rsidRPr="00515E14" w:rsidRDefault="004B0F73" w:rsidP="004B0F73">
      <w:pPr>
        <w:numPr>
          <w:ilvl w:val="0"/>
          <w:numId w:val="7"/>
        </w:numPr>
        <w:shd w:val="clear" w:color="auto" w:fill="FFFFFF"/>
        <w:spacing w:before="60" w:after="0" w:line="240" w:lineRule="auto"/>
        <w:ind w:left="480"/>
        <w:rPr>
          <w:rFonts w:ascii="Barlow" w:hAnsi="Barlow" w:cs="Calibri"/>
          <w:bCs/>
          <w:color w:val="000000"/>
          <w:sz w:val="20"/>
          <w:szCs w:val="20"/>
        </w:rPr>
      </w:pPr>
      <w:hyperlink r:id="rId9" w:tgtFrame="_blank" w:history="1">
        <w:r w:rsidRPr="00515E14">
          <w:rPr>
            <w:rFonts w:ascii="Barlow" w:hAnsi="Barlow" w:cs="Calibri"/>
            <w:bCs/>
            <w:color w:val="000000"/>
            <w:sz w:val="20"/>
            <w:szCs w:val="20"/>
          </w:rPr>
          <w:t>Constitución Política del Estado de Yucatán</w:t>
        </w:r>
      </w:hyperlink>
    </w:p>
    <w:p w:rsidR="004B0F73" w:rsidRPr="00515E14" w:rsidRDefault="004B0F73" w:rsidP="004B0F73">
      <w:pPr>
        <w:numPr>
          <w:ilvl w:val="0"/>
          <w:numId w:val="7"/>
        </w:numPr>
        <w:shd w:val="clear" w:color="auto" w:fill="FFFFFF"/>
        <w:spacing w:before="60" w:after="0" w:line="240" w:lineRule="auto"/>
        <w:ind w:left="480"/>
        <w:rPr>
          <w:rFonts w:ascii="Barlow" w:hAnsi="Barlow" w:cs="Calibri"/>
          <w:bCs/>
          <w:color w:val="000000"/>
          <w:sz w:val="20"/>
          <w:szCs w:val="20"/>
        </w:rPr>
      </w:pPr>
      <w:hyperlink r:id="rId10" w:tgtFrame="_blank" w:history="1">
        <w:r w:rsidRPr="00515E14">
          <w:rPr>
            <w:rFonts w:ascii="Barlow" w:hAnsi="Barlow" w:cs="Calibri"/>
            <w:bCs/>
            <w:color w:val="000000"/>
            <w:sz w:val="20"/>
            <w:szCs w:val="20"/>
          </w:rPr>
          <w:t>Ley General Salud</w:t>
        </w:r>
      </w:hyperlink>
    </w:p>
    <w:p w:rsidR="004B0F73" w:rsidRPr="00515E14" w:rsidRDefault="004B0F73" w:rsidP="004B0F73">
      <w:pPr>
        <w:numPr>
          <w:ilvl w:val="0"/>
          <w:numId w:val="7"/>
        </w:numPr>
        <w:shd w:val="clear" w:color="auto" w:fill="FFFFFF"/>
        <w:spacing w:before="60" w:after="0" w:line="240" w:lineRule="auto"/>
        <w:ind w:left="480"/>
        <w:rPr>
          <w:rFonts w:ascii="Barlow" w:hAnsi="Barlow" w:cs="Calibri"/>
          <w:bCs/>
          <w:color w:val="000000"/>
          <w:sz w:val="20"/>
          <w:szCs w:val="20"/>
        </w:rPr>
      </w:pPr>
      <w:hyperlink r:id="rId11" w:tgtFrame="_blank" w:history="1">
        <w:r w:rsidRPr="00515E14">
          <w:rPr>
            <w:rFonts w:ascii="Barlow" w:hAnsi="Barlow" w:cs="Calibri"/>
            <w:bCs/>
            <w:color w:val="000000"/>
            <w:sz w:val="20"/>
            <w:szCs w:val="20"/>
          </w:rPr>
          <w:t>Código de la Administración Pública</w:t>
        </w:r>
      </w:hyperlink>
    </w:p>
    <w:p w:rsidR="004B0F73" w:rsidRPr="00515E14" w:rsidRDefault="004B0F73" w:rsidP="004B0F73">
      <w:pPr>
        <w:numPr>
          <w:ilvl w:val="0"/>
          <w:numId w:val="7"/>
        </w:numPr>
        <w:shd w:val="clear" w:color="auto" w:fill="FFFFFF"/>
        <w:spacing w:before="60" w:after="0" w:line="240" w:lineRule="auto"/>
        <w:ind w:left="480"/>
        <w:rPr>
          <w:rFonts w:ascii="Barlow" w:hAnsi="Barlow" w:cs="Calibri"/>
          <w:bCs/>
          <w:color w:val="000000"/>
          <w:sz w:val="20"/>
          <w:szCs w:val="20"/>
        </w:rPr>
      </w:pPr>
      <w:hyperlink r:id="rId12" w:history="1">
        <w:r w:rsidRPr="00515E14">
          <w:rPr>
            <w:rFonts w:ascii="Barlow" w:hAnsi="Barlow" w:cs="Calibri"/>
            <w:bCs/>
            <w:color w:val="000000"/>
            <w:sz w:val="20"/>
            <w:szCs w:val="20"/>
          </w:rPr>
          <w:t>Ley de Salud del Estado de Yucatán</w:t>
        </w:r>
      </w:hyperlink>
    </w:p>
    <w:p w:rsidR="004B0F73" w:rsidRPr="00515E14" w:rsidRDefault="004B0F73" w:rsidP="004B0F73">
      <w:pPr>
        <w:numPr>
          <w:ilvl w:val="0"/>
          <w:numId w:val="7"/>
        </w:numPr>
        <w:shd w:val="clear" w:color="auto" w:fill="FFFFFF"/>
        <w:spacing w:before="60" w:after="0" w:line="240" w:lineRule="auto"/>
        <w:ind w:left="480"/>
        <w:rPr>
          <w:rFonts w:ascii="Barlow" w:hAnsi="Barlow" w:cs="Calibri"/>
          <w:bCs/>
          <w:color w:val="000000"/>
          <w:sz w:val="20"/>
          <w:szCs w:val="20"/>
        </w:rPr>
      </w:pPr>
      <w:hyperlink r:id="rId13" w:tgtFrame="_blank" w:history="1">
        <w:r w:rsidRPr="00515E14">
          <w:rPr>
            <w:rFonts w:ascii="Barlow" w:hAnsi="Barlow" w:cs="Calibri"/>
            <w:bCs/>
            <w:color w:val="000000"/>
            <w:sz w:val="20"/>
            <w:szCs w:val="20"/>
          </w:rPr>
          <w:t>Decreto de Creación de los Servicios de Salud de Yucatán</w:t>
        </w:r>
      </w:hyperlink>
    </w:p>
    <w:p w:rsidR="004B0F73" w:rsidRPr="00515E14" w:rsidRDefault="004B0F73" w:rsidP="004B0F73">
      <w:pPr>
        <w:numPr>
          <w:ilvl w:val="0"/>
          <w:numId w:val="7"/>
        </w:numPr>
        <w:shd w:val="clear" w:color="auto" w:fill="FFFFFF"/>
        <w:spacing w:before="60" w:after="0" w:line="240" w:lineRule="auto"/>
        <w:ind w:left="480"/>
        <w:rPr>
          <w:rFonts w:ascii="Barlow" w:hAnsi="Barlow" w:cs="Calibri"/>
          <w:bCs/>
          <w:color w:val="000000"/>
          <w:sz w:val="20"/>
          <w:szCs w:val="20"/>
        </w:rPr>
      </w:pPr>
      <w:hyperlink r:id="rId14" w:tgtFrame="_blank" w:history="1">
        <w:r w:rsidRPr="00515E14">
          <w:rPr>
            <w:rFonts w:ascii="Barlow" w:hAnsi="Barlow" w:cs="Calibri"/>
            <w:bCs/>
            <w:color w:val="000000"/>
            <w:sz w:val="20"/>
            <w:szCs w:val="20"/>
          </w:rPr>
          <w:t>Decreto 53 que modifica al 73</w:t>
        </w:r>
      </w:hyperlink>
    </w:p>
    <w:p w:rsidR="004B0F73" w:rsidRPr="00515E14" w:rsidRDefault="004B0F73" w:rsidP="004B0F73">
      <w:pPr>
        <w:numPr>
          <w:ilvl w:val="0"/>
          <w:numId w:val="7"/>
        </w:numPr>
        <w:shd w:val="clear" w:color="auto" w:fill="FFFFFF"/>
        <w:spacing w:before="60" w:after="0" w:line="240" w:lineRule="auto"/>
        <w:ind w:left="480"/>
        <w:rPr>
          <w:rFonts w:ascii="Barlow" w:hAnsi="Barlow" w:cs="Calibri"/>
          <w:bCs/>
          <w:color w:val="000000"/>
          <w:sz w:val="20"/>
          <w:szCs w:val="20"/>
        </w:rPr>
      </w:pPr>
      <w:hyperlink r:id="rId15" w:tgtFrame="_blank" w:history="1">
        <w:r w:rsidRPr="00515E14">
          <w:rPr>
            <w:rFonts w:ascii="Barlow" w:hAnsi="Barlow" w:cs="Calibri"/>
            <w:bCs/>
            <w:color w:val="000000"/>
            <w:sz w:val="20"/>
            <w:szCs w:val="20"/>
          </w:rPr>
          <w:t>Estatuto Orgánico de los Servicios de Salud de Yucatán (Acuerdo SSY 02/2015)</w:t>
        </w:r>
      </w:hyperlink>
    </w:p>
    <w:p w:rsidR="004B0F73" w:rsidRPr="00515E14" w:rsidRDefault="004B0F73" w:rsidP="004B0F73">
      <w:pPr>
        <w:numPr>
          <w:ilvl w:val="0"/>
          <w:numId w:val="7"/>
        </w:numPr>
        <w:shd w:val="clear" w:color="auto" w:fill="FFFFFF"/>
        <w:spacing w:before="60" w:after="0" w:line="240" w:lineRule="auto"/>
        <w:ind w:left="480"/>
        <w:rPr>
          <w:rFonts w:ascii="Barlow" w:hAnsi="Barlow" w:cs="Calibri"/>
          <w:bCs/>
          <w:color w:val="000000"/>
          <w:sz w:val="20"/>
          <w:szCs w:val="20"/>
        </w:rPr>
      </w:pPr>
      <w:hyperlink r:id="rId16" w:tgtFrame="_blank" w:history="1">
        <w:r w:rsidRPr="00515E14">
          <w:rPr>
            <w:rFonts w:ascii="Barlow" w:hAnsi="Barlow" w:cs="Calibri"/>
            <w:bCs/>
            <w:color w:val="000000"/>
            <w:sz w:val="20"/>
            <w:szCs w:val="20"/>
          </w:rPr>
          <w:t>Modificación al Estatuto Orgánico (Acuerdo SSY 04/2016)</w:t>
        </w:r>
      </w:hyperlink>
    </w:p>
    <w:p w:rsidR="004B0F73" w:rsidRPr="00515E14" w:rsidRDefault="004B0F73" w:rsidP="004B0F73">
      <w:pPr>
        <w:numPr>
          <w:ilvl w:val="0"/>
          <w:numId w:val="7"/>
        </w:numPr>
        <w:shd w:val="clear" w:color="auto" w:fill="FFFFFF"/>
        <w:spacing w:before="60" w:after="0" w:line="240" w:lineRule="auto"/>
        <w:ind w:left="480"/>
        <w:rPr>
          <w:rFonts w:ascii="Barlow" w:hAnsi="Barlow" w:cs="Calibri"/>
          <w:bCs/>
          <w:color w:val="000000"/>
          <w:sz w:val="20"/>
          <w:szCs w:val="20"/>
        </w:rPr>
      </w:pPr>
      <w:hyperlink r:id="rId17" w:tgtFrame="_blank" w:history="1">
        <w:r w:rsidRPr="00515E14">
          <w:rPr>
            <w:rFonts w:ascii="Barlow" w:hAnsi="Barlow" w:cs="Calibri"/>
            <w:bCs/>
            <w:color w:val="000000"/>
            <w:sz w:val="20"/>
            <w:szCs w:val="20"/>
          </w:rPr>
          <w:t>Código de Conducta de los Servicios de Salud de Yucatán</w:t>
        </w:r>
      </w:hyperlink>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lastRenderedPageBreak/>
        <w:t>e) Consideraciones Fiscales del ente:</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-Los Servicios de Salud de Yucatán es un Ente Público que tiene las obligaciones fiscales de retener el ISR por concepto de Honorarios por servicios, rentas, al igual que por sueldos y salarios que erogue y enterarlas al SAT.</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f) Estructura Organizacional básica:</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 xml:space="preserve"> Los Servicios de Salud de Yucatán, cuenta con una Estructura Orgánica conformada por una Junta de Gobierno, un Secretario de Salud y Director General de los </w:t>
      </w:r>
      <w:proofErr w:type="gramStart"/>
      <w:r w:rsidRPr="00515E14">
        <w:rPr>
          <w:rFonts w:ascii="Barlow" w:hAnsi="Barlow" w:cs="Calibri"/>
          <w:bCs/>
          <w:color w:val="000000"/>
          <w:sz w:val="20"/>
          <w:szCs w:val="20"/>
        </w:rPr>
        <w:t>SSY,  Dirección</w:t>
      </w:r>
      <w:proofErr w:type="gramEnd"/>
      <w:r w:rsidR="00935CC8" w:rsidRPr="00515E14">
        <w:rPr>
          <w:rFonts w:ascii="Barlow" w:hAnsi="Barlow" w:cs="Calibri"/>
          <w:bCs/>
          <w:color w:val="000000"/>
          <w:sz w:val="20"/>
          <w:szCs w:val="20"/>
        </w:rPr>
        <w:t xml:space="preserve"> </w:t>
      </w:r>
      <w:r w:rsidRPr="00515E14">
        <w:rPr>
          <w:rFonts w:ascii="Barlow" w:hAnsi="Barlow" w:cs="Calibri"/>
          <w:bCs/>
          <w:color w:val="000000"/>
          <w:sz w:val="20"/>
          <w:szCs w:val="20"/>
        </w:rPr>
        <w:t xml:space="preserve">de Administración, Dirección de Finanzas, Dirección Asuntos Jurídicos, Dirección de Planeación y Desarrollo, Dirección de Protección contra Riesgos Sanitarios, Dirección de Prevención y Protección de la Salud,  Dirección de Nutrición y Dirección de Laboratorio Estatal de Salud Pública.  </w:t>
      </w:r>
      <w:proofErr w:type="gramStart"/>
      <w:r w:rsidRPr="00515E14">
        <w:rPr>
          <w:rFonts w:ascii="Barlow" w:hAnsi="Barlow" w:cs="Calibri"/>
          <w:bCs/>
          <w:color w:val="000000"/>
          <w:sz w:val="20"/>
          <w:szCs w:val="20"/>
        </w:rPr>
        <w:t>Asimismo</w:t>
      </w:r>
      <w:proofErr w:type="gramEnd"/>
      <w:r w:rsidRPr="00515E14">
        <w:rPr>
          <w:rFonts w:ascii="Barlow" w:hAnsi="Barlow" w:cs="Calibri"/>
          <w:bCs/>
          <w:color w:val="000000"/>
          <w:sz w:val="20"/>
          <w:szCs w:val="20"/>
        </w:rPr>
        <w:t xml:space="preserve"> cuenta con los Directores de los Diversos Hospitales y Jurisdicciones que conforman esta Entidad, y de cada Dirección emanan las Subdirecciones y jefaturas de las diferentes áreas.</w:t>
      </w:r>
    </w:p>
    <w:p w:rsidR="004B0F73" w:rsidRPr="00515E14" w:rsidRDefault="004B0F73" w:rsidP="004B0F73">
      <w:pPr>
        <w:widowControl w:val="0"/>
        <w:autoSpaceDE w:val="0"/>
        <w:autoSpaceDN w:val="0"/>
        <w:adjustRightInd w:val="0"/>
        <w:spacing w:before="26" w:after="0" w:line="240" w:lineRule="auto"/>
        <w:ind w:right="-20"/>
        <w:rPr>
          <w:rFonts w:ascii="Barlow" w:hAnsi="Barlow" w:cs="Calibri"/>
          <w:bCs/>
          <w:color w:val="000000"/>
          <w:sz w:val="20"/>
          <w:szCs w:val="20"/>
        </w:rPr>
      </w:pPr>
    </w:p>
    <w:p w:rsidR="004B0F73" w:rsidRPr="00515E14" w:rsidRDefault="004B0F73" w:rsidP="004B0F73">
      <w:pPr>
        <w:widowControl w:val="0"/>
        <w:autoSpaceDE w:val="0"/>
        <w:autoSpaceDN w:val="0"/>
        <w:adjustRightInd w:val="0"/>
        <w:spacing w:before="26" w:after="0" w:line="240" w:lineRule="auto"/>
        <w:ind w:right="-20"/>
        <w:rPr>
          <w:rFonts w:ascii="Barlow" w:hAnsi="Barlow" w:cs="Calibri"/>
          <w:bCs/>
          <w:color w:val="000000"/>
          <w:sz w:val="20"/>
          <w:szCs w:val="20"/>
        </w:rPr>
      </w:pPr>
      <w:r w:rsidRPr="00515E14">
        <w:rPr>
          <w:rFonts w:ascii="Barlow" w:hAnsi="Barlow" w:cs="Calibri"/>
          <w:bCs/>
          <w:color w:val="000000"/>
          <w:sz w:val="20"/>
          <w:szCs w:val="20"/>
        </w:rPr>
        <w:t>g) Fideicomisos, mandatos y análogos de los cuales es fideicomitente o fideicomisario:</w:t>
      </w:r>
    </w:p>
    <w:p w:rsidR="004B0F73" w:rsidRPr="00515E14" w:rsidRDefault="004B0F73" w:rsidP="004B0F73">
      <w:pPr>
        <w:widowControl w:val="0"/>
        <w:autoSpaceDE w:val="0"/>
        <w:autoSpaceDN w:val="0"/>
        <w:adjustRightInd w:val="0"/>
        <w:spacing w:before="26" w:after="0" w:line="240" w:lineRule="auto"/>
        <w:ind w:right="-20"/>
        <w:rPr>
          <w:rFonts w:ascii="Barlow" w:hAnsi="Barlow" w:cs="Calibri"/>
          <w:bCs/>
          <w:color w:val="000000"/>
          <w:sz w:val="20"/>
          <w:szCs w:val="20"/>
        </w:rPr>
      </w:pPr>
      <w:r w:rsidRPr="00515E14">
        <w:rPr>
          <w:rFonts w:ascii="Barlow" w:hAnsi="Barlow" w:cs="Calibri"/>
          <w:bCs/>
          <w:color w:val="000000"/>
          <w:sz w:val="20"/>
          <w:szCs w:val="20"/>
        </w:rPr>
        <w:t xml:space="preserve"> Los Servicios de Salud de Yucatán no cuentan con Fideicomisos.</w:t>
      </w:r>
    </w:p>
    <w:p w:rsidR="004B0F73" w:rsidRPr="00515E14" w:rsidRDefault="004B0F73" w:rsidP="004B0F73">
      <w:pPr>
        <w:spacing w:after="0"/>
        <w:jc w:val="both"/>
        <w:rPr>
          <w:rFonts w:ascii="Barlow" w:hAnsi="Barlow" w:cs="Calibri"/>
          <w:b/>
          <w:bCs/>
          <w:color w:val="000000"/>
          <w:sz w:val="20"/>
          <w:szCs w:val="20"/>
        </w:rPr>
      </w:pP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NOTA 4</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BASES DE PREPARACIÓN DE LOS ESTADOS FINANCIEROS</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 xml:space="preserve">Para la preparación de los Estados Financieros se tomó como base la Ley de Contabilidad Gubernamental así como también </w:t>
      </w:r>
      <w:proofErr w:type="gramStart"/>
      <w:r w:rsidRPr="00515E14">
        <w:rPr>
          <w:rFonts w:ascii="Barlow" w:hAnsi="Barlow" w:cs="Calibri"/>
          <w:bCs/>
          <w:color w:val="000000"/>
          <w:sz w:val="20"/>
          <w:szCs w:val="20"/>
        </w:rPr>
        <w:t>regularizándose  con</w:t>
      </w:r>
      <w:proofErr w:type="gramEnd"/>
      <w:r w:rsidRPr="00515E14">
        <w:rPr>
          <w:rFonts w:ascii="Barlow" w:hAnsi="Barlow" w:cs="Calibri"/>
          <w:bCs/>
          <w:color w:val="000000"/>
          <w:sz w:val="20"/>
          <w:szCs w:val="20"/>
        </w:rPr>
        <w:t xml:space="preserve"> apego a la normatividad emitida por  CONAC y las disposiciones legales aplicables.</w:t>
      </w:r>
    </w:p>
    <w:p w:rsidR="004B0F73" w:rsidRPr="00515E14" w:rsidRDefault="004B0F73" w:rsidP="004B0F73">
      <w:pPr>
        <w:spacing w:after="0"/>
        <w:jc w:val="both"/>
        <w:rPr>
          <w:rFonts w:ascii="Barlow" w:hAnsi="Barlow" w:cs="Calibri"/>
          <w:b/>
          <w:bCs/>
          <w:color w:val="000000"/>
          <w:sz w:val="20"/>
          <w:szCs w:val="20"/>
        </w:rPr>
      </w:pP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NOTA 5</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POLITICAS DE CONTABILIDAD SIGNIFICATIVAS</w:t>
      </w:r>
    </w:p>
    <w:p w:rsidR="004B0F73" w:rsidRPr="00515E14" w:rsidRDefault="004B0F73" w:rsidP="004B0F73">
      <w:pPr>
        <w:spacing w:after="0"/>
        <w:jc w:val="both"/>
        <w:rPr>
          <w:rFonts w:ascii="Barlow" w:hAnsi="Barlow" w:cs="Calibri"/>
          <w:b/>
          <w:bCs/>
          <w:color w:val="000000"/>
          <w:sz w:val="20"/>
          <w:szCs w:val="20"/>
        </w:rPr>
      </w:pP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
          <w:bCs/>
          <w:color w:val="000000"/>
          <w:sz w:val="20"/>
          <w:szCs w:val="20"/>
        </w:rPr>
        <w:t xml:space="preserve">a) </w:t>
      </w:r>
      <w:r w:rsidRPr="00515E14">
        <w:rPr>
          <w:rFonts w:ascii="Barlow" w:hAnsi="Barlow" w:cs="Calibri"/>
          <w:bCs/>
          <w:color w:val="000000"/>
          <w:sz w:val="20"/>
          <w:szCs w:val="20"/>
        </w:rPr>
        <w:t xml:space="preserve">Los Estados Financieros de los Servicios de Salud de Yucatán no reconocen los efectos de la inflación, toda vez que de conformidad con lo previsto en las Principales Reglas de Registro y Valoración del Patrimonio (elementos generales), no nos encontramos dentro de un entorno inflacionario. </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 xml:space="preserve">b) Los Servicios de Salud de </w:t>
      </w:r>
      <w:proofErr w:type="gramStart"/>
      <w:r w:rsidRPr="00515E14">
        <w:rPr>
          <w:rFonts w:ascii="Barlow" w:hAnsi="Barlow" w:cs="Calibri"/>
          <w:bCs/>
          <w:color w:val="000000"/>
          <w:sz w:val="20"/>
          <w:szCs w:val="20"/>
        </w:rPr>
        <w:t>Yucatán  no</w:t>
      </w:r>
      <w:proofErr w:type="gramEnd"/>
      <w:r w:rsidRPr="00515E14">
        <w:rPr>
          <w:rFonts w:ascii="Barlow" w:hAnsi="Barlow" w:cs="Calibri"/>
          <w:bCs/>
          <w:color w:val="000000"/>
          <w:sz w:val="20"/>
          <w:szCs w:val="20"/>
        </w:rPr>
        <w:t xml:space="preserve"> realizaron operaciones en el extranjero.</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
          <w:bCs/>
          <w:color w:val="000000"/>
          <w:sz w:val="20"/>
          <w:szCs w:val="20"/>
        </w:rPr>
        <w:t>c</w:t>
      </w:r>
      <w:r w:rsidRPr="00515E14">
        <w:rPr>
          <w:rFonts w:ascii="Barlow" w:hAnsi="Barlow" w:cs="Calibri"/>
          <w:bCs/>
          <w:color w:val="000000"/>
          <w:sz w:val="20"/>
          <w:szCs w:val="20"/>
        </w:rPr>
        <w:t>) Los Servicios de Salud de Yucatán no tienen Inversiones en Acciones de Compañías Subsidiarias</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d) Los Servicios de Salud de Yucatán no cuentan con inventarios de mercancías para venta.</w:t>
      </w:r>
    </w:p>
    <w:p w:rsidR="004B0F73" w:rsidRPr="00515E14" w:rsidRDefault="004B0F73" w:rsidP="004B0F73">
      <w:pPr>
        <w:spacing w:after="0"/>
        <w:jc w:val="both"/>
        <w:rPr>
          <w:rFonts w:ascii="Barlow" w:hAnsi="Barlow" w:cs="Calibri"/>
          <w:b/>
          <w:bCs/>
          <w:color w:val="000000"/>
          <w:sz w:val="20"/>
          <w:szCs w:val="20"/>
        </w:rPr>
      </w:pP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e) El cálculo de la reserva actuarial, la realiza el Instituto de Seguridad de los Trabajadores al Servicio del Estado, órgano descentralizado del Sector Central.</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rPr>
          <w:rFonts w:ascii="Barlow" w:hAnsi="Barlow" w:cs="Calibri"/>
          <w:bCs/>
          <w:color w:val="000000"/>
          <w:sz w:val="20"/>
          <w:szCs w:val="20"/>
        </w:rPr>
      </w:pPr>
      <w:r w:rsidRPr="00515E14">
        <w:rPr>
          <w:rFonts w:ascii="Barlow" w:hAnsi="Barlow" w:cs="Calibri"/>
          <w:bCs/>
          <w:color w:val="000000"/>
          <w:sz w:val="20"/>
          <w:szCs w:val="20"/>
        </w:rPr>
        <w:t>f) Los Estados Financieros no presentan registros de creación o aumento de reservas.</w:t>
      </w:r>
    </w:p>
    <w:p w:rsidR="004B0F73" w:rsidRPr="00515E14" w:rsidRDefault="00871E4A" w:rsidP="004B0F73">
      <w:pPr>
        <w:rPr>
          <w:rFonts w:ascii="Barlow" w:hAnsi="Barlow" w:cs="Calibri"/>
          <w:bCs/>
          <w:color w:val="000000"/>
          <w:sz w:val="20"/>
          <w:szCs w:val="20"/>
        </w:rPr>
      </w:pPr>
      <w:r w:rsidRPr="00515E14">
        <w:rPr>
          <w:rFonts w:ascii="Barlow" w:hAnsi="Barlow" w:cs="Calibri"/>
          <w:bCs/>
          <w:color w:val="000000"/>
          <w:sz w:val="20"/>
          <w:szCs w:val="20"/>
        </w:rPr>
        <w:t>g</w:t>
      </w:r>
      <w:r w:rsidR="004B0F73" w:rsidRPr="00515E14">
        <w:rPr>
          <w:rFonts w:ascii="Barlow" w:hAnsi="Barlow" w:cs="Calibri"/>
          <w:bCs/>
          <w:color w:val="000000"/>
          <w:sz w:val="20"/>
          <w:szCs w:val="20"/>
        </w:rPr>
        <w:t>) No se realizaron cambios contables durante el ejercicio.</w:t>
      </w:r>
    </w:p>
    <w:p w:rsidR="004B0F73" w:rsidRPr="00515E14" w:rsidRDefault="00871E4A" w:rsidP="004B0F73">
      <w:pPr>
        <w:rPr>
          <w:rFonts w:ascii="Barlow" w:hAnsi="Barlow" w:cs="Calibri"/>
          <w:bCs/>
          <w:color w:val="000000"/>
          <w:sz w:val="20"/>
          <w:szCs w:val="20"/>
        </w:rPr>
      </w:pPr>
      <w:r w:rsidRPr="00515E14">
        <w:rPr>
          <w:rFonts w:ascii="Barlow" w:hAnsi="Barlow" w:cs="Calibri"/>
          <w:bCs/>
          <w:color w:val="000000"/>
          <w:sz w:val="20"/>
          <w:szCs w:val="20"/>
        </w:rPr>
        <w:t>h</w:t>
      </w:r>
      <w:r w:rsidR="004B0F73" w:rsidRPr="00515E14">
        <w:rPr>
          <w:rFonts w:ascii="Barlow" w:hAnsi="Barlow" w:cs="Calibri"/>
          <w:bCs/>
          <w:color w:val="000000"/>
          <w:sz w:val="20"/>
          <w:szCs w:val="20"/>
        </w:rPr>
        <w:t>) Respecto a las correcciones de errores, reclasificaciones, depuración y cancelación de saldos, éstos se ven reflejados en la cuenta de Hacienda Pública.</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
          <w:bCs/>
          <w:color w:val="000000"/>
          <w:sz w:val="20"/>
          <w:szCs w:val="20"/>
        </w:rPr>
      </w:pP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 xml:space="preserve">NOTA </w:t>
      </w:r>
      <w:r w:rsidR="00871E4A" w:rsidRPr="00515E14">
        <w:rPr>
          <w:rFonts w:ascii="Barlow" w:hAnsi="Barlow" w:cs="Calibri"/>
          <w:b/>
          <w:bCs/>
          <w:color w:val="000000"/>
          <w:sz w:val="20"/>
          <w:szCs w:val="20"/>
        </w:rPr>
        <w:t>6</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POSICIÓN EN MONEDA EXTRANJERA Y PROTECCIÓN POR RIESGO CAMBIARIO</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Los Servicios de Salud de Yucatán no tienen operaciones en moneda extranjera, por lo que no necesita de algún método de protección de riesgo por variaciones en el tipo de cambio.</w:t>
      </w:r>
    </w:p>
    <w:p w:rsidR="004B0F73" w:rsidRPr="00515E14" w:rsidRDefault="004B0F73" w:rsidP="004B0F73">
      <w:pPr>
        <w:spacing w:after="0"/>
        <w:jc w:val="both"/>
        <w:rPr>
          <w:rFonts w:ascii="Barlow" w:hAnsi="Barlow" w:cs="Calibri"/>
          <w:b/>
          <w:bCs/>
          <w:color w:val="000000"/>
          <w:sz w:val="20"/>
          <w:szCs w:val="20"/>
        </w:rPr>
      </w:pP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 xml:space="preserve">NOTA </w:t>
      </w:r>
      <w:r w:rsidR="00871E4A" w:rsidRPr="00515E14">
        <w:rPr>
          <w:rFonts w:ascii="Barlow" w:hAnsi="Barlow" w:cs="Calibri"/>
          <w:b/>
          <w:bCs/>
          <w:color w:val="000000"/>
          <w:sz w:val="20"/>
          <w:szCs w:val="20"/>
        </w:rPr>
        <w:t>7</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REPORTE ANALITICO DEL ACTIVO</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Los Activos Fijos se presentan valuados a su precio de adquisición.</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 xml:space="preserve">NOTA </w:t>
      </w:r>
      <w:r w:rsidR="00871E4A" w:rsidRPr="00515E14">
        <w:rPr>
          <w:rFonts w:ascii="Barlow" w:hAnsi="Barlow" w:cs="Calibri"/>
          <w:b/>
          <w:bCs/>
          <w:color w:val="000000"/>
          <w:sz w:val="20"/>
          <w:szCs w:val="20"/>
        </w:rPr>
        <w:t>8</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FIDEICOMISOS, MANDATOS Y ANALOGOS</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Cs/>
          <w:color w:val="000000"/>
          <w:sz w:val="20"/>
          <w:szCs w:val="20"/>
        </w:rPr>
        <w:t>Los Servicios de Salud de Yucatán no realizan operaciones contables de ningún Fideicomiso, motivo por el cual no se informa situación alguna en esta nota</w:t>
      </w:r>
      <w:r w:rsidRPr="00515E14">
        <w:rPr>
          <w:rFonts w:ascii="Barlow" w:hAnsi="Barlow" w:cs="Calibri"/>
          <w:b/>
          <w:bCs/>
          <w:color w:val="000000"/>
          <w:sz w:val="20"/>
          <w:szCs w:val="20"/>
        </w:rPr>
        <w:t>.</w:t>
      </w:r>
    </w:p>
    <w:p w:rsidR="004B0F73" w:rsidRDefault="004B0F73" w:rsidP="004B0F73">
      <w:pPr>
        <w:spacing w:after="0"/>
        <w:jc w:val="both"/>
        <w:rPr>
          <w:rFonts w:ascii="Barlow" w:hAnsi="Barlow" w:cs="Calibri"/>
          <w:b/>
          <w:bCs/>
          <w:color w:val="000000"/>
          <w:sz w:val="20"/>
          <w:szCs w:val="20"/>
        </w:rPr>
      </w:pPr>
    </w:p>
    <w:p w:rsidR="00515E14" w:rsidRPr="00515E14" w:rsidRDefault="00515E14" w:rsidP="004B0F73">
      <w:pPr>
        <w:spacing w:after="0"/>
        <w:jc w:val="both"/>
        <w:rPr>
          <w:rFonts w:ascii="Barlow" w:hAnsi="Barlow" w:cs="Calibri"/>
          <w:b/>
          <w:bCs/>
          <w:color w:val="000000"/>
          <w:sz w:val="20"/>
          <w:szCs w:val="20"/>
        </w:rPr>
      </w:pPr>
    </w:p>
    <w:p w:rsidR="004B0F73" w:rsidRPr="00515E14" w:rsidRDefault="004B0F73" w:rsidP="004B0F73">
      <w:pPr>
        <w:spacing w:after="0"/>
        <w:jc w:val="both"/>
        <w:rPr>
          <w:rFonts w:ascii="Barlow" w:hAnsi="Barlow" w:cs="Calibri"/>
          <w:b/>
          <w:bCs/>
          <w:color w:val="000000"/>
          <w:sz w:val="20"/>
          <w:szCs w:val="20"/>
        </w:rPr>
      </w:pPr>
    </w:p>
    <w:p w:rsidR="004B0F73" w:rsidRPr="00515E14" w:rsidRDefault="00871E4A"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lastRenderedPageBreak/>
        <w:t>NOTA 9</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REPORTE DE RECAUDACIÓN</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Los Servicios de Salud de Yucatán no cuenta con reportes de recaudación por no estar ésta entre sus atribuciones.</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NOTA 1</w:t>
      </w:r>
      <w:r w:rsidR="00871E4A" w:rsidRPr="00515E14">
        <w:rPr>
          <w:rFonts w:ascii="Barlow" w:hAnsi="Barlow" w:cs="Calibri"/>
          <w:b/>
          <w:bCs/>
          <w:color w:val="000000"/>
          <w:sz w:val="20"/>
          <w:szCs w:val="20"/>
        </w:rPr>
        <w:t>0</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INFORMACIÓN SOBRE LA DEUDA Y EL REPORTE ANALITICO DE LA DEUDA</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Los Servicios de Salud de Yucatán no tienen deuda pública, por lo que no reporta información en esta nota.</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p>
    <w:p w:rsidR="004B0F73" w:rsidRPr="00515E14" w:rsidRDefault="00871E4A"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NOTA 11</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CALFICACIONES OTORGADAS</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 xml:space="preserve">Los Servicios de Salud de Yucatán no cuentan </w:t>
      </w:r>
      <w:proofErr w:type="gramStart"/>
      <w:r w:rsidRPr="00515E14">
        <w:rPr>
          <w:rFonts w:ascii="Barlow" w:hAnsi="Barlow" w:cs="Calibri"/>
          <w:bCs/>
          <w:color w:val="000000"/>
          <w:sz w:val="20"/>
          <w:szCs w:val="20"/>
        </w:rPr>
        <w:t>con  calificación</w:t>
      </w:r>
      <w:proofErr w:type="gramEnd"/>
      <w:r w:rsidRPr="00515E14">
        <w:rPr>
          <w:rFonts w:ascii="Barlow" w:hAnsi="Barlow" w:cs="Calibri"/>
          <w:bCs/>
          <w:color w:val="000000"/>
          <w:sz w:val="20"/>
          <w:szCs w:val="20"/>
        </w:rPr>
        <w:t xml:space="preserve"> crediticia</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p>
    <w:p w:rsidR="004B0F73" w:rsidRPr="00515E14" w:rsidRDefault="00871E4A"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NOTA 12</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PROCESOS DE MEJORA</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 xml:space="preserve">Actualmente los Servicios de Salud de </w:t>
      </w:r>
      <w:proofErr w:type="gramStart"/>
      <w:r w:rsidRPr="00515E14">
        <w:rPr>
          <w:rFonts w:ascii="Barlow" w:hAnsi="Barlow" w:cs="Calibri"/>
          <w:bCs/>
          <w:color w:val="000000"/>
          <w:sz w:val="20"/>
          <w:szCs w:val="20"/>
        </w:rPr>
        <w:t>Yucatán  continúan</w:t>
      </w:r>
      <w:proofErr w:type="gramEnd"/>
      <w:r w:rsidRPr="00515E14">
        <w:rPr>
          <w:rFonts w:ascii="Barlow" w:hAnsi="Barlow" w:cs="Calibri"/>
          <w:bCs/>
          <w:color w:val="000000"/>
          <w:sz w:val="20"/>
          <w:szCs w:val="20"/>
        </w:rPr>
        <w:t xml:space="preserve"> trabajando en la mejora de  los  procesos administrativos de control interno en todas las áreas,  así como también en la permanente mejora   del Sistema Integral de Gestión Gubernamental (SIGG), a fin de que el mismo coadyuve cada vez de mejor manera para la generación  de los reportes contables y presupuestarios  apegados a los  lineamientos de la CONAC.</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NOTA 1</w:t>
      </w:r>
      <w:r w:rsidR="00871E4A" w:rsidRPr="00515E14">
        <w:rPr>
          <w:rFonts w:ascii="Barlow" w:hAnsi="Barlow" w:cs="Calibri"/>
          <w:b/>
          <w:bCs/>
          <w:color w:val="000000"/>
          <w:sz w:val="20"/>
          <w:szCs w:val="20"/>
        </w:rPr>
        <w:t>3</w:t>
      </w:r>
      <w:r w:rsidRPr="00515E14">
        <w:rPr>
          <w:rFonts w:ascii="Barlow" w:hAnsi="Barlow" w:cs="Calibri"/>
          <w:b/>
          <w:bCs/>
          <w:color w:val="000000"/>
          <w:sz w:val="20"/>
          <w:szCs w:val="20"/>
        </w:rPr>
        <w:t>, 1</w:t>
      </w:r>
      <w:r w:rsidR="00871E4A" w:rsidRPr="00515E14">
        <w:rPr>
          <w:rFonts w:ascii="Barlow" w:hAnsi="Barlow" w:cs="Calibri"/>
          <w:b/>
          <w:bCs/>
          <w:color w:val="000000"/>
          <w:sz w:val="20"/>
          <w:szCs w:val="20"/>
        </w:rPr>
        <w:t>4</w:t>
      </w:r>
      <w:r w:rsidRPr="00515E14">
        <w:rPr>
          <w:rFonts w:ascii="Barlow" w:hAnsi="Barlow" w:cs="Calibri"/>
          <w:b/>
          <w:bCs/>
          <w:color w:val="000000"/>
          <w:sz w:val="20"/>
          <w:szCs w:val="20"/>
        </w:rPr>
        <w:t xml:space="preserve"> y 1</w:t>
      </w:r>
      <w:r w:rsidR="00871E4A" w:rsidRPr="00515E14">
        <w:rPr>
          <w:rFonts w:ascii="Barlow" w:hAnsi="Barlow" w:cs="Calibri"/>
          <w:b/>
          <w:bCs/>
          <w:color w:val="000000"/>
          <w:sz w:val="20"/>
          <w:szCs w:val="20"/>
        </w:rPr>
        <w:t>5</w:t>
      </w:r>
      <w:r w:rsidRPr="00515E14">
        <w:rPr>
          <w:rFonts w:ascii="Barlow" w:hAnsi="Barlow" w:cs="Calibri"/>
          <w:b/>
          <w:bCs/>
          <w:color w:val="000000"/>
          <w:sz w:val="20"/>
          <w:szCs w:val="20"/>
        </w:rPr>
        <w:t xml:space="preserve"> </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INFORMACIÓN POR SEGMENTOS, EVENTOS POSTERIORES AL CIERRE Y PARTES RELACIONADAS</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La información que presenta los Servicios de Salud de Yucatán no contiene ningún evento posterior que afecte económicamente al mismo, tampoco realiza operaciones con partes relacionadas y debido al volumen de operaciones que tiene, no se ve en la necesidad de presentar la información de manera segmentada.</w:t>
      </w:r>
    </w:p>
    <w:p w:rsidR="004B0F73" w:rsidRPr="00515E14" w:rsidRDefault="004B0F73" w:rsidP="004B0F73">
      <w:pPr>
        <w:spacing w:after="0"/>
        <w:jc w:val="both"/>
        <w:rPr>
          <w:rFonts w:ascii="Barlow" w:hAnsi="Barlow" w:cs="Calibri"/>
          <w:b/>
          <w:bCs/>
          <w:color w:val="000000"/>
          <w:sz w:val="20"/>
          <w:szCs w:val="20"/>
        </w:rPr>
      </w:pPr>
    </w:p>
    <w:p w:rsidR="004B0F73" w:rsidRPr="00515E14" w:rsidRDefault="004B0F73" w:rsidP="004B0F73">
      <w:pPr>
        <w:spacing w:after="0"/>
        <w:jc w:val="both"/>
        <w:rPr>
          <w:rFonts w:ascii="Barlow" w:hAnsi="Barlow" w:cs="Calibri"/>
          <w:b/>
          <w:bCs/>
          <w:color w:val="000000"/>
          <w:sz w:val="20"/>
          <w:szCs w:val="20"/>
        </w:rPr>
      </w:pPr>
    </w:p>
    <w:p w:rsidR="004B0F73" w:rsidRPr="00515E14" w:rsidRDefault="00871E4A"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lastRenderedPageBreak/>
        <w:t>NOTA 16</w:t>
      </w:r>
    </w:p>
    <w:p w:rsidR="004B0F73" w:rsidRPr="00515E14" w:rsidRDefault="004B0F73" w:rsidP="004B0F73">
      <w:pPr>
        <w:spacing w:after="0"/>
        <w:jc w:val="both"/>
        <w:rPr>
          <w:rFonts w:ascii="Barlow" w:hAnsi="Barlow" w:cs="Calibri"/>
          <w:b/>
          <w:bCs/>
          <w:color w:val="000000"/>
          <w:sz w:val="20"/>
          <w:szCs w:val="20"/>
        </w:rPr>
      </w:pPr>
      <w:r w:rsidRPr="00515E14">
        <w:rPr>
          <w:rFonts w:ascii="Barlow" w:hAnsi="Barlow" w:cs="Calibri"/>
          <w:b/>
          <w:bCs/>
          <w:color w:val="000000"/>
          <w:sz w:val="20"/>
          <w:szCs w:val="20"/>
        </w:rPr>
        <w:t>RESPONSABILIDAD SOBRE LA PRESENTACIÓN RAZONABLE DE LA INFORMACIÓN CONTABLE</w:t>
      </w:r>
    </w:p>
    <w:p w:rsidR="004B0F73" w:rsidRPr="00515E14" w:rsidRDefault="004B0F73" w:rsidP="004B0F73">
      <w:pPr>
        <w:spacing w:after="0"/>
        <w:jc w:val="both"/>
        <w:rPr>
          <w:rFonts w:ascii="Barlow" w:hAnsi="Barlow" w:cs="Calibri"/>
          <w:bCs/>
          <w:color w:val="000000"/>
          <w:sz w:val="20"/>
          <w:szCs w:val="20"/>
        </w:rPr>
      </w:pPr>
      <w:r w:rsidRPr="00515E14">
        <w:rPr>
          <w:rFonts w:ascii="Barlow" w:hAnsi="Barlow" w:cs="Calibri"/>
          <w:bCs/>
          <w:color w:val="000000"/>
          <w:sz w:val="20"/>
          <w:szCs w:val="20"/>
        </w:rPr>
        <w:t>Bajo protesta de decir verdad declaramos que los Estados Financieros y sus notas, son razonablemente correctos y son responsabilidad del emisor.</w:t>
      </w: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p>
    <w:p w:rsidR="004B0F73" w:rsidRPr="00515E14" w:rsidRDefault="004B0F73" w:rsidP="004B0F73">
      <w:pPr>
        <w:spacing w:after="0"/>
        <w:jc w:val="both"/>
        <w:rPr>
          <w:rFonts w:ascii="Barlow" w:hAnsi="Barlow" w:cs="Calibri"/>
          <w:bCs/>
          <w:color w:val="000000"/>
          <w:sz w:val="20"/>
          <w:szCs w:val="20"/>
        </w:rPr>
      </w:pPr>
    </w:p>
    <w:p w:rsidR="00B30B0E" w:rsidRPr="00515E14" w:rsidRDefault="00B30B0E" w:rsidP="00A30A16">
      <w:pPr>
        <w:spacing w:line="23" w:lineRule="atLeast"/>
        <w:jc w:val="both"/>
        <w:rPr>
          <w:rFonts w:ascii="Barlow" w:eastAsia="Calibri" w:hAnsi="Barlow" w:cs="Arial"/>
          <w:sz w:val="20"/>
          <w:szCs w:val="20"/>
          <w:lang w:eastAsia="en-US"/>
        </w:rPr>
      </w:pPr>
    </w:p>
    <w:p w:rsidR="00B30B0E" w:rsidRPr="00515E14" w:rsidRDefault="00B30B0E" w:rsidP="00A30A16">
      <w:pPr>
        <w:spacing w:line="23" w:lineRule="atLeast"/>
        <w:jc w:val="both"/>
        <w:rPr>
          <w:rFonts w:ascii="Barlow" w:eastAsia="Calibri" w:hAnsi="Barlow" w:cs="Arial"/>
          <w:sz w:val="20"/>
          <w:szCs w:val="20"/>
          <w:lang w:eastAsia="en-US"/>
        </w:rPr>
      </w:pPr>
    </w:p>
    <w:p w:rsidR="00B30B0E" w:rsidRPr="00515E14" w:rsidRDefault="00B30B0E" w:rsidP="00A30A16">
      <w:pPr>
        <w:spacing w:line="23" w:lineRule="atLeast"/>
        <w:jc w:val="both"/>
        <w:rPr>
          <w:rFonts w:ascii="Barlow" w:eastAsia="Calibri" w:hAnsi="Barlow" w:cs="Arial"/>
          <w:sz w:val="20"/>
          <w:szCs w:val="20"/>
          <w:lang w:eastAsia="en-US"/>
        </w:rPr>
      </w:pPr>
    </w:p>
    <w:p w:rsidR="00CD3610" w:rsidRPr="00515E14" w:rsidRDefault="00871E4A" w:rsidP="00CD3610">
      <w:pPr>
        <w:spacing w:line="23" w:lineRule="atLeast"/>
        <w:jc w:val="center"/>
        <w:rPr>
          <w:rFonts w:ascii="Barlow" w:eastAsia="Calibri" w:hAnsi="Barlow" w:cs="Arial"/>
          <w:b/>
          <w:sz w:val="20"/>
          <w:szCs w:val="20"/>
          <w:lang w:eastAsia="en-US"/>
        </w:rPr>
      </w:pPr>
      <w:r w:rsidRPr="00515E14">
        <w:rPr>
          <w:rFonts w:ascii="Barlow" w:eastAsia="Calibri" w:hAnsi="Barlow" w:cs="Arial"/>
          <w:b/>
          <w:sz w:val="20"/>
          <w:szCs w:val="20"/>
          <w:lang w:eastAsia="en-US"/>
        </w:rPr>
        <w:t>B</w:t>
      </w:r>
      <w:r w:rsidR="00CD3610" w:rsidRPr="00515E14">
        <w:rPr>
          <w:rFonts w:ascii="Barlow" w:eastAsia="Calibri" w:hAnsi="Barlow" w:cs="Arial"/>
          <w:b/>
          <w:sz w:val="20"/>
          <w:szCs w:val="20"/>
          <w:lang w:eastAsia="en-US"/>
        </w:rPr>
        <w:t>.- NOTAS DE DESGLOSE</w:t>
      </w:r>
    </w:p>
    <w:p w:rsidR="002230CA" w:rsidRPr="00515E14" w:rsidRDefault="002230CA" w:rsidP="002230CA">
      <w:pPr>
        <w:spacing w:after="0"/>
        <w:jc w:val="both"/>
        <w:rPr>
          <w:rFonts w:ascii="Barlow" w:hAnsi="Barlow" w:cs="Calibri"/>
          <w:b/>
          <w:sz w:val="20"/>
          <w:szCs w:val="20"/>
        </w:rPr>
      </w:pPr>
      <w:r w:rsidRPr="00515E14">
        <w:rPr>
          <w:rFonts w:ascii="Barlow" w:hAnsi="Barlow" w:cs="Calibri"/>
          <w:b/>
          <w:sz w:val="20"/>
          <w:szCs w:val="20"/>
        </w:rPr>
        <w:t>1.- NOTAS AL ESTADO DE ACTIVIDADES</w:t>
      </w:r>
    </w:p>
    <w:p w:rsidR="002230CA" w:rsidRPr="00515E14" w:rsidRDefault="002230CA" w:rsidP="002230CA">
      <w:pPr>
        <w:spacing w:after="0"/>
        <w:jc w:val="both"/>
        <w:rPr>
          <w:rFonts w:ascii="Barlow" w:hAnsi="Barlow" w:cs="Calibri"/>
          <w:b/>
          <w:sz w:val="20"/>
          <w:szCs w:val="20"/>
        </w:rPr>
      </w:pPr>
    </w:p>
    <w:p w:rsidR="00241B11" w:rsidRPr="00515E14" w:rsidRDefault="00241B11" w:rsidP="002230CA">
      <w:pPr>
        <w:spacing w:after="0"/>
        <w:jc w:val="both"/>
        <w:rPr>
          <w:rFonts w:ascii="Barlow" w:hAnsi="Barlow" w:cs="Calibri"/>
          <w:b/>
          <w:sz w:val="20"/>
          <w:szCs w:val="20"/>
        </w:rPr>
      </w:pPr>
    </w:p>
    <w:p w:rsidR="00241B11" w:rsidRPr="00515E14" w:rsidRDefault="00241B11" w:rsidP="002230CA">
      <w:pPr>
        <w:spacing w:after="0"/>
        <w:jc w:val="both"/>
        <w:rPr>
          <w:rFonts w:ascii="Barlow" w:hAnsi="Barlow" w:cs="Calibri"/>
          <w:b/>
          <w:sz w:val="20"/>
          <w:szCs w:val="20"/>
        </w:rPr>
      </w:pPr>
    </w:p>
    <w:p w:rsidR="002230CA" w:rsidRPr="00515E14" w:rsidRDefault="002230CA" w:rsidP="002230CA">
      <w:pPr>
        <w:spacing w:after="0"/>
        <w:jc w:val="both"/>
        <w:rPr>
          <w:rFonts w:ascii="Barlow" w:hAnsi="Barlow" w:cs="Calibri"/>
          <w:b/>
          <w:sz w:val="20"/>
          <w:szCs w:val="20"/>
        </w:rPr>
      </w:pPr>
      <w:r w:rsidRPr="00515E14">
        <w:rPr>
          <w:rFonts w:ascii="Barlow" w:hAnsi="Barlow" w:cs="Calibri"/>
          <w:b/>
          <w:sz w:val="20"/>
          <w:szCs w:val="20"/>
        </w:rPr>
        <w:t>INGRESOS Y OTROS BENEFICIOS</w:t>
      </w:r>
    </w:p>
    <w:p w:rsidR="002230CA" w:rsidRPr="00515E14" w:rsidRDefault="002230CA" w:rsidP="002230CA">
      <w:pPr>
        <w:jc w:val="both"/>
        <w:rPr>
          <w:rFonts w:ascii="Barlow" w:hAnsi="Barlow" w:cs="Calibri"/>
          <w:sz w:val="20"/>
          <w:szCs w:val="20"/>
        </w:rPr>
      </w:pPr>
      <w:r w:rsidRPr="00515E14">
        <w:rPr>
          <w:rFonts w:ascii="Barlow" w:hAnsi="Barlow" w:cs="Calibri"/>
          <w:sz w:val="20"/>
          <w:szCs w:val="20"/>
        </w:rPr>
        <w:t>Los Servicios de Salud de Yucatán recibieron  recursos por parte del Gobierno del Estado  así como del Gobierno Federal, por los importes contenidos en el Presupuesto de Egresos para el Ejercicio 202</w:t>
      </w:r>
      <w:r w:rsidR="00E1358C" w:rsidRPr="00515E14">
        <w:rPr>
          <w:rFonts w:ascii="Barlow" w:hAnsi="Barlow" w:cs="Calibri"/>
          <w:sz w:val="20"/>
          <w:szCs w:val="20"/>
        </w:rPr>
        <w:t>4</w:t>
      </w:r>
      <w:r w:rsidRPr="00515E14">
        <w:rPr>
          <w:rFonts w:ascii="Barlow" w:hAnsi="Barlow" w:cs="Calibri"/>
          <w:sz w:val="20"/>
          <w:szCs w:val="20"/>
        </w:rPr>
        <w:t xml:space="preserve">, con el objeto de sufragar gastos inherentes a sus atribuciones, los cuales se registran contablemente como Ingresos, así como también otros ingresos conformados principalmente por las Cuotas de Recuperación por los servicios hospitalarios que se ofrecen a nivel estatal, por un importe total de </w:t>
      </w:r>
      <w:r w:rsidR="006E7F22" w:rsidRPr="00515E14">
        <w:rPr>
          <w:rFonts w:ascii="Barlow" w:hAnsi="Barlow" w:cs="Calibri"/>
          <w:sz w:val="20"/>
          <w:szCs w:val="20"/>
        </w:rPr>
        <w:t>$</w:t>
      </w:r>
      <w:r w:rsidR="00887B69" w:rsidRPr="00515E14">
        <w:rPr>
          <w:rFonts w:ascii="Barlow" w:hAnsi="Barlow" w:cs="Calibri"/>
          <w:sz w:val="20"/>
          <w:szCs w:val="20"/>
        </w:rPr>
        <w:t xml:space="preserve"> </w:t>
      </w:r>
      <w:r w:rsidR="00ED7FAC" w:rsidRPr="00515E14">
        <w:rPr>
          <w:rFonts w:ascii="Barlow" w:hAnsi="Barlow" w:cs="Calibri"/>
          <w:sz w:val="20"/>
          <w:szCs w:val="20"/>
        </w:rPr>
        <w:t>16,405,329.78</w:t>
      </w:r>
    </w:p>
    <w:p w:rsidR="00241B11" w:rsidRPr="00515E14" w:rsidRDefault="00241B11" w:rsidP="002230CA">
      <w:pPr>
        <w:spacing w:after="0"/>
        <w:jc w:val="both"/>
        <w:rPr>
          <w:rFonts w:ascii="Barlow" w:hAnsi="Barlow" w:cs="Calibri"/>
          <w:b/>
          <w:sz w:val="20"/>
          <w:szCs w:val="20"/>
        </w:rPr>
      </w:pPr>
    </w:p>
    <w:p w:rsidR="00241B11" w:rsidRPr="00515E14" w:rsidRDefault="00241B11" w:rsidP="002230CA">
      <w:pPr>
        <w:spacing w:after="0"/>
        <w:jc w:val="both"/>
        <w:rPr>
          <w:rFonts w:ascii="Barlow" w:hAnsi="Barlow" w:cs="Calibri"/>
          <w:b/>
          <w:sz w:val="20"/>
          <w:szCs w:val="20"/>
        </w:rPr>
      </w:pPr>
    </w:p>
    <w:p w:rsidR="002230CA" w:rsidRPr="00515E14" w:rsidRDefault="002230CA" w:rsidP="002230CA">
      <w:pPr>
        <w:spacing w:after="0"/>
        <w:jc w:val="both"/>
        <w:rPr>
          <w:rFonts w:ascii="Barlow" w:hAnsi="Barlow" w:cs="Calibri"/>
          <w:b/>
          <w:sz w:val="20"/>
          <w:szCs w:val="20"/>
        </w:rPr>
      </w:pPr>
      <w:r w:rsidRPr="00515E14">
        <w:rPr>
          <w:rFonts w:ascii="Barlow" w:hAnsi="Barlow" w:cs="Calibri"/>
          <w:b/>
          <w:sz w:val="20"/>
          <w:szCs w:val="20"/>
        </w:rPr>
        <w:t>GASTOS Y OTRAS PÉRDIDAS</w:t>
      </w:r>
    </w:p>
    <w:p w:rsidR="002230CA" w:rsidRPr="00515E14" w:rsidRDefault="002230CA" w:rsidP="002230CA">
      <w:pPr>
        <w:spacing w:after="0"/>
        <w:jc w:val="both"/>
        <w:rPr>
          <w:rFonts w:ascii="Barlow" w:hAnsi="Barlow" w:cs="Calibri"/>
          <w:sz w:val="20"/>
          <w:szCs w:val="20"/>
        </w:rPr>
      </w:pPr>
      <w:r w:rsidRPr="00515E14">
        <w:rPr>
          <w:rFonts w:ascii="Barlow" w:hAnsi="Barlow" w:cs="Calibri"/>
          <w:sz w:val="20"/>
          <w:szCs w:val="20"/>
        </w:rPr>
        <w:t xml:space="preserve">La cuenta de Servicios Personales representa el </w:t>
      </w:r>
      <w:r w:rsidR="00F112AE" w:rsidRPr="00515E14">
        <w:rPr>
          <w:rFonts w:ascii="Barlow" w:hAnsi="Barlow" w:cs="Calibri"/>
          <w:sz w:val="20"/>
          <w:szCs w:val="20"/>
        </w:rPr>
        <w:t>77</w:t>
      </w:r>
      <w:r w:rsidRPr="00515E14">
        <w:rPr>
          <w:rFonts w:ascii="Barlow" w:hAnsi="Barlow" w:cs="Calibri"/>
          <w:sz w:val="20"/>
          <w:szCs w:val="20"/>
        </w:rPr>
        <w:t>% del total del gasto y otras pérdidas</w:t>
      </w:r>
    </w:p>
    <w:p w:rsidR="002230CA" w:rsidRPr="00515E14" w:rsidRDefault="002230CA" w:rsidP="00A27775">
      <w:pPr>
        <w:jc w:val="both"/>
        <w:rPr>
          <w:rFonts w:ascii="Barlow" w:hAnsi="Barlow" w:cs="Calibri"/>
          <w:b/>
          <w:sz w:val="20"/>
          <w:szCs w:val="20"/>
        </w:rPr>
      </w:pPr>
    </w:p>
    <w:p w:rsidR="00F45207" w:rsidRPr="00515E14" w:rsidRDefault="002230CA" w:rsidP="00A27775">
      <w:pPr>
        <w:jc w:val="both"/>
        <w:rPr>
          <w:rFonts w:ascii="Barlow" w:hAnsi="Barlow" w:cs="Calibri"/>
          <w:b/>
          <w:sz w:val="20"/>
          <w:szCs w:val="20"/>
        </w:rPr>
      </w:pPr>
      <w:r w:rsidRPr="00515E14">
        <w:rPr>
          <w:rFonts w:ascii="Barlow" w:hAnsi="Barlow" w:cs="Calibri"/>
          <w:b/>
          <w:sz w:val="20"/>
          <w:szCs w:val="20"/>
        </w:rPr>
        <w:lastRenderedPageBreak/>
        <w:t>I</w:t>
      </w:r>
      <w:r w:rsidR="00A35AEE" w:rsidRPr="00515E14">
        <w:rPr>
          <w:rFonts w:ascii="Barlow" w:hAnsi="Barlow" w:cs="Calibri"/>
          <w:b/>
          <w:sz w:val="20"/>
          <w:szCs w:val="20"/>
        </w:rPr>
        <w:t>I</w:t>
      </w:r>
      <w:r w:rsidR="00F45207" w:rsidRPr="00515E14">
        <w:rPr>
          <w:rFonts w:ascii="Barlow" w:hAnsi="Barlow" w:cs="Calibri"/>
          <w:b/>
          <w:sz w:val="20"/>
          <w:szCs w:val="20"/>
        </w:rPr>
        <w:t>.-</w:t>
      </w:r>
      <w:r w:rsidRPr="00515E14">
        <w:rPr>
          <w:rFonts w:ascii="Barlow" w:hAnsi="Barlow" w:cs="Calibri"/>
          <w:b/>
          <w:sz w:val="20"/>
          <w:szCs w:val="20"/>
        </w:rPr>
        <w:t xml:space="preserve"> </w:t>
      </w:r>
      <w:r w:rsidR="00F45207" w:rsidRPr="00515E14">
        <w:rPr>
          <w:rFonts w:ascii="Barlow" w:hAnsi="Barlow" w:cs="Calibri"/>
          <w:b/>
          <w:sz w:val="20"/>
          <w:szCs w:val="20"/>
        </w:rPr>
        <w:t>NOTAS AL ESTADO DE SITUACIÓN FINANCIERA</w:t>
      </w:r>
    </w:p>
    <w:p w:rsidR="00001E82" w:rsidRPr="00515E14" w:rsidRDefault="00001E82" w:rsidP="00F45207">
      <w:pPr>
        <w:spacing w:after="0"/>
        <w:jc w:val="both"/>
        <w:rPr>
          <w:rFonts w:ascii="Barlow" w:hAnsi="Barlow" w:cs="Calibri"/>
          <w:b/>
          <w:sz w:val="20"/>
          <w:szCs w:val="20"/>
        </w:rPr>
      </w:pPr>
      <w:r w:rsidRPr="00515E14">
        <w:rPr>
          <w:rFonts w:ascii="Barlow" w:hAnsi="Barlow" w:cs="Calibri"/>
          <w:b/>
          <w:sz w:val="20"/>
          <w:szCs w:val="20"/>
        </w:rPr>
        <w:t>ACTIVO</w:t>
      </w:r>
    </w:p>
    <w:p w:rsidR="002230CA" w:rsidRPr="00515E14" w:rsidRDefault="002230CA" w:rsidP="00F45207">
      <w:pPr>
        <w:spacing w:after="0"/>
        <w:jc w:val="both"/>
        <w:rPr>
          <w:rFonts w:ascii="Barlow" w:hAnsi="Barlow" w:cs="Calibri"/>
          <w:b/>
          <w:sz w:val="20"/>
          <w:szCs w:val="20"/>
        </w:rPr>
      </w:pPr>
      <w:r w:rsidRPr="00515E14">
        <w:rPr>
          <w:rFonts w:ascii="Barlow" w:hAnsi="Barlow" w:cs="Calibri"/>
          <w:b/>
          <w:sz w:val="20"/>
          <w:szCs w:val="20"/>
        </w:rPr>
        <w:t>NOTA 1</w:t>
      </w:r>
    </w:p>
    <w:p w:rsidR="00F45207" w:rsidRPr="00515E14" w:rsidRDefault="00F45207" w:rsidP="00F45207">
      <w:pPr>
        <w:spacing w:after="0"/>
        <w:jc w:val="both"/>
        <w:rPr>
          <w:rFonts w:ascii="Barlow" w:hAnsi="Barlow" w:cs="Calibri"/>
          <w:b/>
          <w:sz w:val="20"/>
          <w:szCs w:val="20"/>
        </w:rPr>
      </w:pPr>
      <w:r w:rsidRPr="00515E14">
        <w:rPr>
          <w:rFonts w:ascii="Barlow" w:hAnsi="Barlow" w:cs="Calibri"/>
          <w:b/>
          <w:sz w:val="20"/>
          <w:szCs w:val="20"/>
        </w:rPr>
        <w:t>EFECTIVO Y EQUIVALENTES</w:t>
      </w:r>
    </w:p>
    <w:p w:rsidR="00E34483" w:rsidRPr="00515E14" w:rsidRDefault="00F45207" w:rsidP="00F45207">
      <w:pPr>
        <w:spacing w:after="0"/>
        <w:jc w:val="both"/>
        <w:rPr>
          <w:rFonts w:ascii="Barlow" w:hAnsi="Barlow" w:cs="Calibri"/>
          <w:sz w:val="20"/>
          <w:szCs w:val="20"/>
        </w:rPr>
      </w:pPr>
      <w:r w:rsidRPr="00515E14">
        <w:rPr>
          <w:rFonts w:ascii="Barlow" w:hAnsi="Barlow" w:cs="Calibri"/>
          <w:sz w:val="20"/>
          <w:szCs w:val="20"/>
        </w:rPr>
        <w:t xml:space="preserve">El </w:t>
      </w:r>
      <w:r w:rsidR="00814B40" w:rsidRPr="00515E14">
        <w:rPr>
          <w:rFonts w:ascii="Barlow" w:hAnsi="Barlow" w:cs="Calibri"/>
          <w:sz w:val="20"/>
          <w:szCs w:val="20"/>
        </w:rPr>
        <w:t>Efectivo y Equivalentes</w:t>
      </w:r>
      <w:r w:rsidRPr="00515E14">
        <w:rPr>
          <w:rFonts w:ascii="Barlow" w:hAnsi="Barlow" w:cs="Calibri"/>
          <w:sz w:val="20"/>
          <w:szCs w:val="20"/>
        </w:rPr>
        <w:t xml:space="preserve"> está conformado </w:t>
      </w:r>
      <w:r w:rsidR="00FD28CE" w:rsidRPr="00515E14">
        <w:rPr>
          <w:rFonts w:ascii="Barlow" w:hAnsi="Barlow" w:cs="Calibri"/>
          <w:sz w:val="20"/>
          <w:szCs w:val="20"/>
        </w:rPr>
        <w:t>por</w:t>
      </w:r>
      <w:r w:rsidR="00D4478B" w:rsidRPr="00515E14">
        <w:rPr>
          <w:rFonts w:ascii="Barlow" w:hAnsi="Barlow" w:cs="Calibri"/>
          <w:sz w:val="20"/>
          <w:szCs w:val="20"/>
        </w:rPr>
        <w:t xml:space="preserve"> la cuenta de</w:t>
      </w:r>
      <w:r w:rsidR="008D4352" w:rsidRPr="00515E14">
        <w:rPr>
          <w:rFonts w:ascii="Barlow" w:hAnsi="Barlow" w:cs="Calibri"/>
          <w:sz w:val="20"/>
          <w:szCs w:val="20"/>
        </w:rPr>
        <w:t xml:space="preserve"> </w:t>
      </w:r>
      <w:proofErr w:type="gramStart"/>
      <w:r w:rsidR="008D4352" w:rsidRPr="00515E14">
        <w:rPr>
          <w:rFonts w:ascii="Barlow" w:hAnsi="Barlow" w:cs="Calibri"/>
          <w:sz w:val="20"/>
          <w:szCs w:val="20"/>
        </w:rPr>
        <w:t>Bancos</w:t>
      </w:r>
      <w:r w:rsidR="00D4478B" w:rsidRPr="00515E14">
        <w:rPr>
          <w:rFonts w:ascii="Barlow" w:hAnsi="Barlow" w:cs="Calibri"/>
          <w:sz w:val="20"/>
          <w:szCs w:val="20"/>
        </w:rPr>
        <w:t xml:space="preserve">  </w:t>
      </w:r>
      <w:r w:rsidR="00CB0DBB" w:rsidRPr="00515E14">
        <w:rPr>
          <w:rFonts w:ascii="Barlow" w:hAnsi="Barlow" w:cs="Calibri"/>
          <w:sz w:val="20"/>
          <w:szCs w:val="20"/>
        </w:rPr>
        <w:t>de</w:t>
      </w:r>
      <w:proofErr w:type="gramEnd"/>
      <w:r w:rsidR="00CB0DBB" w:rsidRPr="00515E14">
        <w:rPr>
          <w:rFonts w:ascii="Barlow" w:hAnsi="Barlow" w:cs="Calibri"/>
          <w:sz w:val="20"/>
          <w:szCs w:val="20"/>
        </w:rPr>
        <w:t xml:space="preserve"> los diversos</w:t>
      </w:r>
      <w:r w:rsidR="00A96811" w:rsidRPr="00515E14">
        <w:rPr>
          <w:rFonts w:ascii="Barlow" w:hAnsi="Barlow" w:cs="Calibri"/>
          <w:sz w:val="20"/>
          <w:szCs w:val="20"/>
        </w:rPr>
        <w:t xml:space="preserve"> recursos federales y estatales.</w:t>
      </w:r>
    </w:p>
    <w:bookmarkStart w:id="0" w:name="_MON_1775043853"/>
    <w:bookmarkEnd w:id="0"/>
    <w:p w:rsidR="001E07C5" w:rsidRPr="00515E14" w:rsidRDefault="00AE189A" w:rsidP="00F45207">
      <w:pPr>
        <w:spacing w:after="0"/>
        <w:jc w:val="both"/>
        <w:rPr>
          <w:rFonts w:ascii="Barlow" w:hAnsi="Barlow" w:cs="Calibri"/>
          <w:b/>
          <w:sz w:val="20"/>
          <w:szCs w:val="20"/>
        </w:rPr>
      </w:pPr>
      <w:r w:rsidRPr="00515E14">
        <w:rPr>
          <w:rFonts w:ascii="Barlow" w:hAnsi="Barlow" w:cs="Calibri"/>
          <w:b/>
          <w:sz w:val="20"/>
          <w:szCs w:val="20"/>
        </w:rPr>
        <w:object w:dxaOrig="13424" w:dyaOrig="5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1.25pt;height:279.75pt" o:ole="">
            <v:imagedata r:id="rId18" o:title=""/>
          </v:shape>
          <o:OLEObject Type="Embed" ProgID="Excel.Sheet.12" ShapeID="_x0000_i1025" DrawAspect="Content" ObjectID="_1775904386" r:id="rId19"/>
        </w:object>
      </w:r>
    </w:p>
    <w:p w:rsidR="002230CA" w:rsidRPr="00515E14" w:rsidRDefault="002230CA" w:rsidP="00F45207">
      <w:pPr>
        <w:spacing w:after="0"/>
        <w:jc w:val="both"/>
        <w:rPr>
          <w:rFonts w:ascii="Barlow" w:hAnsi="Barlow" w:cs="Calibri"/>
          <w:b/>
          <w:sz w:val="20"/>
          <w:szCs w:val="20"/>
        </w:rPr>
      </w:pPr>
    </w:p>
    <w:p w:rsidR="00F45207" w:rsidRPr="00515E14" w:rsidRDefault="00F45207" w:rsidP="00F45207">
      <w:pPr>
        <w:spacing w:after="0"/>
        <w:jc w:val="both"/>
        <w:rPr>
          <w:rFonts w:ascii="Barlow" w:hAnsi="Barlow" w:cs="Calibri"/>
          <w:b/>
          <w:sz w:val="20"/>
          <w:szCs w:val="20"/>
        </w:rPr>
      </w:pPr>
      <w:r w:rsidRPr="00515E14">
        <w:rPr>
          <w:rFonts w:ascii="Barlow" w:hAnsi="Barlow" w:cs="Calibri"/>
          <w:b/>
          <w:sz w:val="20"/>
          <w:szCs w:val="20"/>
        </w:rPr>
        <w:lastRenderedPageBreak/>
        <w:t>NOTA 2</w:t>
      </w:r>
    </w:p>
    <w:bookmarkStart w:id="1" w:name="_MON_1775286834"/>
    <w:bookmarkEnd w:id="1"/>
    <w:p w:rsidR="00DC1001" w:rsidRPr="00515E14" w:rsidRDefault="000C05C2" w:rsidP="004C6922">
      <w:pPr>
        <w:spacing w:after="0"/>
        <w:jc w:val="both"/>
        <w:rPr>
          <w:rFonts w:ascii="Barlow" w:hAnsi="Barlow" w:cs="Calibri"/>
          <w:sz w:val="20"/>
          <w:szCs w:val="20"/>
        </w:rPr>
      </w:pPr>
      <w:r w:rsidRPr="00515E14">
        <w:rPr>
          <w:rFonts w:ascii="Barlow" w:hAnsi="Barlow" w:cs="Calibri"/>
          <w:sz w:val="20"/>
          <w:szCs w:val="20"/>
        </w:rPr>
        <w:object w:dxaOrig="13192" w:dyaOrig="1820">
          <v:shape id="_x0000_i1026" type="#_x0000_t75" style="width:659.25pt;height:90.75pt" o:ole="">
            <v:imagedata r:id="rId20" o:title=""/>
          </v:shape>
          <o:OLEObject Type="Embed" ProgID="Excel.Sheet.12" ShapeID="_x0000_i1026" DrawAspect="Content" ObjectID="_1775904387" r:id="rId21"/>
        </w:object>
      </w:r>
    </w:p>
    <w:p w:rsidR="0002476F" w:rsidRPr="00515E14" w:rsidRDefault="0002476F" w:rsidP="00F45207">
      <w:pPr>
        <w:spacing w:after="0"/>
        <w:jc w:val="both"/>
        <w:rPr>
          <w:rFonts w:ascii="Barlow" w:hAnsi="Barlow" w:cs="Calibri"/>
          <w:b/>
          <w:sz w:val="20"/>
          <w:szCs w:val="20"/>
        </w:rPr>
      </w:pPr>
    </w:p>
    <w:p w:rsidR="005B34BF" w:rsidRPr="00515E14" w:rsidRDefault="005B34BF" w:rsidP="00F822D1">
      <w:pPr>
        <w:spacing w:after="0"/>
        <w:jc w:val="both"/>
        <w:rPr>
          <w:rFonts w:ascii="Barlow" w:hAnsi="Barlow" w:cs="Calibri"/>
          <w:sz w:val="20"/>
          <w:szCs w:val="20"/>
        </w:rPr>
      </w:pPr>
      <w:r w:rsidRPr="00515E14">
        <w:rPr>
          <w:rFonts w:ascii="Barlow" w:hAnsi="Barlow" w:cs="Calibri"/>
          <w:b/>
          <w:sz w:val="20"/>
          <w:szCs w:val="20"/>
        </w:rPr>
        <w:t>-Cuentas por Cobrar</w:t>
      </w:r>
      <w:r w:rsidRPr="00515E14">
        <w:rPr>
          <w:rFonts w:ascii="Barlow" w:hAnsi="Barlow" w:cs="Calibri"/>
          <w:sz w:val="20"/>
          <w:szCs w:val="20"/>
        </w:rPr>
        <w:t xml:space="preserve"> por $</w:t>
      </w:r>
      <w:proofErr w:type="gramStart"/>
      <w:r w:rsidR="006C6111" w:rsidRPr="00515E14">
        <w:rPr>
          <w:rFonts w:ascii="Barlow" w:hAnsi="Barlow" w:cs="Calibri"/>
          <w:sz w:val="20"/>
          <w:szCs w:val="20"/>
        </w:rPr>
        <w:t>17,916,820.45</w:t>
      </w:r>
      <w:r w:rsidRPr="00515E14">
        <w:rPr>
          <w:rFonts w:ascii="Barlow" w:hAnsi="Barlow" w:cs="Calibri"/>
          <w:sz w:val="20"/>
          <w:szCs w:val="20"/>
        </w:rPr>
        <w:t xml:space="preserve">  </w:t>
      </w:r>
      <w:r w:rsidR="00F822D1" w:rsidRPr="00515E14">
        <w:rPr>
          <w:rFonts w:ascii="Barlow" w:hAnsi="Barlow" w:cs="Calibri"/>
          <w:sz w:val="20"/>
          <w:szCs w:val="20"/>
        </w:rPr>
        <w:t>este</w:t>
      </w:r>
      <w:proofErr w:type="gramEnd"/>
      <w:r w:rsidR="00F822D1" w:rsidRPr="00515E14">
        <w:rPr>
          <w:rFonts w:ascii="Barlow" w:hAnsi="Barlow" w:cs="Calibri"/>
          <w:sz w:val="20"/>
          <w:szCs w:val="20"/>
        </w:rPr>
        <w:t xml:space="preserve"> importe </w:t>
      </w:r>
      <w:r w:rsidRPr="00515E14">
        <w:rPr>
          <w:rFonts w:ascii="Barlow" w:hAnsi="Barlow" w:cs="Calibri"/>
          <w:sz w:val="20"/>
          <w:szCs w:val="20"/>
        </w:rPr>
        <w:t>proviene</w:t>
      </w:r>
      <w:r w:rsidR="004578A7" w:rsidRPr="00515E14">
        <w:rPr>
          <w:rFonts w:ascii="Barlow" w:hAnsi="Barlow" w:cs="Calibri"/>
          <w:sz w:val="20"/>
          <w:szCs w:val="20"/>
        </w:rPr>
        <w:t xml:space="preserve"> principalmente </w:t>
      </w:r>
      <w:r w:rsidRPr="00515E14">
        <w:rPr>
          <w:rFonts w:ascii="Barlow" w:hAnsi="Barlow" w:cs="Calibri"/>
          <w:sz w:val="20"/>
          <w:szCs w:val="20"/>
        </w:rPr>
        <w:t xml:space="preserve"> de la</w:t>
      </w:r>
      <w:r w:rsidR="00F822D1" w:rsidRPr="00515E14">
        <w:rPr>
          <w:rFonts w:ascii="Barlow" w:hAnsi="Barlow" w:cs="Calibri"/>
          <w:sz w:val="20"/>
          <w:szCs w:val="20"/>
        </w:rPr>
        <w:t xml:space="preserve"> facturación de</w:t>
      </w:r>
      <w:r w:rsidRPr="00515E14">
        <w:rPr>
          <w:rFonts w:ascii="Barlow" w:hAnsi="Barlow" w:cs="Calibri"/>
          <w:sz w:val="20"/>
          <w:szCs w:val="20"/>
        </w:rPr>
        <w:t xml:space="preserve"> </w:t>
      </w:r>
      <w:r w:rsidR="00F822D1" w:rsidRPr="00515E14">
        <w:rPr>
          <w:rFonts w:ascii="Barlow" w:hAnsi="Barlow" w:cs="Calibri"/>
          <w:sz w:val="20"/>
          <w:szCs w:val="20"/>
        </w:rPr>
        <w:t xml:space="preserve"> </w:t>
      </w:r>
      <w:r w:rsidRPr="00515E14">
        <w:rPr>
          <w:rFonts w:ascii="Barlow" w:hAnsi="Barlow" w:cs="Calibri"/>
          <w:sz w:val="20"/>
          <w:szCs w:val="20"/>
        </w:rPr>
        <w:t>cuotas de recuperación</w:t>
      </w:r>
      <w:r w:rsidR="00F822D1" w:rsidRPr="00515E14">
        <w:rPr>
          <w:rFonts w:ascii="Barlow" w:hAnsi="Barlow" w:cs="Calibri"/>
          <w:sz w:val="20"/>
          <w:szCs w:val="20"/>
        </w:rPr>
        <w:t xml:space="preserve"> pendiente</w:t>
      </w:r>
      <w:r w:rsidR="004578A7" w:rsidRPr="00515E14">
        <w:rPr>
          <w:rFonts w:ascii="Barlow" w:hAnsi="Barlow" w:cs="Calibri"/>
          <w:sz w:val="20"/>
          <w:szCs w:val="20"/>
        </w:rPr>
        <w:t>s</w:t>
      </w:r>
      <w:r w:rsidR="00F822D1" w:rsidRPr="00515E14">
        <w:rPr>
          <w:rFonts w:ascii="Barlow" w:hAnsi="Barlow" w:cs="Calibri"/>
          <w:sz w:val="20"/>
          <w:szCs w:val="20"/>
        </w:rPr>
        <w:t xml:space="preserve"> de ingresar</w:t>
      </w:r>
      <w:r w:rsidR="004578A7" w:rsidRPr="00515E14">
        <w:rPr>
          <w:rFonts w:ascii="Barlow" w:hAnsi="Barlow" w:cs="Calibri"/>
          <w:sz w:val="20"/>
          <w:szCs w:val="20"/>
        </w:rPr>
        <w:t>.</w:t>
      </w:r>
      <w:r w:rsidRPr="00515E14">
        <w:rPr>
          <w:rFonts w:ascii="Barlow" w:hAnsi="Barlow" w:cs="Calibri"/>
          <w:sz w:val="20"/>
          <w:szCs w:val="20"/>
        </w:rPr>
        <w:t xml:space="preserve"> </w:t>
      </w:r>
    </w:p>
    <w:p w:rsidR="005B34BF" w:rsidRPr="00515E14" w:rsidRDefault="00F822D1" w:rsidP="00F822D1">
      <w:pPr>
        <w:spacing w:after="0"/>
        <w:jc w:val="both"/>
        <w:rPr>
          <w:rFonts w:ascii="Barlow" w:hAnsi="Barlow" w:cs="Calibri"/>
          <w:sz w:val="20"/>
          <w:szCs w:val="20"/>
        </w:rPr>
      </w:pPr>
      <w:r w:rsidRPr="00515E14">
        <w:rPr>
          <w:rFonts w:ascii="Barlow" w:hAnsi="Barlow" w:cs="Calibri"/>
          <w:b/>
          <w:sz w:val="20"/>
          <w:szCs w:val="20"/>
        </w:rPr>
        <w:t>-</w:t>
      </w:r>
      <w:r w:rsidR="005B34BF" w:rsidRPr="00515E14">
        <w:rPr>
          <w:rFonts w:ascii="Barlow" w:hAnsi="Barlow" w:cs="Calibri"/>
          <w:b/>
          <w:sz w:val="20"/>
          <w:szCs w:val="20"/>
        </w:rPr>
        <w:t xml:space="preserve">Deudores </w:t>
      </w:r>
      <w:proofErr w:type="gramStart"/>
      <w:r w:rsidR="005B34BF" w:rsidRPr="00515E14">
        <w:rPr>
          <w:rFonts w:ascii="Barlow" w:hAnsi="Barlow" w:cs="Calibri"/>
          <w:b/>
          <w:sz w:val="20"/>
          <w:szCs w:val="20"/>
        </w:rPr>
        <w:t xml:space="preserve">diversos </w:t>
      </w:r>
      <w:r w:rsidR="005B34BF" w:rsidRPr="00515E14">
        <w:rPr>
          <w:rFonts w:ascii="Barlow" w:hAnsi="Barlow" w:cs="Calibri"/>
          <w:sz w:val="20"/>
          <w:szCs w:val="20"/>
        </w:rPr>
        <w:t xml:space="preserve"> por</w:t>
      </w:r>
      <w:proofErr w:type="gramEnd"/>
      <w:r w:rsidR="005B34BF" w:rsidRPr="00515E14">
        <w:rPr>
          <w:rFonts w:ascii="Barlow" w:hAnsi="Barlow" w:cs="Calibri"/>
          <w:sz w:val="20"/>
          <w:szCs w:val="20"/>
        </w:rPr>
        <w:t xml:space="preserve"> $</w:t>
      </w:r>
      <w:r w:rsidR="006C6111" w:rsidRPr="00515E14">
        <w:rPr>
          <w:rFonts w:ascii="Barlow" w:hAnsi="Barlow" w:cs="Calibri"/>
          <w:sz w:val="20"/>
          <w:szCs w:val="20"/>
        </w:rPr>
        <w:t xml:space="preserve"> 46,905,295.69</w:t>
      </w:r>
      <w:r w:rsidR="005B34BF" w:rsidRPr="00515E14">
        <w:rPr>
          <w:rFonts w:ascii="Barlow" w:hAnsi="Barlow" w:cs="Calibri"/>
          <w:sz w:val="20"/>
          <w:szCs w:val="20"/>
        </w:rPr>
        <w:t xml:space="preserve">  </w:t>
      </w:r>
      <w:r w:rsidR="0007615C" w:rsidRPr="00515E14">
        <w:rPr>
          <w:rFonts w:ascii="Barlow" w:hAnsi="Barlow" w:cs="Calibri"/>
          <w:sz w:val="20"/>
          <w:szCs w:val="20"/>
        </w:rPr>
        <w:t xml:space="preserve">este importe </w:t>
      </w:r>
      <w:r w:rsidR="005B34BF" w:rsidRPr="00515E14">
        <w:rPr>
          <w:rFonts w:ascii="Barlow" w:hAnsi="Barlow" w:cs="Calibri"/>
          <w:sz w:val="20"/>
          <w:szCs w:val="20"/>
        </w:rPr>
        <w:t xml:space="preserve"> </w:t>
      </w:r>
      <w:r w:rsidR="0007615C" w:rsidRPr="00515E14">
        <w:rPr>
          <w:rFonts w:ascii="Barlow" w:hAnsi="Barlow" w:cs="Calibri"/>
          <w:sz w:val="20"/>
          <w:szCs w:val="20"/>
        </w:rPr>
        <w:t xml:space="preserve">se origina </w:t>
      </w:r>
      <w:r w:rsidR="005B34BF" w:rsidRPr="00515E14">
        <w:rPr>
          <w:rFonts w:ascii="Barlow" w:hAnsi="Barlow" w:cs="Calibri"/>
          <w:sz w:val="20"/>
          <w:szCs w:val="20"/>
        </w:rPr>
        <w:t xml:space="preserve"> </w:t>
      </w:r>
      <w:r w:rsidR="00CA43E0" w:rsidRPr="00515E14">
        <w:rPr>
          <w:rFonts w:ascii="Barlow" w:hAnsi="Barlow" w:cs="Calibri"/>
          <w:sz w:val="20"/>
          <w:szCs w:val="20"/>
        </w:rPr>
        <w:t>primordialmente</w:t>
      </w:r>
      <w:r w:rsidR="005B34BF" w:rsidRPr="00515E14">
        <w:rPr>
          <w:rFonts w:ascii="Barlow" w:hAnsi="Barlow" w:cs="Calibri"/>
          <w:sz w:val="20"/>
          <w:szCs w:val="20"/>
        </w:rPr>
        <w:t xml:space="preserve"> </w:t>
      </w:r>
      <w:r w:rsidR="0007615C" w:rsidRPr="00515E14">
        <w:rPr>
          <w:rFonts w:ascii="Barlow" w:hAnsi="Barlow" w:cs="Calibri"/>
          <w:sz w:val="20"/>
          <w:szCs w:val="20"/>
        </w:rPr>
        <w:t>por pagos efectuados por cuenta de otro recurso</w:t>
      </w:r>
      <w:r w:rsidR="004578A7" w:rsidRPr="00515E14">
        <w:rPr>
          <w:rFonts w:ascii="Barlow" w:hAnsi="Barlow" w:cs="Calibri"/>
          <w:sz w:val="20"/>
          <w:szCs w:val="20"/>
        </w:rPr>
        <w:t>,</w:t>
      </w:r>
      <w:r w:rsidR="0007615C" w:rsidRPr="00515E14">
        <w:rPr>
          <w:rFonts w:ascii="Barlow" w:hAnsi="Barlow" w:cs="Calibri"/>
          <w:sz w:val="20"/>
          <w:szCs w:val="20"/>
        </w:rPr>
        <w:t xml:space="preserve"> </w:t>
      </w:r>
      <w:r w:rsidR="00CA43E0" w:rsidRPr="00515E14">
        <w:rPr>
          <w:rFonts w:ascii="Barlow" w:hAnsi="Barlow" w:cs="Calibri"/>
          <w:sz w:val="20"/>
          <w:szCs w:val="20"/>
        </w:rPr>
        <w:t xml:space="preserve">pendiente de </w:t>
      </w:r>
      <w:r w:rsidR="004578A7" w:rsidRPr="00515E14">
        <w:rPr>
          <w:rFonts w:ascii="Barlow" w:hAnsi="Barlow" w:cs="Calibri"/>
          <w:sz w:val="20"/>
          <w:szCs w:val="20"/>
        </w:rPr>
        <w:t>reintegrar</w:t>
      </w:r>
      <w:r w:rsidR="00CA43E0" w:rsidRPr="00515E14">
        <w:rPr>
          <w:rFonts w:ascii="Barlow" w:hAnsi="Barlow" w:cs="Calibri"/>
          <w:sz w:val="20"/>
          <w:szCs w:val="20"/>
        </w:rPr>
        <w:tab/>
        <w:t>.</w:t>
      </w:r>
    </w:p>
    <w:p w:rsidR="005B34BF" w:rsidRPr="00515E14" w:rsidRDefault="005B34BF" w:rsidP="00F45207">
      <w:pPr>
        <w:spacing w:after="0"/>
        <w:jc w:val="both"/>
        <w:rPr>
          <w:rFonts w:ascii="Barlow" w:hAnsi="Barlow" w:cs="Calibri"/>
          <w:b/>
          <w:sz w:val="20"/>
          <w:szCs w:val="20"/>
        </w:rPr>
      </w:pPr>
    </w:p>
    <w:p w:rsidR="009539D6" w:rsidRPr="00515E14" w:rsidRDefault="009539D6" w:rsidP="00F45207">
      <w:pPr>
        <w:spacing w:after="0"/>
        <w:jc w:val="both"/>
        <w:rPr>
          <w:rFonts w:ascii="Barlow" w:hAnsi="Barlow" w:cs="Calibri"/>
          <w:b/>
          <w:sz w:val="20"/>
          <w:szCs w:val="20"/>
        </w:rPr>
      </w:pPr>
      <w:r w:rsidRPr="00515E14">
        <w:rPr>
          <w:rFonts w:ascii="Barlow" w:hAnsi="Barlow" w:cs="Calibri"/>
          <w:b/>
          <w:sz w:val="20"/>
          <w:szCs w:val="20"/>
        </w:rPr>
        <w:t>NOTA 3</w:t>
      </w:r>
    </w:p>
    <w:p w:rsidR="00D53C39" w:rsidRPr="00515E14" w:rsidRDefault="00D53C39" w:rsidP="00F45207">
      <w:pPr>
        <w:spacing w:after="0"/>
        <w:jc w:val="both"/>
        <w:rPr>
          <w:rFonts w:ascii="Barlow" w:hAnsi="Barlow" w:cs="Calibri"/>
          <w:b/>
          <w:sz w:val="20"/>
          <w:szCs w:val="20"/>
        </w:rPr>
      </w:pPr>
      <w:r w:rsidRPr="00515E14">
        <w:rPr>
          <w:rFonts w:ascii="Barlow" w:hAnsi="Barlow" w:cs="Calibri"/>
          <w:b/>
          <w:sz w:val="20"/>
          <w:szCs w:val="20"/>
        </w:rPr>
        <w:t>BIENES DISPONIBLES PARA SU TRANSFORMACIÓN O CONSUMO (INVENTARIOS)</w:t>
      </w:r>
    </w:p>
    <w:p w:rsidR="00D53C39" w:rsidRPr="00515E14" w:rsidRDefault="009867A4" w:rsidP="00F45207">
      <w:pPr>
        <w:spacing w:after="0"/>
        <w:jc w:val="both"/>
        <w:rPr>
          <w:rFonts w:ascii="Barlow" w:hAnsi="Barlow" w:cs="Calibri"/>
          <w:sz w:val="20"/>
          <w:szCs w:val="20"/>
        </w:rPr>
      </w:pPr>
      <w:r w:rsidRPr="00515E14">
        <w:rPr>
          <w:rFonts w:ascii="Barlow" w:hAnsi="Barlow" w:cs="Calibri"/>
          <w:sz w:val="20"/>
          <w:szCs w:val="20"/>
        </w:rPr>
        <w:t>-</w:t>
      </w:r>
      <w:r w:rsidR="00D53C39" w:rsidRPr="00515E14">
        <w:rPr>
          <w:rFonts w:ascii="Barlow" w:hAnsi="Barlow" w:cs="Calibri"/>
          <w:sz w:val="20"/>
          <w:szCs w:val="20"/>
        </w:rPr>
        <w:t>Los Servicios de Salud de Yucatán no realizan ningún proceso de transformación y/o elaboración de bienes.</w:t>
      </w:r>
    </w:p>
    <w:p w:rsidR="0050358C" w:rsidRPr="00515E14" w:rsidRDefault="0050358C" w:rsidP="00F45207">
      <w:pPr>
        <w:spacing w:after="0"/>
        <w:jc w:val="both"/>
        <w:rPr>
          <w:rFonts w:ascii="Barlow" w:hAnsi="Barlow" w:cs="Calibri"/>
          <w:sz w:val="20"/>
          <w:szCs w:val="20"/>
        </w:rPr>
      </w:pPr>
    </w:p>
    <w:p w:rsidR="00A171DA" w:rsidRPr="00515E14" w:rsidRDefault="00A171DA" w:rsidP="00F45207">
      <w:pPr>
        <w:spacing w:after="0"/>
        <w:jc w:val="both"/>
        <w:rPr>
          <w:rFonts w:ascii="Barlow" w:hAnsi="Barlow" w:cs="Calibri"/>
          <w:b/>
          <w:sz w:val="20"/>
          <w:szCs w:val="20"/>
        </w:rPr>
      </w:pPr>
      <w:r w:rsidRPr="00515E14">
        <w:rPr>
          <w:rFonts w:ascii="Barlow" w:hAnsi="Barlow" w:cs="Calibri"/>
          <w:b/>
          <w:sz w:val="20"/>
          <w:szCs w:val="20"/>
        </w:rPr>
        <w:t>NOTA 4</w:t>
      </w:r>
    </w:p>
    <w:bookmarkStart w:id="2" w:name="_MON_1775287046"/>
    <w:bookmarkEnd w:id="2"/>
    <w:p w:rsidR="0050358C" w:rsidRPr="00515E14" w:rsidRDefault="000C05C2" w:rsidP="00F45207">
      <w:pPr>
        <w:spacing w:after="0"/>
        <w:jc w:val="both"/>
        <w:rPr>
          <w:rFonts w:ascii="Barlow" w:hAnsi="Barlow" w:cs="Calibri"/>
          <w:sz w:val="20"/>
          <w:szCs w:val="20"/>
        </w:rPr>
      </w:pPr>
      <w:r w:rsidRPr="00515E14">
        <w:rPr>
          <w:rFonts w:ascii="Barlow" w:hAnsi="Barlow" w:cs="Calibri"/>
          <w:sz w:val="20"/>
          <w:szCs w:val="20"/>
        </w:rPr>
        <w:object w:dxaOrig="13424" w:dyaOrig="1239">
          <v:shape id="_x0000_i1027" type="#_x0000_t75" style="width:671.25pt;height:62.25pt" o:ole="">
            <v:imagedata r:id="rId22" o:title=""/>
          </v:shape>
          <o:OLEObject Type="Embed" ProgID="Excel.Sheet.12" ShapeID="_x0000_i1027" DrawAspect="Content" ObjectID="_1775904388" r:id="rId23"/>
        </w:object>
      </w:r>
    </w:p>
    <w:p w:rsidR="0050358C" w:rsidRPr="00515E14" w:rsidRDefault="0050358C" w:rsidP="00F45207">
      <w:pPr>
        <w:spacing w:after="0"/>
        <w:jc w:val="both"/>
        <w:rPr>
          <w:rFonts w:ascii="Barlow" w:hAnsi="Barlow" w:cs="Calibri"/>
          <w:sz w:val="20"/>
          <w:szCs w:val="20"/>
        </w:rPr>
      </w:pPr>
    </w:p>
    <w:p w:rsidR="00B0321C" w:rsidRPr="00515E14" w:rsidRDefault="008D4352" w:rsidP="00F45207">
      <w:pPr>
        <w:spacing w:after="0"/>
        <w:jc w:val="both"/>
        <w:rPr>
          <w:rFonts w:ascii="Barlow" w:hAnsi="Barlow" w:cs="Calibri"/>
          <w:sz w:val="20"/>
          <w:szCs w:val="20"/>
        </w:rPr>
      </w:pPr>
      <w:r w:rsidRPr="00515E14">
        <w:rPr>
          <w:rFonts w:ascii="Barlow" w:hAnsi="Barlow" w:cs="Calibri"/>
          <w:sz w:val="20"/>
          <w:szCs w:val="20"/>
        </w:rPr>
        <w:t>-</w:t>
      </w:r>
      <w:r w:rsidR="000C05C2" w:rsidRPr="00515E14">
        <w:rPr>
          <w:rFonts w:ascii="Barlow" w:hAnsi="Barlow" w:cs="Calibri"/>
          <w:sz w:val="20"/>
          <w:szCs w:val="20"/>
        </w:rPr>
        <w:t>El 89</w:t>
      </w:r>
      <w:r w:rsidR="00EF05C1" w:rsidRPr="00515E14">
        <w:rPr>
          <w:rFonts w:ascii="Barlow" w:hAnsi="Barlow" w:cs="Calibri"/>
          <w:sz w:val="20"/>
          <w:szCs w:val="20"/>
        </w:rPr>
        <w:t xml:space="preserve">% </w:t>
      </w:r>
      <w:proofErr w:type="gramStart"/>
      <w:r w:rsidR="00EF05C1" w:rsidRPr="00515E14">
        <w:rPr>
          <w:rFonts w:ascii="Barlow" w:hAnsi="Barlow" w:cs="Calibri"/>
          <w:sz w:val="20"/>
          <w:szCs w:val="20"/>
        </w:rPr>
        <w:t xml:space="preserve">del </w:t>
      </w:r>
      <w:r w:rsidRPr="00515E14">
        <w:rPr>
          <w:rFonts w:ascii="Barlow" w:hAnsi="Barlow" w:cs="Calibri"/>
          <w:sz w:val="20"/>
          <w:szCs w:val="20"/>
        </w:rPr>
        <w:t xml:space="preserve"> saldo</w:t>
      </w:r>
      <w:proofErr w:type="gramEnd"/>
      <w:r w:rsidRPr="00515E14">
        <w:rPr>
          <w:rFonts w:ascii="Barlow" w:hAnsi="Barlow" w:cs="Calibri"/>
          <w:sz w:val="20"/>
          <w:szCs w:val="20"/>
        </w:rPr>
        <w:t xml:space="preserve"> del Almacén de materiales y suministros </w:t>
      </w:r>
      <w:r w:rsidR="00B0321C" w:rsidRPr="00515E14">
        <w:rPr>
          <w:rFonts w:ascii="Barlow" w:hAnsi="Barlow" w:cs="Calibri"/>
          <w:sz w:val="20"/>
          <w:szCs w:val="20"/>
        </w:rPr>
        <w:t xml:space="preserve"> </w:t>
      </w:r>
      <w:r w:rsidR="00EF05C1" w:rsidRPr="00515E14">
        <w:rPr>
          <w:rFonts w:ascii="Barlow" w:hAnsi="Barlow" w:cs="Calibri"/>
          <w:sz w:val="20"/>
          <w:szCs w:val="20"/>
        </w:rPr>
        <w:t>le</w:t>
      </w:r>
      <w:r w:rsidR="00B0321C" w:rsidRPr="00515E14">
        <w:rPr>
          <w:rFonts w:ascii="Barlow" w:hAnsi="Barlow" w:cs="Calibri"/>
          <w:sz w:val="20"/>
          <w:szCs w:val="20"/>
        </w:rPr>
        <w:t xml:space="preserve"> corresponde al recurso INSABI </w:t>
      </w:r>
      <w:r w:rsidR="00EF05C1" w:rsidRPr="00515E14">
        <w:rPr>
          <w:rFonts w:ascii="Barlow" w:hAnsi="Barlow" w:cs="Calibri"/>
          <w:sz w:val="20"/>
          <w:szCs w:val="20"/>
        </w:rPr>
        <w:t>por concepto de medicamentos y material d</w:t>
      </w:r>
      <w:r w:rsidR="004578A7" w:rsidRPr="00515E14">
        <w:rPr>
          <w:rFonts w:ascii="Barlow" w:hAnsi="Barlow" w:cs="Calibri"/>
          <w:sz w:val="20"/>
          <w:szCs w:val="20"/>
        </w:rPr>
        <w:t>e curación recibidos en especie</w:t>
      </w:r>
      <w:r w:rsidR="00EF05C1" w:rsidRPr="00515E14">
        <w:rPr>
          <w:rFonts w:ascii="Barlow" w:hAnsi="Barlow" w:cs="Calibri"/>
          <w:sz w:val="20"/>
          <w:szCs w:val="20"/>
        </w:rPr>
        <w:t>.</w:t>
      </w:r>
    </w:p>
    <w:p w:rsidR="008D4352" w:rsidRPr="00515E14" w:rsidRDefault="008D4352" w:rsidP="00F45207">
      <w:pPr>
        <w:spacing w:after="0"/>
        <w:jc w:val="both"/>
        <w:rPr>
          <w:rFonts w:ascii="Barlow" w:hAnsi="Barlow" w:cs="Calibri"/>
          <w:sz w:val="20"/>
          <w:szCs w:val="20"/>
        </w:rPr>
      </w:pPr>
      <w:r w:rsidRPr="00515E14">
        <w:rPr>
          <w:rFonts w:ascii="Barlow" w:hAnsi="Barlow" w:cs="Calibri"/>
          <w:sz w:val="20"/>
          <w:szCs w:val="20"/>
        </w:rPr>
        <w:t xml:space="preserve"> </w:t>
      </w:r>
    </w:p>
    <w:p w:rsidR="00936B2D" w:rsidRPr="00515E14" w:rsidRDefault="00936B2D" w:rsidP="00D53C39">
      <w:pPr>
        <w:spacing w:after="0"/>
        <w:jc w:val="both"/>
        <w:rPr>
          <w:rFonts w:ascii="Barlow" w:hAnsi="Barlow" w:cs="Calibri"/>
          <w:b/>
          <w:sz w:val="20"/>
          <w:szCs w:val="20"/>
        </w:rPr>
      </w:pPr>
    </w:p>
    <w:p w:rsidR="00D53C39" w:rsidRPr="00515E14" w:rsidRDefault="00A171DA" w:rsidP="00D53C39">
      <w:pPr>
        <w:spacing w:after="0"/>
        <w:jc w:val="both"/>
        <w:rPr>
          <w:rFonts w:ascii="Barlow" w:hAnsi="Barlow" w:cs="Calibri"/>
          <w:b/>
          <w:sz w:val="20"/>
          <w:szCs w:val="20"/>
        </w:rPr>
      </w:pPr>
      <w:r w:rsidRPr="00515E14">
        <w:rPr>
          <w:rFonts w:ascii="Barlow" w:hAnsi="Barlow" w:cs="Calibri"/>
          <w:b/>
          <w:sz w:val="20"/>
          <w:szCs w:val="20"/>
        </w:rPr>
        <w:lastRenderedPageBreak/>
        <w:t>NOTA 5</w:t>
      </w:r>
    </w:p>
    <w:p w:rsidR="00D53C39" w:rsidRPr="00515E14" w:rsidRDefault="00D53C39" w:rsidP="00F45207">
      <w:pPr>
        <w:spacing w:after="0"/>
        <w:jc w:val="both"/>
        <w:rPr>
          <w:rFonts w:ascii="Barlow" w:hAnsi="Barlow" w:cs="Calibri"/>
          <w:b/>
          <w:sz w:val="20"/>
          <w:szCs w:val="20"/>
        </w:rPr>
      </w:pPr>
      <w:r w:rsidRPr="00515E14">
        <w:rPr>
          <w:rFonts w:ascii="Barlow" w:hAnsi="Barlow" w:cs="Calibri"/>
          <w:b/>
          <w:sz w:val="20"/>
          <w:szCs w:val="20"/>
        </w:rPr>
        <w:t>INVERSIONES FINANCIERAS</w:t>
      </w:r>
    </w:p>
    <w:p w:rsidR="00D53C39" w:rsidRPr="00515E14" w:rsidRDefault="00D53C39" w:rsidP="00F45207">
      <w:pPr>
        <w:spacing w:after="0"/>
        <w:jc w:val="both"/>
        <w:rPr>
          <w:rFonts w:ascii="Barlow" w:hAnsi="Barlow" w:cs="Calibri"/>
          <w:sz w:val="20"/>
          <w:szCs w:val="20"/>
        </w:rPr>
      </w:pPr>
      <w:r w:rsidRPr="00515E14">
        <w:rPr>
          <w:rFonts w:ascii="Barlow" w:hAnsi="Barlow" w:cs="Calibri"/>
          <w:sz w:val="20"/>
          <w:szCs w:val="20"/>
        </w:rPr>
        <w:t>Los Servicios de Salud de Yucatán no tienen Inversiones Financieras</w:t>
      </w:r>
    </w:p>
    <w:p w:rsidR="00D53C39" w:rsidRPr="00515E14" w:rsidRDefault="00D53C39" w:rsidP="00F45207">
      <w:pPr>
        <w:spacing w:after="0"/>
        <w:jc w:val="both"/>
        <w:rPr>
          <w:rFonts w:ascii="Barlow" w:hAnsi="Barlow" w:cs="Calibri"/>
          <w:b/>
          <w:sz w:val="20"/>
          <w:szCs w:val="20"/>
        </w:rPr>
      </w:pPr>
    </w:p>
    <w:p w:rsidR="00D53C39" w:rsidRPr="00515E14" w:rsidRDefault="00A171DA" w:rsidP="00D53C39">
      <w:pPr>
        <w:spacing w:after="0"/>
        <w:jc w:val="both"/>
        <w:rPr>
          <w:rFonts w:ascii="Barlow" w:hAnsi="Barlow" w:cs="Calibri"/>
          <w:b/>
          <w:sz w:val="20"/>
          <w:szCs w:val="20"/>
        </w:rPr>
      </w:pPr>
      <w:r w:rsidRPr="00515E14">
        <w:rPr>
          <w:rFonts w:ascii="Barlow" w:hAnsi="Barlow" w:cs="Calibri"/>
          <w:b/>
          <w:sz w:val="20"/>
          <w:szCs w:val="20"/>
        </w:rPr>
        <w:t>NOTA 6</w:t>
      </w:r>
    </w:p>
    <w:p w:rsidR="00484312" w:rsidRPr="00515E14" w:rsidRDefault="009539D6" w:rsidP="00F45207">
      <w:pPr>
        <w:spacing w:after="0"/>
        <w:jc w:val="both"/>
        <w:rPr>
          <w:rFonts w:ascii="Barlow" w:hAnsi="Barlow" w:cs="Calibri"/>
          <w:b/>
          <w:sz w:val="20"/>
          <w:szCs w:val="20"/>
        </w:rPr>
      </w:pPr>
      <w:r w:rsidRPr="00515E14">
        <w:rPr>
          <w:rFonts w:ascii="Barlow" w:hAnsi="Barlow" w:cs="Calibri"/>
          <w:b/>
          <w:sz w:val="20"/>
          <w:szCs w:val="20"/>
        </w:rPr>
        <w:t>BIENES MUEBLES,</w:t>
      </w:r>
      <w:r w:rsidR="00484312" w:rsidRPr="00515E14">
        <w:rPr>
          <w:rFonts w:ascii="Barlow" w:hAnsi="Barlow" w:cs="Calibri"/>
          <w:b/>
          <w:sz w:val="20"/>
          <w:szCs w:val="20"/>
        </w:rPr>
        <w:t xml:space="preserve"> </w:t>
      </w:r>
      <w:r w:rsidRPr="00515E14">
        <w:rPr>
          <w:rFonts w:ascii="Barlow" w:hAnsi="Barlow" w:cs="Calibri"/>
          <w:b/>
          <w:sz w:val="20"/>
          <w:szCs w:val="20"/>
        </w:rPr>
        <w:t>INMUEBLES E INTANGIBLES</w:t>
      </w:r>
    </w:p>
    <w:p w:rsidR="00484312" w:rsidRPr="00515E14" w:rsidRDefault="00484312" w:rsidP="00F45207">
      <w:pPr>
        <w:spacing w:after="0"/>
        <w:jc w:val="both"/>
        <w:rPr>
          <w:rFonts w:ascii="Barlow" w:hAnsi="Barlow" w:cs="Calibri"/>
          <w:sz w:val="20"/>
          <w:szCs w:val="20"/>
        </w:rPr>
      </w:pPr>
      <w:r w:rsidRPr="00515E14">
        <w:rPr>
          <w:rFonts w:ascii="Barlow" w:hAnsi="Barlow" w:cs="Calibri"/>
          <w:sz w:val="20"/>
          <w:szCs w:val="20"/>
        </w:rPr>
        <w:t>Los Activos Fijos se presentan valuados a su precio de adquisición, en este caso se cuenta con mobiliario y equipo de administración, maquinaria y equipo, equipo e</w:t>
      </w:r>
      <w:r w:rsidR="00CB0DBB" w:rsidRPr="00515E14">
        <w:rPr>
          <w:rFonts w:ascii="Barlow" w:hAnsi="Barlow" w:cs="Calibri"/>
          <w:sz w:val="20"/>
          <w:szCs w:val="20"/>
        </w:rPr>
        <w:t xml:space="preserve"> </w:t>
      </w:r>
      <w:r w:rsidRPr="00515E14">
        <w:rPr>
          <w:rFonts w:ascii="Barlow" w:hAnsi="Barlow" w:cs="Calibri"/>
          <w:sz w:val="20"/>
          <w:szCs w:val="20"/>
        </w:rPr>
        <w:t xml:space="preserve">instrumental médico y de laboratorio, conformados de los recursos </w:t>
      </w:r>
      <w:r w:rsidR="005E38CD" w:rsidRPr="00515E14">
        <w:rPr>
          <w:rFonts w:ascii="Barlow" w:hAnsi="Barlow" w:cs="Calibri"/>
          <w:sz w:val="20"/>
          <w:szCs w:val="20"/>
        </w:rPr>
        <w:t>E</w:t>
      </w:r>
      <w:r w:rsidRPr="00515E14">
        <w:rPr>
          <w:rFonts w:ascii="Barlow" w:hAnsi="Barlow" w:cs="Calibri"/>
          <w:sz w:val="20"/>
          <w:szCs w:val="20"/>
        </w:rPr>
        <w:t xml:space="preserve">statales, FASSA, </w:t>
      </w:r>
      <w:r w:rsidR="00A5668D" w:rsidRPr="00515E14">
        <w:rPr>
          <w:rFonts w:ascii="Barlow" w:hAnsi="Barlow" w:cs="Calibri"/>
          <w:sz w:val="20"/>
          <w:szCs w:val="20"/>
        </w:rPr>
        <w:t>INSABI</w:t>
      </w:r>
      <w:r w:rsidRPr="00515E14">
        <w:rPr>
          <w:rFonts w:ascii="Barlow" w:hAnsi="Barlow" w:cs="Calibri"/>
          <w:sz w:val="20"/>
          <w:szCs w:val="20"/>
        </w:rPr>
        <w:t xml:space="preserve">, Cuotas de Recuperación y Convenios Federales. Las depreciaciones se realizan al momento de su adquisición de acuerdo a lo dispuesto en el </w:t>
      </w:r>
      <w:r w:rsidR="004578A7" w:rsidRPr="00515E14">
        <w:rPr>
          <w:rFonts w:ascii="Barlow" w:hAnsi="Barlow" w:cs="Calibri"/>
          <w:sz w:val="20"/>
          <w:szCs w:val="20"/>
        </w:rPr>
        <w:t>C</w:t>
      </w:r>
      <w:r w:rsidRPr="00515E14">
        <w:rPr>
          <w:rFonts w:ascii="Barlow" w:hAnsi="Barlow" w:cs="Calibri"/>
          <w:sz w:val="20"/>
          <w:szCs w:val="20"/>
        </w:rPr>
        <w:t xml:space="preserve">ódigo </w:t>
      </w:r>
      <w:r w:rsidR="004578A7" w:rsidRPr="00515E14">
        <w:rPr>
          <w:rFonts w:ascii="Barlow" w:hAnsi="Barlow" w:cs="Calibri"/>
          <w:sz w:val="20"/>
          <w:szCs w:val="20"/>
        </w:rPr>
        <w:t>F</w:t>
      </w:r>
      <w:r w:rsidRPr="00515E14">
        <w:rPr>
          <w:rFonts w:ascii="Barlow" w:hAnsi="Barlow" w:cs="Calibri"/>
          <w:sz w:val="20"/>
          <w:szCs w:val="20"/>
        </w:rPr>
        <w:t xml:space="preserve">iscal de la </w:t>
      </w:r>
      <w:r w:rsidR="004578A7" w:rsidRPr="00515E14">
        <w:rPr>
          <w:rFonts w:ascii="Barlow" w:hAnsi="Barlow" w:cs="Calibri"/>
          <w:sz w:val="20"/>
          <w:szCs w:val="20"/>
        </w:rPr>
        <w:t>F</w:t>
      </w:r>
      <w:r w:rsidRPr="00515E14">
        <w:rPr>
          <w:rFonts w:ascii="Barlow" w:hAnsi="Barlow" w:cs="Calibri"/>
          <w:sz w:val="20"/>
          <w:szCs w:val="20"/>
        </w:rPr>
        <w:t>ederación y se encuentra en proceso la actualizaci</w:t>
      </w:r>
      <w:r w:rsidR="007F27E5" w:rsidRPr="00515E14">
        <w:rPr>
          <w:rFonts w:ascii="Barlow" w:hAnsi="Barlow" w:cs="Calibri"/>
          <w:sz w:val="20"/>
          <w:szCs w:val="20"/>
        </w:rPr>
        <w:t>ón</w:t>
      </w:r>
      <w:r w:rsidR="0050358C" w:rsidRPr="00515E14">
        <w:rPr>
          <w:rFonts w:ascii="Barlow" w:hAnsi="Barlow" w:cs="Calibri"/>
          <w:sz w:val="20"/>
          <w:szCs w:val="20"/>
        </w:rPr>
        <w:t xml:space="preserve"> </w:t>
      </w:r>
      <w:proofErr w:type="gramStart"/>
      <w:r w:rsidR="0050358C" w:rsidRPr="00515E14">
        <w:rPr>
          <w:rFonts w:ascii="Barlow" w:hAnsi="Barlow" w:cs="Calibri"/>
          <w:sz w:val="20"/>
          <w:szCs w:val="20"/>
        </w:rPr>
        <w:t>de</w:t>
      </w:r>
      <w:r w:rsidR="007F27E5" w:rsidRPr="00515E14">
        <w:rPr>
          <w:rFonts w:ascii="Barlow" w:hAnsi="Barlow" w:cs="Calibri"/>
          <w:sz w:val="20"/>
          <w:szCs w:val="20"/>
        </w:rPr>
        <w:t xml:space="preserve"> </w:t>
      </w:r>
      <w:r w:rsidRPr="00515E14">
        <w:rPr>
          <w:rFonts w:ascii="Barlow" w:hAnsi="Barlow" w:cs="Calibri"/>
          <w:sz w:val="20"/>
          <w:szCs w:val="20"/>
        </w:rPr>
        <w:t xml:space="preserve"> la</w:t>
      </w:r>
      <w:proofErr w:type="gramEnd"/>
      <w:r w:rsidRPr="00515E14">
        <w:rPr>
          <w:rFonts w:ascii="Barlow" w:hAnsi="Barlow" w:cs="Calibri"/>
          <w:sz w:val="20"/>
          <w:szCs w:val="20"/>
        </w:rPr>
        <w:t xml:space="preserve"> d</w:t>
      </w:r>
      <w:r w:rsidR="00973733" w:rsidRPr="00515E14">
        <w:rPr>
          <w:rFonts w:ascii="Barlow" w:hAnsi="Barlow" w:cs="Calibri"/>
          <w:sz w:val="20"/>
          <w:szCs w:val="20"/>
        </w:rPr>
        <w:t xml:space="preserve">epreciación de </w:t>
      </w:r>
      <w:r w:rsidR="001E0A5C" w:rsidRPr="00515E14">
        <w:rPr>
          <w:rFonts w:ascii="Barlow" w:hAnsi="Barlow" w:cs="Calibri"/>
          <w:sz w:val="20"/>
          <w:szCs w:val="20"/>
        </w:rPr>
        <w:t>los b</w:t>
      </w:r>
      <w:r w:rsidR="006B5977" w:rsidRPr="00515E14">
        <w:rPr>
          <w:rFonts w:ascii="Barlow" w:hAnsi="Barlow" w:cs="Calibri"/>
          <w:sz w:val="20"/>
          <w:szCs w:val="20"/>
        </w:rPr>
        <w:t>ienes adquiridos antes del 201</w:t>
      </w:r>
      <w:r w:rsidR="0050358C" w:rsidRPr="00515E14">
        <w:rPr>
          <w:rFonts w:ascii="Barlow" w:hAnsi="Barlow" w:cs="Calibri"/>
          <w:sz w:val="20"/>
          <w:szCs w:val="20"/>
        </w:rPr>
        <w:t>8,</w:t>
      </w:r>
      <w:r w:rsidR="006B5977" w:rsidRPr="00515E14">
        <w:rPr>
          <w:rFonts w:ascii="Barlow" w:hAnsi="Barlow" w:cs="Calibri"/>
          <w:sz w:val="20"/>
          <w:szCs w:val="20"/>
        </w:rPr>
        <w:t xml:space="preserve"> </w:t>
      </w:r>
      <w:r w:rsidR="0050358C" w:rsidRPr="00515E14">
        <w:rPr>
          <w:rFonts w:ascii="Barlow" w:hAnsi="Barlow" w:cs="Calibri"/>
          <w:sz w:val="20"/>
          <w:szCs w:val="20"/>
        </w:rPr>
        <w:t>a</w:t>
      </w:r>
      <w:r w:rsidR="006B5977" w:rsidRPr="00515E14">
        <w:rPr>
          <w:rFonts w:ascii="Barlow" w:hAnsi="Barlow" w:cs="Calibri"/>
          <w:sz w:val="20"/>
          <w:szCs w:val="20"/>
        </w:rPr>
        <w:t xml:space="preserve">sí como también la integración de los </w:t>
      </w:r>
      <w:r w:rsidR="004578A7" w:rsidRPr="00515E14">
        <w:rPr>
          <w:rFonts w:ascii="Barlow" w:hAnsi="Barlow" w:cs="Calibri"/>
          <w:sz w:val="20"/>
          <w:szCs w:val="20"/>
        </w:rPr>
        <w:t>b</w:t>
      </w:r>
      <w:r w:rsidR="006B5977" w:rsidRPr="00515E14">
        <w:rPr>
          <w:rFonts w:ascii="Barlow" w:hAnsi="Barlow" w:cs="Calibri"/>
          <w:sz w:val="20"/>
          <w:szCs w:val="20"/>
        </w:rPr>
        <w:t xml:space="preserve">ienes muebles e </w:t>
      </w:r>
      <w:r w:rsidR="004578A7" w:rsidRPr="00515E14">
        <w:rPr>
          <w:rFonts w:ascii="Barlow" w:hAnsi="Barlow" w:cs="Calibri"/>
          <w:sz w:val="20"/>
          <w:szCs w:val="20"/>
        </w:rPr>
        <w:t>i</w:t>
      </w:r>
      <w:r w:rsidR="006B5977" w:rsidRPr="00515E14">
        <w:rPr>
          <w:rFonts w:ascii="Barlow" w:hAnsi="Barlow" w:cs="Calibri"/>
          <w:sz w:val="20"/>
          <w:szCs w:val="20"/>
        </w:rPr>
        <w:t>nmuebles</w:t>
      </w:r>
      <w:r w:rsidR="004578A7" w:rsidRPr="00515E14">
        <w:rPr>
          <w:rFonts w:ascii="Barlow" w:hAnsi="Barlow" w:cs="Calibri"/>
          <w:sz w:val="20"/>
          <w:szCs w:val="20"/>
        </w:rPr>
        <w:t xml:space="preserve"> provenientes de esos ejercicios.</w:t>
      </w:r>
    </w:p>
    <w:p w:rsidR="0050358C" w:rsidRPr="00515E14" w:rsidRDefault="0050358C" w:rsidP="00F45207">
      <w:pPr>
        <w:spacing w:after="0"/>
        <w:jc w:val="both"/>
        <w:rPr>
          <w:rFonts w:ascii="Barlow" w:hAnsi="Barlow" w:cs="Calibri"/>
          <w:sz w:val="20"/>
          <w:szCs w:val="20"/>
        </w:rPr>
      </w:pPr>
    </w:p>
    <w:p w:rsidR="0050358C" w:rsidRPr="00515E14" w:rsidRDefault="00D9210C" w:rsidP="00F45207">
      <w:pPr>
        <w:spacing w:after="0"/>
        <w:jc w:val="both"/>
        <w:rPr>
          <w:rFonts w:ascii="Barlow" w:hAnsi="Barlow" w:cs="Calibri"/>
          <w:sz w:val="20"/>
          <w:szCs w:val="20"/>
        </w:rPr>
      </w:pPr>
      <w:r w:rsidRPr="00515E14">
        <w:rPr>
          <w:rFonts w:ascii="Barlow" w:hAnsi="Barlow" w:cs="Calibri"/>
          <w:sz w:val="20"/>
          <w:szCs w:val="20"/>
        </w:rPr>
        <w:object w:dxaOrig="13661" w:dyaOrig="1820">
          <v:shape id="_x0000_i1028" type="#_x0000_t75" style="width:683.25pt;height:90.75pt" o:ole="">
            <v:imagedata r:id="rId24" o:title=""/>
          </v:shape>
          <o:OLEObject Type="Embed" ProgID="Excel.Sheet.12" ShapeID="_x0000_i1028" DrawAspect="Content" ObjectID="_1775904389" r:id="rId25"/>
        </w:object>
      </w:r>
    </w:p>
    <w:p w:rsidR="00A00174" w:rsidRPr="00515E14" w:rsidRDefault="00A00174" w:rsidP="00F45207">
      <w:pPr>
        <w:spacing w:after="0"/>
        <w:jc w:val="both"/>
        <w:rPr>
          <w:rFonts w:ascii="Barlow" w:hAnsi="Barlow" w:cs="Calibri"/>
          <w:sz w:val="20"/>
          <w:szCs w:val="20"/>
        </w:rPr>
      </w:pPr>
    </w:p>
    <w:bookmarkStart w:id="3" w:name="_MON_1775302997"/>
    <w:bookmarkEnd w:id="3"/>
    <w:p w:rsidR="00333923" w:rsidRPr="00515E14" w:rsidRDefault="000C05C2" w:rsidP="00F45207">
      <w:pPr>
        <w:spacing w:after="0"/>
        <w:jc w:val="both"/>
        <w:rPr>
          <w:rFonts w:ascii="Barlow" w:hAnsi="Barlow" w:cs="Calibri"/>
          <w:sz w:val="20"/>
          <w:szCs w:val="20"/>
        </w:rPr>
      </w:pPr>
      <w:r w:rsidRPr="00515E14">
        <w:rPr>
          <w:rFonts w:ascii="Barlow" w:hAnsi="Barlow" w:cs="Calibri"/>
          <w:sz w:val="20"/>
          <w:szCs w:val="20"/>
        </w:rPr>
        <w:object w:dxaOrig="13661" w:dyaOrig="2692">
          <v:shape id="_x0000_i1029" type="#_x0000_t75" style="width:683.25pt;height:134.25pt" o:ole="">
            <v:imagedata r:id="rId26" o:title=""/>
          </v:shape>
          <o:OLEObject Type="Embed" ProgID="Excel.Sheet.12" ShapeID="_x0000_i1029" DrawAspect="Content" ObjectID="_1775904390" r:id="rId27"/>
        </w:object>
      </w:r>
    </w:p>
    <w:p w:rsidR="00333923" w:rsidRPr="00515E14" w:rsidRDefault="00333923" w:rsidP="00F45207">
      <w:pPr>
        <w:spacing w:after="0"/>
        <w:jc w:val="both"/>
        <w:rPr>
          <w:rFonts w:ascii="Barlow" w:hAnsi="Barlow" w:cs="Calibri"/>
          <w:sz w:val="20"/>
          <w:szCs w:val="20"/>
        </w:rPr>
      </w:pPr>
    </w:p>
    <w:p w:rsidR="00752F5F" w:rsidRPr="00515E14" w:rsidRDefault="00D9210C" w:rsidP="00F45207">
      <w:pPr>
        <w:spacing w:after="0"/>
        <w:jc w:val="both"/>
        <w:rPr>
          <w:rFonts w:ascii="Barlow" w:hAnsi="Barlow"/>
          <w:sz w:val="20"/>
          <w:szCs w:val="20"/>
        </w:rPr>
      </w:pPr>
      <w:r w:rsidRPr="00515E14">
        <w:rPr>
          <w:rFonts w:ascii="Barlow" w:hAnsi="Barlow"/>
          <w:sz w:val="20"/>
          <w:szCs w:val="20"/>
        </w:rPr>
        <w:object w:dxaOrig="13661" w:dyaOrig="1530">
          <v:shape id="_x0000_i1030" type="#_x0000_t75" style="width:683.25pt;height:76.5pt" o:ole="">
            <v:imagedata r:id="rId28" o:title=""/>
          </v:shape>
          <o:OLEObject Type="Embed" ProgID="Excel.Sheet.12" ShapeID="_x0000_i1030" DrawAspect="Content" ObjectID="_1775904391" r:id="rId29"/>
        </w:object>
      </w:r>
    </w:p>
    <w:p w:rsidR="00752F5F" w:rsidRPr="00515E14" w:rsidRDefault="00752F5F" w:rsidP="00F45207">
      <w:pPr>
        <w:spacing w:after="0"/>
        <w:jc w:val="both"/>
        <w:rPr>
          <w:rFonts w:ascii="Barlow" w:hAnsi="Barlow" w:cs="Calibri"/>
          <w:sz w:val="20"/>
          <w:szCs w:val="20"/>
        </w:rPr>
      </w:pPr>
    </w:p>
    <w:bookmarkStart w:id="4" w:name="_MON_1775287328"/>
    <w:bookmarkEnd w:id="4"/>
    <w:p w:rsidR="00752F5F" w:rsidRPr="00515E14" w:rsidRDefault="000C05C2" w:rsidP="00F45207">
      <w:pPr>
        <w:spacing w:after="0"/>
        <w:jc w:val="both"/>
        <w:rPr>
          <w:rFonts w:ascii="Barlow" w:hAnsi="Barlow" w:cs="Calibri"/>
          <w:sz w:val="20"/>
          <w:szCs w:val="20"/>
        </w:rPr>
      </w:pPr>
      <w:r w:rsidRPr="00515E14">
        <w:rPr>
          <w:rFonts w:ascii="Barlow" w:hAnsi="Barlow" w:cs="Calibri"/>
          <w:sz w:val="20"/>
          <w:szCs w:val="20"/>
        </w:rPr>
        <w:object w:dxaOrig="13661" w:dyaOrig="2111">
          <v:shape id="_x0000_i1031" type="#_x0000_t75" style="width:683.25pt;height:105.75pt" o:ole="">
            <v:imagedata r:id="rId30" o:title=""/>
          </v:shape>
          <o:OLEObject Type="Embed" ProgID="Excel.Sheet.12" ShapeID="_x0000_i1031" DrawAspect="Content" ObjectID="_1775904392" r:id="rId31"/>
        </w:object>
      </w:r>
    </w:p>
    <w:p w:rsidR="009D0FD0" w:rsidRDefault="009D0FD0" w:rsidP="00F45207">
      <w:pPr>
        <w:spacing w:after="0"/>
        <w:jc w:val="both"/>
        <w:rPr>
          <w:rFonts w:ascii="Barlow" w:hAnsi="Barlow" w:cs="Calibri"/>
          <w:b/>
          <w:sz w:val="20"/>
          <w:szCs w:val="20"/>
        </w:rPr>
      </w:pPr>
    </w:p>
    <w:p w:rsidR="009D0FD0" w:rsidRDefault="009D0FD0" w:rsidP="00F45207">
      <w:pPr>
        <w:spacing w:after="0"/>
        <w:jc w:val="both"/>
        <w:rPr>
          <w:rFonts w:ascii="Barlow" w:hAnsi="Barlow" w:cs="Calibri"/>
          <w:b/>
          <w:sz w:val="20"/>
          <w:szCs w:val="20"/>
        </w:rPr>
      </w:pPr>
    </w:p>
    <w:p w:rsidR="002230CA" w:rsidRPr="00515E14" w:rsidRDefault="002230CA" w:rsidP="00F45207">
      <w:pPr>
        <w:spacing w:after="0"/>
        <w:jc w:val="both"/>
        <w:rPr>
          <w:rFonts w:ascii="Barlow" w:hAnsi="Barlow" w:cs="Calibri"/>
          <w:b/>
          <w:sz w:val="20"/>
          <w:szCs w:val="20"/>
        </w:rPr>
      </w:pPr>
      <w:r w:rsidRPr="00515E14">
        <w:rPr>
          <w:rFonts w:ascii="Barlow" w:hAnsi="Barlow" w:cs="Calibri"/>
          <w:b/>
          <w:sz w:val="20"/>
          <w:szCs w:val="20"/>
        </w:rPr>
        <w:lastRenderedPageBreak/>
        <w:t>PASIVOS</w:t>
      </w:r>
    </w:p>
    <w:p w:rsidR="005E38CD" w:rsidRPr="00515E14" w:rsidRDefault="005E38CD" w:rsidP="00F45207">
      <w:pPr>
        <w:spacing w:after="0"/>
        <w:jc w:val="both"/>
        <w:rPr>
          <w:rFonts w:ascii="Barlow" w:hAnsi="Barlow" w:cs="Calibri"/>
          <w:b/>
          <w:sz w:val="20"/>
          <w:szCs w:val="20"/>
        </w:rPr>
      </w:pPr>
      <w:r w:rsidRPr="00515E14">
        <w:rPr>
          <w:rFonts w:ascii="Barlow" w:hAnsi="Barlow" w:cs="Calibri"/>
          <w:b/>
          <w:sz w:val="20"/>
          <w:szCs w:val="20"/>
        </w:rPr>
        <w:t xml:space="preserve">NOTA </w:t>
      </w:r>
      <w:r w:rsidR="00465D0D" w:rsidRPr="00515E14">
        <w:rPr>
          <w:rFonts w:ascii="Barlow" w:hAnsi="Barlow" w:cs="Calibri"/>
          <w:b/>
          <w:sz w:val="20"/>
          <w:szCs w:val="20"/>
        </w:rPr>
        <w:t>1</w:t>
      </w:r>
    </w:p>
    <w:p w:rsidR="00CC4B1C" w:rsidRPr="00515E14" w:rsidRDefault="00CC4B1C" w:rsidP="00F45207">
      <w:pPr>
        <w:spacing w:after="0"/>
        <w:jc w:val="both"/>
        <w:rPr>
          <w:rFonts w:ascii="Barlow" w:hAnsi="Barlow" w:cs="Calibri"/>
          <w:b/>
          <w:sz w:val="20"/>
          <w:szCs w:val="20"/>
        </w:rPr>
      </w:pPr>
    </w:p>
    <w:bookmarkStart w:id="5" w:name="_MON_1775293891"/>
    <w:bookmarkEnd w:id="5"/>
    <w:p w:rsidR="006E129C" w:rsidRPr="00515E14" w:rsidRDefault="00C07D6B" w:rsidP="006E129C">
      <w:pPr>
        <w:spacing w:after="0"/>
        <w:jc w:val="both"/>
        <w:rPr>
          <w:rFonts w:ascii="Barlow" w:hAnsi="Barlow" w:cs="Calibri"/>
          <w:b/>
          <w:sz w:val="20"/>
          <w:szCs w:val="20"/>
        </w:rPr>
      </w:pPr>
      <w:r w:rsidRPr="00515E14">
        <w:rPr>
          <w:rFonts w:ascii="Barlow" w:hAnsi="Barlow" w:cs="Calibri"/>
          <w:b/>
          <w:sz w:val="20"/>
          <w:szCs w:val="20"/>
        </w:rPr>
        <w:object w:dxaOrig="13661" w:dyaOrig="2692">
          <v:shape id="_x0000_i1032" type="#_x0000_t75" style="width:683.25pt;height:134.25pt" o:ole="">
            <v:imagedata r:id="rId32" o:title=""/>
          </v:shape>
          <o:OLEObject Type="Embed" ProgID="Excel.Sheet.12" ShapeID="_x0000_i1032" DrawAspect="Content" ObjectID="_1775904393" r:id="rId33"/>
        </w:object>
      </w:r>
      <w:r w:rsidR="00465D0D" w:rsidRPr="00515E14">
        <w:rPr>
          <w:rFonts w:ascii="Barlow" w:hAnsi="Barlow" w:cs="Calibri"/>
          <w:b/>
          <w:sz w:val="20"/>
          <w:szCs w:val="20"/>
        </w:rPr>
        <w:t>NOTA 2</w:t>
      </w:r>
    </w:p>
    <w:p w:rsidR="00CC4B1C" w:rsidRPr="00515E14" w:rsidRDefault="00733D62" w:rsidP="006E129C">
      <w:pPr>
        <w:spacing w:after="0"/>
        <w:jc w:val="both"/>
        <w:rPr>
          <w:rFonts w:ascii="Barlow" w:hAnsi="Barlow" w:cs="Calibri"/>
          <w:b/>
          <w:sz w:val="20"/>
          <w:szCs w:val="20"/>
        </w:rPr>
      </w:pPr>
      <w:r w:rsidRPr="00515E14">
        <w:rPr>
          <w:rFonts w:ascii="Barlow" w:hAnsi="Barlow" w:cs="Calibri"/>
          <w:b/>
          <w:sz w:val="20"/>
          <w:szCs w:val="20"/>
        </w:rPr>
        <w:object w:dxaOrig="13661" w:dyaOrig="1530">
          <v:shape id="_x0000_i1033" type="#_x0000_t75" style="width:683.25pt;height:76.5pt" o:ole="">
            <v:imagedata r:id="rId34" o:title=""/>
          </v:shape>
          <o:OLEObject Type="Embed" ProgID="Excel.Sheet.12" ShapeID="_x0000_i1033" DrawAspect="Content" ObjectID="_1775904394" r:id="rId35"/>
        </w:object>
      </w:r>
    </w:p>
    <w:p w:rsidR="003E50C7" w:rsidRPr="00515E14" w:rsidRDefault="00465D0D" w:rsidP="00C07AF6">
      <w:pPr>
        <w:spacing w:after="0"/>
        <w:jc w:val="both"/>
        <w:rPr>
          <w:rFonts w:ascii="Barlow" w:hAnsi="Barlow" w:cs="Calibri"/>
          <w:b/>
          <w:sz w:val="20"/>
          <w:szCs w:val="20"/>
        </w:rPr>
      </w:pPr>
      <w:r w:rsidRPr="00515E14">
        <w:rPr>
          <w:rFonts w:ascii="Barlow" w:hAnsi="Barlow" w:cs="Calibri"/>
          <w:b/>
          <w:sz w:val="20"/>
          <w:szCs w:val="20"/>
        </w:rPr>
        <w:t>NOTA 3</w:t>
      </w:r>
    </w:p>
    <w:p w:rsidR="00CC4B1C" w:rsidRPr="00515E14" w:rsidRDefault="00733D62" w:rsidP="00C07AF6">
      <w:pPr>
        <w:spacing w:after="0"/>
        <w:jc w:val="both"/>
        <w:rPr>
          <w:rFonts w:ascii="Barlow" w:hAnsi="Barlow" w:cs="Calibri"/>
          <w:b/>
          <w:sz w:val="20"/>
          <w:szCs w:val="20"/>
        </w:rPr>
      </w:pPr>
      <w:r w:rsidRPr="00515E14">
        <w:rPr>
          <w:rFonts w:ascii="Barlow" w:hAnsi="Barlow" w:cs="Calibri"/>
          <w:b/>
          <w:sz w:val="20"/>
          <w:szCs w:val="20"/>
        </w:rPr>
        <w:object w:dxaOrig="13661" w:dyaOrig="1530">
          <v:shape id="_x0000_i1034" type="#_x0000_t75" style="width:683.25pt;height:76.5pt" o:ole="">
            <v:imagedata r:id="rId36" o:title=""/>
          </v:shape>
          <o:OLEObject Type="Embed" ProgID="Excel.Sheet.12" ShapeID="_x0000_i1034" DrawAspect="Content" ObjectID="_1775904395" r:id="rId37"/>
        </w:object>
      </w:r>
    </w:p>
    <w:p w:rsidR="009D0FD0" w:rsidRDefault="009D0FD0" w:rsidP="00F45207">
      <w:pPr>
        <w:spacing w:after="0"/>
        <w:jc w:val="both"/>
        <w:rPr>
          <w:rFonts w:ascii="Barlow" w:hAnsi="Barlow" w:cs="Calibri"/>
          <w:b/>
          <w:sz w:val="20"/>
          <w:szCs w:val="20"/>
        </w:rPr>
      </w:pPr>
    </w:p>
    <w:p w:rsidR="009539D6" w:rsidRPr="00515E14" w:rsidRDefault="00A35AEE" w:rsidP="00F45207">
      <w:pPr>
        <w:spacing w:after="0"/>
        <w:jc w:val="both"/>
        <w:rPr>
          <w:rFonts w:ascii="Barlow" w:hAnsi="Barlow" w:cs="Calibri"/>
          <w:b/>
          <w:sz w:val="20"/>
          <w:szCs w:val="20"/>
        </w:rPr>
      </w:pPr>
      <w:r w:rsidRPr="00515E14">
        <w:rPr>
          <w:rFonts w:ascii="Barlow" w:hAnsi="Barlow" w:cs="Calibri"/>
          <w:b/>
          <w:sz w:val="20"/>
          <w:szCs w:val="20"/>
        </w:rPr>
        <w:lastRenderedPageBreak/>
        <w:t>III</w:t>
      </w:r>
      <w:r w:rsidR="00DB15E1" w:rsidRPr="00515E14">
        <w:rPr>
          <w:rFonts w:ascii="Barlow" w:hAnsi="Barlow" w:cs="Calibri"/>
          <w:b/>
          <w:sz w:val="20"/>
          <w:szCs w:val="20"/>
        </w:rPr>
        <w:t>.- NOTAS AL ESTADO DE VARIACIÓN EN LA HACIENDA PÚBLICA/PATRIMONIO</w:t>
      </w:r>
    </w:p>
    <w:p w:rsidR="003E50C7" w:rsidRPr="00515E14" w:rsidRDefault="003E50C7" w:rsidP="00F45207">
      <w:pPr>
        <w:spacing w:after="0"/>
        <w:jc w:val="both"/>
        <w:rPr>
          <w:rFonts w:ascii="Barlow" w:hAnsi="Barlow" w:cs="Calibri"/>
          <w:b/>
          <w:sz w:val="20"/>
          <w:szCs w:val="20"/>
        </w:rPr>
      </w:pPr>
    </w:p>
    <w:p w:rsidR="00DB15E1" w:rsidRPr="00515E14" w:rsidRDefault="00DB15E1" w:rsidP="00F45207">
      <w:pPr>
        <w:spacing w:after="0"/>
        <w:jc w:val="both"/>
        <w:rPr>
          <w:rFonts w:ascii="Barlow" w:hAnsi="Barlow" w:cs="Calibri"/>
          <w:b/>
          <w:sz w:val="20"/>
          <w:szCs w:val="20"/>
        </w:rPr>
      </w:pPr>
      <w:r w:rsidRPr="00515E14">
        <w:rPr>
          <w:rFonts w:ascii="Barlow" w:hAnsi="Barlow" w:cs="Calibri"/>
          <w:b/>
          <w:sz w:val="20"/>
          <w:szCs w:val="20"/>
        </w:rPr>
        <w:t>NOTA 1</w:t>
      </w:r>
    </w:p>
    <w:p w:rsidR="003E50C7" w:rsidRPr="00515E14" w:rsidRDefault="003E50C7" w:rsidP="00F45207">
      <w:pPr>
        <w:spacing w:after="0"/>
        <w:jc w:val="both"/>
        <w:rPr>
          <w:rFonts w:ascii="Barlow" w:hAnsi="Barlow" w:cs="Calibri"/>
          <w:b/>
          <w:sz w:val="20"/>
          <w:szCs w:val="20"/>
        </w:rPr>
      </w:pPr>
    </w:p>
    <w:p w:rsidR="00316E09" w:rsidRPr="00515E14" w:rsidRDefault="00316E09" w:rsidP="00F45207">
      <w:pPr>
        <w:spacing w:after="0"/>
        <w:jc w:val="both"/>
        <w:rPr>
          <w:rFonts w:ascii="Barlow" w:hAnsi="Barlow" w:cs="Calibri"/>
          <w:b/>
          <w:sz w:val="20"/>
          <w:szCs w:val="20"/>
        </w:rPr>
      </w:pPr>
    </w:p>
    <w:p w:rsidR="00DB15E1" w:rsidRPr="00515E14" w:rsidRDefault="00DB15E1" w:rsidP="00F45207">
      <w:pPr>
        <w:spacing w:after="0"/>
        <w:jc w:val="both"/>
        <w:rPr>
          <w:rFonts w:ascii="Barlow" w:hAnsi="Barlow" w:cs="Calibri"/>
          <w:b/>
          <w:sz w:val="20"/>
          <w:szCs w:val="20"/>
        </w:rPr>
      </w:pPr>
      <w:r w:rsidRPr="00515E14">
        <w:rPr>
          <w:rFonts w:ascii="Barlow" w:hAnsi="Barlow" w:cs="Calibri"/>
          <w:b/>
          <w:sz w:val="20"/>
          <w:szCs w:val="20"/>
        </w:rPr>
        <w:t>PROCEDENCIA DE LOS RECURSOS QUE MODIFICAN AL PATRIMONIO GENERADO</w:t>
      </w:r>
    </w:p>
    <w:p w:rsidR="00F27E17" w:rsidRPr="00515E14" w:rsidRDefault="00737087" w:rsidP="00F45207">
      <w:pPr>
        <w:spacing w:after="0"/>
        <w:jc w:val="both"/>
        <w:rPr>
          <w:rFonts w:ascii="Barlow" w:hAnsi="Barlow" w:cs="Calibri"/>
          <w:sz w:val="20"/>
          <w:szCs w:val="20"/>
        </w:rPr>
      </w:pPr>
      <w:r w:rsidRPr="00515E14">
        <w:rPr>
          <w:rFonts w:ascii="Barlow" w:hAnsi="Barlow" w:cs="Calibri"/>
          <w:sz w:val="20"/>
          <w:szCs w:val="20"/>
        </w:rPr>
        <w:t xml:space="preserve">Por lo que respecta al patrimonio generado, </w:t>
      </w:r>
      <w:r w:rsidR="00ED70EB" w:rsidRPr="00515E14">
        <w:rPr>
          <w:rFonts w:ascii="Barlow" w:hAnsi="Barlow" w:cs="Calibri"/>
          <w:sz w:val="20"/>
          <w:szCs w:val="20"/>
        </w:rPr>
        <w:t>éste</w:t>
      </w:r>
      <w:r w:rsidRPr="00515E14">
        <w:rPr>
          <w:rFonts w:ascii="Barlow" w:hAnsi="Barlow" w:cs="Calibri"/>
          <w:sz w:val="20"/>
          <w:szCs w:val="20"/>
        </w:rPr>
        <w:t xml:space="preserve"> se modifica debido a los </w:t>
      </w:r>
      <w:r w:rsidR="00B46F00" w:rsidRPr="00515E14">
        <w:rPr>
          <w:rFonts w:ascii="Barlow" w:hAnsi="Barlow" w:cs="Calibri"/>
          <w:sz w:val="20"/>
          <w:szCs w:val="20"/>
        </w:rPr>
        <w:t>recursos</w:t>
      </w:r>
      <w:r w:rsidRPr="00515E14">
        <w:rPr>
          <w:rFonts w:ascii="Barlow" w:hAnsi="Barlow" w:cs="Calibri"/>
          <w:sz w:val="20"/>
          <w:szCs w:val="20"/>
        </w:rPr>
        <w:t xml:space="preserve"> recibidos de la Secretaria de </w:t>
      </w:r>
      <w:r w:rsidR="00B46F00" w:rsidRPr="00515E14">
        <w:rPr>
          <w:rFonts w:ascii="Barlow" w:hAnsi="Barlow" w:cs="Calibri"/>
          <w:sz w:val="20"/>
          <w:szCs w:val="20"/>
        </w:rPr>
        <w:t>Administración</w:t>
      </w:r>
      <w:r w:rsidRPr="00515E14">
        <w:rPr>
          <w:rFonts w:ascii="Barlow" w:hAnsi="Barlow" w:cs="Calibri"/>
          <w:sz w:val="20"/>
          <w:szCs w:val="20"/>
        </w:rPr>
        <w:t xml:space="preserve"> y Finanzas y a otros ingresos propios gener</w:t>
      </w:r>
      <w:r w:rsidR="003A2CE5" w:rsidRPr="00515E14">
        <w:rPr>
          <w:rFonts w:ascii="Barlow" w:hAnsi="Barlow" w:cs="Calibri"/>
          <w:sz w:val="20"/>
          <w:szCs w:val="20"/>
        </w:rPr>
        <w:t xml:space="preserve">ados por los Servicios de Salud </w:t>
      </w:r>
      <w:r w:rsidR="00ED7FAC" w:rsidRPr="00515E14">
        <w:rPr>
          <w:rFonts w:ascii="Barlow" w:hAnsi="Barlow" w:cs="Calibri"/>
          <w:sz w:val="20"/>
          <w:szCs w:val="20"/>
        </w:rPr>
        <w:t>al 31</w:t>
      </w:r>
      <w:r w:rsidR="002277C6" w:rsidRPr="00515E14">
        <w:rPr>
          <w:rFonts w:ascii="Barlow" w:hAnsi="Barlow" w:cs="Calibri"/>
          <w:sz w:val="20"/>
          <w:szCs w:val="20"/>
        </w:rPr>
        <w:t xml:space="preserve"> de </w:t>
      </w:r>
      <w:r w:rsidR="00ED7FAC" w:rsidRPr="00515E14">
        <w:rPr>
          <w:rFonts w:ascii="Barlow" w:hAnsi="Barlow" w:cs="Calibri"/>
          <w:sz w:val="20"/>
          <w:szCs w:val="20"/>
        </w:rPr>
        <w:t>Marzo</w:t>
      </w:r>
      <w:r w:rsidR="002277C6" w:rsidRPr="00515E14">
        <w:rPr>
          <w:rFonts w:ascii="Barlow" w:hAnsi="Barlow" w:cs="Calibri"/>
          <w:sz w:val="20"/>
          <w:szCs w:val="20"/>
        </w:rPr>
        <w:t xml:space="preserve"> </w:t>
      </w:r>
      <w:r w:rsidRPr="00515E14">
        <w:rPr>
          <w:rFonts w:ascii="Barlow" w:hAnsi="Barlow" w:cs="Calibri"/>
          <w:sz w:val="20"/>
          <w:szCs w:val="20"/>
        </w:rPr>
        <w:t>del 202</w:t>
      </w:r>
      <w:r w:rsidR="002277C6" w:rsidRPr="00515E14">
        <w:rPr>
          <w:rFonts w:ascii="Barlow" w:hAnsi="Barlow" w:cs="Calibri"/>
          <w:sz w:val="20"/>
          <w:szCs w:val="20"/>
        </w:rPr>
        <w:t>4</w:t>
      </w:r>
      <w:r w:rsidRPr="00515E14">
        <w:rPr>
          <w:rFonts w:ascii="Barlow" w:hAnsi="Barlow" w:cs="Calibri"/>
          <w:sz w:val="20"/>
          <w:szCs w:val="20"/>
        </w:rPr>
        <w:t xml:space="preserve"> </w:t>
      </w:r>
      <w:r w:rsidR="003A2CE5" w:rsidRPr="00515E14">
        <w:rPr>
          <w:rFonts w:ascii="Barlow" w:hAnsi="Barlow" w:cs="Calibri"/>
          <w:sz w:val="20"/>
          <w:szCs w:val="20"/>
        </w:rPr>
        <w:t xml:space="preserve">fue </w:t>
      </w:r>
      <w:proofErr w:type="gramStart"/>
      <w:r w:rsidRPr="00515E14">
        <w:rPr>
          <w:rFonts w:ascii="Barlow" w:hAnsi="Barlow" w:cs="Calibri"/>
          <w:sz w:val="20"/>
          <w:szCs w:val="20"/>
        </w:rPr>
        <w:t xml:space="preserve">de </w:t>
      </w:r>
      <w:r w:rsidR="00ED70EB" w:rsidRPr="00515E14">
        <w:rPr>
          <w:rFonts w:ascii="Barlow" w:hAnsi="Barlow" w:cs="Calibri"/>
          <w:sz w:val="20"/>
          <w:szCs w:val="20"/>
        </w:rPr>
        <w:t xml:space="preserve"> </w:t>
      </w:r>
      <w:r w:rsidR="00316E09" w:rsidRPr="00515E14">
        <w:rPr>
          <w:rFonts w:ascii="Barlow" w:hAnsi="Barlow" w:cs="Calibri"/>
          <w:sz w:val="20"/>
          <w:szCs w:val="20"/>
        </w:rPr>
        <w:t>$</w:t>
      </w:r>
      <w:proofErr w:type="gramEnd"/>
      <w:r w:rsidR="00ED7FAC" w:rsidRPr="00515E14">
        <w:rPr>
          <w:rFonts w:ascii="Barlow" w:hAnsi="Barlow" w:cs="Calibri"/>
          <w:sz w:val="20"/>
          <w:szCs w:val="20"/>
        </w:rPr>
        <w:t xml:space="preserve"> 548,813,461.13</w:t>
      </w:r>
      <w:r w:rsidRPr="00515E14">
        <w:rPr>
          <w:rFonts w:ascii="Barlow" w:hAnsi="Barlow" w:cs="Calibri"/>
          <w:sz w:val="20"/>
          <w:szCs w:val="20"/>
        </w:rPr>
        <w:t xml:space="preserve">, que se refleja tanto en el Estado de Situación Financiera así como en el Estado de Variación de la Hacienda Pública/Patrimonio. </w:t>
      </w:r>
    </w:p>
    <w:p w:rsidR="003E50C7" w:rsidRPr="00515E14" w:rsidRDefault="003E50C7" w:rsidP="00F45207">
      <w:pPr>
        <w:spacing w:after="0"/>
        <w:jc w:val="both"/>
        <w:rPr>
          <w:rFonts w:ascii="Barlow" w:hAnsi="Barlow" w:cs="Calibri"/>
          <w:b/>
          <w:sz w:val="20"/>
          <w:szCs w:val="20"/>
        </w:rPr>
      </w:pPr>
    </w:p>
    <w:p w:rsidR="00B46F00" w:rsidRPr="00515E14" w:rsidRDefault="00B46F00" w:rsidP="00F45207">
      <w:pPr>
        <w:spacing w:after="0"/>
        <w:jc w:val="both"/>
        <w:rPr>
          <w:rFonts w:ascii="Barlow" w:hAnsi="Barlow" w:cs="Calibri"/>
          <w:b/>
          <w:sz w:val="20"/>
          <w:szCs w:val="20"/>
        </w:rPr>
      </w:pPr>
    </w:p>
    <w:p w:rsidR="00504D92" w:rsidRPr="00515E14" w:rsidRDefault="00A35AEE" w:rsidP="00F45207">
      <w:pPr>
        <w:spacing w:after="0"/>
        <w:jc w:val="both"/>
        <w:rPr>
          <w:rFonts w:ascii="Barlow" w:hAnsi="Barlow" w:cs="Calibri"/>
          <w:b/>
          <w:sz w:val="20"/>
          <w:szCs w:val="20"/>
        </w:rPr>
      </w:pPr>
      <w:r w:rsidRPr="00515E14">
        <w:rPr>
          <w:rFonts w:ascii="Barlow" w:hAnsi="Barlow" w:cs="Calibri"/>
          <w:b/>
          <w:sz w:val="20"/>
          <w:szCs w:val="20"/>
        </w:rPr>
        <w:t>IV</w:t>
      </w:r>
      <w:r w:rsidR="00504D92" w:rsidRPr="00515E14">
        <w:rPr>
          <w:rFonts w:ascii="Barlow" w:hAnsi="Barlow" w:cs="Calibri"/>
          <w:b/>
          <w:sz w:val="20"/>
          <w:szCs w:val="20"/>
        </w:rPr>
        <w:t>.- NOTAS AL ESTADO DE FLUJOS DE EFECTIVO</w:t>
      </w:r>
    </w:p>
    <w:p w:rsidR="00504D92" w:rsidRPr="00515E14" w:rsidRDefault="00504D92" w:rsidP="00F45207">
      <w:pPr>
        <w:spacing w:after="0"/>
        <w:jc w:val="both"/>
        <w:rPr>
          <w:rFonts w:ascii="Barlow" w:hAnsi="Barlow" w:cs="Calibri"/>
          <w:b/>
          <w:sz w:val="20"/>
          <w:szCs w:val="20"/>
        </w:rPr>
      </w:pPr>
      <w:r w:rsidRPr="00515E14">
        <w:rPr>
          <w:rFonts w:ascii="Barlow" w:hAnsi="Barlow" w:cs="Calibri"/>
          <w:b/>
          <w:sz w:val="20"/>
          <w:szCs w:val="20"/>
        </w:rPr>
        <w:t>NOTA 1</w:t>
      </w:r>
    </w:p>
    <w:p w:rsidR="00504D92" w:rsidRPr="00515E14" w:rsidRDefault="00504D92" w:rsidP="00F45207">
      <w:pPr>
        <w:spacing w:after="0"/>
        <w:jc w:val="both"/>
        <w:rPr>
          <w:rFonts w:ascii="Barlow" w:hAnsi="Barlow" w:cs="Calibri"/>
          <w:b/>
          <w:sz w:val="20"/>
          <w:szCs w:val="20"/>
        </w:rPr>
      </w:pPr>
      <w:r w:rsidRPr="00515E14">
        <w:rPr>
          <w:rFonts w:ascii="Barlow" w:hAnsi="Barlow" w:cs="Calibri"/>
          <w:b/>
          <w:sz w:val="20"/>
          <w:szCs w:val="20"/>
        </w:rPr>
        <w:t>EFECTIVO Y EQUIVALENTES</w:t>
      </w:r>
    </w:p>
    <w:p w:rsidR="00910DFA" w:rsidRPr="00515E14" w:rsidRDefault="00D53ED9" w:rsidP="00F45207">
      <w:pPr>
        <w:spacing w:after="0"/>
        <w:jc w:val="both"/>
        <w:rPr>
          <w:rFonts w:ascii="Barlow" w:hAnsi="Barlow" w:cs="Calibri"/>
          <w:sz w:val="20"/>
          <w:szCs w:val="20"/>
        </w:rPr>
      </w:pPr>
      <w:r w:rsidRPr="00515E14">
        <w:rPr>
          <w:rFonts w:ascii="Barlow" w:hAnsi="Barlow" w:cs="Calibri"/>
          <w:sz w:val="20"/>
          <w:szCs w:val="20"/>
        </w:rPr>
        <w:t>Análisis</w:t>
      </w:r>
      <w:r w:rsidR="00910DFA" w:rsidRPr="00515E14">
        <w:rPr>
          <w:rFonts w:ascii="Barlow" w:hAnsi="Barlow" w:cs="Calibri"/>
          <w:sz w:val="20"/>
          <w:szCs w:val="20"/>
        </w:rPr>
        <w:t xml:space="preserve"> de l</w:t>
      </w:r>
      <w:r w:rsidRPr="00515E14">
        <w:rPr>
          <w:rFonts w:ascii="Barlow" w:hAnsi="Barlow" w:cs="Calibri"/>
          <w:sz w:val="20"/>
          <w:szCs w:val="20"/>
        </w:rPr>
        <w:t>a</w:t>
      </w:r>
      <w:r w:rsidR="00910DFA" w:rsidRPr="00515E14">
        <w:rPr>
          <w:rFonts w:ascii="Barlow" w:hAnsi="Barlow" w:cs="Calibri"/>
          <w:sz w:val="20"/>
          <w:szCs w:val="20"/>
        </w:rPr>
        <w:t xml:space="preserve">s </w:t>
      </w:r>
      <w:r w:rsidRPr="00515E14">
        <w:rPr>
          <w:rFonts w:ascii="Barlow" w:hAnsi="Barlow" w:cs="Calibri"/>
          <w:sz w:val="20"/>
          <w:szCs w:val="20"/>
        </w:rPr>
        <w:t>cifras del periodo actual y periodo anterior del Efectivo y Equivalentes al Efectivo, al final del Ejercicio del Estado de Flujo de Efectivo, respecto a la composición del rubro de Efectivo y Equivalentes:</w:t>
      </w:r>
    </w:p>
    <w:p w:rsidR="00D53ED9" w:rsidRPr="00515E14" w:rsidRDefault="00D53ED9" w:rsidP="00F45207">
      <w:pPr>
        <w:spacing w:after="0"/>
        <w:jc w:val="both"/>
        <w:rPr>
          <w:rFonts w:ascii="Barlow" w:hAnsi="Barlow" w:cs="Calibri"/>
          <w:sz w:val="20"/>
          <w:szCs w:val="20"/>
        </w:rPr>
      </w:pPr>
    </w:p>
    <w:tbl>
      <w:tblPr>
        <w:tblW w:w="0" w:type="auto"/>
        <w:tblInd w:w="55" w:type="dxa"/>
        <w:tblLayout w:type="fixed"/>
        <w:tblCellMar>
          <w:left w:w="70" w:type="dxa"/>
          <w:right w:w="70" w:type="dxa"/>
        </w:tblCellMar>
        <w:tblLook w:val="04A0" w:firstRow="1" w:lastRow="0" w:firstColumn="1" w:lastColumn="0" w:noHBand="0" w:noVBand="1"/>
      </w:tblPr>
      <w:tblGrid>
        <w:gridCol w:w="7953"/>
        <w:gridCol w:w="2694"/>
        <w:gridCol w:w="2835"/>
      </w:tblGrid>
      <w:tr w:rsidR="00B46F00" w:rsidRPr="00515E14" w:rsidTr="002E4ABF">
        <w:trPr>
          <w:trHeight w:val="423"/>
        </w:trPr>
        <w:tc>
          <w:tcPr>
            <w:tcW w:w="7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329" w:rsidRPr="00515E14" w:rsidRDefault="000F15F1" w:rsidP="000F15F1">
            <w:pPr>
              <w:spacing w:after="0" w:line="240" w:lineRule="auto"/>
              <w:jc w:val="center"/>
              <w:rPr>
                <w:rFonts w:ascii="Barlow" w:hAnsi="Barlow"/>
                <w:b/>
                <w:color w:val="000000"/>
                <w:sz w:val="20"/>
                <w:szCs w:val="20"/>
              </w:rPr>
            </w:pPr>
            <w:r w:rsidRPr="00515E14">
              <w:rPr>
                <w:rFonts w:ascii="Barlow" w:hAnsi="Barlow"/>
                <w:b/>
                <w:color w:val="000000"/>
                <w:sz w:val="20"/>
                <w:szCs w:val="20"/>
              </w:rPr>
              <w:t>Concepto</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329" w:rsidRPr="00515E14" w:rsidRDefault="00037329" w:rsidP="00B46F00">
            <w:pPr>
              <w:spacing w:after="0" w:line="240" w:lineRule="auto"/>
              <w:jc w:val="center"/>
              <w:rPr>
                <w:rFonts w:ascii="Barlow" w:hAnsi="Barlow"/>
                <w:b/>
                <w:color w:val="000000"/>
                <w:sz w:val="20"/>
                <w:szCs w:val="20"/>
              </w:rPr>
            </w:pPr>
            <w:r w:rsidRPr="00515E14">
              <w:rPr>
                <w:rFonts w:ascii="Barlow" w:hAnsi="Barlow"/>
                <w:b/>
                <w:color w:val="000000"/>
                <w:sz w:val="20"/>
                <w:szCs w:val="20"/>
              </w:rPr>
              <w:t>20</w:t>
            </w:r>
            <w:r w:rsidR="008A26DC" w:rsidRPr="00515E14">
              <w:rPr>
                <w:rFonts w:ascii="Barlow" w:hAnsi="Barlow"/>
                <w:b/>
                <w:color w:val="000000"/>
                <w:sz w:val="20"/>
                <w:szCs w:val="20"/>
              </w:rPr>
              <w:t>2</w:t>
            </w:r>
            <w:r w:rsidR="00D9210C" w:rsidRPr="00515E14">
              <w:rPr>
                <w:rFonts w:ascii="Barlow" w:hAnsi="Barlow"/>
                <w:b/>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329" w:rsidRPr="00515E14" w:rsidRDefault="00037329" w:rsidP="00B46F00">
            <w:pPr>
              <w:spacing w:after="0" w:line="240" w:lineRule="auto"/>
              <w:jc w:val="center"/>
              <w:rPr>
                <w:rFonts w:ascii="Barlow" w:hAnsi="Barlow"/>
                <w:b/>
                <w:color w:val="000000"/>
                <w:sz w:val="20"/>
                <w:szCs w:val="20"/>
              </w:rPr>
            </w:pPr>
            <w:r w:rsidRPr="00515E14">
              <w:rPr>
                <w:rFonts w:ascii="Barlow" w:hAnsi="Barlow"/>
                <w:b/>
                <w:color w:val="000000"/>
                <w:sz w:val="20"/>
                <w:szCs w:val="20"/>
              </w:rPr>
              <w:t>20</w:t>
            </w:r>
            <w:r w:rsidR="00F77072" w:rsidRPr="00515E14">
              <w:rPr>
                <w:rFonts w:ascii="Barlow" w:hAnsi="Barlow"/>
                <w:b/>
                <w:color w:val="000000"/>
                <w:sz w:val="20"/>
                <w:szCs w:val="20"/>
              </w:rPr>
              <w:t>2</w:t>
            </w:r>
            <w:r w:rsidR="00D9210C" w:rsidRPr="00515E14">
              <w:rPr>
                <w:rFonts w:ascii="Barlow" w:hAnsi="Barlow"/>
                <w:b/>
                <w:color w:val="000000"/>
                <w:sz w:val="20"/>
                <w:szCs w:val="20"/>
              </w:rPr>
              <w:t>3</w:t>
            </w:r>
          </w:p>
        </w:tc>
      </w:tr>
      <w:tr w:rsidR="00B46F00" w:rsidRPr="00515E14" w:rsidTr="002E4ABF">
        <w:trPr>
          <w:trHeight w:val="300"/>
        </w:trPr>
        <w:tc>
          <w:tcPr>
            <w:tcW w:w="7953" w:type="dxa"/>
            <w:tcBorders>
              <w:top w:val="single" w:sz="4" w:space="0" w:color="auto"/>
              <w:left w:val="single" w:sz="4" w:space="0" w:color="auto"/>
              <w:bottom w:val="nil"/>
              <w:right w:val="single" w:sz="4" w:space="0" w:color="auto"/>
            </w:tcBorders>
            <w:shd w:val="clear" w:color="auto" w:fill="auto"/>
            <w:noWrap/>
            <w:vAlign w:val="bottom"/>
            <w:hideMark/>
          </w:tcPr>
          <w:p w:rsidR="00037329" w:rsidRPr="00515E14" w:rsidRDefault="00037329" w:rsidP="000F15F1">
            <w:pPr>
              <w:spacing w:after="0" w:line="240" w:lineRule="auto"/>
              <w:rPr>
                <w:rFonts w:ascii="Barlow" w:hAnsi="Barlow"/>
                <w:color w:val="000000"/>
                <w:sz w:val="20"/>
                <w:szCs w:val="20"/>
              </w:rPr>
            </w:pPr>
            <w:r w:rsidRPr="00515E14">
              <w:rPr>
                <w:rFonts w:ascii="Barlow" w:hAnsi="Barlow"/>
                <w:color w:val="000000"/>
                <w:sz w:val="20"/>
                <w:szCs w:val="20"/>
              </w:rPr>
              <w:t>E</w:t>
            </w:r>
            <w:r w:rsidR="000F15F1" w:rsidRPr="00515E14">
              <w:rPr>
                <w:rFonts w:ascii="Barlow" w:hAnsi="Barlow"/>
                <w:color w:val="000000"/>
                <w:sz w:val="20"/>
                <w:szCs w:val="20"/>
              </w:rPr>
              <w:t>fectivo (Fondos Fijos)</w:t>
            </w:r>
          </w:p>
        </w:tc>
        <w:tc>
          <w:tcPr>
            <w:tcW w:w="2694" w:type="dxa"/>
            <w:tcBorders>
              <w:top w:val="single" w:sz="4" w:space="0" w:color="auto"/>
              <w:left w:val="single" w:sz="4" w:space="0" w:color="auto"/>
              <w:bottom w:val="nil"/>
              <w:right w:val="single" w:sz="4" w:space="0" w:color="auto"/>
            </w:tcBorders>
            <w:shd w:val="clear" w:color="auto" w:fill="auto"/>
            <w:noWrap/>
            <w:vAlign w:val="bottom"/>
            <w:hideMark/>
          </w:tcPr>
          <w:p w:rsidR="00037329" w:rsidRPr="00515E14" w:rsidRDefault="00535FC5" w:rsidP="00216A03">
            <w:pPr>
              <w:spacing w:after="0" w:line="240" w:lineRule="auto"/>
              <w:rPr>
                <w:rFonts w:ascii="Barlow" w:hAnsi="Barlow"/>
                <w:color w:val="000000"/>
                <w:sz w:val="20"/>
                <w:szCs w:val="20"/>
              </w:rPr>
            </w:pPr>
            <w:r w:rsidRPr="00515E14">
              <w:rPr>
                <w:rFonts w:ascii="Barlow" w:hAnsi="Barlow"/>
                <w:color w:val="000000"/>
                <w:sz w:val="20"/>
                <w:szCs w:val="20"/>
              </w:rPr>
              <w:t xml:space="preserve"> </w:t>
            </w:r>
            <w:r w:rsidR="008C4F4D" w:rsidRPr="00515E14">
              <w:rPr>
                <w:rFonts w:ascii="Barlow" w:hAnsi="Barlow"/>
                <w:color w:val="000000"/>
                <w:sz w:val="20"/>
                <w:szCs w:val="20"/>
              </w:rPr>
              <w:t xml:space="preserve">      </w:t>
            </w:r>
            <w:r w:rsidR="00216A03" w:rsidRPr="00515E14">
              <w:rPr>
                <w:rFonts w:ascii="Barlow" w:hAnsi="Barlow"/>
                <w:color w:val="000000"/>
                <w:sz w:val="20"/>
                <w:szCs w:val="20"/>
              </w:rPr>
              <w:t xml:space="preserve">                     </w:t>
            </w:r>
          </w:p>
        </w:tc>
        <w:tc>
          <w:tcPr>
            <w:tcW w:w="2835" w:type="dxa"/>
            <w:tcBorders>
              <w:top w:val="single" w:sz="4" w:space="0" w:color="auto"/>
              <w:left w:val="single" w:sz="4" w:space="0" w:color="auto"/>
              <w:bottom w:val="nil"/>
              <w:right w:val="single" w:sz="4" w:space="0" w:color="auto"/>
            </w:tcBorders>
            <w:shd w:val="clear" w:color="auto" w:fill="auto"/>
            <w:noWrap/>
            <w:vAlign w:val="bottom"/>
            <w:hideMark/>
          </w:tcPr>
          <w:p w:rsidR="00037329" w:rsidRPr="00515E14" w:rsidRDefault="00037329" w:rsidP="00535FC5">
            <w:pPr>
              <w:spacing w:after="0" w:line="240" w:lineRule="auto"/>
              <w:rPr>
                <w:rFonts w:ascii="Barlow" w:hAnsi="Barlow"/>
                <w:color w:val="000000"/>
                <w:sz w:val="20"/>
                <w:szCs w:val="20"/>
              </w:rPr>
            </w:pPr>
            <w:r w:rsidRPr="00515E14">
              <w:rPr>
                <w:rFonts w:ascii="Barlow" w:hAnsi="Barlow"/>
                <w:color w:val="000000"/>
                <w:sz w:val="20"/>
                <w:szCs w:val="20"/>
              </w:rPr>
              <w:t xml:space="preserve">   </w:t>
            </w:r>
            <w:r w:rsidR="00D53ED9" w:rsidRPr="00515E14">
              <w:rPr>
                <w:rFonts w:ascii="Barlow" w:hAnsi="Barlow"/>
                <w:color w:val="000000"/>
                <w:sz w:val="20"/>
                <w:szCs w:val="20"/>
              </w:rPr>
              <w:t xml:space="preserve">                          </w:t>
            </w:r>
          </w:p>
        </w:tc>
      </w:tr>
      <w:tr w:rsidR="00B46F00" w:rsidRPr="00515E14" w:rsidTr="002E4ABF">
        <w:trPr>
          <w:trHeight w:val="300"/>
        </w:trPr>
        <w:tc>
          <w:tcPr>
            <w:tcW w:w="7953" w:type="dxa"/>
            <w:tcBorders>
              <w:top w:val="nil"/>
              <w:left w:val="single" w:sz="4" w:space="0" w:color="auto"/>
              <w:bottom w:val="nil"/>
              <w:right w:val="single" w:sz="4" w:space="0" w:color="auto"/>
            </w:tcBorders>
            <w:shd w:val="clear" w:color="auto" w:fill="auto"/>
            <w:noWrap/>
            <w:vAlign w:val="bottom"/>
          </w:tcPr>
          <w:p w:rsidR="000F15F1" w:rsidRPr="00515E14" w:rsidRDefault="000F15F1" w:rsidP="00037329">
            <w:pPr>
              <w:spacing w:after="0" w:line="240" w:lineRule="auto"/>
              <w:rPr>
                <w:rFonts w:ascii="Barlow" w:hAnsi="Barlow"/>
                <w:color w:val="000000"/>
                <w:sz w:val="20"/>
                <w:szCs w:val="20"/>
              </w:rPr>
            </w:pPr>
            <w:r w:rsidRPr="00515E14">
              <w:rPr>
                <w:rFonts w:ascii="Barlow" w:hAnsi="Barlow"/>
                <w:color w:val="000000"/>
                <w:sz w:val="20"/>
                <w:szCs w:val="20"/>
              </w:rPr>
              <w:t>Bancos/Tesorería</w:t>
            </w:r>
          </w:p>
        </w:tc>
        <w:tc>
          <w:tcPr>
            <w:tcW w:w="2694" w:type="dxa"/>
            <w:tcBorders>
              <w:top w:val="nil"/>
              <w:left w:val="single" w:sz="4" w:space="0" w:color="auto"/>
              <w:bottom w:val="nil"/>
              <w:right w:val="single" w:sz="4" w:space="0" w:color="auto"/>
            </w:tcBorders>
            <w:shd w:val="clear" w:color="auto" w:fill="auto"/>
            <w:noWrap/>
            <w:vAlign w:val="bottom"/>
          </w:tcPr>
          <w:p w:rsidR="000F15F1" w:rsidRPr="00515E14" w:rsidRDefault="00B46F00" w:rsidP="00C07D6B">
            <w:pPr>
              <w:spacing w:after="0" w:line="240" w:lineRule="auto"/>
              <w:jc w:val="both"/>
              <w:rPr>
                <w:rFonts w:ascii="Barlow" w:hAnsi="Barlow"/>
                <w:color w:val="000000"/>
                <w:sz w:val="20"/>
                <w:szCs w:val="20"/>
              </w:rPr>
            </w:pPr>
            <w:r w:rsidRPr="00515E14">
              <w:rPr>
                <w:rFonts w:ascii="Barlow" w:hAnsi="Barlow"/>
                <w:color w:val="000000"/>
                <w:sz w:val="20"/>
                <w:szCs w:val="20"/>
              </w:rPr>
              <w:t xml:space="preserve">                    </w:t>
            </w:r>
            <w:r w:rsidR="00C07D6B" w:rsidRPr="00515E14">
              <w:rPr>
                <w:rFonts w:ascii="Barlow" w:hAnsi="Barlow"/>
                <w:color w:val="000000"/>
                <w:sz w:val="20"/>
                <w:szCs w:val="20"/>
              </w:rPr>
              <w:t>749,623,060.12</w:t>
            </w:r>
          </w:p>
        </w:tc>
        <w:tc>
          <w:tcPr>
            <w:tcW w:w="2835" w:type="dxa"/>
            <w:tcBorders>
              <w:top w:val="nil"/>
              <w:left w:val="single" w:sz="4" w:space="0" w:color="auto"/>
              <w:bottom w:val="nil"/>
              <w:right w:val="single" w:sz="4" w:space="0" w:color="auto"/>
            </w:tcBorders>
            <w:shd w:val="clear" w:color="auto" w:fill="auto"/>
            <w:noWrap/>
            <w:vAlign w:val="bottom"/>
          </w:tcPr>
          <w:p w:rsidR="000A0D1B" w:rsidRPr="00515E14" w:rsidRDefault="00B46F00" w:rsidP="00C07D6B">
            <w:pPr>
              <w:spacing w:after="0" w:line="240" w:lineRule="auto"/>
              <w:jc w:val="both"/>
              <w:rPr>
                <w:rFonts w:ascii="Barlow" w:hAnsi="Barlow"/>
                <w:color w:val="000000"/>
                <w:sz w:val="20"/>
                <w:szCs w:val="20"/>
              </w:rPr>
            </w:pPr>
            <w:r w:rsidRPr="00515E14">
              <w:rPr>
                <w:rFonts w:ascii="Barlow" w:hAnsi="Barlow"/>
                <w:color w:val="000000"/>
                <w:sz w:val="20"/>
                <w:szCs w:val="20"/>
              </w:rPr>
              <w:t xml:space="preserve">                         </w:t>
            </w:r>
            <w:r w:rsidR="00C07D6B" w:rsidRPr="00515E14">
              <w:rPr>
                <w:rFonts w:ascii="Barlow" w:hAnsi="Barlow"/>
                <w:color w:val="000000"/>
                <w:sz w:val="20"/>
                <w:szCs w:val="20"/>
              </w:rPr>
              <w:t>569,596,628.32</w:t>
            </w:r>
          </w:p>
        </w:tc>
      </w:tr>
      <w:tr w:rsidR="00B46F00" w:rsidRPr="00515E14" w:rsidTr="002E4ABF">
        <w:trPr>
          <w:trHeight w:val="300"/>
        </w:trPr>
        <w:tc>
          <w:tcPr>
            <w:tcW w:w="7953" w:type="dxa"/>
            <w:tcBorders>
              <w:top w:val="nil"/>
              <w:left w:val="single" w:sz="4" w:space="0" w:color="auto"/>
              <w:bottom w:val="nil"/>
              <w:right w:val="single" w:sz="4" w:space="0" w:color="auto"/>
            </w:tcBorders>
            <w:shd w:val="clear" w:color="auto" w:fill="auto"/>
            <w:noWrap/>
            <w:vAlign w:val="bottom"/>
          </w:tcPr>
          <w:p w:rsidR="000F15F1" w:rsidRPr="00515E14" w:rsidRDefault="000F15F1" w:rsidP="00037329">
            <w:pPr>
              <w:spacing w:after="0" w:line="240" w:lineRule="auto"/>
              <w:rPr>
                <w:rFonts w:ascii="Barlow" w:hAnsi="Barlow"/>
                <w:color w:val="000000"/>
                <w:sz w:val="20"/>
                <w:szCs w:val="20"/>
              </w:rPr>
            </w:pPr>
            <w:r w:rsidRPr="00515E14">
              <w:rPr>
                <w:rFonts w:ascii="Barlow" w:hAnsi="Barlow"/>
                <w:color w:val="000000"/>
                <w:sz w:val="20"/>
                <w:szCs w:val="20"/>
              </w:rPr>
              <w:t>Bancos/Dependencias y Otros</w:t>
            </w:r>
          </w:p>
        </w:tc>
        <w:tc>
          <w:tcPr>
            <w:tcW w:w="2694" w:type="dxa"/>
            <w:tcBorders>
              <w:top w:val="nil"/>
              <w:left w:val="single" w:sz="4" w:space="0" w:color="auto"/>
              <w:bottom w:val="nil"/>
              <w:right w:val="single" w:sz="4" w:space="0" w:color="auto"/>
            </w:tcBorders>
            <w:shd w:val="clear" w:color="auto" w:fill="auto"/>
            <w:noWrap/>
            <w:vAlign w:val="bottom"/>
          </w:tcPr>
          <w:p w:rsidR="000F15F1" w:rsidRPr="00515E14" w:rsidRDefault="00535FC5" w:rsidP="00ED70EB">
            <w:pPr>
              <w:spacing w:after="0" w:line="240" w:lineRule="auto"/>
              <w:jc w:val="both"/>
              <w:rPr>
                <w:rFonts w:ascii="Barlow" w:hAnsi="Barlow"/>
                <w:color w:val="000000"/>
                <w:sz w:val="20"/>
                <w:szCs w:val="20"/>
              </w:rPr>
            </w:pPr>
            <w:r w:rsidRPr="00515E14">
              <w:rPr>
                <w:rFonts w:ascii="Barlow" w:hAnsi="Barlow"/>
                <w:color w:val="000000"/>
                <w:sz w:val="20"/>
                <w:szCs w:val="20"/>
              </w:rPr>
              <w:t xml:space="preserve">        </w:t>
            </w:r>
            <w:r w:rsidR="00346AFC" w:rsidRPr="00515E14">
              <w:rPr>
                <w:rFonts w:ascii="Barlow" w:hAnsi="Barlow"/>
                <w:color w:val="000000"/>
                <w:sz w:val="20"/>
                <w:szCs w:val="20"/>
              </w:rPr>
              <w:t xml:space="preserve">   </w:t>
            </w:r>
            <w:r w:rsidRPr="00515E14">
              <w:rPr>
                <w:rFonts w:ascii="Barlow" w:hAnsi="Barlow"/>
                <w:color w:val="000000"/>
                <w:sz w:val="20"/>
                <w:szCs w:val="20"/>
              </w:rPr>
              <w:t xml:space="preserve">                   </w:t>
            </w:r>
          </w:p>
        </w:tc>
        <w:tc>
          <w:tcPr>
            <w:tcW w:w="2835" w:type="dxa"/>
            <w:tcBorders>
              <w:top w:val="nil"/>
              <w:left w:val="single" w:sz="4" w:space="0" w:color="auto"/>
              <w:bottom w:val="nil"/>
              <w:right w:val="single" w:sz="4" w:space="0" w:color="auto"/>
            </w:tcBorders>
            <w:shd w:val="clear" w:color="auto" w:fill="auto"/>
            <w:noWrap/>
            <w:vAlign w:val="bottom"/>
          </w:tcPr>
          <w:p w:rsidR="000F15F1" w:rsidRPr="00515E14" w:rsidRDefault="00D53ED9" w:rsidP="00ED70EB">
            <w:pPr>
              <w:spacing w:after="0" w:line="240" w:lineRule="auto"/>
              <w:jc w:val="both"/>
              <w:rPr>
                <w:rFonts w:ascii="Barlow" w:hAnsi="Barlow"/>
                <w:color w:val="000000"/>
                <w:sz w:val="20"/>
                <w:szCs w:val="20"/>
              </w:rPr>
            </w:pPr>
            <w:r w:rsidRPr="00515E14">
              <w:rPr>
                <w:rFonts w:ascii="Barlow" w:hAnsi="Barlow"/>
                <w:color w:val="000000"/>
                <w:sz w:val="20"/>
                <w:szCs w:val="20"/>
              </w:rPr>
              <w:t xml:space="preserve">                             </w:t>
            </w:r>
          </w:p>
        </w:tc>
      </w:tr>
      <w:tr w:rsidR="00B46F00" w:rsidRPr="00515E14" w:rsidTr="002E4ABF">
        <w:trPr>
          <w:trHeight w:val="300"/>
        </w:trPr>
        <w:tc>
          <w:tcPr>
            <w:tcW w:w="7953" w:type="dxa"/>
            <w:tcBorders>
              <w:top w:val="nil"/>
              <w:left w:val="single" w:sz="4" w:space="0" w:color="auto"/>
              <w:bottom w:val="nil"/>
              <w:right w:val="single" w:sz="4" w:space="0" w:color="auto"/>
            </w:tcBorders>
            <w:shd w:val="clear" w:color="auto" w:fill="auto"/>
            <w:noWrap/>
            <w:vAlign w:val="bottom"/>
          </w:tcPr>
          <w:p w:rsidR="000F15F1" w:rsidRPr="00515E14" w:rsidRDefault="000F15F1" w:rsidP="00037329">
            <w:pPr>
              <w:spacing w:after="0" w:line="240" w:lineRule="auto"/>
              <w:rPr>
                <w:rFonts w:ascii="Barlow" w:hAnsi="Barlow"/>
                <w:color w:val="000000"/>
                <w:sz w:val="20"/>
                <w:szCs w:val="20"/>
              </w:rPr>
            </w:pPr>
            <w:r w:rsidRPr="00515E14">
              <w:rPr>
                <w:rFonts w:ascii="Barlow" w:hAnsi="Barlow"/>
                <w:color w:val="000000"/>
                <w:sz w:val="20"/>
                <w:szCs w:val="20"/>
              </w:rPr>
              <w:t>Inversiones Temporales (Hasta 3 meses)</w:t>
            </w:r>
          </w:p>
        </w:tc>
        <w:tc>
          <w:tcPr>
            <w:tcW w:w="2694" w:type="dxa"/>
            <w:tcBorders>
              <w:top w:val="nil"/>
              <w:left w:val="single" w:sz="4" w:space="0" w:color="auto"/>
              <w:bottom w:val="nil"/>
              <w:right w:val="single" w:sz="4" w:space="0" w:color="auto"/>
            </w:tcBorders>
            <w:shd w:val="clear" w:color="auto" w:fill="auto"/>
            <w:noWrap/>
            <w:vAlign w:val="bottom"/>
          </w:tcPr>
          <w:p w:rsidR="000F15F1" w:rsidRPr="00515E14" w:rsidRDefault="00535FC5" w:rsidP="00ED70EB">
            <w:pPr>
              <w:spacing w:after="0" w:line="240" w:lineRule="auto"/>
              <w:jc w:val="both"/>
              <w:rPr>
                <w:rFonts w:ascii="Barlow" w:hAnsi="Barlow"/>
                <w:color w:val="000000"/>
                <w:sz w:val="20"/>
                <w:szCs w:val="20"/>
              </w:rPr>
            </w:pPr>
            <w:r w:rsidRPr="00515E14">
              <w:rPr>
                <w:rFonts w:ascii="Barlow" w:hAnsi="Barlow"/>
                <w:color w:val="000000"/>
                <w:sz w:val="20"/>
                <w:szCs w:val="20"/>
              </w:rPr>
              <w:t xml:space="preserve">            </w:t>
            </w:r>
            <w:r w:rsidR="00346AFC" w:rsidRPr="00515E14">
              <w:rPr>
                <w:rFonts w:ascii="Barlow" w:hAnsi="Barlow"/>
                <w:color w:val="000000"/>
                <w:sz w:val="20"/>
                <w:szCs w:val="20"/>
              </w:rPr>
              <w:t xml:space="preserve">   </w:t>
            </w:r>
            <w:r w:rsidRPr="00515E14">
              <w:rPr>
                <w:rFonts w:ascii="Barlow" w:hAnsi="Barlow"/>
                <w:color w:val="000000"/>
                <w:sz w:val="20"/>
                <w:szCs w:val="20"/>
              </w:rPr>
              <w:t xml:space="preserve">               </w:t>
            </w:r>
          </w:p>
        </w:tc>
        <w:tc>
          <w:tcPr>
            <w:tcW w:w="2835" w:type="dxa"/>
            <w:tcBorders>
              <w:top w:val="nil"/>
              <w:left w:val="single" w:sz="4" w:space="0" w:color="auto"/>
              <w:bottom w:val="nil"/>
              <w:right w:val="single" w:sz="4" w:space="0" w:color="auto"/>
            </w:tcBorders>
            <w:shd w:val="clear" w:color="auto" w:fill="auto"/>
            <w:noWrap/>
            <w:vAlign w:val="bottom"/>
          </w:tcPr>
          <w:p w:rsidR="000F15F1" w:rsidRPr="00515E14" w:rsidRDefault="00D53ED9" w:rsidP="00ED70EB">
            <w:pPr>
              <w:spacing w:after="0" w:line="240" w:lineRule="auto"/>
              <w:jc w:val="both"/>
              <w:rPr>
                <w:rFonts w:ascii="Barlow" w:hAnsi="Barlow"/>
                <w:color w:val="000000"/>
                <w:sz w:val="20"/>
                <w:szCs w:val="20"/>
              </w:rPr>
            </w:pPr>
            <w:r w:rsidRPr="00515E14">
              <w:rPr>
                <w:rFonts w:ascii="Barlow" w:hAnsi="Barlow"/>
                <w:color w:val="000000"/>
                <w:sz w:val="20"/>
                <w:szCs w:val="20"/>
              </w:rPr>
              <w:t xml:space="preserve">                             </w:t>
            </w:r>
          </w:p>
        </w:tc>
      </w:tr>
      <w:tr w:rsidR="00B46F00" w:rsidRPr="00515E14" w:rsidTr="002E4ABF">
        <w:trPr>
          <w:trHeight w:val="300"/>
        </w:trPr>
        <w:tc>
          <w:tcPr>
            <w:tcW w:w="7953" w:type="dxa"/>
            <w:tcBorders>
              <w:top w:val="nil"/>
              <w:left w:val="single" w:sz="4" w:space="0" w:color="auto"/>
              <w:bottom w:val="nil"/>
              <w:right w:val="single" w:sz="4" w:space="0" w:color="auto"/>
            </w:tcBorders>
            <w:shd w:val="clear" w:color="auto" w:fill="auto"/>
            <w:noWrap/>
            <w:vAlign w:val="bottom"/>
          </w:tcPr>
          <w:p w:rsidR="000F15F1" w:rsidRPr="00515E14" w:rsidRDefault="000F15F1" w:rsidP="00037329">
            <w:pPr>
              <w:spacing w:after="0" w:line="240" w:lineRule="auto"/>
              <w:rPr>
                <w:rFonts w:ascii="Barlow" w:hAnsi="Barlow"/>
                <w:color w:val="000000"/>
                <w:sz w:val="20"/>
                <w:szCs w:val="20"/>
              </w:rPr>
            </w:pPr>
            <w:r w:rsidRPr="00515E14">
              <w:rPr>
                <w:rFonts w:ascii="Barlow" w:hAnsi="Barlow"/>
                <w:color w:val="000000"/>
                <w:sz w:val="20"/>
                <w:szCs w:val="20"/>
              </w:rPr>
              <w:t>Depósitos de Fondos de Terceros en Garantía y/o Administración</w:t>
            </w:r>
          </w:p>
        </w:tc>
        <w:tc>
          <w:tcPr>
            <w:tcW w:w="2694" w:type="dxa"/>
            <w:tcBorders>
              <w:top w:val="nil"/>
              <w:left w:val="single" w:sz="4" w:space="0" w:color="auto"/>
              <w:bottom w:val="nil"/>
              <w:right w:val="single" w:sz="4" w:space="0" w:color="auto"/>
            </w:tcBorders>
            <w:shd w:val="clear" w:color="auto" w:fill="auto"/>
            <w:noWrap/>
            <w:vAlign w:val="bottom"/>
          </w:tcPr>
          <w:p w:rsidR="000F15F1" w:rsidRPr="00515E14" w:rsidRDefault="00535FC5" w:rsidP="00ED70EB">
            <w:pPr>
              <w:spacing w:after="0" w:line="240" w:lineRule="auto"/>
              <w:jc w:val="both"/>
              <w:rPr>
                <w:rFonts w:ascii="Barlow" w:hAnsi="Barlow"/>
                <w:color w:val="000000"/>
                <w:sz w:val="20"/>
                <w:szCs w:val="20"/>
              </w:rPr>
            </w:pPr>
            <w:r w:rsidRPr="00515E14">
              <w:rPr>
                <w:rFonts w:ascii="Barlow" w:hAnsi="Barlow"/>
                <w:color w:val="000000"/>
                <w:sz w:val="20"/>
                <w:szCs w:val="20"/>
              </w:rPr>
              <w:t xml:space="preserve">            </w:t>
            </w:r>
            <w:r w:rsidR="00346AFC" w:rsidRPr="00515E14">
              <w:rPr>
                <w:rFonts w:ascii="Barlow" w:hAnsi="Barlow"/>
                <w:color w:val="000000"/>
                <w:sz w:val="20"/>
                <w:szCs w:val="20"/>
              </w:rPr>
              <w:t xml:space="preserve">   </w:t>
            </w:r>
            <w:r w:rsidRPr="00515E14">
              <w:rPr>
                <w:rFonts w:ascii="Barlow" w:hAnsi="Barlow"/>
                <w:color w:val="000000"/>
                <w:sz w:val="20"/>
                <w:szCs w:val="20"/>
              </w:rPr>
              <w:t xml:space="preserve">               </w:t>
            </w:r>
          </w:p>
        </w:tc>
        <w:tc>
          <w:tcPr>
            <w:tcW w:w="2835" w:type="dxa"/>
            <w:tcBorders>
              <w:top w:val="nil"/>
              <w:left w:val="single" w:sz="4" w:space="0" w:color="auto"/>
              <w:bottom w:val="nil"/>
              <w:right w:val="single" w:sz="4" w:space="0" w:color="auto"/>
            </w:tcBorders>
            <w:shd w:val="clear" w:color="auto" w:fill="auto"/>
            <w:noWrap/>
            <w:vAlign w:val="bottom"/>
          </w:tcPr>
          <w:p w:rsidR="000F15F1" w:rsidRPr="00515E14" w:rsidRDefault="00D53ED9" w:rsidP="00ED70EB">
            <w:pPr>
              <w:spacing w:after="0" w:line="240" w:lineRule="auto"/>
              <w:jc w:val="both"/>
              <w:rPr>
                <w:rFonts w:ascii="Barlow" w:hAnsi="Barlow"/>
                <w:color w:val="000000"/>
                <w:sz w:val="20"/>
                <w:szCs w:val="20"/>
              </w:rPr>
            </w:pPr>
            <w:r w:rsidRPr="00515E14">
              <w:rPr>
                <w:rFonts w:ascii="Barlow" w:hAnsi="Barlow"/>
                <w:color w:val="000000"/>
                <w:sz w:val="20"/>
                <w:szCs w:val="20"/>
              </w:rPr>
              <w:t xml:space="preserve">                             </w:t>
            </w:r>
          </w:p>
        </w:tc>
      </w:tr>
      <w:tr w:rsidR="00B46F00" w:rsidRPr="00515E14" w:rsidTr="002E4ABF">
        <w:trPr>
          <w:trHeight w:val="300"/>
        </w:trPr>
        <w:tc>
          <w:tcPr>
            <w:tcW w:w="7953" w:type="dxa"/>
            <w:tcBorders>
              <w:top w:val="nil"/>
              <w:left w:val="single" w:sz="4" w:space="0" w:color="auto"/>
              <w:bottom w:val="single" w:sz="4" w:space="0" w:color="auto"/>
              <w:right w:val="single" w:sz="4" w:space="0" w:color="auto"/>
            </w:tcBorders>
            <w:shd w:val="clear" w:color="auto" w:fill="auto"/>
            <w:noWrap/>
            <w:vAlign w:val="bottom"/>
          </w:tcPr>
          <w:p w:rsidR="000F15F1" w:rsidRPr="00515E14" w:rsidRDefault="000F15F1" w:rsidP="00037329">
            <w:pPr>
              <w:spacing w:after="0" w:line="240" w:lineRule="auto"/>
              <w:rPr>
                <w:rFonts w:ascii="Barlow" w:hAnsi="Barlow"/>
                <w:color w:val="000000"/>
                <w:sz w:val="20"/>
                <w:szCs w:val="20"/>
              </w:rPr>
            </w:pPr>
            <w:r w:rsidRPr="00515E14">
              <w:rPr>
                <w:rFonts w:ascii="Barlow" w:hAnsi="Barlow"/>
                <w:color w:val="000000"/>
                <w:sz w:val="20"/>
                <w:szCs w:val="20"/>
              </w:rPr>
              <w:t>Otros Efectivos y Equivalentes</w:t>
            </w:r>
          </w:p>
        </w:tc>
        <w:tc>
          <w:tcPr>
            <w:tcW w:w="2694" w:type="dxa"/>
            <w:tcBorders>
              <w:top w:val="nil"/>
              <w:left w:val="single" w:sz="4" w:space="0" w:color="auto"/>
              <w:bottom w:val="single" w:sz="4" w:space="0" w:color="auto"/>
              <w:right w:val="single" w:sz="4" w:space="0" w:color="auto"/>
            </w:tcBorders>
            <w:shd w:val="clear" w:color="auto" w:fill="auto"/>
            <w:noWrap/>
            <w:vAlign w:val="bottom"/>
          </w:tcPr>
          <w:p w:rsidR="000F15F1" w:rsidRPr="00515E14" w:rsidRDefault="00535FC5" w:rsidP="00ED70EB">
            <w:pPr>
              <w:spacing w:after="0" w:line="240" w:lineRule="auto"/>
              <w:jc w:val="both"/>
              <w:rPr>
                <w:rFonts w:ascii="Barlow" w:hAnsi="Barlow"/>
                <w:color w:val="000000"/>
                <w:sz w:val="20"/>
                <w:szCs w:val="20"/>
              </w:rPr>
            </w:pPr>
            <w:r w:rsidRPr="00515E14">
              <w:rPr>
                <w:rFonts w:ascii="Barlow" w:hAnsi="Barlow"/>
                <w:color w:val="000000"/>
                <w:sz w:val="20"/>
                <w:szCs w:val="20"/>
              </w:rPr>
              <w:t xml:space="preserve">           </w:t>
            </w:r>
            <w:r w:rsidR="00346AFC" w:rsidRPr="00515E14">
              <w:rPr>
                <w:rFonts w:ascii="Barlow" w:hAnsi="Barlow"/>
                <w:color w:val="000000"/>
                <w:sz w:val="20"/>
                <w:szCs w:val="20"/>
              </w:rPr>
              <w:t xml:space="preserve">   </w:t>
            </w:r>
            <w:r w:rsidRPr="00515E14">
              <w:rPr>
                <w:rFonts w:ascii="Barlow" w:hAnsi="Barlow"/>
                <w:color w:val="000000"/>
                <w:sz w:val="20"/>
                <w:szCs w:val="20"/>
              </w:rPr>
              <w:t xml:space="preserve">                </w:t>
            </w:r>
          </w:p>
        </w:tc>
        <w:tc>
          <w:tcPr>
            <w:tcW w:w="2835" w:type="dxa"/>
            <w:tcBorders>
              <w:top w:val="nil"/>
              <w:left w:val="single" w:sz="4" w:space="0" w:color="auto"/>
              <w:bottom w:val="single" w:sz="4" w:space="0" w:color="auto"/>
              <w:right w:val="single" w:sz="4" w:space="0" w:color="auto"/>
            </w:tcBorders>
            <w:shd w:val="clear" w:color="auto" w:fill="auto"/>
            <w:noWrap/>
            <w:vAlign w:val="bottom"/>
          </w:tcPr>
          <w:p w:rsidR="000F15F1" w:rsidRPr="00515E14" w:rsidRDefault="00D53ED9" w:rsidP="00ED70EB">
            <w:pPr>
              <w:spacing w:after="0" w:line="240" w:lineRule="auto"/>
              <w:jc w:val="both"/>
              <w:rPr>
                <w:rFonts w:ascii="Barlow" w:hAnsi="Barlow"/>
                <w:color w:val="000000"/>
                <w:sz w:val="20"/>
                <w:szCs w:val="20"/>
              </w:rPr>
            </w:pPr>
            <w:r w:rsidRPr="00515E14">
              <w:rPr>
                <w:rFonts w:ascii="Barlow" w:hAnsi="Barlow"/>
                <w:color w:val="000000"/>
                <w:sz w:val="20"/>
                <w:szCs w:val="20"/>
              </w:rPr>
              <w:t xml:space="preserve">                             </w:t>
            </w:r>
          </w:p>
        </w:tc>
      </w:tr>
      <w:tr w:rsidR="00B46F00" w:rsidRPr="00515E14" w:rsidTr="002E4ABF">
        <w:trPr>
          <w:trHeight w:val="300"/>
        </w:trPr>
        <w:tc>
          <w:tcPr>
            <w:tcW w:w="7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329" w:rsidRPr="00515E14" w:rsidRDefault="000F15F1" w:rsidP="00037329">
            <w:pPr>
              <w:spacing w:after="0" w:line="240" w:lineRule="auto"/>
              <w:rPr>
                <w:rFonts w:ascii="Barlow" w:hAnsi="Barlow"/>
                <w:b/>
                <w:color w:val="000000"/>
                <w:sz w:val="20"/>
                <w:szCs w:val="20"/>
              </w:rPr>
            </w:pPr>
            <w:r w:rsidRPr="00515E14">
              <w:rPr>
                <w:rFonts w:ascii="Barlow" w:hAnsi="Barlow"/>
                <w:b/>
                <w:color w:val="000000"/>
                <w:sz w:val="20"/>
                <w:szCs w:val="20"/>
              </w:rPr>
              <w:t>Total Efectivo y Equivalentes</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329" w:rsidRPr="00515E14" w:rsidRDefault="00B46F00" w:rsidP="000A0D1B">
            <w:pPr>
              <w:spacing w:after="0" w:line="240" w:lineRule="auto"/>
              <w:jc w:val="both"/>
              <w:rPr>
                <w:rFonts w:ascii="Barlow" w:hAnsi="Barlow"/>
                <w:b/>
                <w:color w:val="000000"/>
                <w:sz w:val="20"/>
                <w:szCs w:val="20"/>
              </w:rPr>
            </w:pPr>
            <w:r w:rsidRPr="00515E14">
              <w:rPr>
                <w:rFonts w:ascii="Barlow" w:hAnsi="Barlow"/>
                <w:b/>
                <w:color w:val="000000"/>
                <w:sz w:val="20"/>
                <w:szCs w:val="20"/>
              </w:rPr>
              <w:t xml:space="preserve">                    </w:t>
            </w:r>
            <w:r w:rsidR="00C07D6B" w:rsidRPr="00515E14">
              <w:rPr>
                <w:rFonts w:ascii="Barlow" w:hAnsi="Barlow"/>
                <w:b/>
                <w:color w:val="000000"/>
                <w:sz w:val="20"/>
                <w:szCs w:val="20"/>
              </w:rPr>
              <w:t>749,623,060.12</w:t>
            </w:r>
            <w:r w:rsidR="00CE5DE5" w:rsidRPr="00515E14">
              <w:rPr>
                <w:rFonts w:ascii="Barlow" w:hAnsi="Barlow"/>
                <w:b/>
                <w:color w:val="000000"/>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329" w:rsidRPr="00515E14" w:rsidRDefault="00B46F00" w:rsidP="00C07D6B">
            <w:pPr>
              <w:spacing w:after="0" w:line="240" w:lineRule="auto"/>
              <w:jc w:val="both"/>
              <w:rPr>
                <w:rFonts w:ascii="Barlow" w:hAnsi="Barlow"/>
                <w:b/>
                <w:color w:val="000000"/>
                <w:sz w:val="20"/>
                <w:szCs w:val="20"/>
              </w:rPr>
            </w:pPr>
            <w:r w:rsidRPr="00515E14">
              <w:rPr>
                <w:rFonts w:ascii="Barlow" w:hAnsi="Barlow"/>
                <w:b/>
                <w:color w:val="000000"/>
                <w:sz w:val="20"/>
                <w:szCs w:val="20"/>
              </w:rPr>
              <w:t xml:space="preserve">                          </w:t>
            </w:r>
            <w:r w:rsidR="00C07D6B" w:rsidRPr="00515E14">
              <w:rPr>
                <w:rFonts w:ascii="Barlow" w:hAnsi="Barlow"/>
                <w:b/>
                <w:color w:val="000000"/>
                <w:sz w:val="20"/>
                <w:szCs w:val="20"/>
              </w:rPr>
              <w:t>569,596,628.32</w:t>
            </w:r>
            <w:r w:rsidR="00037329" w:rsidRPr="00515E14">
              <w:rPr>
                <w:rFonts w:ascii="Barlow" w:hAnsi="Barlow"/>
                <w:b/>
                <w:color w:val="000000"/>
                <w:sz w:val="20"/>
                <w:szCs w:val="20"/>
              </w:rPr>
              <w:t xml:space="preserve"> </w:t>
            </w:r>
          </w:p>
        </w:tc>
      </w:tr>
    </w:tbl>
    <w:p w:rsidR="00F45207" w:rsidRPr="00515E14" w:rsidRDefault="00F45207" w:rsidP="00F45207">
      <w:pPr>
        <w:spacing w:after="0"/>
        <w:jc w:val="both"/>
        <w:rPr>
          <w:rFonts w:ascii="Barlow" w:hAnsi="Barlow" w:cs="Calibri"/>
          <w:b/>
          <w:sz w:val="20"/>
          <w:szCs w:val="20"/>
        </w:rPr>
      </w:pPr>
      <w:r w:rsidRPr="00515E14">
        <w:rPr>
          <w:rFonts w:ascii="Barlow" w:hAnsi="Barlow" w:cs="Calibri"/>
          <w:b/>
          <w:sz w:val="20"/>
          <w:szCs w:val="20"/>
        </w:rPr>
        <w:t xml:space="preserve">        </w:t>
      </w:r>
    </w:p>
    <w:p w:rsidR="00357399" w:rsidRPr="00515E14" w:rsidRDefault="00357399" w:rsidP="00357399">
      <w:pPr>
        <w:spacing w:after="0"/>
        <w:jc w:val="both"/>
        <w:rPr>
          <w:rFonts w:ascii="Barlow" w:hAnsi="Barlow" w:cs="Calibri"/>
          <w:b/>
          <w:sz w:val="20"/>
          <w:szCs w:val="20"/>
        </w:rPr>
      </w:pPr>
      <w:r w:rsidRPr="00515E14">
        <w:rPr>
          <w:rFonts w:ascii="Barlow" w:hAnsi="Barlow" w:cs="Calibri"/>
          <w:b/>
          <w:sz w:val="20"/>
          <w:szCs w:val="20"/>
        </w:rPr>
        <w:lastRenderedPageBreak/>
        <w:t xml:space="preserve">NOTA </w:t>
      </w:r>
      <w:r w:rsidR="00733D62" w:rsidRPr="00515E14">
        <w:rPr>
          <w:rFonts w:ascii="Barlow" w:hAnsi="Barlow" w:cs="Calibri"/>
          <w:b/>
          <w:sz w:val="20"/>
          <w:szCs w:val="20"/>
        </w:rPr>
        <w:t>2</w:t>
      </w:r>
    </w:p>
    <w:p w:rsidR="002D2A4F" w:rsidRPr="00515E14" w:rsidRDefault="002D2A4F" w:rsidP="002D2A4F">
      <w:pPr>
        <w:spacing w:after="0"/>
        <w:rPr>
          <w:rFonts w:ascii="Barlow" w:hAnsi="Barlow" w:cs="Calibri"/>
          <w:sz w:val="20"/>
          <w:szCs w:val="20"/>
        </w:rPr>
      </w:pPr>
      <w:r w:rsidRPr="00515E14">
        <w:rPr>
          <w:rFonts w:ascii="Barlow" w:hAnsi="Barlow" w:cs="Calibri"/>
          <w:sz w:val="20"/>
          <w:szCs w:val="20"/>
        </w:rPr>
        <w:t>Conciliación d</w:t>
      </w:r>
      <w:r w:rsidR="00181CFD" w:rsidRPr="00515E14">
        <w:rPr>
          <w:rFonts w:ascii="Barlow" w:hAnsi="Barlow" w:cs="Calibri"/>
          <w:sz w:val="20"/>
          <w:szCs w:val="20"/>
        </w:rPr>
        <w:t>e los Flujos de Efectivos Netos.</w:t>
      </w:r>
    </w:p>
    <w:p w:rsidR="002D2A4F" w:rsidRPr="00515E14" w:rsidRDefault="002D2A4F" w:rsidP="002D2A4F">
      <w:pPr>
        <w:rPr>
          <w:rFonts w:ascii="Barlow" w:hAnsi="Barlow" w:cs="Calibri"/>
          <w:b/>
          <w:sz w:val="20"/>
          <w:szCs w:val="20"/>
        </w:rPr>
      </w:pPr>
      <w:r w:rsidRPr="00515E14">
        <w:rPr>
          <w:rFonts w:ascii="Barlow" w:hAnsi="Barlow" w:cs="Calibri"/>
          <w:b/>
          <w:sz w:val="20"/>
          <w:szCs w:val="20"/>
        </w:rPr>
        <w:t xml:space="preserve"> </w:t>
      </w:r>
    </w:p>
    <w:bookmarkStart w:id="6" w:name="_MON_1775629742"/>
    <w:bookmarkEnd w:id="6"/>
    <w:p w:rsidR="002D2A4F" w:rsidRPr="00515E14" w:rsidRDefault="00774AA0" w:rsidP="0088774A">
      <w:pPr>
        <w:tabs>
          <w:tab w:val="left" w:pos="5954"/>
          <w:tab w:val="left" w:pos="7230"/>
        </w:tabs>
        <w:rPr>
          <w:rFonts w:ascii="Barlow" w:hAnsi="Barlow" w:cs="Calibri"/>
          <w:b/>
          <w:sz w:val="20"/>
          <w:szCs w:val="20"/>
        </w:rPr>
      </w:pPr>
      <w:r w:rsidRPr="00515E14">
        <w:rPr>
          <w:rFonts w:ascii="Barlow" w:hAnsi="Barlow" w:cs="Calibri"/>
          <w:b/>
          <w:sz w:val="20"/>
          <w:szCs w:val="20"/>
        </w:rPr>
        <w:object w:dxaOrig="12481" w:dyaOrig="3563">
          <v:shape id="_x0000_i1035" type="#_x0000_t75" style="width:624pt;height:178.5pt" o:ole="">
            <v:imagedata r:id="rId38" o:title=""/>
          </v:shape>
          <o:OLEObject Type="Embed" ProgID="Excel.Sheet.12" ShapeID="_x0000_i1035" DrawAspect="Content" ObjectID="_1775904396" r:id="rId39"/>
        </w:object>
      </w:r>
    </w:p>
    <w:p w:rsidR="002E4ABF" w:rsidRPr="00515E14" w:rsidRDefault="002E4ABF" w:rsidP="006A1394">
      <w:pPr>
        <w:spacing w:after="0"/>
        <w:jc w:val="both"/>
        <w:rPr>
          <w:rFonts w:ascii="Barlow" w:hAnsi="Barlow" w:cs="Calibri"/>
          <w:b/>
          <w:sz w:val="20"/>
          <w:szCs w:val="20"/>
        </w:rPr>
      </w:pPr>
    </w:p>
    <w:p w:rsidR="002E4ABF" w:rsidRPr="00515E14" w:rsidRDefault="002E4ABF" w:rsidP="006A1394">
      <w:pPr>
        <w:spacing w:after="0"/>
        <w:jc w:val="both"/>
        <w:rPr>
          <w:rFonts w:ascii="Barlow" w:hAnsi="Barlow" w:cs="Calibri"/>
          <w:b/>
          <w:sz w:val="20"/>
          <w:szCs w:val="20"/>
        </w:rPr>
      </w:pPr>
    </w:p>
    <w:p w:rsidR="002E4ABF" w:rsidRPr="00515E14" w:rsidRDefault="002E4ABF" w:rsidP="006A1394">
      <w:pPr>
        <w:spacing w:after="0"/>
        <w:jc w:val="both"/>
        <w:rPr>
          <w:rFonts w:ascii="Barlow" w:hAnsi="Barlow" w:cs="Calibri"/>
          <w:b/>
          <w:sz w:val="20"/>
          <w:szCs w:val="20"/>
        </w:rPr>
      </w:pPr>
    </w:p>
    <w:p w:rsidR="002E4ABF" w:rsidRPr="00515E14" w:rsidRDefault="002E4ABF" w:rsidP="006A1394">
      <w:pPr>
        <w:spacing w:after="0"/>
        <w:jc w:val="both"/>
        <w:rPr>
          <w:rFonts w:ascii="Barlow" w:hAnsi="Barlow" w:cs="Calibri"/>
          <w:b/>
          <w:sz w:val="20"/>
          <w:szCs w:val="20"/>
        </w:rPr>
      </w:pPr>
    </w:p>
    <w:p w:rsidR="002E4ABF" w:rsidRPr="00515E14" w:rsidRDefault="002E4ABF" w:rsidP="006A1394">
      <w:pPr>
        <w:spacing w:after="0"/>
        <w:jc w:val="both"/>
        <w:rPr>
          <w:rFonts w:ascii="Barlow" w:hAnsi="Barlow" w:cs="Calibri"/>
          <w:b/>
          <w:sz w:val="20"/>
          <w:szCs w:val="20"/>
        </w:rPr>
      </w:pPr>
    </w:p>
    <w:p w:rsidR="002E4ABF" w:rsidRPr="00515E14" w:rsidRDefault="002E4ABF" w:rsidP="006A1394">
      <w:pPr>
        <w:spacing w:after="0"/>
        <w:jc w:val="both"/>
        <w:rPr>
          <w:rFonts w:ascii="Barlow" w:hAnsi="Barlow" w:cs="Calibri"/>
          <w:b/>
          <w:sz w:val="20"/>
          <w:szCs w:val="20"/>
        </w:rPr>
      </w:pPr>
    </w:p>
    <w:p w:rsidR="002E4ABF" w:rsidRPr="00515E14" w:rsidRDefault="002E4ABF" w:rsidP="006A1394">
      <w:pPr>
        <w:spacing w:after="0"/>
        <w:jc w:val="both"/>
        <w:rPr>
          <w:rFonts w:ascii="Barlow" w:hAnsi="Barlow" w:cs="Calibri"/>
          <w:b/>
          <w:sz w:val="20"/>
          <w:szCs w:val="20"/>
        </w:rPr>
      </w:pPr>
    </w:p>
    <w:p w:rsidR="002E4ABF" w:rsidRPr="00515E14" w:rsidRDefault="002E4ABF" w:rsidP="006A1394">
      <w:pPr>
        <w:spacing w:after="0"/>
        <w:jc w:val="both"/>
        <w:rPr>
          <w:rFonts w:ascii="Barlow" w:hAnsi="Barlow" w:cs="Calibri"/>
          <w:b/>
          <w:sz w:val="20"/>
          <w:szCs w:val="20"/>
        </w:rPr>
      </w:pPr>
    </w:p>
    <w:p w:rsidR="002E4ABF" w:rsidRPr="00515E14" w:rsidRDefault="002E4ABF" w:rsidP="006A1394">
      <w:pPr>
        <w:spacing w:after="0"/>
        <w:jc w:val="both"/>
        <w:rPr>
          <w:rFonts w:ascii="Barlow" w:hAnsi="Barlow" w:cs="Calibri"/>
          <w:b/>
          <w:sz w:val="20"/>
          <w:szCs w:val="20"/>
        </w:rPr>
      </w:pPr>
    </w:p>
    <w:p w:rsidR="002E4ABF" w:rsidRPr="00515E14" w:rsidRDefault="002E4ABF" w:rsidP="006A1394">
      <w:pPr>
        <w:spacing w:after="0"/>
        <w:jc w:val="both"/>
        <w:rPr>
          <w:rFonts w:ascii="Barlow" w:hAnsi="Barlow" w:cs="Calibri"/>
          <w:b/>
          <w:sz w:val="20"/>
          <w:szCs w:val="20"/>
        </w:rPr>
      </w:pPr>
    </w:p>
    <w:p w:rsidR="006A1394" w:rsidRPr="00515E14" w:rsidRDefault="00465D0D" w:rsidP="006A1394">
      <w:pPr>
        <w:spacing w:after="0"/>
        <w:jc w:val="both"/>
        <w:rPr>
          <w:rFonts w:ascii="Barlow" w:hAnsi="Barlow" w:cs="Calibri"/>
          <w:b/>
          <w:sz w:val="20"/>
          <w:szCs w:val="20"/>
        </w:rPr>
      </w:pPr>
      <w:r w:rsidRPr="00515E14">
        <w:rPr>
          <w:rFonts w:ascii="Barlow" w:hAnsi="Barlow" w:cs="Calibri"/>
          <w:b/>
          <w:sz w:val="20"/>
          <w:szCs w:val="20"/>
        </w:rPr>
        <w:lastRenderedPageBreak/>
        <w:t>V</w:t>
      </w:r>
      <w:r w:rsidR="006A1394" w:rsidRPr="00515E14">
        <w:rPr>
          <w:rFonts w:ascii="Barlow" w:hAnsi="Barlow" w:cs="Calibri"/>
          <w:b/>
          <w:sz w:val="20"/>
          <w:szCs w:val="20"/>
        </w:rPr>
        <w:t>.-CONCILIACIÓN ENTRE LOS INGRESOS PRESUPUESTARIOS Y CONTABLES, ASÍ COMO ENTRE EGRESOS PRESUPUESTARIOS Y GASTO CONTABLE.</w:t>
      </w:r>
    </w:p>
    <w:p w:rsidR="006A1394" w:rsidRPr="00515E14" w:rsidRDefault="006A1394" w:rsidP="006A1394">
      <w:pPr>
        <w:spacing w:after="0" w:line="240" w:lineRule="auto"/>
        <w:rPr>
          <w:rFonts w:ascii="Barlow" w:hAnsi="Barlow" w:cs="Calibri"/>
          <w:b/>
          <w:sz w:val="20"/>
          <w:szCs w:val="20"/>
        </w:rPr>
      </w:pPr>
    </w:p>
    <w:p w:rsidR="00F91C2B" w:rsidRPr="00515E14" w:rsidRDefault="00F91C2B" w:rsidP="006A1394">
      <w:pPr>
        <w:spacing w:after="0" w:line="240" w:lineRule="auto"/>
        <w:rPr>
          <w:rFonts w:ascii="Barlow" w:hAnsi="Barlow" w:cs="Calibri"/>
          <w:b/>
          <w:sz w:val="20"/>
          <w:szCs w:val="20"/>
        </w:rPr>
      </w:pPr>
    </w:p>
    <w:p w:rsidR="005443E0" w:rsidRPr="00515E14" w:rsidRDefault="005443E0" w:rsidP="006A1394">
      <w:pPr>
        <w:spacing w:after="0" w:line="240" w:lineRule="auto"/>
        <w:rPr>
          <w:rFonts w:ascii="Barlow" w:hAnsi="Barlow" w:cs="Calibri"/>
          <w:b/>
          <w:sz w:val="20"/>
          <w:szCs w:val="20"/>
        </w:rPr>
      </w:pPr>
    </w:p>
    <w:p w:rsidR="006A1394" w:rsidRPr="00515E14" w:rsidRDefault="006A1394" w:rsidP="002277C6">
      <w:pPr>
        <w:numPr>
          <w:ilvl w:val="0"/>
          <w:numId w:val="6"/>
        </w:numPr>
        <w:spacing w:after="0" w:line="240" w:lineRule="auto"/>
        <w:ind w:left="851"/>
        <w:jc w:val="both"/>
        <w:rPr>
          <w:rFonts w:ascii="Barlow" w:hAnsi="Barlow" w:cs="Calibri"/>
          <w:sz w:val="20"/>
          <w:szCs w:val="20"/>
        </w:rPr>
      </w:pPr>
      <w:r w:rsidRPr="00515E14">
        <w:rPr>
          <w:rFonts w:ascii="Barlow" w:hAnsi="Barlow" w:cs="Calibri"/>
          <w:sz w:val="20"/>
          <w:szCs w:val="20"/>
        </w:rPr>
        <w:t xml:space="preserve">Conciliación de ingresos presupuestarios y contables del 1 de </w:t>
      </w:r>
      <w:proofErr w:type="gramStart"/>
      <w:r w:rsidRPr="00515E14">
        <w:rPr>
          <w:rFonts w:ascii="Barlow" w:hAnsi="Barlow" w:cs="Calibri"/>
          <w:sz w:val="20"/>
          <w:szCs w:val="20"/>
        </w:rPr>
        <w:t>Enero</w:t>
      </w:r>
      <w:proofErr w:type="gramEnd"/>
      <w:r w:rsidRPr="00515E14">
        <w:rPr>
          <w:rFonts w:ascii="Barlow" w:hAnsi="Barlow" w:cs="Calibri"/>
          <w:sz w:val="20"/>
          <w:szCs w:val="20"/>
        </w:rPr>
        <w:t xml:space="preserve"> al </w:t>
      </w:r>
      <w:r w:rsidR="00C07D6B" w:rsidRPr="00515E14">
        <w:rPr>
          <w:rFonts w:ascii="Barlow" w:hAnsi="Barlow" w:cs="Calibri"/>
          <w:sz w:val="20"/>
          <w:szCs w:val="20"/>
        </w:rPr>
        <w:t>31</w:t>
      </w:r>
      <w:r w:rsidRPr="00515E14">
        <w:rPr>
          <w:rFonts w:ascii="Barlow" w:hAnsi="Barlow" w:cs="Calibri"/>
          <w:sz w:val="20"/>
          <w:szCs w:val="20"/>
        </w:rPr>
        <w:t xml:space="preserve"> de</w:t>
      </w:r>
      <w:r w:rsidR="005611B0" w:rsidRPr="00515E14">
        <w:rPr>
          <w:rFonts w:ascii="Barlow" w:hAnsi="Barlow" w:cs="Calibri"/>
          <w:sz w:val="20"/>
          <w:szCs w:val="20"/>
        </w:rPr>
        <w:t xml:space="preserve"> </w:t>
      </w:r>
      <w:r w:rsidR="00C07D6B" w:rsidRPr="00515E14">
        <w:rPr>
          <w:rFonts w:ascii="Barlow" w:hAnsi="Barlow" w:cs="Calibri"/>
          <w:sz w:val="20"/>
          <w:szCs w:val="20"/>
        </w:rPr>
        <w:t>Marzo</w:t>
      </w:r>
      <w:r w:rsidR="002277C6" w:rsidRPr="00515E14">
        <w:rPr>
          <w:rFonts w:ascii="Barlow" w:hAnsi="Barlow" w:cs="Calibri"/>
          <w:sz w:val="20"/>
          <w:szCs w:val="20"/>
        </w:rPr>
        <w:t xml:space="preserve"> de</w:t>
      </w:r>
      <w:r w:rsidRPr="00515E14">
        <w:rPr>
          <w:rFonts w:ascii="Barlow" w:hAnsi="Barlow" w:cs="Calibri"/>
          <w:sz w:val="20"/>
          <w:szCs w:val="20"/>
        </w:rPr>
        <w:t xml:space="preserve"> 202</w:t>
      </w:r>
      <w:r w:rsidR="005611B0" w:rsidRPr="00515E14">
        <w:rPr>
          <w:rFonts w:ascii="Barlow" w:hAnsi="Barlow" w:cs="Calibri"/>
          <w:sz w:val="20"/>
          <w:szCs w:val="20"/>
        </w:rPr>
        <w:t>4</w:t>
      </w:r>
      <w:r w:rsidRPr="00515E14">
        <w:rPr>
          <w:rFonts w:ascii="Barlow" w:hAnsi="Barlow" w:cs="Calibri"/>
          <w:sz w:val="20"/>
          <w:szCs w:val="20"/>
        </w:rPr>
        <w:t>.</w:t>
      </w:r>
    </w:p>
    <w:p w:rsidR="00107F9D" w:rsidRPr="00515E14" w:rsidRDefault="00107F9D" w:rsidP="00107F9D">
      <w:pPr>
        <w:spacing w:after="0" w:line="240" w:lineRule="auto"/>
        <w:ind w:left="851"/>
        <w:jc w:val="both"/>
        <w:rPr>
          <w:rFonts w:ascii="Barlow" w:hAnsi="Barlow" w:cs="Calibri"/>
          <w:sz w:val="20"/>
          <w:szCs w:val="20"/>
        </w:rPr>
      </w:pPr>
    </w:p>
    <w:p w:rsidR="00F91C2B" w:rsidRPr="00515E14" w:rsidRDefault="00107F9D" w:rsidP="00F91C2B">
      <w:pPr>
        <w:autoSpaceDE w:val="0"/>
        <w:autoSpaceDN w:val="0"/>
        <w:adjustRightInd w:val="0"/>
        <w:spacing w:line="360" w:lineRule="auto"/>
        <w:jc w:val="both"/>
        <w:rPr>
          <w:rFonts w:ascii="Barlow" w:hAnsi="Barlow" w:cs="Calibri"/>
          <w:sz w:val="20"/>
          <w:szCs w:val="20"/>
        </w:rPr>
      </w:pPr>
      <w:r w:rsidRPr="00515E14">
        <w:rPr>
          <w:rFonts w:ascii="Barlow" w:hAnsi="Barlow" w:cs="Calibri"/>
          <w:sz w:val="20"/>
          <w:szCs w:val="20"/>
        </w:rPr>
        <w:object w:dxaOrig="14428" w:dyaOrig="3796">
          <v:shape id="_x0000_i1036" type="#_x0000_t75" style="width:721.5pt;height:189.75pt" o:ole="">
            <v:imagedata r:id="rId40" o:title=""/>
          </v:shape>
          <o:OLEObject Type="Embed" ProgID="Excel.Sheet.12" ShapeID="_x0000_i1036" DrawAspect="Content" ObjectID="_1775904397" r:id="rId41"/>
        </w:object>
      </w:r>
    </w:p>
    <w:p w:rsidR="00F91C2B" w:rsidRPr="00515E14" w:rsidRDefault="00F91C2B" w:rsidP="00F91C2B">
      <w:pPr>
        <w:autoSpaceDE w:val="0"/>
        <w:autoSpaceDN w:val="0"/>
        <w:adjustRightInd w:val="0"/>
        <w:spacing w:line="360" w:lineRule="auto"/>
        <w:jc w:val="both"/>
        <w:rPr>
          <w:rFonts w:ascii="Barlow" w:hAnsi="Barlow" w:cs="Calibri"/>
          <w:sz w:val="20"/>
          <w:szCs w:val="20"/>
        </w:rPr>
      </w:pPr>
    </w:p>
    <w:p w:rsidR="00F91C2B" w:rsidRPr="00515E14" w:rsidRDefault="00F91C2B" w:rsidP="00F91C2B">
      <w:pPr>
        <w:autoSpaceDE w:val="0"/>
        <w:autoSpaceDN w:val="0"/>
        <w:adjustRightInd w:val="0"/>
        <w:spacing w:line="360" w:lineRule="auto"/>
        <w:jc w:val="both"/>
        <w:rPr>
          <w:rFonts w:ascii="Barlow" w:hAnsi="Barlow" w:cs="Calibri"/>
          <w:sz w:val="20"/>
          <w:szCs w:val="20"/>
        </w:rPr>
      </w:pPr>
    </w:p>
    <w:p w:rsidR="00F91C2B" w:rsidRPr="00515E14" w:rsidRDefault="00F91C2B" w:rsidP="00F91C2B">
      <w:pPr>
        <w:autoSpaceDE w:val="0"/>
        <w:autoSpaceDN w:val="0"/>
        <w:adjustRightInd w:val="0"/>
        <w:spacing w:line="360" w:lineRule="auto"/>
        <w:jc w:val="both"/>
        <w:rPr>
          <w:rFonts w:ascii="Barlow" w:hAnsi="Barlow" w:cs="Calibri"/>
          <w:sz w:val="20"/>
          <w:szCs w:val="20"/>
        </w:rPr>
      </w:pPr>
    </w:p>
    <w:p w:rsidR="00F91C2B" w:rsidRPr="00515E14" w:rsidRDefault="00F91C2B" w:rsidP="00F91C2B">
      <w:pPr>
        <w:autoSpaceDE w:val="0"/>
        <w:autoSpaceDN w:val="0"/>
        <w:adjustRightInd w:val="0"/>
        <w:spacing w:line="360" w:lineRule="auto"/>
        <w:jc w:val="both"/>
        <w:rPr>
          <w:rFonts w:ascii="Barlow" w:hAnsi="Barlow" w:cs="Calibri"/>
          <w:sz w:val="20"/>
          <w:szCs w:val="20"/>
        </w:rPr>
      </w:pPr>
    </w:p>
    <w:p w:rsidR="00252425" w:rsidRPr="00515E14" w:rsidRDefault="00252425" w:rsidP="00F91C2B">
      <w:pPr>
        <w:autoSpaceDE w:val="0"/>
        <w:autoSpaceDN w:val="0"/>
        <w:adjustRightInd w:val="0"/>
        <w:spacing w:line="360" w:lineRule="auto"/>
        <w:jc w:val="both"/>
        <w:rPr>
          <w:rFonts w:ascii="Barlow" w:hAnsi="Barlow" w:cs="Calibri"/>
          <w:sz w:val="20"/>
          <w:szCs w:val="20"/>
        </w:rPr>
      </w:pPr>
      <w:bookmarkStart w:id="7" w:name="_GoBack"/>
      <w:bookmarkEnd w:id="7"/>
    </w:p>
    <w:p w:rsidR="005611B0" w:rsidRPr="00515E14" w:rsidRDefault="009D0FD0" w:rsidP="005611B0">
      <w:pPr>
        <w:numPr>
          <w:ilvl w:val="0"/>
          <w:numId w:val="6"/>
        </w:numPr>
        <w:tabs>
          <w:tab w:val="left" w:pos="567"/>
          <w:tab w:val="left" w:pos="851"/>
        </w:tabs>
        <w:rPr>
          <w:rFonts w:ascii="Barlow" w:hAnsi="Barlow" w:cs="Calibri"/>
          <w:sz w:val="20"/>
          <w:szCs w:val="20"/>
        </w:rPr>
      </w:pPr>
      <w:r>
        <w:rPr>
          <w:rFonts w:ascii="Barlow" w:hAnsi="Barlow" w:cs="Calibri"/>
          <w:sz w:val="20"/>
          <w:szCs w:val="20"/>
        </w:rPr>
        <w:t xml:space="preserve">Conciliación de egresos </w:t>
      </w:r>
      <w:r w:rsidR="006A1394" w:rsidRPr="00515E14">
        <w:rPr>
          <w:rFonts w:ascii="Barlow" w:hAnsi="Barlow" w:cs="Calibri"/>
          <w:sz w:val="20"/>
          <w:szCs w:val="20"/>
        </w:rPr>
        <w:t xml:space="preserve">presupuestarios </w:t>
      </w:r>
      <w:proofErr w:type="gramStart"/>
      <w:r w:rsidR="006A1394" w:rsidRPr="00515E14">
        <w:rPr>
          <w:rFonts w:ascii="Barlow" w:hAnsi="Barlow" w:cs="Calibri"/>
          <w:sz w:val="20"/>
          <w:szCs w:val="20"/>
        </w:rPr>
        <w:t>y  gastos</w:t>
      </w:r>
      <w:proofErr w:type="gramEnd"/>
      <w:r w:rsidR="006A1394" w:rsidRPr="00515E14">
        <w:rPr>
          <w:rFonts w:ascii="Barlow" w:hAnsi="Barlow" w:cs="Calibri"/>
          <w:sz w:val="20"/>
          <w:szCs w:val="20"/>
        </w:rPr>
        <w:t xml:space="preserve"> contables del 1 de enero al </w:t>
      </w:r>
      <w:r w:rsidR="00E75E44" w:rsidRPr="00515E14">
        <w:rPr>
          <w:rFonts w:ascii="Barlow" w:hAnsi="Barlow" w:cs="Calibri"/>
          <w:sz w:val="20"/>
          <w:szCs w:val="20"/>
        </w:rPr>
        <w:t>3</w:t>
      </w:r>
      <w:r w:rsidR="009478E9" w:rsidRPr="00515E14">
        <w:rPr>
          <w:rFonts w:ascii="Barlow" w:hAnsi="Barlow" w:cs="Calibri"/>
          <w:sz w:val="20"/>
          <w:szCs w:val="20"/>
        </w:rPr>
        <w:t>1</w:t>
      </w:r>
      <w:r w:rsidR="006A1394" w:rsidRPr="00515E14">
        <w:rPr>
          <w:rFonts w:ascii="Barlow" w:hAnsi="Barlow" w:cs="Calibri"/>
          <w:sz w:val="20"/>
          <w:szCs w:val="20"/>
        </w:rPr>
        <w:t xml:space="preserve"> de</w:t>
      </w:r>
      <w:r w:rsidR="0008170B" w:rsidRPr="00515E14">
        <w:rPr>
          <w:rFonts w:ascii="Barlow" w:hAnsi="Barlow" w:cs="Calibri"/>
          <w:sz w:val="20"/>
          <w:szCs w:val="20"/>
        </w:rPr>
        <w:t xml:space="preserve"> </w:t>
      </w:r>
      <w:r w:rsidR="00F15F0B" w:rsidRPr="00515E14">
        <w:rPr>
          <w:rFonts w:ascii="Barlow" w:hAnsi="Barlow" w:cs="Calibri"/>
          <w:sz w:val="20"/>
          <w:szCs w:val="20"/>
        </w:rPr>
        <w:t>Marzo</w:t>
      </w:r>
      <w:r w:rsidR="005611B0" w:rsidRPr="00515E14">
        <w:rPr>
          <w:rFonts w:ascii="Barlow" w:hAnsi="Barlow" w:cs="Calibri"/>
          <w:sz w:val="20"/>
          <w:szCs w:val="20"/>
        </w:rPr>
        <w:t xml:space="preserve"> de 2024.</w:t>
      </w:r>
    </w:p>
    <w:bookmarkStart w:id="8" w:name="_MON_1775311048"/>
    <w:bookmarkEnd w:id="8"/>
    <w:p w:rsidR="005611B0" w:rsidRPr="00515E14" w:rsidRDefault="00F15F0B" w:rsidP="00CD3610">
      <w:pPr>
        <w:spacing w:line="23" w:lineRule="atLeast"/>
        <w:jc w:val="center"/>
        <w:rPr>
          <w:rFonts w:ascii="Barlow" w:hAnsi="Barlow" w:cs="Calibri"/>
          <w:b/>
          <w:sz w:val="20"/>
          <w:szCs w:val="20"/>
        </w:rPr>
      </w:pPr>
      <w:r w:rsidRPr="00515E14">
        <w:rPr>
          <w:rFonts w:ascii="Barlow" w:hAnsi="Barlow" w:cs="Calibri"/>
          <w:b/>
          <w:sz w:val="20"/>
          <w:szCs w:val="20"/>
        </w:rPr>
        <w:object w:dxaOrig="12275" w:dyaOrig="5829">
          <v:shape id="_x0000_i1037" type="#_x0000_t75" style="width:613.5pt;height:291.75pt" o:ole="">
            <v:imagedata r:id="rId42" o:title=""/>
          </v:shape>
          <o:OLEObject Type="Embed" ProgID="Excel.Sheet.12" ShapeID="_x0000_i1037" DrawAspect="Content" ObjectID="_1775904398" r:id="rId43"/>
        </w:object>
      </w:r>
    </w:p>
    <w:p w:rsidR="009D0FD0" w:rsidRDefault="009D0FD0" w:rsidP="00CD3610">
      <w:pPr>
        <w:spacing w:line="23" w:lineRule="atLeast"/>
        <w:jc w:val="center"/>
        <w:rPr>
          <w:rFonts w:ascii="Barlow" w:hAnsi="Barlow" w:cs="Calibri"/>
          <w:b/>
          <w:sz w:val="20"/>
          <w:szCs w:val="20"/>
        </w:rPr>
      </w:pPr>
    </w:p>
    <w:p w:rsidR="006E1AA2" w:rsidRPr="00515E14" w:rsidRDefault="002E4ABF" w:rsidP="00CD3610">
      <w:pPr>
        <w:spacing w:line="23" w:lineRule="atLeast"/>
        <w:jc w:val="center"/>
        <w:rPr>
          <w:rFonts w:ascii="Barlow" w:hAnsi="Barlow" w:cs="Calibri"/>
          <w:b/>
          <w:sz w:val="20"/>
          <w:szCs w:val="20"/>
        </w:rPr>
      </w:pPr>
      <w:r w:rsidRPr="00515E14">
        <w:rPr>
          <w:rFonts w:ascii="Barlow" w:hAnsi="Barlow" w:cs="Calibri"/>
          <w:b/>
          <w:sz w:val="20"/>
          <w:szCs w:val="20"/>
        </w:rPr>
        <w:lastRenderedPageBreak/>
        <w:t>C</w:t>
      </w:r>
      <w:r w:rsidR="006E1AA2" w:rsidRPr="00515E14">
        <w:rPr>
          <w:rFonts w:ascii="Barlow" w:hAnsi="Barlow" w:cs="Calibri"/>
          <w:b/>
          <w:sz w:val="20"/>
          <w:szCs w:val="20"/>
        </w:rPr>
        <w:t>)</w:t>
      </w:r>
      <w:r w:rsidR="00466090" w:rsidRPr="00515E14">
        <w:rPr>
          <w:rFonts w:ascii="Barlow" w:hAnsi="Barlow" w:cs="Calibri"/>
          <w:b/>
          <w:sz w:val="20"/>
          <w:szCs w:val="20"/>
        </w:rPr>
        <w:t xml:space="preserve"> </w:t>
      </w:r>
      <w:r w:rsidR="00CD3610" w:rsidRPr="00515E14">
        <w:rPr>
          <w:rFonts w:ascii="Barlow" w:hAnsi="Barlow" w:cs="Calibri"/>
          <w:b/>
          <w:sz w:val="20"/>
          <w:szCs w:val="20"/>
        </w:rPr>
        <w:t>NOTAS DE MEMORIA</w:t>
      </w:r>
      <w:r w:rsidRPr="00515E14">
        <w:rPr>
          <w:rFonts w:ascii="Barlow" w:hAnsi="Barlow" w:cs="Calibri"/>
          <w:b/>
          <w:sz w:val="20"/>
          <w:szCs w:val="20"/>
        </w:rPr>
        <w:t xml:space="preserve"> (CUENTAS DE ORDEN)</w:t>
      </w:r>
    </w:p>
    <w:p w:rsidR="006E1AA2" w:rsidRPr="00515E14" w:rsidRDefault="006E1AA2" w:rsidP="00A27775">
      <w:pPr>
        <w:rPr>
          <w:rFonts w:ascii="Barlow" w:hAnsi="Barlow" w:cs="Calibri"/>
          <w:sz w:val="20"/>
          <w:szCs w:val="20"/>
        </w:rPr>
      </w:pPr>
      <w:r w:rsidRPr="00515E14">
        <w:rPr>
          <w:rFonts w:ascii="Barlow" w:hAnsi="Barlow" w:cs="Calibri"/>
          <w:sz w:val="20"/>
          <w:szCs w:val="20"/>
        </w:rPr>
        <w:t>Los Saldos de las cuentas de Orden Contable y presupuestales se presentan a continuaci</w:t>
      </w:r>
      <w:r w:rsidR="00466090" w:rsidRPr="00515E14">
        <w:rPr>
          <w:rFonts w:ascii="Barlow" w:hAnsi="Barlow" w:cs="Calibri"/>
          <w:sz w:val="20"/>
          <w:szCs w:val="20"/>
        </w:rPr>
        <w:t>ón:</w:t>
      </w:r>
    </w:p>
    <w:p w:rsidR="00466090" w:rsidRPr="00515E14" w:rsidRDefault="00515E14" w:rsidP="00A27775">
      <w:pPr>
        <w:rPr>
          <w:rFonts w:ascii="Barlow" w:hAnsi="Barlow" w:cs="Calibri"/>
          <w:sz w:val="20"/>
          <w:szCs w:val="20"/>
        </w:rPr>
      </w:pPr>
      <w:r>
        <w:rPr>
          <w:rFonts w:ascii="Barlow" w:hAnsi="Barlow" w:cs="Calibri"/>
          <w:sz w:val="20"/>
          <w:szCs w:val="20"/>
        </w:rPr>
        <w:t xml:space="preserve">-Cuentas </w:t>
      </w:r>
      <w:r w:rsidR="00466090" w:rsidRPr="00515E14">
        <w:rPr>
          <w:rFonts w:ascii="Barlow" w:hAnsi="Barlow" w:cs="Calibri"/>
          <w:sz w:val="20"/>
          <w:szCs w:val="20"/>
        </w:rPr>
        <w:t>Contables</w:t>
      </w:r>
    </w:p>
    <w:p w:rsidR="000A5E92" w:rsidRPr="00515E14" w:rsidRDefault="00515E14" w:rsidP="00A27775">
      <w:pPr>
        <w:rPr>
          <w:rFonts w:ascii="Barlow" w:hAnsi="Barlow" w:cs="Calibri"/>
          <w:sz w:val="20"/>
          <w:szCs w:val="20"/>
        </w:rPr>
      </w:pPr>
      <w:r w:rsidRPr="00515E14">
        <w:rPr>
          <w:rFonts w:ascii="Barlow" w:hAnsi="Barlow"/>
          <w:noProof/>
          <w:sz w:val="20"/>
          <w:szCs w:val="20"/>
        </w:rPr>
        <w:drawing>
          <wp:inline distT="0" distB="0" distL="0" distR="0">
            <wp:extent cx="8524875" cy="4476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24875" cy="447675"/>
                    </a:xfrm>
                    <a:prstGeom prst="rect">
                      <a:avLst/>
                    </a:prstGeom>
                    <a:noFill/>
                    <a:ln>
                      <a:noFill/>
                    </a:ln>
                  </pic:spPr>
                </pic:pic>
              </a:graphicData>
            </a:graphic>
          </wp:inline>
        </w:drawing>
      </w:r>
    </w:p>
    <w:p w:rsidR="00466090" w:rsidRPr="00515E14" w:rsidRDefault="00466090" w:rsidP="00A27775">
      <w:pPr>
        <w:rPr>
          <w:rFonts w:ascii="Barlow" w:hAnsi="Barlow" w:cs="Calibri"/>
          <w:sz w:val="20"/>
          <w:szCs w:val="20"/>
        </w:rPr>
      </w:pPr>
      <w:r w:rsidRPr="00515E14">
        <w:rPr>
          <w:rFonts w:ascii="Barlow" w:hAnsi="Barlow" w:cs="Calibri"/>
          <w:sz w:val="20"/>
          <w:szCs w:val="20"/>
        </w:rPr>
        <w:t xml:space="preserve">-Cuentas Presupuestarias </w:t>
      </w:r>
    </w:p>
    <w:tbl>
      <w:tblPr>
        <w:tblW w:w="13467"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080"/>
        <w:gridCol w:w="5387"/>
      </w:tblGrid>
      <w:tr w:rsidR="00177E9A" w:rsidRPr="00515E14" w:rsidTr="0052179F">
        <w:trPr>
          <w:trHeight w:val="300"/>
        </w:trPr>
        <w:tc>
          <w:tcPr>
            <w:tcW w:w="8080" w:type="dxa"/>
            <w:tcBorders>
              <w:top w:val="single" w:sz="4" w:space="0" w:color="auto"/>
              <w:bottom w:val="single" w:sz="4" w:space="0" w:color="auto"/>
              <w:right w:val="single" w:sz="6" w:space="0" w:color="000000"/>
            </w:tcBorders>
            <w:shd w:val="clear" w:color="auto" w:fill="auto"/>
            <w:vAlign w:val="center"/>
            <w:hideMark/>
          </w:tcPr>
          <w:p w:rsidR="00177E9A" w:rsidRPr="00515E14" w:rsidRDefault="002C333B" w:rsidP="005243FA">
            <w:pPr>
              <w:rPr>
                <w:rFonts w:ascii="Barlow" w:hAnsi="Barlow" w:cs="Arial"/>
                <w:b/>
                <w:bCs/>
                <w:color w:val="000000"/>
                <w:sz w:val="16"/>
                <w:szCs w:val="16"/>
              </w:rPr>
            </w:pPr>
            <w:r w:rsidRPr="00515E14">
              <w:rPr>
                <w:rFonts w:ascii="Barlow" w:hAnsi="Barlow" w:cs="Arial"/>
                <w:b/>
                <w:bCs/>
                <w:color w:val="000000"/>
                <w:sz w:val="16"/>
                <w:szCs w:val="16"/>
              </w:rPr>
              <w:t>LEY DE INGRESOS</w:t>
            </w:r>
            <w:r w:rsidR="00177E9A" w:rsidRPr="00515E14">
              <w:rPr>
                <w:rFonts w:ascii="Barlow" w:hAnsi="Barlow" w:cs="Arial"/>
                <w:b/>
                <w:bCs/>
                <w:color w:val="000000"/>
                <w:sz w:val="16"/>
                <w:szCs w:val="16"/>
              </w:rPr>
              <w:t xml:space="preserve">  202</w:t>
            </w:r>
            <w:r w:rsidR="00240FE4" w:rsidRPr="00515E14">
              <w:rPr>
                <w:rFonts w:ascii="Barlow" w:hAnsi="Barlow" w:cs="Arial"/>
                <w:b/>
                <w:bCs/>
                <w:color w:val="000000"/>
                <w:sz w:val="16"/>
                <w:szCs w:val="16"/>
              </w:rPr>
              <w:t>4</w:t>
            </w:r>
          </w:p>
        </w:tc>
        <w:tc>
          <w:tcPr>
            <w:tcW w:w="5387" w:type="dxa"/>
            <w:tcBorders>
              <w:top w:val="single" w:sz="4" w:space="0" w:color="auto"/>
              <w:left w:val="single" w:sz="6" w:space="0" w:color="000000"/>
              <w:bottom w:val="single" w:sz="6" w:space="0" w:color="000000"/>
            </w:tcBorders>
            <w:shd w:val="clear" w:color="auto" w:fill="auto"/>
            <w:vAlign w:val="center"/>
            <w:hideMark/>
          </w:tcPr>
          <w:p w:rsidR="00177E9A" w:rsidRPr="00515E14" w:rsidRDefault="00177E9A" w:rsidP="00882FA3">
            <w:pPr>
              <w:rPr>
                <w:rFonts w:ascii="Barlow" w:hAnsi="Barlow" w:cs="Arial"/>
                <w:b/>
                <w:bCs/>
                <w:color w:val="000000"/>
                <w:sz w:val="16"/>
                <w:szCs w:val="16"/>
              </w:rPr>
            </w:pPr>
          </w:p>
        </w:tc>
      </w:tr>
      <w:tr w:rsidR="00177E9A" w:rsidRPr="00515E14" w:rsidTr="0052179F">
        <w:trPr>
          <w:trHeight w:val="270"/>
        </w:trPr>
        <w:tc>
          <w:tcPr>
            <w:tcW w:w="8080" w:type="dxa"/>
            <w:tcBorders>
              <w:top w:val="single" w:sz="4" w:space="0" w:color="auto"/>
              <w:bottom w:val="single" w:sz="4" w:space="0" w:color="auto"/>
              <w:right w:val="single" w:sz="6" w:space="0" w:color="000000"/>
            </w:tcBorders>
            <w:shd w:val="clear" w:color="auto" w:fill="auto"/>
            <w:vAlign w:val="center"/>
            <w:hideMark/>
          </w:tcPr>
          <w:p w:rsidR="00177E9A" w:rsidRPr="00515E14" w:rsidRDefault="002C333B" w:rsidP="002C333B">
            <w:pPr>
              <w:rPr>
                <w:rFonts w:ascii="Barlow" w:hAnsi="Barlow" w:cs="Arial"/>
                <w:color w:val="000000"/>
                <w:sz w:val="16"/>
                <w:szCs w:val="16"/>
              </w:rPr>
            </w:pPr>
            <w:r w:rsidRPr="00515E14">
              <w:rPr>
                <w:rFonts w:ascii="Barlow" w:hAnsi="Barlow" w:cs="Arial"/>
                <w:color w:val="000000"/>
                <w:sz w:val="16"/>
                <w:szCs w:val="16"/>
              </w:rPr>
              <w:t>LEY DE INGRESOS ESTIMADAS</w:t>
            </w:r>
          </w:p>
        </w:tc>
        <w:tc>
          <w:tcPr>
            <w:tcW w:w="5387" w:type="dxa"/>
            <w:tcBorders>
              <w:top w:val="single" w:sz="6" w:space="0" w:color="000000"/>
              <w:left w:val="single" w:sz="6" w:space="0" w:color="000000"/>
              <w:bottom w:val="single" w:sz="6" w:space="0" w:color="000000"/>
            </w:tcBorders>
            <w:shd w:val="clear" w:color="auto" w:fill="auto"/>
            <w:vAlign w:val="center"/>
          </w:tcPr>
          <w:p w:rsidR="00177E9A" w:rsidRPr="00515E14" w:rsidRDefault="00240FE4" w:rsidP="005243FA">
            <w:pPr>
              <w:jc w:val="right"/>
              <w:rPr>
                <w:rFonts w:ascii="Barlow" w:hAnsi="Barlow" w:cs="Arial"/>
                <w:color w:val="000000"/>
                <w:sz w:val="16"/>
                <w:szCs w:val="16"/>
              </w:rPr>
            </w:pPr>
            <w:r w:rsidRPr="00515E14">
              <w:rPr>
                <w:rFonts w:ascii="Barlow" w:hAnsi="Barlow" w:cs="Arial"/>
                <w:color w:val="000000"/>
                <w:sz w:val="16"/>
                <w:szCs w:val="16"/>
              </w:rPr>
              <w:t>5,982,196,358.00</w:t>
            </w:r>
          </w:p>
        </w:tc>
      </w:tr>
      <w:tr w:rsidR="002C333B" w:rsidRPr="00515E14" w:rsidTr="0052179F">
        <w:trPr>
          <w:trHeight w:val="270"/>
        </w:trPr>
        <w:tc>
          <w:tcPr>
            <w:tcW w:w="8080" w:type="dxa"/>
            <w:tcBorders>
              <w:top w:val="single" w:sz="4" w:space="0" w:color="auto"/>
              <w:bottom w:val="single" w:sz="4" w:space="0" w:color="auto"/>
              <w:right w:val="single" w:sz="6" w:space="0" w:color="000000"/>
            </w:tcBorders>
            <w:shd w:val="clear" w:color="auto" w:fill="auto"/>
            <w:vAlign w:val="center"/>
          </w:tcPr>
          <w:p w:rsidR="002C333B" w:rsidRPr="00515E14" w:rsidRDefault="002C333B" w:rsidP="002C333B">
            <w:pPr>
              <w:rPr>
                <w:rFonts w:ascii="Barlow" w:hAnsi="Barlow" w:cs="Arial"/>
                <w:color w:val="000000"/>
                <w:sz w:val="16"/>
                <w:szCs w:val="16"/>
              </w:rPr>
            </w:pPr>
            <w:r w:rsidRPr="00515E14">
              <w:rPr>
                <w:rFonts w:ascii="Barlow" w:hAnsi="Barlow" w:cs="Arial"/>
                <w:color w:val="000000"/>
                <w:sz w:val="16"/>
                <w:szCs w:val="16"/>
              </w:rPr>
              <w:t>MODIFICACIONES A LA LEY DE INGRESOS ESTIMADA</w:t>
            </w:r>
          </w:p>
        </w:tc>
        <w:tc>
          <w:tcPr>
            <w:tcW w:w="5387" w:type="dxa"/>
            <w:tcBorders>
              <w:top w:val="single" w:sz="6" w:space="0" w:color="000000"/>
              <w:left w:val="single" w:sz="6" w:space="0" w:color="000000"/>
              <w:bottom w:val="single" w:sz="6" w:space="0" w:color="000000"/>
            </w:tcBorders>
            <w:shd w:val="clear" w:color="auto" w:fill="auto"/>
            <w:vAlign w:val="center"/>
          </w:tcPr>
          <w:p w:rsidR="002C333B" w:rsidRPr="00515E14" w:rsidRDefault="00565A4E" w:rsidP="00E665C9">
            <w:pPr>
              <w:jc w:val="right"/>
              <w:rPr>
                <w:rFonts w:ascii="Barlow" w:hAnsi="Barlow" w:cs="Arial"/>
                <w:color w:val="000000"/>
                <w:sz w:val="16"/>
                <w:szCs w:val="16"/>
              </w:rPr>
            </w:pPr>
            <w:r w:rsidRPr="00515E14">
              <w:rPr>
                <w:rFonts w:ascii="Barlow" w:hAnsi="Barlow" w:cs="Arial"/>
                <w:color w:val="000000"/>
                <w:sz w:val="16"/>
                <w:szCs w:val="16"/>
              </w:rPr>
              <w:t>282,163,767.16</w:t>
            </w:r>
          </w:p>
        </w:tc>
      </w:tr>
      <w:tr w:rsidR="002C333B" w:rsidRPr="00515E14" w:rsidTr="0052179F">
        <w:trPr>
          <w:trHeight w:val="270"/>
        </w:trPr>
        <w:tc>
          <w:tcPr>
            <w:tcW w:w="8080" w:type="dxa"/>
            <w:tcBorders>
              <w:top w:val="single" w:sz="4" w:space="0" w:color="auto"/>
              <w:bottom w:val="single" w:sz="4" w:space="0" w:color="auto"/>
              <w:right w:val="single" w:sz="6" w:space="0" w:color="000000"/>
            </w:tcBorders>
            <w:shd w:val="clear" w:color="auto" w:fill="auto"/>
            <w:vAlign w:val="center"/>
          </w:tcPr>
          <w:p w:rsidR="002C333B" w:rsidRPr="00515E14" w:rsidRDefault="002C333B" w:rsidP="002C333B">
            <w:pPr>
              <w:rPr>
                <w:rFonts w:ascii="Barlow" w:hAnsi="Barlow" w:cs="Arial"/>
                <w:color w:val="000000"/>
                <w:sz w:val="16"/>
                <w:szCs w:val="16"/>
              </w:rPr>
            </w:pPr>
            <w:r w:rsidRPr="00515E14">
              <w:rPr>
                <w:rFonts w:ascii="Barlow" w:hAnsi="Barlow" w:cs="Arial"/>
                <w:color w:val="000000"/>
                <w:sz w:val="16"/>
                <w:szCs w:val="16"/>
              </w:rPr>
              <w:t>LEY DE INGRESOS DEVENGADA</w:t>
            </w:r>
          </w:p>
        </w:tc>
        <w:tc>
          <w:tcPr>
            <w:tcW w:w="5387" w:type="dxa"/>
            <w:tcBorders>
              <w:top w:val="single" w:sz="6" w:space="0" w:color="000000"/>
              <w:left w:val="single" w:sz="6" w:space="0" w:color="000000"/>
              <w:bottom w:val="single" w:sz="6" w:space="0" w:color="000000"/>
            </w:tcBorders>
            <w:shd w:val="clear" w:color="auto" w:fill="auto"/>
            <w:vAlign w:val="center"/>
          </w:tcPr>
          <w:p w:rsidR="002C333B" w:rsidRPr="00515E14" w:rsidRDefault="00565A4E" w:rsidP="00894BA6">
            <w:pPr>
              <w:jc w:val="right"/>
              <w:rPr>
                <w:rFonts w:ascii="Barlow" w:hAnsi="Barlow" w:cs="Arial"/>
                <w:color w:val="000000"/>
                <w:sz w:val="16"/>
                <w:szCs w:val="16"/>
              </w:rPr>
            </w:pPr>
            <w:r w:rsidRPr="00515E14">
              <w:rPr>
                <w:rFonts w:ascii="Barlow" w:hAnsi="Barlow" w:cs="Arial"/>
                <w:color w:val="000000"/>
                <w:sz w:val="16"/>
                <w:szCs w:val="16"/>
              </w:rPr>
              <w:t>1,588,464,029.16</w:t>
            </w:r>
          </w:p>
        </w:tc>
      </w:tr>
      <w:tr w:rsidR="002C333B" w:rsidRPr="00515E14" w:rsidTr="0052179F">
        <w:trPr>
          <w:trHeight w:val="270"/>
        </w:trPr>
        <w:tc>
          <w:tcPr>
            <w:tcW w:w="8080" w:type="dxa"/>
            <w:tcBorders>
              <w:top w:val="single" w:sz="4" w:space="0" w:color="auto"/>
              <w:bottom w:val="single" w:sz="6" w:space="0" w:color="000000"/>
              <w:right w:val="single" w:sz="6" w:space="0" w:color="000000"/>
            </w:tcBorders>
            <w:shd w:val="clear" w:color="auto" w:fill="auto"/>
            <w:vAlign w:val="center"/>
          </w:tcPr>
          <w:p w:rsidR="002C333B" w:rsidRPr="00515E14" w:rsidRDefault="002C333B" w:rsidP="002C333B">
            <w:pPr>
              <w:rPr>
                <w:rFonts w:ascii="Barlow" w:hAnsi="Barlow" w:cs="Arial"/>
                <w:color w:val="000000"/>
                <w:sz w:val="16"/>
                <w:szCs w:val="16"/>
              </w:rPr>
            </w:pPr>
            <w:r w:rsidRPr="00515E14">
              <w:rPr>
                <w:rFonts w:ascii="Barlow" w:hAnsi="Barlow" w:cs="Arial"/>
                <w:color w:val="000000"/>
                <w:sz w:val="16"/>
                <w:szCs w:val="16"/>
              </w:rPr>
              <w:t>LEY DE INGRESOS RECAUDADA</w:t>
            </w:r>
          </w:p>
        </w:tc>
        <w:tc>
          <w:tcPr>
            <w:tcW w:w="5387" w:type="dxa"/>
            <w:tcBorders>
              <w:top w:val="single" w:sz="6" w:space="0" w:color="000000"/>
              <w:left w:val="single" w:sz="6" w:space="0" w:color="000000"/>
              <w:bottom w:val="single" w:sz="6" w:space="0" w:color="000000"/>
            </w:tcBorders>
            <w:shd w:val="clear" w:color="auto" w:fill="auto"/>
            <w:vAlign w:val="center"/>
          </w:tcPr>
          <w:p w:rsidR="002C333B" w:rsidRPr="00515E14" w:rsidRDefault="00565A4E" w:rsidP="00894BA6">
            <w:pPr>
              <w:jc w:val="right"/>
              <w:rPr>
                <w:rFonts w:ascii="Barlow" w:hAnsi="Barlow" w:cs="Arial"/>
                <w:color w:val="000000"/>
                <w:sz w:val="16"/>
                <w:szCs w:val="16"/>
              </w:rPr>
            </w:pPr>
            <w:r w:rsidRPr="00515E14">
              <w:rPr>
                <w:rFonts w:ascii="Barlow" w:hAnsi="Barlow" w:cs="Arial"/>
                <w:color w:val="000000"/>
                <w:sz w:val="16"/>
                <w:szCs w:val="16"/>
              </w:rPr>
              <w:t>1,509,277,830.37</w:t>
            </w:r>
          </w:p>
        </w:tc>
      </w:tr>
      <w:tr w:rsidR="00466090" w:rsidRPr="00515E14" w:rsidTr="0052179F">
        <w:trPr>
          <w:trHeight w:val="300"/>
        </w:trPr>
        <w:tc>
          <w:tcPr>
            <w:tcW w:w="8080" w:type="dxa"/>
            <w:tcBorders>
              <w:top w:val="single" w:sz="4" w:space="0" w:color="auto"/>
              <w:bottom w:val="single" w:sz="4" w:space="0" w:color="auto"/>
              <w:right w:val="single" w:sz="6" w:space="0" w:color="000000"/>
            </w:tcBorders>
            <w:shd w:val="clear" w:color="auto" w:fill="auto"/>
            <w:vAlign w:val="center"/>
            <w:hideMark/>
          </w:tcPr>
          <w:p w:rsidR="00466090" w:rsidRPr="00515E14" w:rsidRDefault="00466090" w:rsidP="00625A07">
            <w:pPr>
              <w:rPr>
                <w:rFonts w:ascii="Barlow" w:hAnsi="Barlow" w:cs="Arial"/>
                <w:b/>
                <w:bCs/>
                <w:color w:val="000000"/>
                <w:sz w:val="16"/>
                <w:szCs w:val="16"/>
              </w:rPr>
            </w:pPr>
            <w:r w:rsidRPr="00515E14">
              <w:rPr>
                <w:rFonts w:ascii="Barlow" w:hAnsi="Barlow" w:cs="Arial"/>
                <w:b/>
                <w:bCs/>
                <w:color w:val="000000"/>
                <w:sz w:val="16"/>
                <w:szCs w:val="16"/>
              </w:rPr>
              <w:t>PRESUPUESTO DE EGRESOS</w:t>
            </w:r>
            <w:r w:rsidR="002879BF" w:rsidRPr="00515E14">
              <w:rPr>
                <w:rFonts w:ascii="Barlow" w:hAnsi="Barlow" w:cs="Arial"/>
                <w:b/>
                <w:bCs/>
                <w:color w:val="000000"/>
                <w:sz w:val="16"/>
                <w:szCs w:val="16"/>
              </w:rPr>
              <w:t xml:space="preserve"> 202</w:t>
            </w:r>
            <w:r w:rsidR="00240FE4" w:rsidRPr="00515E14">
              <w:rPr>
                <w:rFonts w:ascii="Barlow" w:hAnsi="Barlow" w:cs="Arial"/>
                <w:b/>
                <w:bCs/>
                <w:color w:val="000000"/>
                <w:sz w:val="16"/>
                <w:szCs w:val="16"/>
              </w:rPr>
              <w:t>4</w:t>
            </w:r>
          </w:p>
        </w:tc>
        <w:tc>
          <w:tcPr>
            <w:tcW w:w="5387" w:type="dxa"/>
            <w:tcBorders>
              <w:top w:val="single" w:sz="4" w:space="0" w:color="auto"/>
              <w:left w:val="single" w:sz="6" w:space="0" w:color="000000"/>
              <w:bottom w:val="single" w:sz="6" w:space="0" w:color="000000"/>
            </w:tcBorders>
            <w:shd w:val="clear" w:color="auto" w:fill="auto"/>
            <w:vAlign w:val="center"/>
            <w:hideMark/>
          </w:tcPr>
          <w:p w:rsidR="00466090" w:rsidRPr="00515E14" w:rsidRDefault="00466090" w:rsidP="00157764">
            <w:pPr>
              <w:jc w:val="right"/>
              <w:rPr>
                <w:rFonts w:ascii="Barlow" w:hAnsi="Barlow" w:cs="Arial"/>
                <w:b/>
                <w:bCs/>
                <w:color w:val="000000"/>
                <w:sz w:val="16"/>
                <w:szCs w:val="16"/>
              </w:rPr>
            </w:pPr>
          </w:p>
        </w:tc>
      </w:tr>
      <w:tr w:rsidR="00466090" w:rsidRPr="00515E14" w:rsidTr="0052179F">
        <w:trPr>
          <w:trHeight w:val="270"/>
        </w:trPr>
        <w:tc>
          <w:tcPr>
            <w:tcW w:w="8080" w:type="dxa"/>
            <w:tcBorders>
              <w:top w:val="single" w:sz="4" w:space="0" w:color="auto"/>
              <w:bottom w:val="single" w:sz="6" w:space="0" w:color="000000"/>
              <w:right w:val="single" w:sz="6" w:space="0" w:color="000000"/>
            </w:tcBorders>
            <w:shd w:val="clear" w:color="auto" w:fill="auto"/>
            <w:vAlign w:val="center"/>
            <w:hideMark/>
          </w:tcPr>
          <w:p w:rsidR="00466090" w:rsidRPr="00515E14" w:rsidRDefault="00466090" w:rsidP="00A71CC9">
            <w:pPr>
              <w:rPr>
                <w:rFonts w:ascii="Barlow" w:hAnsi="Barlow" w:cs="Arial"/>
                <w:color w:val="000000"/>
                <w:sz w:val="16"/>
                <w:szCs w:val="16"/>
              </w:rPr>
            </w:pPr>
            <w:r w:rsidRPr="00515E14">
              <w:rPr>
                <w:rFonts w:ascii="Barlow" w:hAnsi="Barlow" w:cs="Arial"/>
                <w:color w:val="000000"/>
                <w:sz w:val="16"/>
                <w:szCs w:val="16"/>
              </w:rPr>
              <w:t>PRESUPUESTO DE EGRESOS APROBADO</w:t>
            </w:r>
          </w:p>
        </w:tc>
        <w:tc>
          <w:tcPr>
            <w:tcW w:w="5387" w:type="dxa"/>
            <w:tcBorders>
              <w:top w:val="single" w:sz="6" w:space="0" w:color="000000"/>
              <w:left w:val="single" w:sz="6" w:space="0" w:color="000000"/>
              <w:bottom w:val="single" w:sz="6" w:space="0" w:color="000000"/>
            </w:tcBorders>
            <w:shd w:val="clear" w:color="auto" w:fill="auto"/>
            <w:vAlign w:val="center"/>
          </w:tcPr>
          <w:p w:rsidR="00466090" w:rsidRPr="00515E14" w:rsidRDefault="00240FE4" w:rsidP="007E697A">
            <w:pPr>
              <w:jc w:val="right"/>
              <w:rPr>
                <w:rFonts w:ascii="Barlow" w:hAnsi="Barlow" w:cs="Arial"/>
                <w:color w:val="000000"/>
                <w:sz w:val="16"/>
                <w:szCs w:val="16"/>
              </w:rPr>
            </w:pPr>
            <w:r w:rsidRPr="00515E14">
              <w:rPr>
                <w:rFonts w:ascii="Barlow" w:hAnsi="Barlow" w:cs="Arial"/>
                <w:color w:val="000000"/>
                <w:sz w:val="16"/>
                <w:szCs w:val="16"/>
              </w:rPr>
              <w:t>5,982,196,358.00</w:t>
            </w:r>
          </w:p>
        </w:tc>
      </w:tr>
      <w:tr w:rsidR="004351B0" w:rsidRPr="00515E14" w:rsidTr="0052179F">
        <w:trPr>
          <w:trHeight w:val="540"/>
        </w:trPr>
        <w:tc>
          <w:tcPr>
            <w:tcW w:w="8080" w:type="dxa"/>
            <w:tcBorders>
              <w:top w:val="single" w:sz="6" w:space="0" w:color="000000"/>
              <w:bottom w:val="single" w:sz="6" w:space="0" w:color="000000"/>
              <w:right w:val="single" w:sz="6" w:space="0" w:color="000000"/>
            </w:tcBorders>
            <w:shd w:val="clear" w:color="auto" w:fill="auto"/>
            <w:vAlign w:val="center"/>
            <w:hideMark/>
          </w:tcPr>
          <w:p w:rsidR="004351B0" w:rsidRPr="00515E14" w:rsidRDefault="004351B0" w:rsidP="00A71CC9">
            <w:pPr>
              <w:rPr>
                <w:rFonts w:ascii="Barlow" w:hAnsi="Barlow" w:cs="Arial"/>
                <w:color w:val="000000"/>
                <w:sz w:val="16"/>
                <w:szCs w:val="16"/>
              </w:rPr>
            </w:pPr>
            <w:r w:rsidRPr="00515E14">
              <w:rPr>
                <w:rFonts w:ascii="Barlow" w:hAnsi="Barlow" w:cs="Arial"/>
                <w:color w:val="000000"/>
                <w:sz w:val="16"/>
                <w:szCs w:val="16"/>
              </w:rPr>
              <w:t>MODIFICACIONES AL PRESUPUESTO DE EGRESOS APROBADO</w:t>
            </w:r>
          </w:p>
        </w:tc>
        <w:tc>
          <w:tcPr>
            <w:tcW w:w="5387" w:type="dxa"/>
            <w:tcBorders>
              <w:top w:val="single" w:sz="6" w:space="0" w:color="000000"/>
              <w:left w:val="single" w:sz="6" w:space="0" w:color="000000"/>
              <w:bottom w:val="single" w:sz="6" w:space="0" w:color="000000"/>
            </w:tcBorders>
            <w:shd w:val="clear" w:color="auto" w:fill="auto"/>
            <w:vAlign w:val="center"/>
          </w:tcPr>
          <w:p w:rsidR="004351B0" w:rsidRPr="00515E14" w:rsidRDefault="00565A4E" w:rsidP="0051059C">
            <w:pPr>
              <w:jc w:val="right"/>
              <w:rPr>
                <w:rFonts w:ascii="Barlow" w:hAnsi="Barlow" w:cs="Arial"/>
                <w:color w:val="000000"/>
                <w:sz w:val="16"/>
                <w:szCs w:val="16"/>
              </w:rPr>
            </w:pPr>
            <w:r w:rsidRPr="00515E14">
              <w:rPr>
                <w:rFonts w:ascii="Barlow" w:hAnsi="Barlow" w:cs="Arial"/>
                <w:color w:val="000000"/>
                <w:sz w:val="16"/>
                <w:szCs w:val="16"/>
              </w:rPr>
              <w:t>283,163,767.16</w:t>
            </w:r>
          </w:p>
        </w:tc>
      </w:tr>
      <w:tr w:rsidR="004351B0" w:rsidRPr="00515E14" w:rsidTr="0052179F">
        <w:trPr>
          <w:trHeight w:val="270"/>
        </w:trPr>
        <w:tc>
          <w:tcPr>
            <w:tcW w:w="8080" w:type="dxa"/>
            <w:tcBorders>
              <w:top w:val="single" w:sz="6" w:space="0" w:color="000000"/>
              <w:bottom w:val="single" w:sz="6" w:space="0" w:color="000000"/>
              <w:right w:val="single" w:sz="6" w:space="0" w:color="000000"/>
            </w:tcBorders>
            <w:shd w:val="clear" w:color="auto" w:fill="auto"/>
            <w:vAlign w:val="center"/>
          </w:tcPr>
          <w:p w:rsidR="004351B0" w:rsidRPr="00515E14" w:rsidRDefault="004351B0" w:rsidP="00A71CC9">
            <w:pPr>
              <w:rPr>
                <w:rFonts w:ascii="Barlow" w:hAnsi="Barlow" w:cs="Arial"/>
                <w:color w:val="000000"/>
                <w:sz w:val="16"/>
                <w:szCs w:val="16"/>
              </w:rPr>
            </w:pPr>
            <w:r w:rsidRPr="00515E14">
              <w:rPr>
                <w:rFonts w:ascii="Barlow" w:hAnsi="Barlow" w:cs="Arial"/>
                <w:color w:val="000000"/>
                <w:sz w:val="16"/>
                <w:szCs w:val="16"/>
              </w:rPr>
              <w:t>PRESUPUESTO DE EGRESOS DEVENGADO</w:t>
            </w:r>
          </w:p>
        </w:tc>
        <w:tc>
          <w:tcPr>
            <w:tcW w:w="5387" w:type="dxa"/>
            <w:tcBorders>
              <w:top w:val="single" w:sz="6" w:space="0" w:color="000000"/>
              <w:left w:val="single" w:sz="6" w:space="0" w:color="000000"/>
              <w:bottom w:val="single" w:sz="6" w:space="0" w:color="000000"/>
            </w:tcBorders>
            <w:shd w:val="clear" w:color="auto" w:fill="auto"/>
            <w:vAlign w:val="center"/>
          </w:tcPr>
          <w:p w:rsidR="004351B0" w:rsidRPr="00515E14" w:rsidRDefault="00565A4E" w:rsidP="0051059C">
            <w:pPr>
              <w:jc w:val="right"/>
              <w:rPr>
                <w:rFonts w:ascii="Barlow" w:hAnsi="Barlow" w:cs="Arial"/>
                <w:color w:val="000000"/>
                <w:sz w:val="16"/>
                <w:szCs w:val="16"/>
              </w:rPr>
            </w:pPr>
            <w:r w:rsidRPr="00515E14">
              <w:rPr>
                <w:rFonts w:ascii="Barlow" w:hAnsi="Barlow" w:cs="Arial"/>
                <w:color w:val="000000"/>
                <w:sz w:val="16"/>
                <w:szCs w:val="16"/>
              </w:rPr>
              <w:t>1,034,920,903.44</w:t>
            </w:r>
          </w:p>
        </w:tc>
      </w:tr>
      <w:tr w:rsidR="004351B0" w:rsidRPr="00515E14" w:rsidTr="0052179F">
        <w:trPr>
          <w:trHeight w:val="270"/>
        </w:trPr>
        <w:tc>
          <w:tcPr>
            <w:tcW w:w="8080" w:type="dxa"/>
            <w:tcBorders>
              <w:top w:val="single" w:sz="6" w:space="0" w:color="000000"/>
              <w:bottom w:val="single" w:sz="6" w:space="0" w:color="000000"/>
              <w:right w:val="single" w:sz="6" w:space="0" w:color="000000"/>
            </w:tcBorders>
            <w:shd w:val="clear" w:color="auto" w:fill="auto"/>
            <w:vAlign w:val="center"/>
          </w:tcPr>
          <w:p w:rsidR="004351B0" w:rsidRPr="00515E14" w:rsidRDefault="004351B0" w:rsidP="00A71CC9">
            <w:pPr>
              <w:rPr>
                <w:rFonts w:ascii="Barlow" w:hAnsi="Barlow" w:cs="Arial"/>
                <w:color w:val="000000"/>
                <w:sz w:val="16"/>
                <w:szCs w:val="16"/>
              </w:rPr>
            </w:pPr>
            <w:r w:rsidRPr="00515E14">
              <w:rPr>
                <w:rFonts w:ascii="Barlow" w:hAnsi="Barlow" w:cs="Arial"/>
                <w:color w:val="000000"/>
                <w:sz w:val="16"/>
                <w:szCs w:val="16"/>
              </w:rPr>
              <w:t>PRESUPUESTO DE EGRESOS PAGADO</w:t>
            </w:r>
          </w:p>
        </w:tc>
        <w:tc>
          <w:tcPr>
            <w:tcW w:w="5387" w:type="dxa"/>
            <w:tcBorders>
              <w:top w:val="single" w:sz="6" w:space="0" w:color="000000"/>
              <w:left w:val="single" w:sz="6" w:space="0" w:color="000000"/>
              <w:bottom w:val="single" w:sz="6" w:space="0" w:color="000000"/>
            </w:tcBorders>
            <w:shd w:val="clear" w:color="auto" w:fill="auto"/>
            <w:vAlign w:val="center"/>
          </w:tcPr>
          <w:p w:rsidR="004351B0" w:rsidRPr="00515E14" w:rsidRDefault="00565A4E" w:rsidP="0051059C">
            <w:pPr>
              <w:jc w:val="right"/>
              <w:rPr>
                <w:rFonts w:ascii="Barlow" w:hAnsi="Barlow" w:cs="Arial"/>
                <w:color w:val="000000"/>
                <w:sz w:val="16"/>
                <w:szCs w:val="16"/>
              </w:rPr>
            </w:pPr>
            <w:r w:rsidRPr="00515E14">
              <w:rPr>
                <w:rFonts w:ascii="Barlow" w:hAnsi="Barlow" w:cs="Arial"/>
                <w:color w:val="000000"/>
                <w:sz w:val="16"/>
                <w:szCs w:val="16"/>
              </w:rPr>
              <w:t>900,173,459.94</w:t>
            </w:r>
          </w:p>
        </w:tc>
      </w:tr>
    </w:tbl>
    <w:p w:rsidR="00D456CC" w:rsidRPr="00515E14" w:rsidRDefault="00D456CC" w:rsidP="00515E14">
      <w:pPr>
        <w:spacing w:after="0"/>
        <w:jc w:val="both"/>
        <w:rPr>
          <w:rFonts w:ascii="Barlow" w:hAnsi="Barlow" w:cs="Calibri"/>
          <w:bCs/>
          <w:color w:val="000000"/>
          <w:sz w:val="20"/>
          <w:szCs w:val="20"/>
        </w:rPr>
      </w:pPr>
    </w:p>
    <w:sectPr w:rsidR="00D456CC" w:rsidRPr="00515E14" w:rsidSect="00515E14">
      <w:footerReference w:type="default" r:id="rId45"/>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5C1" w:rsidRDefault="008F55C1">
      <w:pPr>
        <w:spacing w:after="0" w:line="240" w:lineRule="auto"/>
      </w:pPr>
      <w:r>
        <w:separator/>
      </w:r>
    </w:p>
  </w:endnote>
  <w:endnote w:type="continuationSeparator" w:id="0">
    <w:p w:rsidR="008F55C1" w:rsidRDefault="008F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0EA" w:rsidRDefault="00B120EA">
    <w:pPr>
      <w:pStyle w:val="Piedepgina"/>
      <w:jc w:val="right"/>
    </w:pPr>
    <w:r>
      <w:fldChar w:fldCharType="begin"/>
    </w:r>
    <w:r>
      <w:instrText>PAGE   \* MERGEFORMAT</w:instrText>
    </w:r>
    <w:r>
      <w:fldChar w:fldCharType="separate"/>
    </w:r>
    <w:r w:rsidR="009D0FD0" w:rsidRPr="009D0FD0">
      <w:rPr>
        <w:noProof/>
        <w:lang w:val="es-ES"/>
      </w:rPr>
      <w:t>16</w:t>
    </w:r>
    <w:r>
      <w:fldChar w:fldCharType="end"/>
    </w:r>
  </w:p>
  <w:p w:rsidR="00B120EA" w:rsidRDefault="00B120E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5C1" w:rsidRDefault="008F55C1">
      <w:pPr>
        <w:spacing w:after="0" w:line="240" w:lineRule="auto"/>
      </w:pPr>
      <w:r>
        <w:separator/>
      </w:r>
    </w:p>
  </w:footnote>
  <w:footnote w:type="continuationSeparator" w:id="0">
    <w:p w:rsidR="008F55C1" w:rsidRDefault="008F5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E36"/>
    <w:multiLevelType w:val="hybridMultilevel"/>
    <w:tmpl w:val="07CA18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F236B11"/>
    <w:multiLevelType w:val="hybridMultilevel"/>
    <w:tmpl w:val="8E04B6BC"/>
    <w:lvl w:ilvl="0" w:tplc="9974759E">
      <w:start w:val="1"/>
      <w:numFmt w:val="low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36645DB7"/>
    <w:multiLevelType w:val="hybridMultilevel"/>
    <w:tmpl w:val="83FCB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13D30ED"/>
    <w:multiLevelType w:val="hybridMultilevel"/>
    <w:tmpl w:val="144AA50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2371AB4"/>
    <w:multiLevelType w:val="hybridMultilevel"/>
    <w:tmpl w:val="25DE151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454263"/>
    <w:multiLevelType w:val="hybridMultilevel"/>
    <w:tmpl w:val="3F1EC02C"/>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6" w15:restartNumberingAfterBreak="0">
    <w:nsid w:val="6E1C02C0"/>
    <w:multiLevelType w:val="multilevel"/>
    <w:tmpl w:val="3E4A2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1E82"/>
    <w:rsid w:val="00001F48"/>
    <w:rsid w:val="000023A6"/>
    <w:rsid w:val="0000246B"/>
    <w:rsid w:val="000027BB"/>
    <w:rsid w:val="00006A75"/>
    <w:rsid w:val="00006CC8"/>
    <w:rsid w:val="00010F09"/>
    <w:rsid w:val="0001518E"/>
    <w:rsid w:val="0001655A"/>
    <w:rsid w:val="00016B42"/>
    <w:rsid w:val="00020B85"/>
    <w:rsid w:val="00020FC3"/>
    <w:rsid w:val="000214CC"/>
    <w:rsid w:val="00021B8E"/>
    <w:rsid w:val="0002476F"/>
    <w:rsid w:val="00025B1F"/>
    <w:rsid w:val="00030D7D"/>
    <w:rsid w:val="00031714"/>
    <w:rsid w:val="00035164"/>
    <w:rsid w:val="000352A0"/>
    <w:rsid w:val="00035570"/>
    <w:rsid w:val="00035648"/>
    <w:rsid w:val="00035698"/>
    <w:rsid w:val="00036679"/>
    <w:rsid w:val="00036D52"/>
    <w:rsid w:val="00037329"/>
    <w:rsid w:val="00037775"/>
    <w:rsid w:val="00040F3E"/>
    <w:rsid w:val="000452DF"/>
    <w:rsid w:val="00052892"/>
    <w:rsid w:val="000529ED"/>
    <w:rsid w:val="00053C44"/>
    <w:rsid w:val="00053E91"/>
    <w:rsid w:val="00057CFB"/>
    <w:rsid w:val="00060A42"/>
    <w:rsid w:val="0006403B"/>
    <w:rsid w:val="000643E2"/>
    <w:rsid w:val="000650CB"/>
    <w:rsid w:val="00066DC7"/>
    <w:rsid w:val="00072080"/>
    <w:rsid w:val="00072C0E"/>
    <w:rsid w:val="00072D85"/>
    <w:rsid w:val="00075D1E"/>
    <w:rsid w:val="0007600A"/>
    <w:rsid w:val="0007615C"/>
    <w:rsid w:val="0008091C"/>
    <w:rsid w:val="00081289"/>
    <w:rsid w:val="0008170B"/>
    <w:rsid w:val="000841CE"/>
    <w:rsid w:val="00086F88"/>
    <w:rsid w:val="0008740B"/>
    <w:rsid w:val="000926A6"/>
    <w:rsid w:val="00097130"/>
    <w:rsid w:val="000978B2"/>
    <w:rsid w:val="000A0D1B"/>
    <w:rsid w:val="000A3917"/>
    <w:rsid w:val="000A3940"/>
    <w:rsid w:val="000A3A7F"/>
    <w:rsid w:val="000A3C1D"/>
    <w:rsid w:val="000A509D"/>
    <w:rsid w:val="000A5522"/>
    <w:rsid w:val="000A5E92"/>
    <w:rsid w:val="000A6CE8"/>
    <w:rsid w:val="000A6F19"/>
    <w:rsid w:val="000A720B"/>
    <w:rsid w:val="000B372B"/>
    <w:rsid w:val="000B5030"/>
    <w:rsid w:val="000B6137"/>
    <w:rsid w:val="000B7934"/>
    <w:rsid w:val="000C05C2"/>
    <w:rsid w:val="000C292D"/>
    <w:rsid w:val="000C4B96"/>
    <w:rsid w:val="000C6458"/>
    <w:rsid w:val="000C7022"/>
    <w:rsid w:val="000D013E"/>
    <w:rsid w:val="000D09F3"/>
    <w:rsid w:val="000D5926"/>
    <w:rsid w:val="000D5E7E"/>
    <w:rsid w:val="000D76F0"/>
    <w:rsid w:val="000E195A"/>
    <w:rsid w:val="000E2C99"/>
    <w:rsid w:val="000E6493"/>
    <w:rsid w:val="000E728E"/>
    <w:rsid w:val="000F0485"/>
    <w:rsid w:val="000F15F1"/>
    <w:rsid w:val="00101157"/>
    <w:rsid w:val="0010340E"/>
    <w:rsid w:val="00103B74"/>
    <w:rsid w:val="00105A1C"/>
    <w:rsid w:val="0010793C"/>
    <w:rsid w:val="00107F9D"/>
    <w:rsid w:val="00112CF9"/>
    <w:rsid w:val="00114AE6"/>
    <w:rsid w:val="00115AAC"/>
    <w:rsid w:val="00116007"/>
    <w:rsid w:val="00117B5A"/>
    <w:rsid w:val="00120A9C"/>
    <w:rsid w:val="00125DFD"/>
    <w:rsid w:val="001312EE"/>
    <w:rsid w:val="001316F3"/>
    <w:rsid w:val="00134D5D"/>
    <w:rsid w:val="0013641B"/>
    <w:rsid w:val="00137524"/>
    <w:rsid w:val="0014133A"/>
    <w:rsid w:val="00142242"/>
    <w:rsid w:val="001428E4"/>
    <w:rsid w:val="001429D6"/>
    <w:rsid w:val="00146D2C"/>
    <w:rsid w:val="00152F9C"/>
    <w:rsid w:val="00155E24"/>
    <w:rsid w:val="00157764"/>
    <w:rsid w:val="00160334"/>
    <w:rsid w:val="0016190B"/>
    <w:rsid w:val="001621E7"/>
    <w:rsid w:val="00162328"/>
    <w:rsid w:val="00163524"/>
    <w:rsid w:val="00163FCF"/>
    <w:rsid w:val="00164219"/>
    <w:rsid w:val="00164BF4"/>
    <w:rsid w:val="00164D31"/>
    <w:rsid w:val="001656EA"/>
    <w:rsid w:val="001668B3"/>
    <w:rsid w:val="00167EC1"/>
    <w:rsid w:val="00167FE5"/>
    <w:rsid w:val="001717B8"/>
    <w:rsid w:val="001720D8"/>
    <w:rsid w:val="0017357B"/>
    <w:rsid w:val="0017681D"/>
    <w:rsid w:val="00176ABD"/>
    <w:rsid w:val="00177E9A"/>
    <w:rsid w:val="00181CFD"/>
    <w:rsid w:val="00183D7B"/>
    <w:rsid w:val="001844BA"/>
    <w:rsid w:val="00190277"/>
    <w:rsid w:val="00191B23"/>
    <w:rsid w:val="00192449"/>
    <w:rsid w:val="001938F8"/>
    <w:rsid w:val="00193FAC"/>
    <w:rsid w:val="001958AC"/>
    <w:rsid w:val="0019634F"/>
    <w:rsid w:val="00196B28"/>
    <w:rsid w:val="00197049"/>
    <w:rsid w:val="00197298"/>
    <w:rsid w:val="001978B1"/>
    <w:rsid w:val="001A2CEA"/>
    <w:rsid w:val="001A4317"/>
    <w:rsid w:val="001A58FA"/>
    <w:rsid w:val="001B14CA"/>
    <w:rsid w:val="001B15DF"/>
    <w:rsid w:val="001B19FE"/>
    <w:rsid w:val="001B34AB"/>
    <w:rsid w:val="001B5E7C"/>
    <w:rsid w:val="001B79BE"/>
    <w:rsid w:val="001C009C"/>
    <w:rsid w:val="001C14FE"/>
    <w:rsid w:val="001C1CD6"/>
    <w:rsid w:val="001C6C49"/>
    <w:rsid w:val="001D0A9D"/>
    <w:rsid w:val="001D1845"/>
    <w:rsid w:val="001D3387"/>
    <w:rsid w:val="001D498F"/>
    <w:rsid w:val="001D5FB3"/>
    <w:rsid w:val="001D7187"/>
    <w:rsid w:val="001E07C5"/>
    <w:rsid w:val="001E0A5C"/>
    <w:rsid w:val="001E2396"/>
    <w:rsid w:val="001E4438"/>
    <w:rsid w:val="001E49F9"/>
    <w:rsid w:val="001E5CEA"/>
    <w:rsid w:val="001F0CC7"/>
    <w:rsid w:val="001F1F20"/>
    <w:rsid w:val="001F2065"/>
    <w:rsid w:val="001F28DF"/>
    <w:rsid w:val="001F4EF0"/>
    <w:rsid w:val="001F5AFD"/>
    <w:rsid w:val="001F65AF"/>
    <w:rsid w:val="001F6CAA"/>
    <w:rsid w:val="002003E4"/>
    <w:rsid w:val="00200DD5"/>
    <w:rsid w:val="00203D43"/>
    <w:rsid w:val="00205709"/>
    <w:rsid w:val="0021282F"/>
    <w:rsid w:val="00216A03"/>
    <w:rsid w:val="0022091F"/>
    <w:rsid w:val="002230CA"/>
    <w:rsid w:val="00223D9C"/>
    <w:rsid w:val="00224D08"/>
    <w:rsid w:val="0022693A"/>
    <w:rsid w:val="002277C6"/>
    <w:rsid w:val="00232BFE"/>
    <w:rsid w:val="00233371"/>
    <w:rsid w:val="00234CFB"/>
    <w:rsid w:val="00235FE7"/>
    <w:rsid w:val="00240719"/>
    <w:rsid w:val="00240FE4"/>
    <w:rsid w:val="00241B11"/>
    <w:rsid w:val="002432DB"/>
    <w:rsid w:val="00244589"/>
    <w:rsid w:val="00250BCF"/>
    <w:rsid w:val="002514F1"/>
    <w:rsid w:val="00251AD9"/>
    <w:rsid w:val="00252425"/>
    <w:rsid w:val="00252875"/>
    <w:rsid w:val="00252F14"/>
    <w:rsid w:val="00253B3C"/>
    <w:rsid w:val="00253E8A"/>
    <w:rsid w:val="002558CA"/>
    <w:rsid w:val="00257D3F"/>
    <w:rsid w:val="00260C97"/>
    <w:rsid w:val="00264143"/>
    <w:rsid w:val="00264B4D"/>
    <w:rsid w:val="00266DE0"/>
    <w:rsid w:val="00270CF1"/>
    <w:rsid w:val="00274501"/>
    <w:rsid w:val="00276048"/>
    <w:rsid w:val="00276882"/>
    <w:rsid w:val="002809CF"/>
    <w:rsid w:val="00281B81"/>
    <w:rsid w:val="002845D9"/>
    <w:rsid w:val="002879BF"/>
    <w:rsid w:val="00290427"/>
    <w:rsid w:val="002919B3"/>
    <w:rsid w:val="0029254F"/>
    <w:rsid w:val="002A0AD0"/>
    <w:rsid w:val="002A417C"/>
    <w:rsid w:val="002A45FD"/>
    <w:rsid w:val="002A7280"/>
    <w:rsid w:val="002A7FF6"/>
    <w:rsid w:val="002B1EBC"/>
    <w:rsid w:val="002B238E"/>
    <w:rsid w:val="002B2FC5"/>
    <w:rsid w:val="002B3842"/>
    <w:rsid w:val="002B4A9B"/>
    <w:rsid w:val="002B4CC8"/>
    <w:rsid w:val="002B5322"/>
    <w:rsid w:val="002C333B"/>
    <w:rsid w:val="002C3D6B"/>
    <w:rsid w:val="002C5360"/>
    <w:rsid w:val="002C6C9A"/>
    <w:rsid w:val="002C7272"/>
    <w:rsid w:val="002D2A4F"/>
    <w:rsid w:val="002D3590"/>
    <w:rsid w:val="002E177D"/>
    <w:rsid w:val="002E31BA"/>
    <w:rsid w:val="002E363B"/>
    <w:rsid w:val="002E4ABF"/>
    <w:rsid w:val="002E6065"/>
    <w:rsid w:val="002E62DD"/>
    <w:rsid w:val="002F112A"/>
    <w:rsid w:val="002F1280"/>
    <w:rsid w:val="002F16ED"/>
    <w:rsid w:val="002F5376"/>
    <w:rsid w:val="003002A5"/>
    <w:rsid w:val="00301D62"/>
    <w:rsid w:val="0030270C"/>
    <w:rsid w:val="00304CC5"/>
    <w:rsid w:val="00304EEF"/>
    <w:rsid w:val="00307E67"/>
    <w:rsid w:val="00307EF9"/>
    <w:rsid w:val="00313F77"/>
    <w:rsid w:val="00314279"/>
    <w:rsid w:val="003142B3"/>
    <w:rsid w:val="0031438F"/>
    <w:rsid w:val="003156D7"/>
    <w:rsid w:val="00316E09"/>
    <w:rsid w:val="00322CA1"/>
    <w:rsid w:val="003231F7"/>
    <w:rsid w:val="0032540D"/>
    <w:rsid w:val="00325D4B"/>
    <w:rsid w:val="00326EDB"/>
    <w:rsid w:val="0032732B"/>
    <w:rsid w:val="0032767A"/>
    <w:rsid w:val="0033109C"/>
    <w:rsid w:val="00333923"/>
    <w:rsid w:val="003345B0"/>
    <w:rsid w:val="00336504"/>
    <w:rsid w:val="00340DFF"/>
    <w:rsid w:val="003414EA"/>
    <w:rsid w:val="00341817"/>
    <w:rsid w:val="003444CD"/>
    <w:rsid w:val="00345E68"/>
    <w:rsid w:val="00346AFC"/>
    <w:rsid w:val="00351854"/>
    <w:rsid w:val="00354ECF"/>
    <w:rsid w:val="00357399"/>
    <w:rsid w:val="00357996"/>
    <w:rsid w:val="00357D73"/>
    <w:rsid w:val="00360249"/>
    <w:rsid w:val="003602A4"/>
    <w:rsid w:val="00361025"/>
    <w:rsid w:val="0036168C"/>
    <w:rsid w:val="00363CC0"/>
    <w:rsid w:val="003645B0"/>
    <w:rsid w:val="00366FF2"/>
    <w:rsid w:val="003703B1"/>
    <w:rsid w:val="0037132C"/>
    <w:rsid w:val="00372C5C"/>
    <w:rsid w:val="00373DE5"/>
    <w:rsid w:val="00374E66"/>
    <w:rsid w:val="00374E8D"/>
    <w:rsid w:val="00375521"/>
    <w:rsid w:val="00381011"/>
    <w:rsid w:val="00385A71"/>
    <w:rsid w:val="003917A5"/>
    <w:rsid w:val="00392202"/>
    <w:rsid w:val="00392CA4"/>
    <w:rsid w:val="003955D3"/>
    <w:rsid w:val="0039787C"/>
    <w:rsid w:val="003A0A3E"/>
    <w:rsid w:val="003A0C17"/>
    <w:rsid w:val="003A2CE5"/>
    <w:rsid w:val="003A4AD6"/>
    <w:rsid w:val="003A5D0E"/>
    <w:rsid w:val="003A7176"/>
    <w:rsid w:val="003A7BDC"/>
    <w:rsid w:val="003B4557"/>
    <w:rsid w:val="003B53C9"/>
    <w:rsid w:val="003C0F09"/>
    <w:rsid w:val="003C218F"/>
    <w:rsid w:val="003C7873"/>
    <w:rsid w:val="003D25C4"/>
    <w:rsid w:val="003D56FF"/>
    <w:rsid w:val="003D6B68"/>
    <w:rsid w:val="003D75A7"/>
    <w:rsid w:val="003E1EA1"/>
    <w:rsid w:val="003E2282"/>
    <w:rsid w:val="003E39C2"/>
    <w:rsid w:val="003E50C7"/>
    <w:rsid w:val="003F01B5"/>
    <w:rsid w:val="003F143C"/>
    <w:rsid w:val="003F324E"/>
    <w:rsid w:val="003F680C"/>
    <w:rsid w:val="003F74D4"/>
    <w:rsid w:val="004000A4"/>
    <w:rsid w:val="00403DC7"/>
    <w:rsid w:val="00404152"/>
    <w:rsid w:val="00404AA3"/>
    <w:rsid w:val="00407D5F"/>
    <w:rsid w:val="00410016"/>
    <w:rsid w:val="00412449"/>
    <w:rsid w:val="00413592"/>
    <w:rsid w:val="00417219"/>
    <w:rsid w:val="004315B0"/>
    <w:rsid w:val="00433356"/>
    <w:rsid w:val="004351B0"/>
    <w:rsid w:val="00436E5F"/>
    <w:rsid w:val="004402FA"/>
    <w:rsid w:val="00440C37"/>
    <w:rsid w:val="00440F71"/>
    <w:rsid w:val="0044144B"/>
    <w:rsid w:val="00445947"/>
    <w:rsid w:val="00451A4D"/>
    <w:rsid w:val="0045213F"/>
    <w:rsid w:val="004532DB"/>
    <w:rsid w:val="00453CCE"/>
    <w:rsid w:val="00454060"/>
    <w:rsid w:val="00456868"/>
    <w:rsid w:val="004578A7"/>
    <w:rsid w:val="00457981"/>
    <w:rsid w:val="00460658"/>
    <w:rsid w:val="004622BF"/>
    <w:rsid w:val="00465D0D"/>
    <w:rsid w:val="00466090"/>
    <w:rsid w:val="00466755"/>
    <w:rsid w:val="004670FC"/>
    <w:rsid w:val="00472099"/>
    <w:rsid w:val="00472943"/>
    <w:rsid w:val="00473160"/>
    <w:rsid w:val="00475152"/>
    <w:rsid w:val="00483BA4"/>
    <w:rsid w:val="00484113"/>
    <w:rsid w:val="00484312"/>
    <w:rsid w:val="00484CE2"/>
    <w:rsid w:val="004851A7"/>
    <w:rsid w:val="00485A44"/>
    <w:rsid w:val="00491CB4"/>
    <w:rsid w:val="0049317C"/>
    <w:rsid w:val="00494B2B"/>
    <w:rsid w:val="00495EF5"/>
    <w:rsid w:val="004A1876"/>
    <w:rsid w:val="004A3A01"/>
    <w:rsid w:val="004A4C49"/>
    <w:rsid w:val="004A5E99"/>
    <w:rsid w:val="004B0F73"/>
    <w:rsid w:val="004B44A7"/>
    <w:rsid w:val="004B5D1D"/>
    <w:rsid w:val="004C33CA"/>
    <w:rsid w:val="004C4A13"/>
    <w:rsid w:val="004C5BA6"/>
    <w:rsid w:val="004C6922"/>
    <w:rsid w:val="004D1012"/>
    <w:rsid w:val="004D2698"/>
    <w:rsid w:val="004D42B8"/>
    <w:rsid w:val="004D5E2A"/>
    <w:rsid w:val="004D67B7"/>
    <w:rsid w:val="004D76EA"/>
    <w:rsid w:val="004D7894"/>
    <w:rsid w:val="004E5160"/>
    <w:rsid w:val="004E6A86"/>
    <w:rsid w:val="004E6B82"/>
    <w:rsid w:val="004F3CEC"/>
    <w:rsid w:val="004F57E5"/>
    <w:rsid w:val="004F5C3E"/>
    <w:rsid w:val="004F61AF"/>
    <w:rsid w:val="004F65B1"/>
    <w:rsid w:val="004F7345"/>
    <w:rsid w:val="004F7715"/>
    <w:rsid w:val="004F7D31"/>
    <w:rsid w:val="004F7FBD"/>
    <w:rsid w:val="0050358C"/>
    <w:rsid w:val="00504C0D"/>
    <w:rsid w:val="00504D92"/>
    <w:rsid w:val="0051059C"/>
    <w:rsid w:val="005155D8"/>
    <w:rsid w:val="00515925"/>
    <w:rsid w:val="00515E14"/>
    <w:rsid w:val="0052179F"/>
    <w:rsid w:val="005219ED"/>
    <w:rsid w:val="005243FA"/>
    <w:rsid w:val="00524A27"/>
    <w:rsid w:val="00526B21"/>
    <w:rsid w:val="005312CB"/>
    <w:rsid w:val="00533047"/>
    <w:rsid w:val="00533DC6"/>
    <w:rsid w:val="00535FC5"/>
    <w:rsid w:val="00537BD4"/>
    <w:rsid w:val="00543230"/>
    <w:rsid w:val="00543731"/>
    <w:rsid w:val="005443C8"/>
    <w:rsid w:val="005443E0"/>
    <w:rsid w:val="005451E5"/>
    <w:rsid w:val="00547281"/>
    <w:rsid w:val="005479DF"/>
    <w:rsid w:val="005536A7"/>
    <w:rsid w:val="005611B0"/>
    <w:rsid w:val="00562FD7"/>
    <w:rsid w:val="005658EA"/>
    <w:rsid w:val="00565A4E"/>
    <w:rsid w:val="00566B9F"/>
    <w:rsid w:val="005673B3"/>
    <w:rsid w:val="00571075"/>
    <w:rsid w:val="00574991"/>
    <w:rsid w:val="00575513"/>
    <w:rsid w:val="00575887"/>
    <w:rsid w:val="00576385"/>
    <w:rsid w:val="005777B5"/>
    <w:rsid w:val="00580A8C"/>
    <w:rsid w:val="0058134B"/>
    <w:rsid w:val="005875A5"/>
    <w:rsid w:val="005907B2"/>
    <w:rsid w:val="0059084E"/>
    <w:rsid w:val="00591B48"/>
    <w:rsid w:val="00593A4D"/>
    <w:rsid w:val="005941AD"/>
    <w:rsid w:val="005A00C6"/>
    <w:rsid w:val="005A080D"/>
    <w:rsid w:val="005A0F28"/>
    <w:rsid w:val="005A3423"/>
    <w:rsid w:val="005A4D5C"/>
    <w:rsid w:val="005A56C4"/>
    <w:rsid w:val="005B03EE"/>
    <w:rsid w:val="005B1145"/>
    <w:rsid w:val="005B322D"/>
    <w:rsid w:val="005B34BF"/>
    <w:rsid w:val="005B3963"/>
    <w:rsid w:val="005B5088"/>
    <w:rsid w:val="005B651F"/>
    <w:rsid w:val="005B707A"/>
    <w:rsid w:val="005C04EC"/>
    <w:rsid w:val="005C2D24"/>
    <w:rsid w:val="005C378A"/>
    <w:rsid w:val="005C4D74"/>
    <w:rsid w:val="005C50D2"/>
    <w:rsid w:val="005C6D48"/>
    <w:rsid w:val="005D0DEE"/>
    <w:rsid w:val="005D1D00"/>
    <w:rsid w:val="005D5C66"/>
    <w:rsid w:val="005D7E65"/>
    <w:rsid w:val="005E0F68"/>
    <w:rsid w:val="005E253E"/>
    <w:rsid w:val="005E29E5"/>
    <w:rsid w:val="005E38CD"/>
    <w:rsid w:val="005E43BF"/>
    <w:rsid w:val="005E60C0"/>
    <w:rsid w:val="005E767D"/>
    <w:rsid w:val="005F3468"/>
    <w:rsid w:val="005F704F"/>
    <w:rsid w:val="005F7472"/>
    <w:rsid w:val="005F7EF4"/>
    <w:rsid w:val="00600ABB"/>
    <w:rsid w:val="00600F06"/>
    <w:rsid w:val="00602672"/>
    <w:rsid w:val="00603B72"/>
    <w:rsid w:val="006046C5"/>
    <w:rsid w:val="0060484E"/>
    <w:rsid w:val="00611F4E"/>
    <w:rsid w:val="00615568"/>
    <w:rsid w:val="00616192"/>
    <w:rsid w:val="00620373"/>
    <w:rsid w:val="00623665"/>
    <w:rsid w:val="0062569D"/>
    <w:rsid w:val="00625A07"/>
    <w:rsid w:val="006304DB"/>
    <w:rsid w:val="00630976"/>
    <w:rsid w:val="00636929"/>
    <w:rsid w:val="00637612"/>
    <w:rsid w:val="006416E4"/>
    <w:rsid w:val="00641F71"/>
    <w:rsid w:val="00642509"/>
    <w:rsid w:val="00645A4D"/>
    <w:rsid w:val="0064763B"/>
    <w:rsid w:val="006574FE"/>
    <w:rsid w:val="00657E95"/>
    <w:rsid w:val="00660030"/>
    <w:rsid w:val="00660492"/>
    <w:rsid w:val="00666454"/>
    <w:rsid w:val="006665AD"/>
    <w:rsid w:val="00667264"/>
    <w:rsid w:val="006676CA"/>
    <w:rsid w:val="0067108C"/>
    <w:rsid w:val="00671A48"/>
    <w:rsid w:val="00672B3D"/>
    <w:rsid w:val="006734B3"/>
    <w:rsid w:val="006734BD"/>
    <w:rsid w:val="00673C7C"/>
    <w:rsid w:val="006749E3"/>
    <w:rsid w:val="00675F7F"/>
    <w:rsid w:val="006766F0"/>
    <w:rsid w:val="00686C70"/>
    <w:rsid w:val="00692941"/>
    <w:rsid w:val="0069303C"/>
    <w:rsid w:val="00693A0E"/>
    <w:rsid w:val="00693A8B"/>
    <w:rsid w:val="006966AD"/>
    <w:rsid w:val="00696856"/>
    <w:rsid w:val="006A1394"/>
    <w:rsid w:val="006A1770"/>
    <w:rsid w:val="006A1AC9"/>
    <w:rsid w:val="006A4239"/>
    <w:rsid w:val="006A44DF"/>
    <w:rsid w:val="006A4F5D"/>
    <w:rsid w:val="006A5941"/>
    <w:rsid w:val="006A7F3A"/>
    <w:rsid w:val="006B20A8"/>
    <w:rsid w:val="006B2AA2"/>
    <w:rsid w:val="006B4404"/>
    <w:rsid w:val="006B49F2"/>
    <w:rsid w:val="006B4F53"/>
    <w:rsid w:val="006B5977"/>
    <w:rsid w:val="006B6200"/>
    <w:rsid w:val="006B68A1"/>
    <w:rsid w:val="006B7412"/>
    <w:rsid w:val="006B74B7"/>
    <w:rsid w:val="006C27D7"/>
    <w:rsid w:val="006C2AD9"/>
    <w:rsid w:val="006C6111"/>
    <w:rsid w:val="006D07EB"/>
    <w:rsid w:val="006D74F5"/>
    <w:rsid w:val="006E129C"/>
    <w:rsid w:val="006E1AA2"/>
    <w:rsid w:val="006E7F22"/>
    <w:rsid w:val="006F0300"/>
    <w:rsid w:val="006F0D11"/>
    <w:rsid w:val="006F5DB0"/>
    <w:rsid w:val="006F7AE5"/>
    <w:rsid w:val="00703AFF"/>
    <w:rsid w:val="007043A9"/>
    <w:rsid w:val="00706A07"/>
    <w:rsid w:val="0070780C"/>
    <w:rsid w:val="00707E7D"/>
    <w:rsid w:val="00710C77"/>
    <w:rsid w:val="007144A8"/>
    <w:rsid w:val="00714B4B"/>
    <w:rsid w:val="0071763B"/>
    <w:rsid w:val="007230C7"/>
    <w:rsid w:val="00724F2A"/>
    <w:rsid w:val="007272FC"/>
    <w:rsid w:val="0073240C"/>
    <w:rsid w:val="00733D62"/>
    <w:rsid w:val="00733FEA"/>
    <w:rsid w:val="00734532"/>
    <w:rsid w:val="00735A80"/>
    <w:rsid w:val="007368C3"/>
    <w:rsid w:val="00737087"/>
    <w:rsid w:val="007376EA"/>
    <w:rsid w:val="007405FC"/>
    <w:rsid w:val="0074151E"/>
    <w:rsid w:val="00743C40"/>
    <w:rsid w:val="007460EE"/>
    <w:rsid w:val="00747299"/>
    <w:rsid w:val="00750A0D"/>
    <w:rsid w:val="00750A57"/>
    <w:rsid w:val="00752F5F"/>
    <w:rsid w:val="007605C3"/>
    <w:rsid w:val="00760D59"/>
    <w:rsid w:val="00762B88"/>
    <w:rsid w:val="0076318B"/>
    <w:rsid w:val="00764567"/>
    <w:rsid w:val="00765CE4"/>
    <w:rsid w:val="007660C2"/>
    <w:rsid w:val="00766695"/>
    <w:rsid w:val="0077328E"/>
    <w:rsid w:val="00773B84"/>
    <w:rsid w:val="00774AA0"/>
    <w:rsid w:val="00775E63"/>
    <w:rsid w:val="007776B3"/>
    <w:rsid w:val="007842C8"/>
    <w:rsid w:val="00784F75"/>
    <w:rsid w:val="00785DB2"/>
    <w:rsid w:val="00791185"/>
    <w:rsid w:val="00792CE3"/>
    <w:rsid w:val="007954D5"/>
    <w:rsid w:val="0079553D"/>
    <w:rsid w:val="0079672C"/>
    <w:rsid w:val="007A016E"/>
    <w:rsid w:val="007A3C3F"/>
    <w:rsid w:val="007A43E4"/>
    <w:rsid w:val="007B2674"/>
    <w:rsid w:val="007C4090"/>
    <w:rsid w:val="007C4159"/>
    <w:rsid w:val="007C6034"/>
    <w:rsid w:val="007C73B9"/>
    <w:rsid w:val="007D0F85"/>
    <w:rsid w:val="007D1868"/>
    <w:rsid w:val="007D3E54"/>
    <w:rsid w:val="007D43E1"/>
    <w:rsid w:val="007D7D9B"/>
    <w:rsid w:val="007E2657"/>
    <w:rsid w:val="007E6907"/>
    <w:rsid w:val="007E697A"/>
    <w:rsid w:val="007E7099"/>
    <w:rsid w:val="007E7CE8"/>
    <w:rsid w:val="007F1C73"/>
    <w:rsid w:val="007F22D6"/>
    <w:rsid w:val="007F25A4"/>
    <w:rsid w:val="007F276F"/>
    <w:rsid w:val="007F27E5"/>
    <w:rsid w:val="007F6679"/>
    <w:rsid w:val="007F6908"/>
    <w:rsid w:val="00800952"/>
    <w:rsid w:val="00801057"/>
    <w:rsid w:val="0080334D"/>
    <w:rsid w:val="00806365"/>
    <w:rsid w:val="00807741"/>
    <w:rsid w:val="00811CBD"/>
    <w:rsid w:val="00814B40"/>
    <w:rsid w:val="00815D24"/>
    <w:rsid w:val="0082475D"/>
    <w:rsid w:val="00824A63"/>
    <w:rsid w:val="00824AE1"/>
    <w:rsid w:val="00825BC7"/>
    <w:rsid w:val="00825F0D"/>
    <w:rsid w:val="00827759"/>
    <w:rsid w:val="0083521D"/>
    <w:rsid w:val="00835C97"/>
    <w:rsid w:val="00836698"/>
    <w:rsid w:val="008435D5"/>
    <w:rsid w:val="00844D58"/>
    <w:rsid w:val="00846D27"/>
    <w:rsid w:val="00853064"/>
    <w:rsid w:val="00854124"/>
    <w:rsid w:val="0085497D"/>
    <w:rsid w:val="00857065"/>
    <w:rsid w:val="0086157D"/>
    <w:rsid w:val="00862993"/>
    <w:rsid w:val="0086449A"/>
    <w:rsid w:val="00865BFA"/>
    <w:rsid w:val="00866EE7"/>
    <w:rsid w:val="00867FBE"/>
    <w:rsid w:val="00871E4A"/>
    <w:rsid w:val="00871F27"/>
    <w:rsid w:val="00873164"/>
    <w:rsid w:val="00876D82"/>
    <w:rsid w:val="00882FA3"/>
    <w:rsid w:val="008871D0"/>
    <w:rsid w:val="0088774A"/>
    <w:rsid w:val="00887B69"/>
    <w:rsid w:val="008901DF"/>
    <w:rsid w:val="00890FC1"/>
    <w:rsid w:val="00893290"/>
    <w:rsid w:val="00894BA6"/>
    <w:rsid w:val="00896EE9"/>
    <w:rsid w:val="008A12FB"/>
    <w:rsid w:val="008A26DC"/>
    <w:rsid w:val="008A723C"/>
    <w:rsid w:val="008A75E1"/>
    <w:rsid w:val="008B17C4"/>
    <w:rsid w:val="008C04D3"/>
    <w:rsid w:val="008C1417"/>
    <w:rsid w:val="008C4F4D"/>
    <w:rsid w:val="008C4F7E"/>
    <w:rsid w:val="008D4352"/>
    <w:rsid w:val="008D574D"/>
    <w:rsid w:val="008E20AF"/>
    <w:rsid w:val="008E21B0"/>
    <w:rsid w:val="008E76C5"/>
    <w:rsid w:val="008F078B"/>
    <w:rsid w:val="008F2CCA"/>
    <w:rsid w:val="008F424E"/>
    <w:rsid w:val="008F55C1"/>
    <w:rsid w:val="0090374B"/>
    <w:rsid w:val="009054FA"/>
    <w:rsid w:val="00905602"/>
    <w:rsid w:val="0090560F"/>
    <w:rsid w:val="009075AF"/>
    <w:rsid w:val="00907AFC"/>
    <w:rsid w:val="00907C02"/>
    <w:rsid w:val="00910024"/>
    <w:rsid w:val="00910DFA"/>
    <w:rsid w:val="00911089"/>
    <w:rsid w:val="0091407E"/>
    <w:rsid w:val="009141D5"/>
    <w:rsid w:val="00915CA3"/>
    <w:rsid w:val="00916747"/>
    <w:rsid w:val="0091760A"/>
    <w:rsid w:val="00923E04"/>
    <w:rsid w:val="0092453D"/>
    <w:rsid w:val="00930E1A"/>
    <w:rsid w:val="009336AC"/>
    <w:rsid w:val="00933B48"/>
    <w:rsid w:val="00935CC8"/>
    <w:rsid w:val="00936B2D"/>
    <w:rsid w:val="0093775D"/>
    <w:rsid w:val="00940442"/>
    <w:rsid w:val="009411BF"/>
    <w:rsid w:val="009419EC"/>
    <w:rsid w:val="009429FB"/>
    <w:rsid w:val="00943C12"/>
    <w:rsid w:val="00944CEB"/>
    <w:rsid w:val="00945ACB"/>
    <w:rsid w:val="00945CF2"/>
    <w:rsid w:val="009464E0"/>
    <w:rsid w:val="009478E9"/>
    <w:rsid w:val="00950A94"/>
    <w:rsid w:val="0095196E"/>
    <w:rsid w:val="009539D6"/>
    <w:rsid w:val="0095606E"/>
    <w:rsid w:val="00960BE3"/>
    <w:rsid w:val="009626CD"/>
    <w:rsid w:val="009636DC"/>
    <w:rsid w:val="00970016"/>
    <w:rsid w:val="00971445"/>
    <w:rsid w:val="00973733"/>
    <w:rsid w:val="00974D7E"/>
    <w:rsid w:val="00984D7D"/>
    <w:rsid w:val="009867A4"/>
    <w:rsid w:val="00987D98"/>
    <w:rsid w:val="00991A84"/>
    <w:rsid w:val="00992F4B"/>
    <w:rsid w:val="009932CA"/>
    <w:rsid w:val="00993479"/>
    <w:rsid w:val="0099630C"/>
    <w:rsid w:val="00997A94"/>
    <w:rsid w:val="009A558E"/>
    <w:rsid w:val="009A5CA9"/>
    <w:rsid w:val="009A772A"/>
    <w:rsid w:val="009B00D1"/>
    <w:rsid w:val="009B1015"/>
    <w:rsid w:val="009B156D"/>
    <w:rsid w:val="009B1AB6"/>
    <w:rsid w:val="009B2778"/>
    <w:rsid w:val="009B35A2"/>
    <w:rsid w:val="009B46E0"/>
    <w:rsid w:val="009B593E"/>
    <w:rsid w:val="009B5C7B"/>
    <w:rsid w:val="009B6159"/>
    <w:rsid w:val="009B6234"/>
    <w:rsid w:val="009B6632"/>
    <w:rsid w:val="009B7312"/>
    <w:rsid w:val="009C01B7"/>
    <w:rsid w:val="009C0DE2"/>
    <w:rsid w:val="009C31B6"/>
    <w:rsid w:val="009C4B79"/>
    <w:rsid w:val="009C6548"/>
    <w:rsid w:val="009D0738"/>
    <w:rsid w:val="009D0FD0"/>
    <w:rsid w:val="009D29A2"/>
    <w:rsid w:val="009D43E2"/>
    <w:rsid w:val="009D63F8"/>
    <w:rsid w:val="009D6407"/>
    <w:rsid w:val="009E53E8"/>
    <w:rsid w:val="00A00174"/>
    <w:rsid w:val="00A03013"/>
    <w:rsid w:val="00A040FB"/>
    <w:rsid w:val="00A078BE"/>
    <w:rsid w:val="00A1026B"/>
    <w:rsid w:val="00A113B6"/>
    <w:rsid w:val="00A1220F"/>
    <w:rsid w:val="00A12764"/>
    <w:rsid w:val="00A13C31"/>
    <w:rsid w:val="00A157F2"/>
    <w:rsid w:val="00A16B3B"/>
    <w:rsid w:val="00A171DA"/>
    <w:rsid w:val="00A21241"/>
    <w:rsid w:val="00A21249"/>
    <w:rsid w:val="00A25B88"/>
    <w:rsid w:val="00A27775"/>
    <w:rsid w:val="00A27A17"/>
    <w:rsid w:val="00A30A16"/>
    <w:rsid w:val="00A317E6"/>
    <w:rsid w:val="00A3198D"/>
    <w:rsid w:val="00A324C3"/>
    <w:rsid w:val="00A35AEE"/>
    <w:rsid w:val="00A37541"/>
    <w:rsid w:val="00A3773A"/>
    <w:rsid w:val="00A40B86"/>
    <w:rsid w:val="00A42EE6"/>
    <w:rsid w:val="00A45020"/>
    <w:rsid w:val="00A4579F"/>
    <w:rsid w:val="00A463F0"/>
    <w:rsid w:val="00A51D0C"/>
    <w:rsid w:val="00A51F2E"/>
    <w:rsid w:val="00A54A42"/>
    <w:rsid w:val="00A551C4"/>
    <w:rsid w:val="00A55557"/>
    <w:rsid w:val="00A561E4"/>
    <w:rsid w:val="00A5668D"/>
    <w:rsid w:val="00A568A6"/>
    <w:rsid w:val="00A57B8C"/>
    <w:rsid w:val="00A57E14"/>
    <w:rsid w:val="00A664AD"/>
    <w:rsid w:val="00A673E1"/>
    <w:rsid w:val="00A71CC9"/>
    <w:rsid w:val="00A73C1E"/>
    <w:rsid w:val="00A7590D"/>
    <w:rsid w:val="00A7645D"/>
    <w:rsid w:val="00A801FF"/>
    <w:rsid w:val="00A82F13"/>
    <w:rsid w:val="00A84342"/>
    <w:rsid w:val="00A90CC5"/>
    <w:rsid w:val="00A946E1"/>
    <w:rsid w:val="00A955A3"/>
    <w:rsid w:val="00A96811"/>
    <w:rsid w:val="00AA1537"/>
    <w:rsid w:val="00AA1BEC"/>
    <w:rsid w:val="00AA2C58"/>
    <w:rsid w:val="00AA6690"/>
    <w:rsid w:val="00AA6F4A"/>
    <w:rsid w:val="00AA7DAC"/>
    <w:rsid w:val="00AB1F9E"/>
    <w:rsid w:val="00AB2F49"/>
    <w:rsid w:val="00AB3B26"/>
    <w:rsid w:val="00AB5227"/>
    <w:rsid w:val="00AB6132"/>
    <w:rsid w:val="00AB7367"/>
    <w:rsid w:val="00AB7E99"/>
    <w:rsid w:val="00AC1B8D"/>
    <w:rsid w:val="00AC31DF"/>
    <w:rsid w:val="00AC3899"/>
    <w:rsid w:val="00AC3B9A"/>
    <w:rsid w:val="00AC3F85"/>
    <w:rsid w:val="00AD0256"/>
    <w:rsid w:val="00AD53F7"/>
    <w:rsid w:val="00AD71E2"/>
    <w:rsid w:val="00AD7E01"/>
    <w:rsid w:val="00AE074B"/>
    <w:rsid w:val="00AE189A"/>
    <w:rsid w:val="00AE2E73"/>
    <w:rsid w:val="00AE341B"/>
    <w:rsid w:val="00AE34DA"/>
    <w:rsid w:val="00AE3528"/>
    <w:rsid w:val="00AE39AC"/>
    <w:rsid w:val="00AE3ED1"/>
    <w:rsid w:val="00AF2112"/>
    <w:rsid w:val="00AF70D4"/>
    <w:rsid w:val="00B015E4"/>
    <w:rsid w:val="00B024F1"/>
    <w:rsid w:val="00B02DE0"/>
    <w:rsid w:val="00B0321C"/>
    <w:rsid w:val="00B04C72"/>
    <w:rsid w:val="00B05D80"/>
    <w:rsid w:val="00B06BED"/>
    <w:rsid w:val="00B10040"/>
    <w:rsid w:val="00B107F8"/>
    <w:rsid w:val="00B11C4A"/>
    <w:rsid w:val="00B120EA"/>
    <w:rsid w:val="00B1338E"/>
    <w:rsid w:val="00B147B3"/>
    <w:rsid w:val="00B15768"/>
    <w:rsid w:val="00B15C18"/>
    <w:rsid w:val="00B1621F"/>
    <w:rsid w:val="00B16A43"/>
    <w:rsid w:val="00B22D42"/>
    <w:rsid w:val="00B231ED"/>
    <w:rsid w:val="00B26EBD"/>
    <w:rsid w:val="00B26FB0"/>
    <w:rsid w:val="00B30B0E"/>
    <w:rsid w:val="00B3227D"/>
    <w:rsid w:val="00B326C0"/>
    <w:rsid w:val="00B343F4"/>
    <w:rsid w:val="00B37E43"/>
    <w:rsid w:val="00B41DE0"/>
    <w:rsid w:val="00B42D75"/>
    <w:rsid w:val="00B44FA0"/>
    <w:rsid w:val="00B46F00"/>
    <w:rsid w:val="00B50433"/>
    <w:rsid w:val="00B50854"/>
    <w:rsid w:val="00B50A9A"/>
    <w:rsid w:val="00B51B4E"/>
    <w:rsid w:val="00B54B1E"/>
    <w:rsid w:val="00B561AE"/>
    <w:rsid w:val="00B61078"/>
    <w:rsid w:val="00B61554"/>
    <w:rsid w:val="00B6214D"/>
    <w:rsid w:val="00B62352"/>
    <w:rsid w:val="00B65245"/>
    <w:rsid w:val="00B65693"/>
    <w:rsid w:val="00B6663E"/>
    <w:rsid w:val="00B671CD"/>
    <w:rsid w:val="00B73527"/>
    <w:rsid w:val="00B86179"/>
    <w:rsid w:val="00B95498"/>
    <w:rsid w:val="00BA008F"/>
    <w:rsid w:val="00BA1609"/>
    <w:rsid w:val="00BA40C1"/>
    <w:rsid w:val="00BA5C71"/>
    <w:rsid w:val="00BA6CD8"/>
    <w:rsid w:val="00BB0861"/>
    <w:rsid w:val="00BB1D2B"/>
    <w:rsid w:val="00BC286B"/>
    <w:rsid w:val="00BC3A5E"/>
    <w:rsid w:val="00BC6ED9"/>
    <w:rsid w:val="00BD0EB1"/>
    <w:rsid w:val="00BD11C5"/>
    <w:rsid w:val="00BD1F92"/>
    <w:rsid w:val="00BD2299"/>
    <w:rsid w:val="00BD6213"/>
    <w:rsid w:val="00BD786F"/>
    <w:rsid w:val="00BE07D6"/>
    <w:rsid w:val="00BE18EA"/>
    <w:rsid w:val="00BE2597"/>
    <w:rsid w:val="00BE31F6"/>
    <w:rsid w:val="00BE4E61"/>
    <w:rsid w:val="00BE595B"/>
    <w:rsid w:val="00BE7830"/>
    <w:rsid w:val="00BE7A5F"/>
    <w:rsid w:val="00BF2D9E"/>
    <w:rsid w:val="00BF46E5"/>
    <w:rsid w:val="00C02AEE"/>
    <w:rsid w:val="00C06154"/>
    <w:rsid w:val="00C06783"/>
    <w:rsid w:val="00C07AF6"/>
    <w:rsid w:val="00C07D6B"/>
    <w:rsid w:val="00C1112A"/>
    <w:rsid w:val="00C16479"/>
    <w:rsid w:val="00C17E74"/>
    <w:rsid w:val="00C20564"/>
    <w:rsid w:val="00C2129E"/>
    <w:rsid w:val="00C22E7C"/>
    <w:rsid w:val="00C23B87"/>
    <w:rsid w:val="00C25EA9"/>
    <w:rsid w:val="00C317FA"/>
    <w:rsid w:val="00C31BC7"/>
    <w:rsid w:val="00C3590E"/>
    <w:rsid w:val="00C367C6"/>
    <w:rsid w:val="00C40AE3"/>
    <w:rsid w:val="00C448C5"/>
    <w:rsid w:val="00C44CE5"/>
    <w:rsid w:val="00C4605B"/>
    <w:rsid w:val="00C502EE"/>
    <w:rsid w:val="00C57423"/>
    <w:rsid w:val="00C61BD9"/>
    <w:rsid w:val="00C63257"/>
    <w:rsid w:val="00C64731"/>
    <w:rsid w:val="00C7044B"/>
    <w:rsid w:val="00C719FC"/>
    <w:rsid w:val="00C73576"/>
    <w:rsid w:val="00C75819"/>
    <w:rsid w:val="00C75E6F"/>
    <w:rsid w:val="00C76265"/>
    <w:rsid w:val="00C77AA9"/>
    <w:rsid w:val="00C80181"/>
    <w:rsid w:val="00C80A66"/>
    <w:rsid w:val="00C80E9C"/>
    <w:rsid w:val="00C8401A"/>
    <w:rsid w:val="00C8485E"/>
    <w:rsid w:val="00C84C28"/>
    <w:rsid w:val="00C85ACE"/>
    <w:rsid w:val="00C86BCB"/>
    <w:rsid w:val="00C876A3"/>
    <w:rsid w:val="00C90BA2"/>
    <w:rsid w:val="00C911C8"/>
    <w:rsid w:val="00C911FF"/>
    <w:rsid w:val="00C92668"/>
    <w:rsid w:val="00C931CC"/>
    <w:rsid w:val="00C9388B"/>
    <w:rsid w:val="00C9450D"/>
    <w:rsid w:val="00C94D5A"/>
    <w:rsid w:val="00C96F44"/>
    <w:rsid w:val="00CA1A23"/>
    <w:rsid w:val="00CA43E0"/>
    <w:rsid w:val="00CA588C"/>
    <w:rsid w:val="00CA6999"/>
    <w:rsid w:val="00CB0DBB"/>
    <w:rsid w:val="00CB0DFB"/>
    <w:rsid w:val="00CB1A94"/>
    <w:rsid w:val="00CB2372"/>
    <w:rsid w:val="00CB237A"/>
    <w:rsid w:val="00CB31C6"/>
    <w:rsid w:val="00CB3B25"/>
    <w:rsid w:val="00CB437B"/>
    <w:rsid w:val="00CB77CB"/>
    <w:rsid w:val="00CB7929"/>
    <w:rsid w:val="00CC020A"/>
    <w:rsid w:val="00CC1239"/>
    <w:rsid w:val="00CC2F89"/>
    <w:rsid w:val="00CC4B1C"/>
    <w:rsid w:val="00CC6D49"/>
    <w:rsid w:val="00CC6E11"/>
    <w:rsid w:val="00CC7D74"/>
    <w:rsid w:val="00CD3610"/>
    <w:rsid w:val="00CD3B41"/>
    <w:rsid w:val="00CD7EDF"/>
    <w:rsid w:val="00CE044D"/>
    <w:rsid w:val="00CE5DE5"/>
    <w:rsid w:val="00CE7C71"/>
    <w:rsid w:val="00CF1592"/>
    <w:rsid w:val="00CF28F1"/>
    <w:rsid w:val="00CF3804"/>
    <w:rsid w:val="00CF666A"/>
    <w:rsid w:val="00CF6DFA"/>
    <w:rsid w:val="00CF70E0"/>
    <w:rsid w:val="00CF724D"/>
    <w:rsid w:val="00D00FF2"/>
    <w:rsid w:val="00D01A82"/>
    <w:rsid w:val="00D04B71"/>
    <w:rsid w:val="00D064A8"/>
    <w:rsid w:val="00D1216C"/>
    <w:rsid w:val="00D239F7"/>
    <w:rsid w:val="00D35362"/>
    <w:rsid w:val="00D35DC2"/>
    <w:rsid w:val="00D37BB0"/>
    <w:rsid w:val="00D37F80"/>
    <w:rsid w:val="00D4033F"/>
    <w:rsid w:val="00D42F5F"/>
    <w:rsid w:val="00D43210"/>
    <w:rsid w:val="00D4478B"/>
    <w:rsid w:val="00D456CC"/>
    <w:rsid w:val="00D4625C"/>
    <w:rsid w:val="00D5173A"/>
    <w:rsid w:val="00D52D98"/>
    <w:rsid w:val="00D53C39"/>
    <w:rsid w:val="00D53ED9"/>
    <w:rsid w:val="00D5485F"/>
    <w:rsid w:val="00D56149"/>
    <w:rsid w:val="00D56249"/>
    <w:rsid w:val="00D566F5"/>
    <w:rsid w:val="00D570E7"/>
    <w:rsid w:val="00D646BA"/>
    <w:rsid w:val="00D6790B"/>
    <w:rsid w:val="00D715F4"/>
    <w:rsid w:val="00D735FA"/>
    <w:rsid w:val="00D741DD"/>
    <w:rsid w:val="00D802C2"/>
    <w:rsid w:val="00D82CDD"/>
    <w:rsid w:val="00D83274"/>
    <w:rsid w:val="00D840A5"/>
    <w:rsid w:val="00D847E6"/>
    <w:rsid w:val="00D87C8B"/>
    <w:rsid w:val="00D90759"/>
    <w:rsid w:val="00D919F9"/>
    <w:rsid w:val="00D9210C"/>
    <w:rsid w:val="00D921A5"/>
    <w:rsid w:val="00D92DC1"/>
    <w:rsid w:val="00DA39DB"/>
    <w:rsid w:val="00DA7BE8"/>
    <w:rsid w:val="00DB15E1"/>
    <w:rsid w:val="00DB34A9"/>
    <w:rsid w:val="00DB3860"/>
    <w:rsid w:val="00DB66A1"/>
    <w:rsid w:val="00DB6F38"/>
    <w:rsid w:val="00DC1001"/>
    <w:rsid w:val="00DC1CC9"/>
    <w:rsid w:val="00DC2318"/>
    <w:rsid w:val="00DC5A98"/>
    <w:rsid w:val="00DC5C9A"/>
    <w:rsid w:val="00DC5ED2"/>
    <w:rsid w:val="00DD309F"/>
    <w:rsid w:val="00DD4B7E"/>
    <w:rsid w:val="00DE4686"/>
    <w:rsid w:val="00DE48B4"/>
    <w:rsid w:val="00DE57B2"/>
    <w:rsid w:val="00DE5D2D"/>
    <w:rsid w:val="00DE6DA0"/>
    <w:rsid w:val="00DE7055"/>
    <w:rsid w:val="00DE778D"/>
    <w:rsid w:val="00DF0E10"/>
    <w:rsid w:val="00DF20E0"/>
    <w:rsid w:val="00DF2A01"/>
    <w:rsid w:val="00DF7971"/>
    <w:rsid w:val="00E0005A"/>
    <w:rsid w:val="00E035AB"/>
    <w:rsid w:val="00E073F1"/>
    <w:rsid w:val="00E124D5"/>
    <w:rsid w:val="00E1358C"/>
    <w:rsid w:val="00E136EF"/>
    <w:rsid w:val="00E14422"/>
    <w:rsid w:val="00E1449D"/>
    <w:rsid w:val="00E1463D"/>
    <w:rsid w:val="00E146D2"/>
    <w:rsid w:val="00E2088F"/>
    <w:rsid w:val="00E23BB3"/>
    <w:rsid w:val="00E24380"/>
    <w:rsid w:val="00E247A3"/>
    <w:rsid w:val="00E249D9"/>
    <w:rsid w:val="00E25B63"/>
    <w:rsid w:val="00E25D55"/>
    <w:rsid w:val="00E266C0"/>
    <w:rsid w:val="00E31872"/>
    <w:rsid w:val="00E342F6"/>
    <w:rsid w:val="00E34483"/>
    <w:rsid w:val="00E35AD2"/>
    <w:rsid w:val="00E36A9A"/>
    <w:rsid w:val="00E36CFB"/>
    <w:rsid w:val="00E37C4A"/>
    <w:rsid w:val="00E40681"/>
    <w:rsid w:val="00E502AE"/>
    <w:rsid w:val="00E5034B"/>
    <w:rsid w:val="00E513DC"/>
    <w:rsid w:val="00E5288B"/>
    <w:rsid w:val="00E5293B"/>
    <w:rsid w:val="00E54597"/>
    <w:rsid w:val="00E55B07"/>
    <w:rsid w:val="00E603B7"/>
    <w:rsid w:val="00E611A5"/>
    <w:rsid w:val="00E61233"/>
    <w:rsid w:val="00E616B6"/>
    <w:rsid w:val="00E65CA9"/>
    <w:rsid w:val="00E66510"/>
    <w:rsid w:val="00E665C9"/>
    <w:rsid w:val="00E6749E"/>
    <w:rsid w:val="00E73E54"/>
    <w:rsid w:val="00E75BAC"/>
    <w:rsid w:val="00E75E44"/>
    <w:rsid w:val="00E81DB2"/>
    <w:rsid w:val="00E8336A"/>
    <w:rsid w:val="00E84E6B"/>
    <w:rsid w:val="00E85E19"/>
    <w:rsid w:val="00E86CE6"/>
    <w:rsid w:val="00E86E2A"/>
    <w:rsid w:val="00E91253"/>
    <w:rsid w:val="00E92847"/>
    <w:rsid w:val="00E93742"/>
    <w:rsid w:val="00E95336"/>
    <w:rsid w:val="00E955D6"/>
    <w:rsid w:val="00E958CD"/>
    <w:rsid w:val="00EA2489"/>
    <w:rsid w:val="00EA5149"/>
    <w:rsid w:val="00EA65E2"/>
    <w:rsid w:val="00EA7CA0"/>
    <w:rsid w:val="00EB43B3"/>
    <w:rsid w:val="00EC61AB"/>
    <w:rsid w:val="00EC686C"/>
    <w:rsid w:val="00ED0F72"/>
    <w:rsid w:val="00ED17D6"/>
    <w:rsid w:val="00ED3FCE"/>
    <w:rsid w:val="00ED51F1"/>
    <w:rsid w:val="00ED56B5"/>
    <w:rsid w:val="00ED70EB"/>
    <w:rsid w:val="00ED7850"/>
    <w:rsid w:val="00ED7FAC"/>
    <w:rsid w:val="00EE21C6"/>
    <w:rsid w:val="00EE277F"/>
    <w:rsid w:val="00EE3F4D"/>
    <w:rsid w:val="00EE50C5"/>
    <w:rsid w:val="00EE59EC"/>
    <w:rsid w:val="00EE6EF4"/>
    <w:rsid w:val="00EF05C1"/>
    <w:rsid w:val="00EF06CC"/>
    <w:rsid w:val="00EF0C8A"/>
    <w:rsid w:val="00EF2CBB"/>
    <w:rsid w:val="00EF3686"/>
    <w:rsid w:val="00EF37A7"/>
    <w:rsid w:val="00EF3D77"/>
    <w:rsid w:val="00F015C8"/>
    <w:rsid w:val="00F052FE"/>
    <w:rsid w:val="00F059CA"/>
    <w:rsid w:val="00F0774C"/>
    <w:rsid w:val="00F112AE"/>
    <w:rsid w:val="00F11EC2"/>
    <w:rsid w:val="00F15483"/>
    <w:rsid w:val="00F15F0B"/>
    <w:rsid w:val="00F168A6"/>
    <w:rsid w:val="00F2007F"/>
    <w:rsid w:val="00F22F69"/>
    <w:rsid w:val="00F23B20"/>
    <w:rsid w:val="00F2519E"/>
    <w:rsid w:val="00F2548C"/>
    <w:rsid w:val="00F26419"/>
    <w:rsid w:val="00F27A8D"/>
    <w:rsid w:val="00F27BC9"/>
    <w:rsid w:val="00F27E17"/>
    <w:rsid w:val="00F30301"/>
    <w:rsid w:val="00F30BE2"/>
    <w:rsid w:val="00F30D97"/>
    <w:rsid w:val="00F32A6A"/>
    <w:rsid w:val="00F340D7"/>
    <w:rsid w:val="00F344C2"/>
    <w:rsid w:val="00F40354"/>
    <w:rsid w:val="00F41955"/>
    <w:rsid w:val="00F4463E"/>
    <w:rsid w:val="00F44BD8"/>
    <w:rsid w:val="00F45207"/>
    <w:rsid w:val="00F4789B"/>
    <w:rsid w:val="00F47E7A"/>
    <w:rsid w:val="00F5044F"/>
    <w:rsid w:val="00F506F1"/>
    <w:rsid w:val="00F50FF6"/>
    <w:rsid w:val="00F53841"/>
    <w:rsid w:val="00F53F47"/>
    <w:rsid w:val="00F5424E"/>
    <w:rsid w:val="00F6477D"/>
    <w:rsid w:val="00F64BD6"/>
    <w:rsid w:val="00F676D7"/>
    <w:rsid w:val="00F678D3"/>
    <w:rsid w:val="00F72AF6"/>
    <w:rsid w:val="00F751EE"/>
    <w:rsid w:val="00F76143"/>
    <w:rsid w:val="00F77072"/>
    <w:rsid w:val="00F77E4A"/>
    <w:rsid w:val="00F820D8"/>
    <w:rsid w:val="00F822D1"/>
    <w:rsid w:val="00F840DC"/>
    <w:rsid w:val="00F91C2B"/>
    <w:rsid w:val="00F93D4A"/>
    <w:rsid w:val="00F961C4"/>
    <w:rsid w:val="00FA2114"/>
    <w:rsid w:val="00FA5413"/>
    <w:rsid w:val="00FA7597"/>
    <w:rsid w:val="00FA7635"/>
    <w:rsid w:val="00FA7EE2"/>
    <w:rsid w:val="00FB0805"/>
    <w:rsid w:val="00FB13B8"/>
    <w:rsid w:val="00FB1A27"/>
    <w:rsid w:val="00FB1D42"/>
    <w:rsid w:val="00FC365B"/>
    <w:rsid w:val="00FC6652"/>
    <w:rsid w:val="00FC683B"/>
    <w:rsid w:val="00FD28CE"/>
    <w:rsid w:val="00FD2E7F"/>
    <w:rsid w:val="00FD3314"/>
    <w:rsid w:val="00FD58B8"/>
    <w:rsid w:val="00FE01DD"/>
    <w:rsid w:val="00FE5880"/>
    <w:rsid w:val="00FE603F"/>
    <w:rsid w:val="00FF2DE4"/>
    <w:rsid w:val="00FF3A6D"/>
    <w:rsid w:val="00FF7619"/>
    <w:rsid w:val="00FF7D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709E6B"/>
  <w15:chartTrackingRefBased/>
  <w15:docId w15:val="{98F41992-E80A-45FF-8413-078DCDEA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semiHidden/>
    <w:unhideWhenUsed/>
    <w:rsid w:val="00066D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5526640">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69817939">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9891626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193155095">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53436753">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21516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4771705">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5856421">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2860874">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0934699">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8132061">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419336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1414879">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654001">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2646060">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0863678">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2977320">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8485201">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0135493">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5353049">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5787755">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016010">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24052460">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1792012">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76959842">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3208277">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6814074">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103603015">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salud.yucatan.gob.mx/files/get/2766" TargetMode="Externa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package" Target="embeddings/Hoja_de_c_lculo_de_Microsoft_Excel10.xlsx"/><Relationship Id="rId21" Type="http://schemas.openxmlformats.org/officeDocument/2006/relationships/package" Target="embeddings/Hoja_de_c_lculo_de_Microsoft_Excel1.xlsx"/><Relationship Id="rId34" Type="http://schemas.openxmlformats.org/officeDocument/2006/relationships/image" Target="media/image9.emf"/><Relationship Id="rId42" Type="http://schemas.openxmlformats.org/officeDocument/2006/relationships/image" Target="media/image13.e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lud.yucatan.gob.mx/files/get/1618" TargetMode="External"/><Relationship Id="rId29" Type="http://schemas.openxmlformats.org/officeDocument/2006/relationships/package" Target="embeddings/Hoja_de_c_lculo_de_Microsoft_Excel5.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ejeria.yucatan.gob.mx/documentos/Codigo_de_la_Administracion_Publica.pdf" TargetMode="Externa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Hoja_de_c_lculo_de_Microsoft_Excel9.xlsx"/><Relationship Id="rId40" Type="http://schemas.openxmlformats.org/officeDocument/2006/relationships/image" Target="media/image12.e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alud.yucatan.gob.mx/files/get/1614" TargetMode="External"/><Relationship Id="rId23" Type="http://schemas.openxmlformats.org/officeDocument/2006/relationships/package" Target="embeddings/Hoja_de_c_lculo_de_Microsoft_Excel2.xlsx"/><Relationship Id="rId28" Type="http://schemas.openxmlformats.org/officeDocument/2006/relationships/image" Target="media/image6.emf"/><Relationship Id="rId36" Type="http://schemas.openxmlformats.org/officeDocument/2006/relationships/image" Target="media/image10.emf"/><Relationship Id="rId10" Type="http://schemas.openxmlformats.org/officeDocument/2006/relationships/hyperlink" Target="http://www.diputados.gob.mx/LeyesBiblio/pdf_mov/Ley_General_de_Salud.pdf" TargetMode="External"/><Relationship Id="rId19" Type="http://schemas.openxmlformats.org/officeDocument/2006/relationships/package" Target="embeddings/Hoja_de_c_lculo_de_Microsoft_Excel.xlsx"/><Relationship Id="rId31" Type="http://schemas.openxmlformats.org/officeDocument/2006/relationships/package" Target="embeddings/Hoja_de_c_lculo_de_Microsoft_Excel6.xlsx"/><Relationship Id="rId44"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hyperlink" Target="https://www.poderjudicialyucatan.gob.mx/digestum/marcoLegal/01/2012/DIGESTUM01001.pdf" TargetMode="External"/><Relationship Id="rId14" Type="http://schemas.openxmlformats.org/officeDocument/2006/relationships/hyperlink" Target="https://salud.yucatan.gob.mx/files/get/1615" TargetMode="External"/><Relationship Id="rId22" Type="http://schemas.openxmlformats.org/officeDocument/2006/relationships/image" Target="media/image3.emf"/><Relationship Id="rId27" Type="http://schemas.openxmlformats.org/officeDocument/2006/relationships/package" Target="embeddings/Hoja_de_c_lculo_de_Microsoft_Excel4.xlsx"/><Relationship Id="rId30" Type="http://schemas.openxmlformats.org/officeDocument/2006/relationships/image" Target="media/image7.emf"/><Relationship Id="rId35" Type="http://schemas.openxmlformats.org/officeDocument/2006/relationships/package" Target="embeddings/Hoja_de_c_lculo_de_Microsoft_Excel8.xlsx"/><Relationship Id="rId43" Type="http://schemas.openxmlformats.org/officeDocument/2006/relationships/package" Target="embeddings/Hoja_de_c_lculo_de_Microsoft_Excel12.xlsx"/><Relationship Id="rId8" Type="http://schemas.openxmlformats.org/officeDocument/2006/relationships/hyperlink" Target="http://www.diputados.gob.mx/LeyesBiblio/pdf_mov/Constitucion_Politica.pdf" TargetMode="External"/><Relationship Id="rId3" Type="http://schemas.openxmlformats.org/officeDocument/2006/relationships/styles" Target="styles.xml"/><Relationship Id="rId12" Type="http://schemas.openxmlformats.org/officeDocument/2006/relationships/hyperlink" Target="https://salud.yucatan.gob.mx/files/get/1617" TargetMode="External"/><Relationship Id="rId17" Type="http://schemas.openxmlformats.org/officeDocument/2006/relationships/hyperlink" Target="https://salud.yucatan.gob.mx/files/get/2760" TargetMode="External"/><Relationship Id="rId25" Type="http://schemas.openxmlformats.org/officeDocument/2006/relationships/package" Target="embeddings/Hoja_de_c_lculo_de_Microsoft_Excel3.xlsx"/><Relationship Id="rId33" Type="http://schemas.openxmlformats.org/officeDocument/2006/relationships/package" Target="embeddings/Hoja_de_c_lculo_de_Microsoft_Excel7.xlsx"/><Relationship Id="rId38" Type="http://schemas.openxmlformats.org/officeDocument/2006/relationships/image" Target="media/image11.emf"/><Relationship Id="rId46" Type="http://schemas.openxmlformats.org/officeDocument/2006/relationships/fontTable" Target="fontTable.xml"/><Relationship Id="rId20" Type="http://schemas.openxmlformats.org/officeDocument/2006/relationships/image" Target="media/image2.emf"/><Relationship Id="rId41" Type="http://schemas.openxmlformats.org/officeDocument/2006/relationships/package" Target="embeddings/Hoja_de_c_lculo_de_Microsoft_Excel11.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6B6BA-A51B-4F72-A7B9-D58B3E5A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2075</Words>
  <Characters>11415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13464</CharactersWithSpaces>
  <SharedDoc>false</SharedDoc>
  <HLinks>
    <vt:vector size="60" baseType="variant">
      <vt:variant>
        <vt:i4>2555938</vt:i4>
      </vt:variant>
      <vt:variant>
        <vt:i4>27</vt:i4>
      </vt:variant>
      <vt:variant>
        <vt:i4>0</vt:i4>
      </vt:variant>
      <vt:variant>
        <vt:i4>5</vt:i4>
      </vt:variant>
      <vt:variant>
        <vt:lpwstr>https://salud.yucatan.gob.mx/files/get/2760</vt:lpwstr>
      </vt:variant>
      <vt:variant>
        <vt:lpwstr/>
      </vt:variant>
      <vt:variant>
        <vt:i4>2293795</vt:i4>
      </vt:variant>
      <vt:variant>
        <vt:i4>24</vt:i4>
      </vt:variant>
      <vt:variant>
        <vt:i4>0</vt:i4>
      </vt:variant>
      <vt:variant>
        <vt:i4>5</vt:i4>
      </vt:variant>
      <vt:variant>
        <vt:lpwstr>https://salud.yucatan.gob.mx/files/get/1618</vt:lpwstr>
      </vt:variant>
      <vt:variant>
        <vt:lpwstr/>
      </vt:variant>
      <vt:variant>
        <vt:i4>2293795</vt:i4>
      </vt:variant>
      <vt:variant>
        <vt:i4>21</vt:i4>
      </vt:variant>
      <vt:variant>
        <vt:i4>0</vt:i4>
      </vt:variant>
      <vt:variant>
        <vt:i4>5</vt:i4>
      </vt:variant>
      <vt:variant>
        <vt:lpwstr>https://salud.yucatan.gob.mx/files/get/1614</vt:lpwstr>
      </vt:variant>
      <vt:variant>
        <vt:lpwstr/>
      </vt:variant>
      <vt:variant>
        <vt:i4>2293795</vt:i4>
      </vt:variant>
      <vt:variant>
        <vt:i4>18</vt:i4>
      </vt:variant>
      <vt:variant>
        <vt:i4>0</vt:i4>
      </vt:variant>
      <vt:variant>
        <vt:i4>5</vt:i4>
      </vt:variant>
      <vt:variant>
        <vt:lpwstr>https://salud.yucatan.gob.mx/files/get/1615</vt:lpwstr>
      </vt:variant>
      <vt:variant>
        <vt:lpwstr/>
      </vt:variant>
      <vt:variant>
        <vt:i4>2555938</vt:i4>
      </vt:variant>
      <vt:variant>
        <vt:i4>15</vt:i4>
      </vt:variant>
      <vt:variant>
        <vt:i4>0</vt:i4>
      </vt:variant>
      <vt:variant>
        <vt:i4>5</vt:i4>
      </vt:variant>
      <vt:variant>
        <vt:lpwstr>https://salud.yucatan.gob.mx/files/get/2766</vt:lpwstr>
      </vt:variant>
      <vt:variant>
        <vt:lpwstr/>
      </vt:variant>
      <vt:variant>
        <vt:i4>2293795</vt:i4>
      </vt:variant>
      <vt:variant>
        <vt:i4>12</vt:i4>
      </vt:variant>
      <vt:variant>
        <vt:i4>0</vt:i4>
      </vt:variant>
      <vt:variant>
        <vt:i4>5</vt:i4>
      </vt:variant>
      <vt:variant>
        <vt:lpwstr>https://salud.yucatan.gob.mx/files/get/1617</vt:lpwstr>
      </vt:variant>
      <vt:variant>
        <vt:lpwstr/>
      </vt:variant>
      <vt:variant>
        <vt:i4>7602303</vt:i4>
      </vt:variant>
      <vt:variant>
        <vt:i4>9</vt:i4>
      </vt:variant>
      <vt:variant>
        <vt:i4>0</vt:i4>
      </vt:variant>
      <vt:variant>
        <vt:i4>5</vt:i4>
      </vt:variant>
      <vt:variant>
        <vt:lpwstr>http://www.consejeria.yucatan.gob.mx/documentos/Codigo_de_la_Administracion_Publica.pdf</vt:lpwstr>
      </vt:variant>
      <vt:variant>
        <vt:lpwstr/>
      </vt:variant>
      <vt:variant>
        <vt:i4>2752563</vt:i4>
      </vt:variant>
      <vt:variant>
        <vt:i4>6</vt:i4>
      </vt:variant>
      <vt:variant>
        <vt:i4>0</vt:i4>
      </vt:variant>
      <vt:variant>
        <vt:i4>5</vt:i4>
      </vt:variant>
      <vt:variant>
        <vt:lpwstr>http://www.diputados.gob.mx/LeyesBiblio/pdf_mov/Ley_General_de_Salud.pdf</vt:lpwstr>
      </vt:variant>
      <vt:variant>
        <vt:lpwstr/>
      </vt:variant>
      <vt:variant>
        <vt:i4>262219</vt:i4>
      </vt:variant>
      <vt:variant>
        <vt:i4>3</vt:i4>
      </vt:variant>
      <vt:variant>
        <vt:i4>0</vt:i4>
      </vt:variant>
      <vt:variant>
        <vt:i4>5</vt:i4>
      </vt:variant>
      <vt:variant>
        <vt:lpwstr>https://www.poderjudicialyucatan.gob.mx/digestum/marcoLegal/01/2012/DIGESTUM01001.pdf</vt:lpwstr>
      </vt:variant>
      <vt:variant>
        <vt:lpwstr/>
      </vt:variant>
      <vt:variant>
        <vt:i4>6291572</vt:i4>
      </vt:variant>
      <vt:variant>
        <vt:i4>0</vt:i4>
      </vt:variant>
      <vt:variant>
        <vt:i4>0</vt:i4>
      </vt:variant>
      <vt:variant>
        <vt:i4>5</vt:i4>
      </vt:variant>
      <vt:variant>
        <vt:lpwstr>http://www.diputados.gob.mx/LeyesBiblio/pdf_mov/Constitucion_Politica.pdf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liliana.medina</dc:creator>
  <cp:keywords/>
  <cp:lastModifiedBy>Eduar Raul Chi Santana</cp:lastModifiedBy>
  <cp:revision>4</cp:revision>
  <cp:lastPrinted>2024-04-19T20:36:00Z</cp:lastPrinted>
  <dcterms:created xsi:type="dcterms:W3CDTF">2024-04-29T19:58:00Z</dcterms:created>
  <dcterms:modified xsi:type="dcterms:W3CDTF">2024-04-29T20:00:00Z</dcterms:modified>
</cp:coreProperties>
</file>