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45" w:rsidRPr="00607A45" w:rsidRDefault="00607A45" w:rsidP="00607A45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 w:rsidRPr="00607A45">
        <w:rPr>
          <w:rFonts w:ascii="Barlow" w:hAnsi="Barlow" w:cs="Calibri"/>
          <w:b/>
          <w:sz w:val="20"/>
          <w:szCs w:val="20"/>
        </w:rPr>
        <w:t>Indicadores de Resultados</w:t>
      </w:r>
    </w:p>
    <w:p w:rsidR="00607A45" w:rsidRPr="00607A45" w:rsidRDefault="00607A45" w:rsidP="00607A45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 w:rsidRPr="00607A45">
        <w:rPr>
          <w:rFonts w:ascii="Barlow" w:hAnsi="Barlow" w:cs="Calibri"/>
          <w:b/>
          <w:sz w:val="20"/>
          <w:szCs w:val="20"/>
        </w:rPr>
        <w:t xml:space="preserve">Al 31 de </w:t>
      </w:r>
      <w:r>
        <w:rPr>
          <w:rFonts w:ascii="Barlow" w:hAnsi="Barlow" w:cs="Arial"/>
          <w:b/>
          <w:sz w:val="20"/>
          <w:szCs w:val="20"/>
        </w:rPr>
        <w:t>marzo</w:t>
      </w:r>
      <w:r>
        <w:rPr>
          <w:rFonts w:ascii="Barlow" w:hAnsi="Barlow" w:cs="Calibri"/>
          <w:b/>
          <w:sz w:val="20"/>
          <w:szCs w:val="20"/>
        </w:rPr>
        <w:t xml:space="preserve"> de 2023</w:t>
      </w:r>
    </w:p>
    <w:p w:rsidR="00607A45" w:rsidRPr="00607A45" w:rsidRDefault="00607A45" w:rsidP="00607A45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 w:rsidRPr="00607A45">
        <w:rPr>
          <w:rFonts w:ascii="Barlow" w:hAnsi="Barlow" w:cs="Calibri"/>
          <w:b/>
          <w:sz w:val="20"/>
          <w:szCs w:val="20"/>
        </w:rPr>
        <w:t>(Cifras en Pesos)</w:t>
      </w:r>
    </w:p>
    <w:p w:rsidR="00607A45" w:rsidRPr="00607A45" w:rsidRDefault="00607A45" w:rsidP="00607A45">
      <w:pPr>
        <w:rPr>
          <w:rFonts w:ascii="Barlow" w:hAnsi="Barlow" w:cs="Calibri"/>
          <w:b/>
          <w:sz w:val="20"/>
          <w:szCs w:val="20"/>
        </w:rPr>
      </w:pPr>
    </w:p>
    <w:p w:rsidR="00607A45" w:rsidRPr="00607A45" w:rsidRDefault="00607A45" w:rsidP="00607A45">
      <w:pPr>
        <w:rPr>
          <w:rFonts w:ascii="Barlow" w:hAnsi="Barlow" w:cs="Calibri"/>
          <w:b/>
          <w:sz w:val="20"/>
          <w:szCs w:val="20"/>
        </w:rPr>
      </w:pPr>
      <w:r w:rsidRPr="00607A45">
        <w:rPr>
          <w:rFonts w:ascii="Barlow" w:hAnsi="Barlow" w:cs="Calibri"/>
          <w:b/>
          <w:sz w:val="20"/>
          <w:szCs w:val="20"/>
        </w:rPr>
        <w:t xml:space="preserve">Ente Público:  </w:t>
      </w:r>
      <w:r w:rsidRPr="00607A45">
        <w:rPr>
          <w:rFonts w:ascii="Barlow" w:hAnsi="Barlow" w:cs="Arial"/>
          <w:b/>
          <w:sz w:val="20"/>
          <w:szCs w:val="20"/>
        </w:rPr>
        <w:t>INSTITUTO YUCATECO DE EMPRENDEDORES</w:t>
      </w:r>
    </w:p>
    <w:p w:rsidR="00E00574" w:rsidRPr="00607A45" w:rsidRDefault="00E00574" w:rsidP="00E00574">
      <w:pPr>
        <w:spacing w:after="0"/>
        <w:jc w:val="both"/>
        <w:rPr>
          <w:rFonts w:ascii="Barlow" w:hAnsi="Barlow" w:cs="Calibri"/>
          <w:sz w:val="20"/>
          <w:szCs w:val="20"/>
        </w:rPr>
      </w:pPr>
      <w:r w:rsidRPr="00607A45">
        <w:rPr>
          <w:rFonts w:ascii="Barlow" w:hAnsi="Barlow" w:cs="Calibri"/>
          <w:sz w:val="20"/>
          <w:szCs w:val="20"/>
        </w:rPr>
        <w:t xml:space="preserve">Mediante DECRETO NUMERO 229 publicado el 17 de noviembre de 1999 y modificado por el DECRETO NUMERO 103 publicado el 26 de </w:t>
      </w:r>
      <w:r w:rsidR="00917390" w:rsidRPr="00607A45">
        <w:rPr>
          <w:rFonts w:ascii="Barlow" w:hAnsi="Barlow" w:cs="Calibri"/>
          <w:sz w:val="20"/>
          <w:szCs w:val="20"/>
        </w:rPr>
        <w:t>a</w:t>
      </w:r>
      <w:r w:rsidRPr="00607A45">
        <w:rPr>
          <w:rFonts w:ascii="Barlow" w:hAnsi="Barlow" w:cs="Calibri"/>
          <w:sz w:val="20"/>
          <w:szCs w:val="20"/>
        </w:rPr>
        <w:t>gosto de 2013 ambos en el Diario Oficial del Estado, se crea el Instituto Yucateco de Emprendedores (IYEM), Organismo Público Descentralizado del Gobierno del Estado de Yucatán sectorizado a la Secretaría de Fomento Económico y del Trabajo.</w:t>
      </w:r>
    </w:p>
    <w:p w:rsidR="00E00574" w:rsidRPr="00607A45" w:rsidRDefault="00E00574" w:rsidP="00E00574">
      <w:pPr>
        <w:spacing w:after="0"/>
        <w:jc w:val="both"/>
        <w:rPr>
          <w:rFonts w:ascii="Barlow" w:hAnsi="Barlow" w:cs="Calibri"/>
          <w:sz w:val="20"/>
          <w:szCs w:val="20"/>
        </w:rPr>
      </w:pPr>
    </w:p>
    <w:p w:rsidR="00E00574" w:rsidRPr="00607A45" w:rsidRDefault="00E00574" w:rsidP="00E00574">
      <w:pPr>
        <w:spacing w:after="0"/>
        <w:jc w:val="both"/>
        <w:rPr>
          <w:rFonts w:ascii="Barlow" w:hAnsi="Barlow" w:cs="Calibri"/>
          <w:sz w:val="20"/>
          <w:szCs w:val="20"/>
        </w:rPr>
      </w:pPr>
      <w:r w:rsidRPr="00607A45">
        <w:rPr>
          <w:rFonts w:ascii="Barlow" w:hAnsi="Barlow" w:cs="Calibri"/>
          <w:sz w:val="20"/>
          <w:szCs w:val="20"/>
        </w:rPr>
        <w:t>El Instituto Yucateco de Emprendedores tiene por objeto desarrollar, proponer y ejecutar políticas públicas de apoyo al desarroll</w:t>
      </w:r>
      <w:r w:rsidR="00281A04" w:rsidRPr="00607A45">
        <w:rPr>
          <w:rFonts w:ascii="Barlow" w:hAnsi="Barlow" w:cs="Calibri"/>
          <w:sz w:val="20"/>
          <w:szCs w:val="20"/>
        </w:rPr>
        <w:t xml:space="preserve">o de los emprendedores y de las </w:t>
      </w:r>
      <w:r w:rsidRPr="00607A45">
        <w:rPr>
          <w:rFonts w:ascii="Barlow" w:hAnsi="Barlow" w:cs="Calibri"/>
          <w:sz w:val="20"/>
          <w:szCs w:val="20"/>
        </w:rPr>
        <w:t>micro, pequeñas y medianas empresas, e impulso a la innovación y calidad de las mismas, para elevar su competitividad y propiciar su crecimiento económico, así como el del estado.</w:t>
      </w:r>
      <w:bookmarkStart w:id="0" w:name="_GoBack"/>
      <w:bookmarkEnd w:id="0"/>
    </w:p>
    <w:p w:rsidR="00E00574" w:rsidRPr="00607A45" w:rsidRDefault="00E00574" w:rsidP="00E00574">
      <w:pPr>
        <w:spacing w:after="0"/>
        <w:jc w:val="both"/>
        <w:rPr>
          <w:rFonts w:ascii="Barlow" w:hAnsi="Barlow" w:cs="Calibri"/>
          <w:sz w:val="20"/>
          <w:szCs w:val="20"/>
        </w:rPr>
      </w:pPr>
    </w:p>
    <w:p w:rsidR="00E00574" w:rsidRPr="00607A45" w:rsidRDefault="00E00574" w:rsidP="00E00574">
      <w:pPr>
        <w:spacing w:line="240" w:lineRule="auto"/>
        <w:rPr>
          <w:rFonts w:ascii="Barlow" w:hAnsi="Barlow" w:cs="Calibri"/>
          <w:sz w:val="20"/>
          <w:szCs w:val="20"/>
        </w:rPr>
      </w:pPr>
      <w:r w:rsidRPr="00607A45">
        <w:rPr>
          <w:rFonts w:ascii="Barlow" w:hAnsi="Barlow" w:cs="Calibri"/>
          <w:sz w:val="20"/>
          <w:szCs w:val="20"/>
        </w:rPr>
        <w:t>En cumplimiento a lo dispuesto en los artículos 46, fracción III, inciso b y 52 de la Ley General de Contabilidad Gubernamental, en relación a PUBLICAR LOS INDICADORES DE RESULTADOS, se señala:</w:t>
      </w: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"/>
        <w:gridCol w:w="1189"/>
        <w:gridCol w:w="3563"/>
        <w:gridCol w:w="2781"/>
        <w:gridCol w:w="949"/>
        <w:gridCol w:w="666"/>
        <w:gridCol w:w="377"/>
        <w:gridCol w:w="425"/>
        <w:gridCol w:w="442"/>
        <w:gridCol w:w="1012"/>
        <w:gridCol w:w="993"/>
      </w:tblGrid>
      <w:tr w:rsidR="008B0DF2" w:rsidRPr="00607A45" w:rsidTr="008B0DF2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Indicador  #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Objetivo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Fórmula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Período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F5EF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MX"/>
              </w:rPr>
              <w:t>I-t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F5EF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MX"/>
              </w:rPr>
              <w:t>II-t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F5EF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MX"/>
              </w:rPr>
              <w:t>III-t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F5EF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MX"/>
              </w:rPr>
              <w:t>IV-t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F5EF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MX"/>
              </w:rPr>
              <w:t>Metas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F5EF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MX"/>
              </w:rPr>
              <w:t>Resultado Anual</w:t>
            </w:r>
          </w:p>
        </w:tc>
      </w:tr>
      <w:tr w:rsidR="008B0DF2" w:rsidRPr="00607A45" w:rsidTr="008B0DF2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20495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Fin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Se contribuye a aumentar la independencia económica de la población del estado de Yucatán mediante el desarrollo de proyectos productivos con enfoque de inclusión.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Crecimiento promedio de trabajadores independientes en el Estado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Anual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Revisa según agenda 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B0DF2" w:rsidRPr="00607A45" w:rsidTr="008B0DF2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20515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Propósito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La población emprendedora y empresarial se desenvuelven en un contexto favorable para el desarrollo de proyectos productivos con enfoque de inclusión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Índice de crecimiento de la población empleadora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Anual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1.09</w:t>
            </w:r>
          </w:p>
        </w:tc>
      </w:tr>
      <w:tr w:rsidR="008B0DF2" w:rsidRPr="00607A45" w:rsidTr="008B0DF2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20526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Componente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Capacitaciones impartidas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Variación porcentual de la población emprendedora y empresarial capacitada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Trimestral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60.72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35.00</w:t>
            </w:r>
          </w:p>
        </w:tc>
      </w:tr>
      <w:tr w:rsidR="008B0DF2" w:rsidRPr="00607A45" w:rsidTr="008B0DF2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Actividad 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Elaboración de un diagnóstico de necesidades de capacitación de la población emprendedora y  empresarial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Porcentaje de necesidades de capacitación atendidas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Semestral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100</w:t>
            </w:r>
          </w:p>
        </w:tc>
      </w:tr>
      <w:tr w:rsidR="008B0DF2" w:rsidRPr="00607A45" w:rsidTr="008B0DF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20533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Actividad 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Integración de perfil de especialistas según áreas empresariales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 xml:space="preserve">Razón de especialistas por área de conocimiento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Semestral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6.67</w:t>
            </w:r>
          </w:p>
        </w:tc>
      </w:tr>
      <w:tr w:rsidR="008B0DF2" w:rsidRPr="00607A45" w:rsidTr="008B0DF2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  <w:t>20535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  <w:t xml:space="preserve">Actividad 1.3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  <w:t>Emisión de certificaciones para la población emprendedora y  empresarial capacitada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  <w:t xml:space="preserve">Porcentaje de población </w:t>
            </w:r>
            <w:proofErr w:type="spellStart"/>
            <w:r w:rsidRPr="00607A45"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  <w:t>emprededora</w:t>
            </w:r>
            <w:proofErr w:type="spellEnd"/>
            <w:r w:rsidRPr="00607A45"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  <w:t xml:space="preserve"> y empresarial certificada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  <w:t>Trimestral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 </w:t>
            </w:r>
          </w:p>
        </w:tc>
      </w:tr>
      <w:tr w:rsidR="008B0DF2" w:rsidRPr="00607A45" w:rsidTr="008B0DF2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20539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Componente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Consultorías otorgadas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Porcentaje de población emprendedora y empresarial que concluyen su proceso de consultoría en el tiempo estipulado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Anual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89.09</w:t>
            </w:r>
          </w:p>
        </w:tc>
      </w:tr>
      <w:tr w:rsidR="008B0DF2" w:rsidRPr="00607A45" w:rsidTr="008B0DF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20544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Actividad 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Integración de perfil de especialistas según áreas empresariales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 xml:space="preserve">Razón de especialistas por área de conocimiento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Semestral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6.67</w:t>
            </w:r>
          </w:p>
        </w:tc>
      </w:tr>
      <w:tr w:rsidR="008B0DF2" w:rsidRPr="00607A45" w:rsidTr="008B0DF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20548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Actividad 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Seguimiento de avance del proceso de intervención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 xml:space="preserve">Porcentaje de avance del plan de trabajo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Trimestral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90.48</w:t>
            </w:r>
          </w:p>
        </w:tc>
      </w:tr>
      <w:tr w:rsidR="008B0DF2" w:rsidRPr="00607A45" w:rsidTr="008B0DF2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20553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Componente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Apoyos económicos otorgados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Porcentaje de población emprendedora y empresarial que recibieron apoyos económicos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Trimestral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 </w:t>
            </w:r>
          </w:p>
        </w:tc>
      </w:tr>
      <w:tr w:rsidR="008B0DF2" w:rsidRPr="00607A45" w:rsidTr="008B0DF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22235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Componente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Apoyos económicos otorgados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Porcentaje de apoyos económicos entregados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Anual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 </w:t>
            </w:r>
          </w:p>
        </w:tc>
      </w:tr>
      <w:tr w:rsidR="008B0DF2" w:rsidRPr="00607A45" w:rsidTr="008B0DF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20558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Actividad 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Publicación de la convocatoria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Porcentaje de convocatorias emitidas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Trimestral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 </w:t>
            </w:r>
          </w:p>
        </w:tc>
      </w:tr>
      <w:tr w:rsidR="008B0DF2" w:rsidRPr="00607A45" w:rsidTr="008B0DF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20562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Actividad 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Evaluación de las solicitudes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Tiempo promedio de respuesta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Trimestral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 </w:t>
            </w:r>
          </w:p>
        </w:tc>
      </w:tr>
      <w:tr w:rsidR="008B0DF2" w:rsidRPr="00607A45" w:rsidTr="008B0DF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20567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Componente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Apoyos en especie otorgados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Porcentaje de población emprendedora y empresarial que recibieron apoyos en especie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Trimestral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85.03</w:t>
            </w:r>
          </w:p>
        </w:tc>
      </w:tr>
      <w:tr w:rsidR="008B0DF2" w:rsidRPr="00607A45" w:rsidTr="008B0DF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22236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Componente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Apoyos en especie otorgados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Porcentaje de apoyos en especie entregados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Anual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85.03</w:t>
            </w:r>
          </w:p>
        </w:tc>
      </w:tr>
      <w:tr w:rsidR="008B0DF2" w:rsidRPr="00607A45" w:rsidTr="008B0DF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20570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Actividad 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Publicación de la convocatoria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Porcentaje de convocatorias emitidas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Trimestral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100</w:t>
            </w:r>
          </w:p>
        </w:tc>
      </w:tr>
      <w:tr w:rsidR="008B0DF2" w:rsidRPr="00607A45" w:rsidTr="008B0DF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20574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Actividad 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Evaluación de las solicitudes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Tiempo promedio de respuesta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Trimestral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10</w:t>
            </w:r>
          </w:p>
        </w:tc>
      </w:tr>
      <w:tr w:rsidR="008B0DF2" w:rsidRPr="00607A45" w:rsidTr="008B0DF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20577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Componente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Créditos otorgados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Porcentaje de población emprendedora y empresarial que recibieron créditos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Trimestral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54.545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80.35</w:t>
            </w:r>
          </w:p>
        </w:tc>
      </w:tr>
      <w:tr w:rsidR="008B0DF2" w:rsidRPr="00607A45" w:rsidTr="008B0DF2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22237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Componente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Créditos otorgados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Porcentaje de créditos otorgados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Anual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80.35</w:t>
            </w:r>
          </w:p>
        </w:tc>
      </w:tr>
      <w:tr w:rsidR="008B0DF2" w:rsidRPr="00607A45" w:rsidTr="008B0DF2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  <w:t>20578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  <w:t>Actividad 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  <w:t>Elaboración de estudios socioeconómicos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  <w:t>Porcentaje de la población que recibe un crédito en situación de pobreza por ingresos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  <w:t>Trimestral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FF7C8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 </w:t>
            </w:r>
          </w:p>
        </w:tc>
      </w:tr>
      <w:tr w:rsidR="008B0DF2" w:rsidRPr="00607A45" w:rsidTr="008B0DF2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20579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Actividad 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Evaluación de solicitudes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Tiempo promedio de respuesta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Trimestral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12</w:t>
            </w:r>
          </w:p>
        </w:tc>
      </w:tr>
      <w:tr w:rsidR="008B0DF2" w:rsidRPr="00607A45" w:rsidTr="008B0DF2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20580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Actividad 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Elaboración de análisis del comportamiento de la cartera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Porcentaje de cartera vencida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Trimestral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34.06</w:t>
            </w:r>
          </w:p>
        </w:tc>
      </w:tr>
      <w:tr w:rsidR="008B0DF2" w:rsidRPr="00607A45" w:rsidTr="008B0DF2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20581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Componente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Eventos de cultura emprendedora realizados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Promedio de municipios por región con eventos realizados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Trimestral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2.14</w:t>
            </w:r>
          </w:p>
        </w:tc>
      </w:tr>
      <w:tr w:rsidR="008B0DF2" w:rsidRPr="00607A45" w:rsidTr="008B0DF2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20582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Actividad 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Identificación de agentes claves para el desarrollo del evento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Porcentaje de participación de organizaciones empresariales y de emprendimiento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Trimestral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68.75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9.38</w:t>
            </w:r>
          </w:p>
        </w:tc>
      </w:tr>
      <w:tr w:rsidR="008B0DF2" w:rsidRPr="00607A45" w:rsidTr="008B0D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20583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Actividad 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Publicación de la convocatoria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Porcentaje de convocatorias emitidas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Trimestral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100</w:t>
            </w:r>
          </w:p>
        </w:tc>
      </w:tr>
      <w:tr w:rsidR="008B0DF2" w:rsidRPr="00607A45" w:rsidTr="008B0DF2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20584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Componente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Espacios físicos operando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Porcentaje de ocupación de capacidad instalada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Trimestral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34.091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92.94</w:t>
            </w:r>
          </w:p>
        </w:tc>
      </w:tr>
      <w:tr w:rsidR="008B0DF2" w:rsidRPr="00607A45" w:rsidTr="008B0DF2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20585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Actividad 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Elaboración del manual de operación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Porcentaje de manuales de operación elaborados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Semestral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100</w:t>
            </w:r>
          </w:p>
        </w:tc>
      </w:tr>
      <w:tr w:rsidR="008B0DF2" w:rsidRPr="00607A45" w:rsidTr="008B0DF2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20586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Actividad 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Implementación de las actividades programadas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Porcentaje de actividades realizadas en los centros estatales de emprendedores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Trimestral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72.317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F2" w:rsidRPr="00607A45" w:rsidRDefault="008B0DF2" w:rsidP="008B0DF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F2" w:rsidRPr="00607A45" w:rsidRDefault="008B0DF2" w:rsidP="008B0DF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607A45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100</w:t>
            </w:r>
          </w:p>
        </w:tc>
      </w:tr>
    </w:tbl>
    <w:p w:rsidR="00941CE1" w:rsidRPr="00607A45" w:rsidRDefault="00941CE1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CB17DD" w:rsidRPr="00607A45" w:rsidRDefault="00607A45" w:rsidP="00CB17DD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07A45">
        <w:rPr>
          <w:rFonts w:ascii="Barlow" w:hAnsi="Barlow" w:cs="Calibri"/>
          <w:sz w:val="20"/>
          <w:szCs w:val="20"/>
        </w:rPr>
        <w:t>Bajo protesta de decir verdad declaramos que los Estados Financieros y sus Notas son razonablemente correctos y son responsabilidad del emisor.</w:t>
      </w:r>
    </w:p>
    <w:sectPr w:rsidR="00CB17DD" w:rsidRPr="00607A45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2278D"/>
    <w:rsid w:val="00022847"/>
    <w:rsid w:val="00055C57"/>
    <w:rsid w:val="00064363"/>
    <w:rsid w:val="000A2800"/>
    <w:rsid w:val="000B074C"/>
    <w:rsid w:val="000B58EC"/>
    <w:rsid w:val="000D1DA2"/>
    <w:rsid w:val="000E1882"/>
    <w:rsid w:val="000E5EF9"/>
    <w:rsid w:val="0012436A"/>
    <w:rsid w:val="00173A9C"/>
    <w:rsid w:val="00177B93"/>
    <w:rsid w:val="00195D7D"/>
    <w:rsid w:val="001F54C8"/>
    <w:rsid w:val="00230FF4"/>
    <w:rsid w:val="00234CAD"/>
    <w:rsid w:val="00243460"/>
    <w:rsid w:val="00247AB0"/>
    <w:rsid w:val="00250458"/>
    <w:rsid w:val="002646F2"/>
    <w:rsid w:val="00271A91"/>
    <w:rsid w:val="00281A04"/>
    <w:rsid w:val="0029550A"/>
    <w:rsid w:val="002A7D12"/>
    <w:rsid w:val="002B0C2A"/>
    <w:rsid w:val="002C0FEA"/>
    <w:rsid w:val="002E0375"/>
    <w:rsid w:val="003035A4"/>
    <w:rsid w:val="003129FF"/>
    <w:rsid w:val="00350056"/>
    <w:rsid w:val="003813F2"/>
    <w:rsid w:val="00390578"/>
    <w:rsid w:val="003A3D99"/>
    <w:rsid w:val="003B431F"/>
    <w:rsid w:val="003E5ED6"/>
    <w:rsid w:val="00442E26"/>
    <w:rsid w:val="00450D5B"/>
    <w:rsid w:val="00457893"/>
    <w:rsid w:val="00462E33"/>
    <w:rsid w:val="00474270"/>
    <w:rsid w:val="004B7A4D"/>
    <w:rsid w:val="004C196A"/>
    <w:rsid w:val="004C3C49"/>
    <w:rsid w:val="00505A42"/>
    <w:rsid w:val="005801D3"/>
    <w:rsid w:val="00586416"/>
    <w:rsid w:val="00586B49"/>
    <w:rsid w:val="005B5E14"/>
    <w:rsid w:val="00607A45"/>
    <w:rsid w:val="00626997"/>
    <w:rsid w:val="00660BEA"/>
    <w:rsid w:val="00662836"/>
    <w:rsid w:val="006B053B"/>
    <w:rsid w:val="006D4469"/>
    <w:rsid w:val="006F3019"/>
    <w:rsid w:val="007107B9"/>
    <w:rsid w:val="00717F45"/>
    <w:rsid w:val="007C4B25"/>
    <w:rsid w:val="007D4865"/>
    <w:rsid w:val="00840872"/>
    <w:rsid w:val="00843325"/>
    <w:rsid w:val="00851923"/>
    <w:rsid w:val="008570A8"/>
    <w:rsid w:val="008624D6"/>
    <w:rsid w:val="0087383A"/>
    <w:rsid w:val="008B0DF2"/>
    <w:rsid w:val="008C4502"/>
    <w:rsid w:val="00917390"/>
    <w:rsid w:val="00923E4E"/>
    <w:rsid w:val="00941CE1"/>
    <w:rsid w:val="0094360D"/>
    <w:rsid w:val="009472B6"/>
    <w:rsid w:val="0098354B"/>
    <w:rsid w:val="009A5040"/>
    <w:rsid w:val="009A6128"/>
    <w:rsid w:val="009E3F86"/>
    <w:rsid w:val="009F0748"/>
    <w:rsid w:val="00A0509E"/>
    <w:rsid w:val="00A83E7F"/>
    <w:rsid w:val="00AC3081"/>
    <w:rsid w:val="00AE52C1"/>
    <w:rsid w:val="00AE55B9"/>
    <w:rsid w:val="00AF704B"/>
    <w:rsid w:val="00B10468"/>
    <w:rsid w:val="00B21F32"/>
    <w:rsid w:val="00B509BB"/>
    <w:rsid w:val="00B52C0C"/>
    <w:rsid w:val="00B879EE"/>
    <w:rsid w:val="00B90AF2"/>
    <w:rsid w:val="00BE6E7E"/>
    <w:rsid w:val="00BF6CAF"/>
    <w:rsid w:val="00C0724B"/>
    <w:rsid w:val="00C14C50"/>
    <w:rsid w:val="00C35572"/>
    <w:rsid w:val="00C451A5"/>
    <w:rsid w:val="00C5408E"/>
    <w:rsid w:val="00C56D9C"/>
    <w:rsid w:val="00C70999"/>
    <w:rsid w:val="00C84AD4"/>
    <w:rsid w:val="00CB17DD"/>
    <w:rsid w:val="00D12757"/>
    <w:rsid w:val="00D35E08"/>
    <w:rsid w:val="00D51DC6"/>
    <w:rsid w:val="00D611AC"/>
    <w:rsid w:val="00D81EDF"/>
    <w:rsid w:val="00D83798"/>
    <w:rsid w:val="00D94FA3"/>
    <w:rsid w:val="00DA29E1"/>
    <w:rsid w:val="00DA2AF1"/>
    <w:rsid w:val="00DE1629"/>
    <w:rsid w:val="00DF121B"/>
    <w:rsid w:val="00E00574"/>
    <w:rsid w:val="00E10C3D"/>
    <w:rsid w:val="00E7190E"/>
    <w:rsid w:val="00E80EF5"/>
    <w:rsid w:val="00EC1027"/>
    <w:rsid w:val="00EE21E2"/>
    <w:rsid w:val="00EF3F34"/>
    <w:rsid w:val="00F27DD8"/>
    <w:rsid w:val="00F40C58"/>
    <w:rsid w:val="00F53D06"/>
    <w:rsid w:val="00F67AE8"/>
    <w:rsid w:val="00F82E80"/>
    <w:rsid w:val="00FD1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D07BF-24C4-4DCF-83A5-FB658528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72E81-280E-40D7-8A75-8C782803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845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dc:description/>
  <cp:lastModifiedBy>Jennifer Estefany Millan Flores</cp:lastModifiedBy>
  <cp:revision>1</cp:revision>
  <cp:lastPrinted>2022-11-09T20:23:00Z</cp:lastPrinted>
  <dcterms:created xsi:type="dcterms:W3CDTF">2018-03-13T21:03:00Z</dcterms:created>
  <dcterms:modified xsi:type="dcterms:W3CDTF">2023-04-25T15:48:00Z</dcterms:modified>
</cp:coreProperties>
</file>