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CC9" w:rsidRDefault="007E1CC9" w:rsidP="007E1CC9">
      <w:pPr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Indicadores de Resultados</w:t>
      </w:r>
      <w:bookmarkStart w:id="0" w:name="_GoBack"/>
      <w:bookmarkEnd w:id="0"/>
    </w:p>
    <w:p w:rsidR="007E1CC9" w:rsidRDefault="007E1CC9" w:rsidP="007E1CC9">
      <w:pPr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2023</w:t>
      </w:r>
    </w:p>
    <w:p w:rsidR="007E1CC9" w:rsidRDefault="007E1CC9" w:rsidP="007E1CC9">
      <w:pPr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(Cifras en Pesos)</w:t>
      </w:r>
    </w:p>
    <w:p w:rsidR="007E1CC9" w:rsidRDefault="007E1CC9" w:rsidP="007E1CC9">
      <w:pPr>
        <w:jc w:val="center"/>
        <w:rPr>
          <w:rFonts w:ascii="Barlow" w:hAnsi="Barlow" w:cs="Arial"/>
          <w:b/>
          <w:sz w:val="20"/>
          <w:szCs w:val="20"/>
        </w:rPr>
      </w:pPr>
    </w:p>
    <w:p w:rsidR="007E1CC9" w:rsidRDefault="007E1CC9" w:rsidP="007E1CC9">
      <w:pPr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           Ente Público: INSTITUTO DE SEGURIDAD JURÍDICA PATRIMONIAL DE YUCATÁN</w:t>
      </w:r>
    </w:p>
    <w:p w:rsidR="00346EB6" w:rsidRDefault="00346EB6" w:rsidP="00CB603F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142"/>
        <w:gridCol w:w="1222"/>
        <w:gridCol w:w="1268"/>
        <w:gridCol w:w="1230"/>
        <w:gridCol w:w="1077"/>
        <w:gridCol w:w="831"/>
        <w:gridCol w:w="1230"/>
        <w:gridCol w:w="577"/>
        <w:gridCol w:w="531"/>
        <w:gridCol w:w="1046"/>
        <w:gridCol w:w="884"/>
        <w:gridCol w:w="1253"/>
      </w:tblGrid>
      <w:tr w:rsidR="00346EB6" w:rsidRPr="007E1CC9" w:rsidTr="009C1040">
        <w:trPr>
          <w:trHeight w:val="660"/>
        </w:trPr>
        <w:tc>
          <w:tcPr>
            <w:tcW w:w="2413" w:type="dxa"/>
            <w:gridSpan w:val="2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i/>
                <w:sz w:val="20"/>
                <w:szCs w:val="20"/>
                <w:lang w:val="es-MX"/>
              </w:rPr>
            </w:pPr>
            <w:r w:rsidRPr="007E1CC9">
              <w:rPr>
                <w:rFonts w:ascii="Barlow" w:hAnsi="Barlow" w:cs="Arial"/>
                <w:bCs/>
                <w:i/>
                <w:sz w:val="20"/>
                <w:szCs w:val="20"/>
              </w:rPr>
              <w:t>PROGRAMA PRESUPUESTARIO:</w:t>
            </w:r>
          </w:p>
        </w:tc>
        <w:tc>
          <w:tcPr>
            <w:tcW w:w="4797" w:type="dxa"/>
            <w:gridSpan w:val="4"/>
            <w:hideMark/>
          </w:tcPr>
          <w:p w:rsidR="00346EB6" w:rsidRPr="007E1CC9" w:rsidRDefault="00346EB6">
            <w:pPr>
              <w:rPr>
                <w:rFonts w:ascii="Barlow" w:hAnsi="Barlow" w:cs="Arial"/>
                <w:i/>
                <w:sz w:val="20"/>
                <w:szCs w:val="20"/>
              </w:rPr>
            </w:pPr>
            <w:r w:rsidRPr="007E1CC9">
              <w:rPr>
                <w:rFonts w:ascii="Barlow" w:hAnsi="Barlow" w:cs="Arial"/>
                <w:i/>
                <w:sz w:val="20"/>
                <w:szCs w:val="20"/>
              </w:rPr>
              <w:t>401 - Transparencia, Difusión y Rendición de Cuentas del Poder Ejecutivo</w:t>
            </w:r>
          </w:p>
        </w:tc>
        <w:tc>
          <w:tcPr>
            <w:tcW w:w="831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i/>
                <w:sz w:val="20"/>
                <w:szCs w:val="20"/>
              </w:rPr>
            </w:pPr>
          </w:p>
        </w:tc>
        <w:tc>
          <w:tcPr>
            <w:tcW w:w="1230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i/>
                <w:sz w:val="20"/>
                <w:szCs w:val="20"/>
              </w:rPr>
            </w:pPr>
          </w:p>
        </w:tc>
        <w:tc>
          <w:tcPr>
            <w:tcW w:w="577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i/>
                <w:sz w:val="20"/>
                <w:szCs w:val="20"/>
              </w:rPr>
            </w:pPr>
          </w:p>
        </w:tc>
        <w:tc>
          <w:tcPr>
            <w:tcW w:w="3714" w:type="dxa"/>
            <w:gridSpan w:val="4"/>
            <w:hideMark/>
          </w:tcPr>
          <w:p w:rsidR="00346EB6" w:rsidRPr="007E1CC9" w:rsidRDefault="00346EB6">
            <w:pPr>
              <w:rPr>
                <w:rFonts w:ascii="Barlow" w:hAnsi="Barlow" w:cs="Arial"/>
                <w:i/>
                <w:sz w:val="20"/>
                <w:szCs w:val="20"/>
              </w:rPr>
            </w:pPr>
            <w:r w:rsidRPr="007E1CC9">
              <w:rPr>
                <w:rFonts w:ascii="Barlow" w:hAnsi="Barlow" w:cs="Arial"/>
                <w:i/>
                <w:sz w:val="20"/>
                <w:szCs w:val="20"/>
              </w:rPr>
              <w:t>MARZO 2023</w:t>
            </w:r>
          </w:p>
        </w:tc>
      </w:tr>
      <w:tr w:rsidR="00346EB6" w:rsidRPr="007E1CC9" w:rsidTr="009C1040">
        <w:trPr>
          <w:trHeight w:val="330"/>
        </w:trPr>
        <w:tc>
          <w:tcPr>
            <w:tcW w:w="1271" w:type="dxa"/>
            <w:vMerge w:val="restart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Ámbito de Desempeño:</w:t>
            </w:r>
          </w:p>
        </w:tc>
        <w:tc>
          <w:tcPr>
            <w:tcW w:w="1142" w:type="dxa"/>
            <w:vMerge w:val="restart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bookmarkStart w:id="1" w:name="RANGE!C6:N18"/>
            <w:r w:rsidRPr="007E1CC9">
              <w:rPr>
                <w:rFonts w:ascii="Barlow" w:hAnsi="Barlow" w:cs="Arial"/>
                <w:bCs/>
                <w:sz w:val="20"/>
                <w:szCs w:val="20"/>
              </w:rPr>
              <w:t>Objetivo:</w:t>
            </w:r>
            <w:bookmarkEnd w:id="1"/>
          </w:p>
        </w:tc>
        <w:tc>
          <w:tcPr>
            <w:tcW w:w="11149" w:type="dxa"/>
            <w:gridSpan w:val="11"/>
            <w:noWrap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INDICADORES</w:t>
            </w:r>
          </w:p>
        </w:tc>
      </w:tr>
      <w:tr w:rsidR="00346EB6" w:rsidRPr="007E1CC9" w:rsidTr="009C1040">
        <w:trPr>
          <w:trHeight w:val="645"/>
        </w:trPr>
        <w:tc>
          <w:tcPr>
            <w:tcW w:w="1271" w:type="dxa"/>
            <w:vMerge/>
            <w:hideMark/>
          </w:tcPr>
          <w:p w:rsidR="00346EB6" w:rsidRPr="007E1CC9" w:rsidRDefault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hideMark/>
          </w:tcPr>
          <w:p w:rsidR="00346EB6" w:rsidRPr="007E1CC9" w:rsidRDefault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Número y Nombre:</w:t>
            </w:r>
          </w:p>
        </w:tc>
        <w:tc>
          <w:tcPr>
            <w:tcW w:w="1268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Definición:</w:t>
            </w:r>
          </w:p>
        </w:tc>
        <w:tc>
          <w:tcPr>
            <w:tcW w:w="1230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Variables</w:t>
            </w:r>
          </w:p>
        </w:tc>
        <w:tc>
          <w:tcPr>
            <w:tcW w:w="1077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Tendencia</w:t>
            </w:r>
          </w:p>
        </w:tc>
        <w:tc>
          <w:tcPr>
            <w:tcW w:w="83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 xml:space="preserve"> Método de cálculo</w:t>
            </w:r>
          </w:p>
        </w:tc>
        <w:tc>
          <w:tcPr>
            <w:tcW w:w="1230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577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Línea base</w:t>
            </w:r>
          </w:p>
        </w:tc>
        <w:tc>
          <w:tcPr>
            <w:tcW w:w="53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Meta</w:t>
            </w:r>
          </w:p>
        </w:tc>
        <w:tc>
          <w:tcPr>
            <w:tcW w:w="1046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Periodicidad</w:t>
            </w:r>
          </w:p>
        </w:tc>
        <w:tc>
          <w:tcPr>
            <w:tcW w:w="884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Resultado del período</w:t>
            </w:r>
          </w:p>
        </w:tc>
        <w:tc>
          <w:tcPr>
            <w:tcW w:w="1253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Observaciones</w:t>
            </w:r>
          </w:p>
        </w:tc>
      </w:tr>
      <w:tr w:rsidR="00346EB6" w:rsidRPr="007E1CC9" w:rsidTr="009C1040">
        <w:trPr>
          <w:trHeight w:val="2085"/>
        </w:trPr>
        <w:tc>
          <w:tcPr>
            <w:tcW w:w="1271" w:type="dxa"/>
            <w:noWrap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COMPONENTE</w:t>
            </w:r>
          </w:p>
        </w:tc>
        <w:tc>
          <w:tcPr>
            <w:tcW w:w="1142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Incrementar la transparencia de las instituciones de paz, justicia y gobernabilidad del Estado.</w:t>
            </w:r>
          </w:p>
        </w:tc>
        <w:tc>
          <w:tcPr>
            <w:tcW w:w="1222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23,291 Atención al derecho de acceso a la información y protección de datos personales proporcionada.</w:t>
            </w:r>
          </w:p>
        </w:tc>
        <w:tc>
          <w:tcPr>
            <w:tcW w:w="1268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Mide la proporción de los usuarios que reciben atención de los servicios de acceso a la información.</w:t>
            </w:r>
          </w:p>
        </w:tc>
        <w:tc>
          <w:tcPr>
            <w:tcW w:w="1230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B = Total usuarios con los servicios de acceso a la información.</w:t>
            </w:r>
            <w:r w:rsidRPr="007E1CC9">
              <w:rPr>
                <w:rFonts w:ascii="Barlow" w:hAnsi="Barlow" w:cs="Arial"/>
                <w:sz w:val="20"/>
                <w:szCs w:val="20"/>
              </w:rPr>
              <w:br/>
              <w:t xml:space="preserve">C = Total de  usuarios que solicitan los servicios de acceso a la </w:t>
            </w: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información.</w:t>
            </w:r>
          </w:p>
        </w:tc>
        <w:tc>
          <w:tcPr>
            <w:tcW w:w="1077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Ascendente</w:t>
            </w:r>
          </w:p>
        </w:tc>
        <w:tc>
          <w:tcPr>
            <w:tcW w:w="83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(B/C)*100</w:t>
            </w:r>
          </w:p>
        </w:tc>
        <w:tc>
          <w:tcPr>
            <w:tcW w:w="1230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Porcentaje</w:t>
            </w:r>
          </w:p>
        </w:tc>
        <w:tc>
          <w:tcPr>
            <w:tcW w:w="577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100</w:t>
            </w:r>
          </w:p>
        </w:tc>
        <w:tc>
          <w:tcPr>
            <w:tcW w:w="53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100</w:t>
            </w:r>
          </w:p>
        </w:tc>
        <w:tc>
          <w:tcPr>
            <w:tcW w:w="1046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Trimestral</w:t>
            </w:r>
          </w:p>
        </w:tc>
        <w:tc>
          <w:tcPr>
            <w:tcW w:w="884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100%</w:t>
            </w:r>
          </w:p>
        </w:tc>
        <w:tc>
          <w:tcPr>
            <w:tcW w:w="1253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El 100% de los usuarios tuvieron acceso a la información</w:t>
            </w:r>
          </w:p>
        </w:tc>
      </w:tr>
      <w:tr w:rsidR="00346EB6" w:rsidRPr="007E1CC9" w:rsidTr="009C1040">
        <w:trPr>
          <w:trHeight w:val="2085"/>
        </w:trPr>
        <w:tc>
          <w:tcPr>
            <w:tcW w:w="1271" w:type="dxa"/>
            <w:noWrap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ACTIVIDAD</w:t>
            </w:r>
          </w:p>
        </w:tc>
        <w:tc>
          <w:tcPr>
            <w:tcW w:w="1142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Incrementar la transparencia de las instituciones de paz, justicia y gobernabilidad del Estado.</w:t>
            </w:r>
          </w:p>
        </w:tc>
        <w:tc>
          <w:tcPr>
            <w:tcW w:w="1222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23, 295 Porcentaje de solicitudes de acceso atendidas</w:t>
            </w:r>
          </w:p>
        </w:tc>
        <w:tc>
          <w:tcPr>
            <w:tcW w:w="1268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Mide la proporción de las solicitudes de acceso que son atendidas por las unidades de transparencia del Poder Ejecutivo.</w:t>
            </w:r>
          </w:p>
        </w:tc>
        <w:tc>
          <w:tcPr>
            <w:tcW w:w="1230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B = Total de solicitudes atendidas</w:t>
            </w:r>
            <w:r w:rsidRPr="007E1CC9">
              <w:rPr>
                <w:rFonts w:ascii="Barlow" w:hAnsi="Barlow" w:cs="Arial"/>
                <w:sz w:val="20"/>
                <w:szCs w:val="20"/>
              </w:rPr>
              <w:br/>
              <w:t>C = Total de solicitudes recibidas</w:t>
            </w:r>
          </w:p>
        </w:tc>
        <w:tc>
          <w:tcPr>
            <w:tcW w:w="1077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Ascendente</w:t>
            </w:r>
          </w:p>
        </w:tc>
        <w:tc>
          <w:tcPr>
            <w:tcW w:w="83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(B/C)*100</w:t>
            </w:r>
          </w:p>
        </w:tc>
        <w:tc>
          <w:tcPr>
            <w:tcW w:w="1230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Porcentaje</w:t>
            </w:r>
          </w:p>
        </w:tc>
        <w:tc>
          <w:tcPr>
            <w:tcW w:w="577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100</w:t>
            </w:r>
          </w:p>
        </w:tc>
        <w:tc>
          <w:tcPr>
            <w:tcW w:w="53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100</w:t>
            </w:r>
          </w:p>
        </w:tc>
        <w:tc>
          <w:tcPr>
            <w:tcW w:w="1046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Trimestral</w:t>
            </w:r>
          </w:p>
        </w:tc>
        <w:tc>
          <w:tcPr>
            <w:tcW w:w="884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100%</w:t>
            </w:r>
          </w:p>
        </w:tc>
        <w:tc>
          <w:tcPr>
            <w:tcW w:w="1253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El 100% de las solicitudes recibidas fueron atendidas</w:t>
            </w:r>
          </w:p>
        </w:tc>
      </w:tr>
      <w:tr w:rsidR="00346EB6" w:rsidRPr="007E1CC9" w:rsidTr="009C1040">
        <w:trPr>
          <w:trHeight w:val="2775"/>
        </w:trPr>
        <w:tc>
          <w:tcPr>
            <w:tcW w:w="1271" w:type="dxa"/>
            <w:noWrap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ACTIVIDAD</w:t>
            </w:r>
          </w:p>
        </w:tc>
        <w:tc>
          <w:tcPr>
            <w:tcW w:w="1142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Incrementar la transparencia de las instituciones de paz, justicia y gobernabilidad del Estado.</w:t>
            </w:r>
          </w:p>
        </w:tc>
        <w:tc>
          <w:tcPr>
            <w:tcW w:w="1222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23, 299 Porcentaje de solicitudes de datos personales atendidas</w:t>
            </w:r>
          </w:p>
        </w:tc>
        <w:tc>
          <w:tcPr>
            <w:tcW w:w="1268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Mide la proporción del cumplimiento en la atención de solicitudes de derechos Acceso, Rectificación, Cancelación y Oposición (ARCO), que son atendidas por las Unidades de Transparencia del Poder Ejecutivo.</w:t>
            </w:r>
          </w:p>
        </w:tc>
        <w:tc>
          <w:tcPr>
            <w:tcW w:w="1230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B = Total de solicitudes de datos personales</w:t>
            </w:r>
            <w:r w:rsidRPr="007E1CC9">
              <w:rPr>
                <w:rFonts w:ascii="Barlow" w:hAnsi="Barlow" w:cs="Arial"/>
                <w:sz w:val="20"/>
                <w:szCs w:val="20"/>
              </w:rPr>
              <w:br/>
              <w:t>C = Total de solicitudes de datos personales recibidas</w:t>
            </w:r>
          </w:p>
        </w:tc>
        <w:tc>
          <w:tcPr>
            <w:tcW w:w="1077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Ascendente</w:t>
            </w:r>
          </w:p>
        </w:tc>
        <w:tc>
          <w:tcPr>
            <w:tcW w:w="83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(B/C)*100</w:t>
            </w:r>
          </w:p>
        </w:tc>
        <w:tc>
          <w:tcPr>
            <w:tcW w:w="1230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Porcentaje</w:t>
            </w:r>
          </w:p>
        </w:tc>
        <w:tc>
          <w:tcPr>
            <w:tcW w:w="577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100</w:t>
            </w:r>
          </w:p>
        </w:tc>
        <w:tc>
          <w:tcPr>
            <w:tcW w:w="53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100</w:t>
            </w:r>
          </w:p>
        </w:tc>
        <w:tc>
          <w:tcPr>
            <w:tcW w:w="1046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Trimestral</w:t>
            </w:r>
          </w:p>
        </w:tc>
        <w:tc>
          <w:tcPr>
            <w:tcW w:w="884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100%</w:t>
            </w:r>
          </w:p>
        </w:tc>
        <w:tc>
          <w:tcPr>
            <w:tcW w:w="1253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En el periodo que se informa no se tuvieron solicitudes de datos personales</w:t>
            </w:r>
          </w:p>
        </w:tc>
      </w:tr>
      <w:tr w:rsidR="00346EB6" w:rsidRPr="007E1CC9" w:rsidTr="009C1040">
        <w:trPr>
          <w:trHeight w:val="2085"/>
        </w:trPr>
        <w:tc>
          <w:tcPr>
            <w:tcW w:w="1271" w:type="dxa"/>
            <w:noWrap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ACTIVIDAD</w:t>
            </w:r>
          </w:p>
        </w:tc>
        <w:tc>
          <w:tcPr>
            <w:tcW w:w="1142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Incrementar la transparencia de las instituciones de paz, justicia y gobernabilidad del Estado.</w:t>
            </w:r>
          </w:p>
        </w:tc>
        <w:tc>
          <w:tcPr>
            <w:tcW w:w="1222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23, 305 Promedio de la calidad de las respuestas de las solicitudes atendidas</w:t>
            </w:r>
          </w:p>
        </w:tc>
        <w:tc>
          <w:tcPr>
            <w:tcW w:w="1268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Mide la calidad de las respuestas de las solicitudes de acceso y datos personales atendidas por las unidades de transparencia del poder Ejecutivo.</w:t>
            </w:r>
          </w:p>
        </w:tc>
        <w:tc>
          <w:tcPr>
            <w:tcW w:w="1230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B= Total de impugnaciones ingresadas    C=Total de solicitudes atendidas</w:t>
            </w:r>
          </w:p>
        </w:tc>
        <w:tc>
          <w:tcPr>
            <w:tcW w:w="1077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Descendente</w:t>
            </w:r>
          </w:p>
        </w:tc>
        <w:tc>
          <w:tcPr>
            <w:tcW w:w="83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SUM B/C</w:t>
            </w:r>
          </w:p>
        </w:tc>
        <w:tc>
          <w:tcPr>
            <w:tcW w:w="1230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Promedio de impugnaciones</w:t>
            </w:r>
          </w:p>
        </w:tc>
        <w:tc>
          <w:tcPr>
            <w:tcW w:w="577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0.06</w:t>
            </w:r>
          </w:p>
        </w:tc>
        <w:tc>
          <w:tcPr>
            <w:tcW w:w="53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0.03</w:t>
            </w:r>
          </w:p>
        </w:tc>
        <w:tc>
          <w:tcPr>
            <w:tcW w:w="1046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Trimestral</w:t>
            </w:r>
          </w:p>
        </w:tc>
        <w:tc>
          <w:tcPr>
            <w:tcW w:w="884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100%</w:t>
            </w:r>
          </w:p>
        </w:tc>
        <w:tc>
          <w:tcPr>
            <w:tcW w:w="1253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Hasta el momento no se han recibido impugnaciones</w:t>
            </w:r>
          </w:p>
        </w:tc>
      </w:tr>
      <w:tr w:rsidR="00346EB6" w:rsidRPr="007E1CC9" w:rsidTr="009C1040">
        <w:trPr>
          <w:trHeight w:val="2775"/>
        </w:trPr>
        <w:tc>
          <w:tcPr>
            <w:tcW w:w="1271" w:type="dxa"/>
            <w:noWrap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COMPONENTE</w:t>
            </w:r>
          </w:p>
        </w:tc>
        <w:tc>
          <w:tcPr>
            <w:tcW w:w="1142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Incrementar la transparencia de las instituciones de paz, justicia y gobernabilidad del Estado.</w:t>
            </w:r>
          </w:p>
        </w:tc>
        <w:tc>
          <w:tcPr>
            <w:tcW w:w="1222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23, 307 Porcentaje de servidores públicos concientizados</w:t>
            </w:r>
          </w:p>
        </w:tc>
        <w:tc>
          <w:tcPr>
            <w:tcW w:w="1268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Mide la proporción de los servidores públicos del Poder Ejecutivo que acudieron a capacitación y recibieron asesoría en materia de transparen</w:t>
            </w: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cia, acceso a la información y protección de datos personales.</w:t>
            </w:r>
          </w:p>
        </w:tc>
        <w:tc>
          <w:tcPr>
            <w:tcW w:w="1230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B= Total de servidores públicos concientizados del poder ejecutivo.                                                                       C= Total de servidores públicos del poder ejecutivo.</w:t>
            </w:r>
          </w:p>
        </w:tc>
        <w:tc>
          <w:tcPr>
            <w:tcW w:w="1077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Ascendente</w:t>
            </w:r>
          </w:p>
        </w:tc>
        <w:tc>
          <w:tcPr>
            <w:tcW w:w="83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(B/C)*100</w:t>
            </w:r>
          </w:p>
        </w:tc>
        <w:tc>
          <w:tcPr>
            <w:tcW w:w="1230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Porcentaje</w:t>
            </w:r>
          </w:p>
        </w:tc>
        <w:tc>
          <w:tcPr>
            <w:tcW w:w="577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31.83</w:t>
            </w:r>
          </w:p>
        </w:tc>
        <w:tc>
          <w:tcPr>
            <w:tcW w:w="53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8.14</w:t>
            </w:r>
          </w:p>
        </w:tc>
        <w:tc>
          <w:tcPr>
            <w:tcW w:w="1046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Trimestral</w:t>
            </w:r>
          </w:p>
        </w:tc>
        <w:tc>
          <w:tcPr>
            <w:tcW w:w="884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10.54%</w:t>
            </w:r>
          </w:p>
        </w:tc>
        <w:tc>
          <w:tcPr>
            <w:tcW w:w="1253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 xml:space="preserve">Del total de los servidores públicos del </w:t>
            </w:r>
            <w:proofErr w:type="spellStart"/>
            <w:r w:rsidRPr="007E1CC9">
              <w:rPr>
                <w:rFonts w:ascii="Barlow" w:hAnsi="Barlow" w:cs="Arial"/>
                <w:sz w:val="20"/>
                <w:szCs w:val="20"/>
              </w:rPr>
              <w:t>Insejupy</w:t>
            </w:r>
            <w:proofErr w:type="spellEnd"/>
            <w:r w:rsidRPr="007E1CC9">
              <w:rPr>
                <w:rFonts w:ascii="Barlow" w:hAnsi="Barlow" w:cs="Arial"/>
                <w:sz w:val="20"/>
                <w:szCs w:val="20"/>
              </w:rPr>
              <w:t xml:space="preserve">, el 10.54% fue capacitado en materia de transparencia, acceso a la información y protección </w:t>
            </w: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de datos personales.</w:t>
            </w:r>
          </w:p>
        </w:tc>
      </w:tr>
      <w:tr w:rsidR="00346EB6" w:rsidRPr="007E1CC9" w:rsidTr="009C1040">
        <w:trPr>
          <w:trHeight w:val="2775"/>
        </w:trPr>
        <w:tc>
          <w:tcPr>
            <w:tcW w:w="1271" w:type="dxa"/>
            <w:noWrap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ACTIVIDAD</w:t>
            </w:r>
          </w:p>
        </w:tc>
        <w:tc>
          <w:tcPr>
            <w:tcW w:w="1142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Incrementar la transparencia de las instituciones de paz, justicia y gobernabilidad del Estado.</w:t>
            </w:r>
          </w:p>
        </w:tc>
        <w:tc>
          <w:tcPr>
            <w:tcW w:w="1222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23, 312 Porcentaje de asesorías impartidas</w:t>
            </w:r>
          </w:p>
        </w:tc>
        <w:tc>
          <w:tcPr>
            <w:tcW w:w="1268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 xml:space="preserve">Mide la proporción de las asesorías a servidores públicos del Poder Ejecutivo impartidas por la Coordinación General de Transparencia en materia de transparencia, acceso a la información </w:t>
            </w: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y protección de datos personales.</w:t>
            </w:r>
          </w:p>
        </w:tc>
        <w:tc>
          <w:tcPr>
            <w:tcW w:w="1230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B = Total de asesorías realizadas</w:t>
            </w:r>
            <w:r w:rsidRPr="007E1CC9">
              <w:rPr>
                <w:rFonts w:ascii="Barlow" w:hAnsi="Barlow" w:cs="Arial"/>
                <w:sz w:val="20"/>
                <w:szCs w:val="20"/>
              </w:rPr>
              <w:br/>
              <w:t>C = Total de asesorías programadas</w:t>
            </w:r>
          </w:p>
        </w:tc>
        <w:tc>
          <w:tcPr>
            <w:tcW w:w="1077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Ascendente</w:t>
            </w:r>
          </w:p>
        </w:tc>
        <w:tc>
          <w:tcPr>
            <w:tcW w:w="83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(B/C)*100</w:t>
            </w:r>
          </w:p>
        </w:tc>
        <w:tc>
          <w:tcPr>
            <w:tcW w:w="1230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Porcentaje</w:t>
            </w:r>
          </w:p>
        </w:tc>
        <w:tc>
          <w:tcPr>
            <w:tcW w:w="577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100</w:t>
            </w:r>
          </w:p>
        </w:tc>
        <w:tc>
          <w:tcPr>
            <w:tcW w:w="53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100</w:t>
            </w:r>
          </w:p>
        </w:tc>
        <w:tc>
          <w:tcPr>
            <w:tcW w:w="1046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Trimestral</w:t>
            </w:r>
          </w:p>
        </w:tc>
        <w:tc>
          <w:tcPr>
            <w:tcW w:w="884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100%</w:t>
            </w:r>
          </w:p>
        </w:tc>
        <w:tc>
          <w:tcPr>
            <w:tcW w:w="1253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Se cumplió con el 100% de las asesorías programadas</w:t>
            </w:r>
          </w:p>
        </w:tc>
      </w:tr>
      <w:tr w:rsidR="00346EB6" w:rsidRPr="007E1CC9" w:rsidTr="009C1040">
        <w:trPr>
          <w:trHeight w:val="3120"/>
        </w:trPr>
        <w:tc>
          <w:tcPr>
            <w:tcW w:w="1271" w:type="dxa"/>
            <w:noWrap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ACTIVIDAD</w:t>
            </w:r>
          </w:p>
        </w:tc>
        <w:tc>
          <w:tcPr>
            <w:tcW w:w="1142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Incrementar la transparencia de las instituciones de paz, justicia y gobernabilidad del Estado.</w:t>
            </w:r>
          </w:p>
        </w:tc>
        <w:tc>
          <w:tcPr>
            <w:tcW w:w="1222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23, 315 Porcentaje de capacitaciones impartidas</w:t>
            </w:r>
          </w:p>
        </w:tc>
        <w:tc>
          <w:tcPr>
            <w:tcW w:w="1268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 xml:space="preserve">Mide la proporción de las capacitaciones a servidores públicos del Poder Ejecutivo impartidas por la Coordinación General de Transparencia y Acceso a la Información Pública en materia de </w:t>
            </w: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transparencia, acceso a la información y protección de datos personales.</w:t>
            </w:r>
          </w:p>
        </w:tc>
        <w:tc>
          <w:tcPr>
            <w:tcW w:w="1230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B = Total de capacitaciones impartidas                     C = Total de capacitaciones impartidas programadas</w:t>
            </w:r>
          </w:p>
        </w:tc>
        <w:tc>
          <w:tcPr>
            <w:tcW w:w="1077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Ascendente</w:t>
            </w:r>
          </w:p>
        </w:tc>
        <w:tc>
          <w:tcPr>
            <w:tcW w:w="83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(B/C)*100</w:t>
            </w:r>
          </w:p>
        </w:tc>
        <w:tc>
          <w:tcPr>
            <w:tcW w:w="1230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Porcentaje</w:t>
            </w:r>
          </w:p>
        </w:tc>
        <w:tc>
          <w:tcPr>
            <w:tcW w:w="577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100</w:t>
            </w:r>
          </w:p>
        </w:tc>
        <w:tc>
          <w:tcPr>
            <w:tcW w:w="53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100</w:t>
            </w:r>
          </w:p>
        </w:tc>
        <w:tc>
          <w:tcPr>
            <w:tcW w:w="1046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Trimestral</w:t>
            </w:r>
          </w:p>
        </w:tc>
        <w:tc>
          <w:tcPr>
            <w:tcW w:w="884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100%</w:t>
            </w:r>
          </w:p>
        </w:tc>
        <w:tc>
          <w:tcPr>
            <w:tcW w:w="1253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Se cumplió con el 100% de las capacitaciones programadas</w:t>
            </w:r>
          </w:p>
        </w:tc>
      </w:tr>
      <w:tr w:rsidR="00346EB6" w:rsidRPr="007E1CC9" w:rsidTr="009C1040">
        <w:trPr>
          <w:trHeight w:val="3810"/>
        </w:trPr>
        <w:tc>
          <w:tcPr>
            <w:tcW w:w="1271" w:type="dxa"/>
            <w:noWrap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COMPONENTE</w:t>
            </w:r>
          </w:p>
        </w:tc>
        <w:tc>
          <w:tcPr>
            <w:tcW w:w="1142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Incrementar la transparencia de las instituciones de paz, justicia y gobernabilidad del Estado.</w:t>
            </w:r>
          </w:p>
        </w:tc>
        <w:tc>
          <w:tcPr>
            <w:tcW w:w="1222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23, 317 Variación porcentual del programa anual del Poder Ejecutivo de vigilancia del INAIP</w:t>
            </w:r>
          </w:p>
        </w:tc>
        <w:tc>
          <w:tcPr>
            <w:tcW w:w="1268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Mide la variación en el tiempo, en puntos porcentuales, de los resultados obtenidos del  Poder Ejecutivo en el programa anual de vigilancia emitido por el Instituto Estatal  de Transparen</w:t>
            </w: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cia, Acceso a la Información Pública en materia de transparencia, acceso a la información y protección de datos personales.</w:t>
            </w:r>
          </w:p>
        </w:tc>
        <w:tc>
          <w:tcPr>
            <w:tcW w:w="1230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B = Porcentaje obtenido del Poder Ejecutivo en el año actual                                                                                        C = Porcentaje obtenido del Poder Ejecutivo en el año anterior</w:t>
            </w:r>
          </w:p>
        </w:tc>
        <w:tc>
          <w:tcPr>
            <w:tcW w:w="1077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Ascendente</w:t>
            </w:r>
          </w:p>
        </w:tc>
        <w:tc>
          <w:tcPr>
            <w:tcW w:w="83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((B-C)/C)*100</w:t>
            </w:r>
          </w:p>
        </w:tc>
        <w:tc>
          <w:tcPr>
            <w:tcW w:w="1230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Variación porcentual</w:t>
            </w:r>
          </w:p>
        </w:tc>
        <w:tc>
          <w:tcPr>
            <w:tcW w:w="577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1.05</w:t>
            </w:r>
          </w:p>
        </w:tc>
        <w:tc>
          <w:tcPr>
            <w:tcW w:w="53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2.08</w:t>
            </w:r>
          </w:p>
        </w:tc>
        <w:tc>
          <w:tcPr>
            <w:tcW w:w="1046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Anual</w:t>
            </w:r>
          </w:p>
        </w:tc>
        <w:tc>
          <w:tcPr>
            <w:tcW w:w="884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N/A</w:t>
            </w:r>
          </w:p>
        </w:tc>
        <w:tc>
          <w:tcPr>
            <w:tcW w:w="1253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 xml:space="preserve">No se ha llevado el sorteo para saber si el </w:t>
            </w:r>
            <w:proofErr w:type="spellStart"/>
            <w:r w:rsidRPr="007E1CC9">
              <w:rPr>
                <w:rFonts w:ascii="Barlow" w:hAnsi="Barlow" w:cs="Arial"/>
                <w:sz w:val="20"/>
                <w:szCs w:val="20"/>
              </w:rPr>
              <w:t>Insejupy</w:t>
            </w:r>
            <w:proofErr w:type="spellEnd"/>
            <w:r w:rsidRPr="007E1CC9">
              <w:rPr>
                <w:rFonts w:ascii="Barlow" w:hAnsi="Barlow" w:cs="Arial"/>
                <w:sz w:val="20"/>
                <w:szCs w:val="20"/>
              </w:rPr>
              <w:t xml:space="preserve"> será verificado este 2023. El año anterior no tuvo verificaciones.</w:t>
            </w:r>
          </w:p>
        </w:tc>
      </w:tr>
      <w:tr w:rsidR="00346EB6" w:rsidRPr="007E1CC9" w:rsidTr="009C1040">
        <w:trPr>
          <w:trHeight w:val="2085"/>
        </w:trPr>
        <w:tc>
          <w:tcPr>
            <w:tcW w:w="1271" w:type="dxa"/>
            <w:noWrap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ACTIVIDAD</w:t>
            </w:r>
          </w:p>
        </w:tc>
        <w:tc>
          <w:tcPr>
            <w:tcW w:w="1142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Incrementar la transparencia de las instituciones de paz, justicia y gobernabilidad del Estado.</w:t>
            </w:r>
          </w:p>
        </w:tc>
        <w:tc>
          <w:tcPr>
            <w:tcW w:w="1222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23, 318 Porcentaje de sujetos obligados verificados</w:t>
            </w:r>
          </w:p>
        </w:tc>
        <w:tc>
          <w:tcPr>
            <w:tcW w:w="1268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Mide el porcentaje de dependencias y entidades del Poder Ejecutivo que cumplen las obligaciones de transparencia.</w:t>
            </w:r>
          </w:p>
        </w:tc>
        <w:tc>
          <w:tcPr>
            <w:tcW w:w="1230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B = Total de sujetos obligados verificados             C = Total de sujetos obligados</w:t>
            </w:r>
          </w:p>
        </w:tc>
        <w:tc>
          <w:tcPr>
            <w:tcW w:w="1077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Ascendente</w:t>
            </w:r>
          </w:p>
        </w:tc>
        <w:tc>
          <w:tcPr>
            <w:tcW w:w="83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(B/C)*100</w:t>
            </w:r>
          </w:p>
        </w:tc>
        <w:tc>
          <w:tcPr>
            <w:tcW w:w="1230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Porcentaje</w:t>
            </w:r>
          </w:p>
        </w:tc>
        <w:tc>
          <w:tcPr>
            <w:tcW w:w="577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65.28</w:t>
            </w:r>
          </w:p>
        </w:tc>
        <w:tc>
          <w:tcPr>
            <w:tcW w:w="53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69.4</w:t>
            </w:r>
          </w:p>
        </w:tc>
        <w:tc>
          <w:tcPr>
            <w:tcW w:w="1046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Trimestral</w:t>
            </w:r>
          </w:p>
        </w:tc>
        <w:tc>
          <w:tcPr>
            <w:tcW w:w="884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N/A</w:t>
            </w:r>
          </w:p>
        </w:tc>
        <w:tc>
          <w:tcPr>
            <w:tcW w:w="1253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 xml:space="preserve">Hasta el momento no se han llevado a cabo verificaciones a las Unidades Administrativas </w:t>
            </w:r>
          </w:p>
        </w:tc>
      </w:tr>
      <w:tr w:rsidR="00346EB6" w:rsidRPr="007E1CC9" w:rsidTr="009C1040">
        <w:trPr>
          <w:trHeight w:val="2085"/>
        </w:trPr>
        <w:tc>
          <w:tcPr>
            <w:tcW w:w="1271" w:type="dxa"/>
            <w:noWrap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ACTIVIDAD</w:t>
            </w:r>
          </w:p>
        </w:tc>
        <w:tc>
          <w:tcPr>
            <w:tcW w:w="1142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Incrementar la transparencia de las instituciones de paz, justicia y gobernabilidad del Estado.</w:t>
            </w:r>
          </w:p>
        </w:tc>
        <w:tc>
          <w:tcPr>
            <w:tcW w:w="1222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23, 320 Porcentaje de Sujetos Obligados informados de la verificación anual</w:t>
            </w:r>
          </w:p>
        </w:tc>
        <w:tc>
          <w:tcPr>
            <w:tcW w:w="1268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Mide la proporción de sujetos obligados del Poder Ejecutivo informados para la implementación del programa anual de vigilancia.</w:t>
            </w:r>
          </w:p>
        </w:tc>
        <w:tc>
          <w:tcPr>
            <w:tcW w:w="1230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B = Total de sujetos obligados informados            C = Total de sujetos obligados</w:t>
            </w:r>
          </w:p>
        </w:tc>
        <w:tc>
          <w:tcPr>
            <w:tcW w:w="1077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Ascendente</w:t>
            </w:r>
          </w:p>
        </w:tc>
        <w:tc>
          <w:tcPr>
            <w:tcW w:w="83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(B/C)*100</w:t>
            </w:r>
          </w:p>
        </w:tc>
        <w:tc>
          <w:tcPr>
            <w:tcW w:w="1230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Porcentaje</w:t>
            </w:r>
          </w:p>
        </w:tc>
        <w:tc>
          <w:tcPr>
            <w:tcW w:w="577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100</w:t>
            </w:r>
          </w:p>
        </w:tc>
        <w:tc>
          <w:tcPr>
            <w:tcW w:w="53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100</w:t>
            </w:r>
          </w:p>
        </w:tc>
        <w:tc>
          <w:tcPr>
            <w:tcW w:w="1046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Anual</w:t>
            </w:r>
          </w:p>
        </w:tc>
        <w:tc>
          <w:tcPr>
            <w:tcW w:w="884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N/A</w:t>
            </w:r>
          </w:p>
        </w:tc>
        <w:tc>
          <w:tcPr>
            <w:tcW w:w="1253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Hasta el momento no se ha informado de una verificación.</w:t>
            </w:r>
          </w:p>
        </w:tc>
      </w:tr>
      <w:tr w:rsidR="00346EB6" w:rsidRPr="007E1CC9" w:rsidTr="009C1040">
        <w:trPr>
          <w:trHeight w:val="2430"/>
        </w:trPr>
        <w:tc>
          <w:tcPr>
            <w:tcW w:w="1271" w:type="dxa"/>
            <w:noWrap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ACTIVIDAD</w:t>
            </w:r>
          </w:p>
        </w:tc>
        <w:tc>
          <w:tcPr>
            <w:tcW w:w="1142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Incrementar la transparencia de las instituciones de paz, justicia y gobernabilidad del Estado.</w:t>
            </w:r>
          </w:p>
        </w:tc>
        <w:tc>
          <w:tcPr>
            <w:tcW w:w="1222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23,321 Porcentaje de carga de información</w:t>
            </w:r>
          </w:p>
        </w:tc>
        <w:tc>
          <w:tcPr>
            <w:tcW w:w="1268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 xml:space="preserve">Mide el porcentaje de cumplimiento de los sujetos obligados del Poder Ejecutivo que cumplen con cargar su información pública obligatoria en el portal nacional de </w:t>
            </w: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transparencia.</w:t>
            </w:r>
          </w:p>
        </w:tc>
        <w:tc>
          <w:tcPr>
            <w:tcW w:w="1230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B= Total de sujetos obligados que cumplen con la carga de información.                                                              C= Total de sujetos obligados</w:t>
            </w:r>
          </w:p>
        </w:tc>
        <w:tc>
          <w:tcPr>
            <w:tcW w:w="1077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Ascendente</w:t>
            </w:r>
          </w:p>
        </w:tc>
        <w:tc>
          <w:tcPr>
            <w:tcW w:w="83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(B/C)*100</w:t>
            </w:r>
          </w:p>
        </w:tc>
        <w:tc>
          <w:tcPr>
            <w:tcW w:w="1230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Porcentaje</w:t>
            </w:r>
          </w:p>
        </w:tc>
        <w:tc>
          <w:tcPr>
            <w:tcW w:w="577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100</w:t>
            </w:r>
          </w:p>
        </w:tc>
        <w:tc>
          <w:tcPr>
            <w:tcW w:w="53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100</w:t>
            </w:r>
          </w:p>
        </w:tc>
        <w:tc>
          <w:tcPr>
            <w:tcW w:w="1046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Trimestral</w:t>
            </w:r>
          </w:p>
        </w:tc>
        <w:tc>
          <w:tcPr>
            <w:tcW w:w="884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N/A</w:t>
            </w:r>
          </w:p>
        </w:tc>
        <w:tc>
          <w:tcPr>
            <w:tcW w:w="1253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Durante este primer trimestre, la información se carga hasta el mes de Abril del año presente.</w:t>
            </w:r>
          </w:p>
        </w:tc>
      </w:tr>
    </w:tbl>
    <w:p w:rsidR="00346EB6" w:rsidRPr="007E1CC9" w:rsidRDefault="00346EB6" w:rsidP="00CB603F">
      <w:pPr>
        <w:rPr>
          <w:rFonts w:ascii="Barlow" w:hAnsi="Barlow" w:cs="Arial"/>
          <w:b/>
          <w:sz w:val="20"/>
          <w:szCs w:val="20"/>
        </w:rPr>
      </w:pPr>
    </w:p>
    <w:p w:rsidR="00346EB6" w:rsidRPr="007E1CC9" w:rsidRDefault="00346EB6" w:rsidP="00CB603F">
      <w:pPr>
        <w:rPr>
          <w:rFonts w:ascii="Barlow" w:hAnsi="Barlow" w:cs="Arial"/>
          <w:b/>
          <w:sz w:val="20"/>
          <w:szCs w:val="20"/>
        </w:rPr>
      </w:pPr>
    </w:p>
    <w:p w:rsidR="00346EB6" w:rsidRPr="007E1CC9" w:rsidRDefault="00346EB6" w:rsidP="00CB603F">
      <w:pPr>
        <w:rPr>
          <w:rFonts w:ascii="Barlow" w:hAnsi="Barlow" w:cs="Arial"/>
          <w:b/>
          <w:sz w:val="20"/>
          <w:szCs w:val="20"/>
        </w:rPr>
      </w:pPr>
    </w:p>
    <w:p w:rsidR="0021354C" w:rsidRPr="007E1CC9" w:rsidRDefault="0021354C" w:rsidP="00CB603F">
      <w:pPr>
        <w:rPr>
          <w:rFonts w:ascii="Barlow" w:hAnsi="Barlow" w:cs="Arial"/>
          <w:b/>
          <w:sz w:val="20"/>
          <w:szCs w:val="20"/>
        </w:rPr>
      </w:pPr>
    </w:p>
    <w:p w:rsidR="00346EB6" w:rsidRPr="007E1CC9" w:rsidRDefault="00346EB6" w:rsidP="00CB603F">
      <w:pPr>
        <w:rPr>
          <w:rFonts w:ascii="Barlow" w:hAnsi="Barlow" w:cs="Arial"/>
          <w:b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993"/>
        <w:gridCol w:w="925"/>
        <w:gridCol w:w="1540"/>
        <w:gridCol w:w="1823"/>
        <w:gridCol w:w="1061"/>
        <w:gridCol w:w="820"/>
        <w:gridCol w:w="910"/>
        <w:gridCol w:w="571"/>
        <w:gridCol w:w="556"/>
        <w:gridCol w:w="1031"/>
        <w:gridCol w:w="872"/>
        <w:gridCol w:w="1189"/>
      </w:tblGrid>
      <w:tr w:rsidR="009C1040" w:rsidRPr="007E1CC9" w:rsidTr="009C1040">
        <w:trPr>
          <w:trHeight w:val="300"/>
        </w:trPr>
        <w:tc>
          <w:tcPr>
            <w:tcW w:w="2264" w:type="dxa"/>
            <w:gridSpan w:val="2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i/>
                <w:sz w:val="20"/>
                <w:szCs w:val="20"/>
                <w:lang w:val="es-MX"/>
              </w:rPr>
            </w:pPr>
            <w:r w:rsidRPr="007E1CC9">
              <w:rPr>
                <w:rFonts w:ascii="Barlow" w:hAnsi="Barlow" w:cs="Arial"/>
                <w:bCs/>
                <w:i/>
                <w:sz w:val="20"/>
                <w:szCs w:val="20"/>
              </w:rPr>
              <w:t>PROGRAMA PRESUPUESTARIO:</w:t>
            </w:r>
          </w:p>
        </w:tc>
        <w:tc>
          <w:tcPr>
            <w:tcW w:w="5349" w:type="dxa"/>
            <w:gridSpan w:val="4"/>
            <w:hideMark/>
          </w:tcPr>
          <w:p w:rsidR="00346EB6" w:rsidRPr="007E1CC9" w:rsidRDefault="00346EB6">
            <w:pPr>
              <w:rPr>
                <w:rFonts w:ascii="Barlow" w:hAnsi="Barlow" w:cs="Arial"/>
                <w:i/>
                <w:sz w:val="20"/>
                <w:szCs w:val="20"/>
              </w:rPr>
            </w:pPr>
            <w:r w:rsidRPr="007E1CC9">
              <w:rPr>
                <w:rFonts w:ascii="Barlow" w:hAnsi="Barlow" w:cs="Arial"/>
                <w:i/>
                <w:sz w:val="20"/>
                <w:szCs w:val="20"/>
              </w:rPr>
              <w:t xml:space="preserve">404 - Asistencia Jurídica al Sector Público y Social </w:t>
            </w:r>
          </w:p>
        </w:tc>
        <w:tc>
          <w:tcPr>
            <w:tcW w:w="820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i/>
                <w:sz w:val="20"/>
                <w:szCs w:val="20"/>
              </w:rPr>
            </w:pPr>
          </w:p>
        </w:tc>
        <w:tc>
          <w:tcPr>
            <w:tcW w:w="910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i/>
                <w:sz w:val="20"/>
                <w:szCs w:val="20"/>
              </w:rPr>
            </w:pPr>
          </w:p>
        </w:tc>
        <w:tc>
          <w:tcPr>
            <w:tcW w:w="571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i/>
                <w:sz w:val="20"/>
                <w:szCs w:val="20"/>
              </w:rPr>
            </w:pPr>
          </w:p>
        </w:tc>
        <w:tc>
          <w:tcPr>
            <w:tcW w:w="3648" w:type="dxa"/>
            <w:gridSpan w:val="4"/>
            <w:hideMark/>
          </w:tcPr>
          <w:p w:rsidR="00346EB6" w:rsidRPr="007E1CC9" w:rsidRDefault="00346EB6">
            <w:pPr>
              <w:rPr>
                <w:rFonts w:ascii="Barlow" w:hAnsi="Barlow" w:cs="Arial"/>
                <w:i/>
                <w:sz w:val="20"/>
                <w:szCs w:val="20"/>
              </w:rPr>
            </w:pPr>
            <w:r w:rsidRPr="007E1CC9">
              <w:rPr>
                <w:rFonts w:ascii="Barlow" w:hAnsi="Barlow" w:cs="Arial"/>
                <w:i/>
                <w:sz w:val="20"/>
                <w:szCs w:val="20"/>
              </w:rPr>
              <w:t>MARZO 2023</w:t>
            </w:r>
          </w:p>
        </w:tc>
      </w:tr>
      <w:tr w:rsidR="009C1040" w:rsidRPr="007E1CC9" w:rsidTr="009C1040">
        <w:trPr>
          <w:trHeight w:val="315"/>
        </w:trPr>
        <w:tc>
          <w:tcPr>
            <w:tcW w:w="1271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i/>
                <w:sz w:val="20"/>
                <w:szCs w:val="20"/>
              </w:rPr>
            </w:pPr>
          </w:p>
        </w:tc>
        <w:tc>
          <w:tcPr>
            <w:tcW w:w="993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i/>
                <w:sz w:val="20"/>
                <w:szCs w:val="20"/>
              </w:rPr>
            </w:pPr>
          </w:p>
        </w:tc>
        <w:tc>
          <w:tcPr>
            <w:tcW w:w="925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i/>
                <w:sz w:val="20"/>
                <w:szCs w:val="20"/>
              </w:rPr>
            </w:pPr>
          </w:p>
        </w:tc>
        <w:tc>
          <w:tcPr>
            <w:tcW w:w="1540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i/>
                <w:sz w:val="20"/>
                <w:szCs w:val="20"/>
              </w:rPr>
            </w:pPr>
          </w:p>
        </w:tc>
        <w:tc>
          <w:tcPr>
            <w:tcW w:w="1823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i/>
                <w:sz w:val="20"/>
                <w:szCs w:val="20"/>
              </w:rPr>
            </w:pPr>
          </w:p>
        </w:tc>
        <w:tc>
          <w:tcPr>
            <w:tcW w:w="1061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i/>
                <w:sz w:val="20"/>
                <w:szCs w:val="20"/>
              </w:rPr>
            </w:pPr>
          </w:p>
        </w:tc>
        <w:tc>
          <w:tcPr>
            <w:tcW w:w="820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i/>
                <w:sz w:val="20"/>
                <w:szCs w:val="20"/>
              </w:rPr>
            </w:pPr>
          </w:p>
        </w:tc>
        <w:tc>
          <w:tcPr>
            <w:tcW w:w="910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i/>
                <w:sz w:val="20"/>
                <w:szCs w:val="20"/>
              </w:rPr>
            </w:pPr>
          </w:p>
        </w:tc>
        <w:tc>
          <w:tcPr>
            <w:tcW w:w="571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i/>
                <w:sz w:val="20"/>
                <w:szCs w:val="20"/>
              </w:rPr>
            </w:pPr>
          </w:p>
        </w:tc>
        <w:tc>
          <w:tcPr>
            <w:tcW w:w="556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i/>
                <w:sz w:val="20"/>
                <w:szCs w:val="20"/>
              </w:rPr>
            </w:pPr>
          </w:p>
        </w:tc>
        <w:tc>
          <w:tcPr>
            <w:tcW w:w="1031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i/>
                <w:sz w:val="20"/>
                <w:szCs w:val="20"/>
              </w:rPr>
            </w:pPr>
          </w:p>
        </w:tc>
        <w:tc>
          <w:tcPr>
            <w:tcW w:w="872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1189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</w:tr>
      <w:tr w:rsidR="009C1040" w:rsidRPr="007E1CC9" w:rsidTr="009C1040">
        <w:trPr>
          <w:trHeight w:val="315"/>
        </w:trPr>
        <w:tc>
          <w:tcPr>
            <w:tcW w:w="1271" w:type="dxa"/>
            <w:vMerge w:val="restart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Ámbito de Desempeño:</w:t>
            </w:r>
          </w:p>
        </w:tc>
        <w:tc>
          <w:tcPr>
            <w:tcW w:w="993" w:type="dxa"/>
            <w:vMerge w:val="restart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Objetivo:</w:t>
            </w:r>
          </w:p>
        </w:tc>
        <w:tc>
          <w:tcPr>
            <w:tcW w:w="11298" w:type="dxa"/>
            <w:gridSpan w:val="11"/>
            <w:noWrap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INDICADORES</w:t>
            </w:r>
          </w:p>
        </w:tc>
      </w:tr>
      <w:tr w:rsidR="009C1040" w:rsidRPr="007E1CC9" w:rsidTr="009C1040">
        <w:trPr>
          <w:trHeight w:val="960"/>
        </w:trPr>
        <w:tc>
          <w:tcPr>
            <w:tcW w:w="1271" w:type="dxa"/>
            <w:vMerge/>
            <w:hideMark/>
          </w:tcPr>
          <w:p w:rsidR="00346EB6" w:rsidRPr="007E1CC9" w:rsidRDefault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346EB6" w:rsidRPr="007E1CC9" w:rsidRDefault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</w:p>
        </w:tc>
        <w:tc>
          <w:tcPr>
            <w:tcW w:w="925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Número y Nombre:</w:t>
            </w:r>
          </w:p>
        </w:tc>
        <w:tc>
          <w:tcPr>
            <w:tcW w:w="1540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Definición:</w:t>
            </w:r>
          </w:p>
        </w:tc>
        <w:tc>
          <w:tcPr>
            <w:tcW w:w="1823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Variables</w:t>
            </w:r>
          </w:p>
        </w:tc>
        <w:tc>
          <w:tcPr>
            <w:tcW w:w="106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Tendencia</w:t>
            </w:r>
          </w:p>
        </w:tc>
        <w:tc>
          <w:tcPr>
            <w:tcW w:w="820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 xml:space="preserve"> Método de cálculo</w:t>
            </w:r>
          </w:p>
        </w:tc>
        <w:tc>
          <w:tcPr>
            <w:tcW w:w="910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57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Línea base</w:t>
            </w:r>
          </w:p>
        </w:tc>
        <w:tc>
          <w:tcPr>
            <w:tcW w:w="556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Meta</w:t>
            </w:r>
          </w:p>
        </w:tc>
        <w:tc>
          <w:tcPr>
            <w:tcW w:w="103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Periodicidad</w:t>
            </w:r>
          </w:p>
        </w:tc>
        <w:tc>
          <w:tcPr>
            <w:tcW w:w="872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Resultado del período</w:t>
            </w:r>
          </w:p>
        </w:tc>
        <w:tc>
          <w:tcPr>
            <w:tcW w:w="118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Observaciones</w:t>
            </w:r>
          </w:p>
        </w:tc>
      </w:tr>
      <w:tr w:rsidR="009C1040" w:rsidRPr="007E1CC9" w:rsidTr="009C1040">
        <w:trPr>
          <w:trHeight w:val="2775"/>
        </w:trPr>
        <w:tc>
          <w:tcPr>
            <w:tcW w:w="1271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COMPONENTE</w:t>
            </w:r>
          </w:p>
        </w:tc>
        <w:tc>
          <w:tcPr>
            <w:tcW w:w="993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Incrementar la confianza en las instituciones de apoyo para el acceso a la justicia en Yucatán</w:t>
            </w:r>
          </w:p>
        </w:tc>
        <w:tc>
          <w:tcPr>
            <w:tcW w:w="925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20,609 Variación porcentual de asesorías legales otorgadas</w:t>
            </w:r>
          </w:p>
        </w:tc>
        <w:tc>
          <w:tcPr>
            <w:tcW w:w="1540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Mide el cambio porcentual con respecto al año base de asesorías legales que se otorgan en el trimestre con respecto al trimestre del año pasado.</w:t>
            </w:r>
          </w:p>
        </w:tc>
        <w:tc>
          <w:tcPr>
            <w:tcW w:w="1823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B= Total de asesorías otorgadas en el año actual.                                            C= Total de asesorías otorgadas en el año anterior.</w:t>
            </w:r>
          </w:p>
        </w:tc>
        <w:tc>
          <w:tcPr>
            <w:tcW w:w="1061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Ascendente</w:t>
            </w:r>
          </w:p>
        </w:tc>
        <w:tc>
          <w:tcPr>
            <w:tcW w:w="820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((B-C)/C)*100</w:t>
            </w:r>
          </w:p>
        </w:tc>
        <w:tc>
          <w:tcPr>
            <w:tcW w:w="910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Variación porcentual</w:t>
            </w:r>
          </w:p>
        </w:tc>
        <w:tc>
          <w:tcPr>
            <w:tcW w:w="57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4.71</w:t>
            </w:r>
          </w:p>
        </w:tc>
        <w:tc>
          <w:tcPr>
            <w:tcW w:w="556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18</w:t>
            </w:r>
          </w:p>
        </w:tc>
        <w:tc>
          <w:tcPr>
            <w:tcW w:w="103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Trimestral</w:t>
            </w:r>
          </w:p>
        </w:tc>
        <w:tc>
          <w:tcPr>
            <w:tcW w:w="872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-1.66%</w:t>
            </w:r>
          </w:p>
        </w:tc>
        <w:tc>
          <w:tcPr>
            <w:tcW w:w="118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Se atendieron 1.66% menos asesorías en el año actual, respecto al año anterior.</w:t>
            </w:r>
          </w:p>
        </w:tc>
      </w:tr>
      <w:tr w:rsidR="009C1040" w:rsidRPr="007E1CC9" w:rsidTr="009C1040">
        <w:trPr>
          <w:trHeight w:val="2430"/>
        </w:trPr>
        <w:tc>
          <w:tcPr>
            <w:tcW w:w="1271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ACTIVIDAD</w:t>
            </w:r>
          </w:p>
        </w:tc>
        <w:tc>
          <w:tcPr>
            <w:tcW w:w="993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Incrementar la confianza en las instituciones de apoyo para el acceso a la justicia en Yucatán</w:t>
            </w:r>
          </w:p>
        </w:tc>
        <w:tc>
          <w:tcPr>
            <w:tcW w:w="925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21,935 Porcentaje de solicitudes de asesorías legales</w:t>
            </w:r>
          </w:p>
        </w:tc>
        <w:tc>
          <w:tcPr>
            <w:tcW w:w="1540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proofErr w:type="spellStart"/>
            <w:r w:rsidRPr="007E1CC9">
              <w:rPr>
                <w:rFonts w:ascii="Barlow" w:hAnsi="Barlow" w:cs="Arial"/>
                <w:sz w:val="20"/>
                <w:szCs w:val="20"/>
              </w:rPr>
              <w:t>Midel</w:t>
            </w:r>
            <w:proofErr w:type="spellEnd"/>
            <w:r w:rsidRPr="007E1CC9">
              <w:rPr>
                <w:rFonts w:ascii="Barlow" w:hAnsi="Barlow" w:cs="Arial"/>
                <w:sz w:val="20"/>
                <w:szCs w:val="20"/>
              </w:rPr>
              <w:t xml:space="preserve"> el porcentaje de solicitudes de asesorías legales que fueron atendidas en los términos legales establecidos.</w:t>
            </w:r>
          </w:p>
        </w:tc>
        <w:tc>
          <w:tcPr>
            <w:tcW w:w="1823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B= Total de solicitudes de asesorías atendidas.                           C= Total de asesorías recibidas.</w:t>
            </w:r>
          </w:p>
        </w:tc>
        <w:tc>
          <w:tcPr>
            <w:tcW w:w="1061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Ascendente</w:t>
            </w:r>
          </w:p>
        </w:tc>
        <w:tc>
          <w:tcPr>
            <w:tcW w:w="820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(B/C)*100</w:t>
            </w:r>
          </w:p>
        </w:tc>
        <w:tc>
          <w:tcPr>
            <w:tcW w:w="910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Porcentaje</w:t>
            </w:r>
          </w:p>
        </w:tc>
        <w:tc>
          <w:tcPr>
            <w:tcW w:w="57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95.6</w:t>
            </w:r>
          </w:p>
        </w:tc>
        <w:tc>
          <w:tcPr>
            <w:tcW w:w="556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99.72</w:t>
            </w:r>
          </w:p>
        </w:tc>
        <w:tc>
          <w:tcPr>
            <w:tcW w:w="103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Trimestral</w:t>
            </w:r>
          </w:p>
        </w:tc>
        <w:tc>
          <w:tcPr>
            <w:tcW w:w="872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100%</w:t>
            </w:r>
          </w:p>
        </w:tc>
        <w:tc>
          <w:tcPr>
            <w:tcW w:w="118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Se atendió el 100% de las solicitudes de asesorías recibidas</w:t>
            </w:r>
          </w:p>
        </w:tc>
      </w:tr>
      <w:tr w:rsidR="009C1040" w:rsidRPr="007E1CC9" w:rsidTr="009C1040">
        <w:trPr>
          <w:trHeight w:val="3810"/>
        </w:trPr>
        <w:tc>
          <w:tcPr>
            <w:tcW w:w="1271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COMPONENTE</w:t>
            </w:r>
          </w:p>
        </w:tc>
        <w:tc>
          <w:tcPr>
            <w:tcW w:w="993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Incrementar la confianza en las instituciones de apoyo para el acceso a la justicia en Yucatán</w:t>
            </w:r>
          </w:p>
        </w:tc>
        <w:tc>
          <w:tcPr>
            <w:tcW w:w="925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20,623 Variación porcentual de demandas, denuncias y querellas atendidas</w:t>
            </w:r>
          </w:p>
        </w:tc>
        <w:tc>
          <w:tcPr>
            <w:tcW w:w="1540" w:type="dxa"/>
            <w:hideMark/>
          </w:tcPr>
          <w:p w:rsidR="00346EB6" w:rsidRPr="007E1CC9" w:rsidRDefault="00346EB6" w:rsidP="009C1040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Mid</w:t>
            </w:r>
            <w:r w:rsidR="009C1040" w:rsidRPr="007E1CC9">
              <w:rPr>
                <w:rFonts w:ascii="Barlow" w:hAnsi="Barlow" w:cs="Arial"/>
                <w:sz w:val="20"/>
                <w:szCs w:val="20"/>
              </w:rPr>
              <w:t xml:space="preserve">e </w:t>
            </w:r>
            <w:r w:rsidRPr="007E1CC9">
              <w:rPr>
                <w:rFonts w:ascii="Barlow" w:hAnsi="Barlow" w:cs="Arial"/>
                <w:sz w:val="20"/>
                <w:szCs w:val="20"/>
              </w:rPr>
              <w:t>el  cambio porcentual con respecto al año base de las demandas, denuncias y querellas a petición de las partes con respecto al trimestre del año pasado.</w:t>
            </w:r>
          </w:p>
        </w:tc>
        <w:tc>
          <w:tcPr>
            <w:tcW w:w="1823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B= Total de demandas, denuncias, querellas atendidas en el año actual.                                          C= Total de demandas, denuncias, querellas atendidas en el año anterior.</w:t>
            </w:r>
          </w:p>
        </w:tc>
        <w:tc>
          <w:tcPr>
            <w:tcW w:w="1061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Descendente</w:t>
            </w:r>
          </w:p>
        </w:tc>
        <w:tc>
          <w:tcPr>
            <w:tcW w:w="820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((B-C)/C)*100</w:t>
            </w:r>
          </w:p>
        </w:tc>
        <w:tc>
          <w:tcPr>
            <w:tcW w:w="910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Variación porcentual</w:t>
            </w:r>
          </w:p>
        </w:tc>
        <w:tc>
          <w:tcPr>
            <w:tcW w:w="57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20.69</w:t>
            </w:r>
          </w:p>
        </w:tc>
        <w:tc>
          <w:tcPr>
            <w:tcW w:w="556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15.99</w:t>
            </w:r>
          </w:p>
        </w:tc>
        <w:tc>
          <w:tcPr>
            <w:tcW w:w="103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Trimestral</w:t>
            </w:r>
          </w:p>
        </w:tc>
        <w:tc>
          <w:tcPr>
            <w:tcW w:w="872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-0.63%</w:t>
            </w:r>
          </w:p>
        </w:tc>
        <w:tc>
          <w:tcPr>
            <w:tcW w:w="118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Se atendieron .63% más demandas, denuncias y querellas, en el año actual, respecto al año anterior.</w:t>
            </w:r>
          </w:p>
        </w:tc>
      </w:tr>
    </w:tbl>
    <w:p w:rsidR="00346EB6" w:rsidRPr="007E1CC9" w:rsidRDefault="00346EB6" w:rsidP="00CB603F">
      <w:pPr>
        <w:rPr>
          <w:rFonts w:ascii="Barlow" w:hAnsi="Barlow" w:cs="Arial"/>
          <w:b/>
          <w:sz w:val="20"/>
          <w:szCs w:val="20"/>
        </w:rPr>
      </w:pPr>
    </w:p>
    <w:p w:rsidR="00346EB6" w:rsidRPr="007E1CC9" w:rsidRDefault="00346EB6" w:rsidP="00CB603F">
      <w:pPr>
        <w:rPr>
          <w:rFonts w:ascii="Barlow" w:hAnsi="Barlow" w:cs="Arial"/>
          <w:b/>
          <w:sz w:val="20"/>
          <w:szCs w:val="20"/>
        </w:rPr>
      </w:pPr>
    </w:p>
    <w:p w:rsidR="00346EB6" w:rsidRPr="007E1CC9" w:rsidRDefault="00346EB6" w:rsidP="00CB603F">
      <w:pPr>
        <w:rPr>
          <w:rFonts w:ascii="Barlow" w:hAnsi="Barlow" w:cs="Arial"/>
          <w:b/>
          <w:sz w:val="20"/>
          <w:szCs w:val="20"/>
        </w:rPr>
      </w:pPr>
    </w:p>
    <w:p w:rsidR="00346EB6" w:rsidRPr="007E1CC9" w:rsidRDefault="00346EB6" w:rsidP="00CB603F">
      <w:pPr>
        <w:rPr>
          <w:rFonts w:ascii="Barlow" w:hAnsi="Barlow" w:cs="Arial"/>
          <w:b/>
          <w:sz w:val="20"/>
          <w:szCs w:val="20"/>
        </w:rPr>
      </w:pPr>
    </w:p>
    <w:p w:rsidR="00346EB6" w:rsidRPr="007E1CC9" w:rsidRDefault="00346EB6" w:rsidP="00CB603F">
      <w:pPr>
        <w:rPr>
          <w:rFonts w:ascii="Barlow" w:hAnsi="Barlow" w:cs="Arial"/>
          <w:b/>
          <w:sz w:val="20"/>
          <w:szCs w:val="20"/>
        </w:rPr>
      </w:pPr>
    </w:p>
    <w:p w:rsidR="00346EB6" w:rsidRPr="007E1CC9" w:rsidRDefault="00346EB6" w:rsidP="00CB603F">
      <w:pPr>
        <w:rPr>
          <w:rFonts w:ascii="Barlow" w:hAnsi="Barlow" w:cs="Arial"/>
          <w:b/>
          <w:sz w:val="20"/>
          <w:szCs w:val="20"/>
        </w:rPr>
      </w:pPr>
    </w:p>
    <w:p w:rsidR="00346EB6" w:rsidRPr="007E1CC9" w:rsidRDefault="00346EB6" w:rsidP="00CB603F">
      <w:pPr>
        <w:rPr>
          <w:rFonts w:ascii="Barlow" w:hAnsi="Barlow" w:cs="Arial"/>
          <w:b/>
          <w:sz w:val="20"/>
          <w:szCs w:val="20"/>
        </w:rPr>
      </w:pPr>
    </w:p>
    <w:p w:rsidR="00346EB6" w:rsidRPr="007E1CC9" w:rsidRDefault="00346EB6" w:rsidP="00CB603F">
      <w:pPr>
        <w:rPr>
          <w:rFonts w:ascii="Barlow" w:hAnsi="Barlow" w:cs="Arial"/>
          <w:b/>
          <w:sz w:val="20"/>
          <w:szCs w:val="20"/>
        </w:rPr>
      </w:pPr>
    </w:p>
    <w:p w:rsidR="00346EB6" w:rsidRPr="007E1CC9" w:rsidRDefault="00346EB6" w:rsidP="00CB603F">
      <w:pPr>
        <w:rPr>
          <w:rFonts w:ascii="Barlow" w:hAnsi="Barlow" w:cs="Arial"/>
          <w:b/>
          <w:sz w:val="20"/>
          <w:szCs w:val="20"/>
        </w:rPr>
      </w:pPr>
    </w:p>
    <w:p w:rsidR="00346EB6" w:rsidRPr="007E1CC9" w:rsidRDefault="00346EB6" w:rsidP="00CB603F">
      <w:pPr>
        <w:rPr>
          <w:rFonts w:ascii="Barlow" w:hAnsi="Barlow" w:cs="Arial"/>
          <w:b/>
          <w:sz w:val="20"/>
          <w:szCs w:val="20"/>
        </w:rPr>
      </w:pPr>
    </w:p>
    <w:p w:rsidR="00346EB6" w:rsidRPr="007E1CC9" w:rsidRDefault="00346EB6" w:rsidP="00CB603F">
      <w:pPr>
        <w:rPr>
          <w:rFonts w:ascii="Barlow" w:hAnsi="Barlow" w:cs="Arial"/>
          <w:b/>
          <w:sz w:val="20"/>
          <w:szCs w:val="20"/>
        </w:rPr>
      </w:pPr>
    </w:p>
    <w:p w:rsidR="00346EB6" w:rsidRPr="007E1CC9" w:rsidRDefault="00346EB6" w:rsidP="00CB603F">
      <w:pPr>
        <w:rPr>
          <w:rFonts w:ascii="Barlow" w:hAnsi="Barlow" w:cs="Arial"/>
          <w:b/>
          <w:sz w:val="20"/>
          <w:szCs w:val="20"/>
        </w:rPr>
      </w:pPr>
    </w:p>
    <w:p w:rsidR="00346EB6" w:rsidRPr="007E1CC9" w:rsidRDefault="00346EB6" w:rsidP="00CB603F">
      <w:pPr>
        <w:rPr>
          <w:rFonts w:ascii="Barlow" w:hAnsi="Barlow" w:cs="Arial"/>
          <w:b/>
          <w:sz w:val="20"/>
          <w:szCs w:val="20"/>
        </w:rPr>
      </w:pPr>
    </w:p>
    <w:p w:rsidR="009C1040" w:rsidRPr="007E1CC9" w:rsidRDefault="009C1040" w:rsidP="00CB603F">
      <w:pPr>
        <w:rPr>
          <w:rFonts w:ascii="Barlow" w:hAnsi="Barlow" w:cs="Arial"/>
          <w:b/>
          <w:sz w:val="20"/>
          <w:szCs w:val="20"/>
        </w:rPr>
      </w:pPr>
    </w:p>
    <w:p w:rsidR="009C1040" w:rsidRPr="007E1CC9" w:rsidRDefault="009C1040" w:rsidP="00CB603F">
      <w:pPr>
        <w:rPr>
          <w:rFonts w:ascii="Barlow" w:hAnsi="Barlow" w:cs="Arial"/>
          <w:b/>
          <w:sz w:val="20"/>
          <w:szCs w:val="20"/>
        </w:rPr>
      </w:pPr>
    </w:p>
    <w:p w:rsidR="009C1040" w:rsidRPr="007E1CC9" w:rsidRDefault="009C1040" w:rsidP="00CB603F">
      <w:pPr>
        <w:rPr>
          <w:rFonts w:ascii="Barlow" w:hAnsi="Barlow" w:cs="Arial"/>
          <w:b/>
          <w:sz w:val="20"/>
          <w:szCs w:val="20"/>
        </w:rPr>
      </w:pPr>
    </w:p>
    <w:p w:rsidR="009C1040" w:rsidRPr="007E1CC9" w:rsidRDefault="009C1040" w:rsidP="00CB603F">
      <w:pPr>
        <w:rPr>
          <w:rFonts w:ascii="Barlow" w:hAnsi="Barlow" w:cs="Arial"/>
          <w:b/>
          <w:sz w:val="20"/>
          <w:szCs w:val="20"/>
        </w:rPr>
      </w:pPr>
    </w:p>
    <w:p w:rsidR="009C1040" w:rsidRPr="007E1CC9" w:rsidRDefault="009C1040" w:rsidP="00CB603F">
      <w:pPr>
        <w:rPr>
          <w:rFonts w:ascii="Barlow" w:hAnsi="Barlow" w:cs="Arial"/>
          <w:b/>
          <w:sz w:val="20"/>
          <w:szCs w:val="20"/>
        </w:rPr>
      </w:pPr>
    </w:p>
    <w:p w:rsidR="009C1040" w:rsidRPr="007E1CC9" w:rsidRDefault="009C1040" w:rsidP="00CB603F">
      <w:pPr>
        <w:rPr>
          <w:rFonts w:ascii="Barlow" w:hAnsi="Barlow" w:cs="Arial"/>
          <w:b/>
          <w:sz w:val="20"/>
          <w:szCs w:val="20"/>
        </w:rPr>
      </w:pPr>
    </w:p>
    <w:p w:rsidR="00346EB6" w:rsidRPr="007E1CC9" w:rsidRDefault="00346EB6" w:rsidP="00CB603F">
      <w:pPr>
        <w:rPr>
          <w:rFonts w:ascii="Barlow" w:hAnsi="Barlow" w:cs="Arial"/>
          <w:b/>
          <w:sz w:val="20"/>
          <w:szCs w:val="20"/>
        </w:rPr>
      </w:pPr>
    </w:p>
    <w:p w:rsidR="00346EB6" w:rsidRPr="007E1CC9" w:rsidRDefault="00346EB6" w:rsidP="00CB603F">
      <w:pPr>
        <w:rPr>
          <w:rFonts w:ascii="Barlow" w:hAnsi="Barlow" w:cs="Arial"/>
          <w:b/>
          <w:sz w:val="20"/>
          <w:szCs w:val="20"/>
        </w:rPr>
      </w:pPr>
    </w:p>
    <w:p w:rsidR="00346EB6" w:rsidRPr="007E1CC9" w:rsidRDefault="00346EB6" w:rsidP="00CB603F">
      <w:pPr>
        <w:rPr>
          <w:rFonts w:ascii="Barlow" w:hAnsi="Barlow" w:cs="Arial"/>
          <w:b/>
          <w:sz w:val="20"/>
          <w:szCs w:val="20"/>
        </w:rPr>
      </w:pPr>
    </w:p>
    <w:p w:rsidR="00346EB6" w:rsidRPr="007E1CC9" w:rsidRDefault="00346EB6" w:rsidP="00CB603F">
      <w:pPr>
        <w:rPr>
          <w:rFonts w:ascii="Barlow" w:hAnsi="Barlow" w:cs="Arial"/>
          <w:b/>
          <w:sz w:val="20"/>
          <w:szCs w:val="20"/>
        </w:rPr>
      </w:pPr>
    </w:p>
    <w:p w:rsidR="00346EB6" w:rsidRPr="007E1CC9" w:rsidRDefault="00346EB6" w:rsidP="00CB603F">
      <w:pPr>
        <w:rPr>
          <w:rFonts w:ascii="Barlow" w:hAnsi="Barlow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3"/>
        <w:gridCol w:w="1006"/>
        <w:gridCol w:w="1291"/>
        <w:gridCol w:w="1307"/>
        <w:gridCol w:w="1469"/>
        <w:gridCol w:w="1041"/>
        <w:gridCol w:w="849"/>
        <w:gridCol w:w="969"/>
        <w:gridCol w:w="595"/>
        <w:gridCol w:w="601"/>
        <w:gridCol w:w="1079"/>
        <w:gridCol w:w="909"/>
        <w:gridCol w:w="1233"/>
      </w:tblGrid>
      <w:tr w:rsidR="009C1040" w:rsidRPr="007E1CC9" w:rsidTr="009C1040">
        <w:trPr>
          <w:trHeight w:val="300"/>
        </w:trPr>
        <w:tc>
          <w:tcPr>
            <w:tcW w:w="2345" w:type="dxa"/>
            <w:gridSpan w:val="2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  <w:lang w:val="es-MX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PROGRAMA PRESUPUESTARIO:</w:t>
            </w:r>
          </w:p>
        </w:tc>
        <w:tc>
          <w:tcPr>
            <w:tcW w:w="5273" w:type="dxa"/>
            <w:gridSpan w:val="4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415 - Certeza Jurídica de Identidad y Patrimonio</w:t>
            </w:r>
          </w:p>
        </w:tc>
        <w:tc>
          <w:tcPr>
            <w:tcW w:w="801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888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619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3636" w:type="dxa"/>
            <w:gridSpan w:val="4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MARZO 2023</w:t>
            </w:r>
          </w:p>
        </w:tc>
      </w:tr>
      <w:tr w:rsidR="009C1040" w:rsidRPr="007E1CC9" w:rsidTr="009C1040">
        <w:trPr>
          <w:trHeight w:val="270"/>
        </w:trPr>
        <w:tc>
          <w:tcPr>
            <w:tcW w:w="1271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1285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1234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1793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961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801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888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619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619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1006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852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1159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</w:tr>
      <w:tr w:rsidR="009C1040" w:rsidRPr="007E1CC9" w:rsidTr="009C1040">
        <w:trPr>
          <w:trHeight w:val="285"/>
        </w:trPr>
        <w:tc>
          <w:tcPr>
            <w:tcW w:w="1271" w:type="dxa"/>
            <w:vMerge w:val="restart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Ámbito de Desempeño:</w:t>
            </w:r>
          </w:p>
        </w:tc>
        <w:tc>
          <w:tcPr>
            <w:tcW w:w="1074" w:type="dxa"/>
            <w:vMerge w:val="restart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Objetivo:</w:t>
            </w:r>
          </w:p>
        </w:tc>
        <w:tc>
          <w:tcPr>
            <w:tcW w:w="11217" w:type="dxa"/>
            <w:gridSpan w:val="11"/>
            <w:noWrap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INDICADORES</w:t>
            </w:r>
          </w:p>
        </w:tc>
      </w:tr>
      <w:tr w:rsidR="009C1040" w:rsidRPr="007E1CC9" w:rsidTr="009C1040">
        <w:trPr>
          <w:trHeight w:val="555"/>
        </w:trPr>
        <w:tc>
          <w:tcPr>
            <w:tcW w:w="1271" w:type="dxa"/>
            <w:vMerge/>
            <w:hideMark/>
          </w:tcPr>
          <w:p w:rsidR="00346EB6" w:rsidRPr="007E1CC9" w:rsidRDefault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</w:p>
        </w:tc>
        <w:tc>
          <w:tcPr>
            <w:tcW w:w="1074" w:type="dxa"/>
            <w:vMerge/>
            <w:hideMark/>
          </w:tcPr>
          <w:p w:rsidR="00346EB6" w:rsidRPr="007E1CC9" w:rsidRDefault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</w:p>
        </w:tc>
        <w:tc>
          <w:tcPr>
            <w:tcW w:w="1285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Número y Nombre:</w:t>
            </w:r>
          </w:p>
        </w:tc>
        <w:tc>
          <w:tcPr>
            <w:tcW w:w="1234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Definición:</w:t>
            </w:r>
          </w:p>
        </w:tc>
        <w:tc>
          <w:tcPr>
            <w:tcW w:w="1793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Variables</w:t>
            </w:r>
          </w:p>
        </w:tc>
        <w:tc>
          <w:tcPr>
            <w:tcW w:w="96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Tendencia</w:t>
            </w:r>
          </w:p>
        </w:tc>
        <w:tc>
          <w:tcPr>
            <w:tcW w:w="80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 xml:space="preserve"> Método de cálculo</w:t>
            </w:r>
          </w:p>
        </w:tc>
        <w:tc>
          <w:tcPr>
            <w:tcW w:w="888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61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Línea base</w:t>
            </w:r>
          </w:p>
        </w:tc>
        <w:tc>
          <w:tcPr>
            <w:tcW w:w="61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Meta</w:t>
            </w:r>
          </w:p>
        </w:tc>
        <w:tc>
          <w:tcPr>
            <w:tcW w:w="1006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Periodicidad</w:t>
            </w:r>
          </w:p>
        </w:tc>
        <w:tc>
          <w:tcPr>
            <w:tcW w:w="852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Resultado del período</w:t>
            </w:r>
          </w:p>
        </w:tc>
        <w:tc>
          <w:tcPr>
            <w:tcW w:w="115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Observaciones</w:t>
            </w:r>
          </w:p>
        </w:tc>
      </w:tr>
      <w:tr w:rsidR="009C1040" w:rsidRPr="007E1CC9" w:rsidTr="009C1040">
        <w:trPr>
          <w:trHeight w:val="1365"/>
        </w:trPr>
        <w:tc>
          <w:tcPr>
            <w:tcW w:w="1271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COMPONENTE</w:t>
            </w:r>
          </w:p>
        </w:tc>
        <w:tc>
          <w:tcPr>
            <w:tcW w:w="1074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 xml:space="preserve">Mejorar la certeza jurídica en el ejercicio de los derechos de identidad y patrimonio de los ciudadanos </w:t>
            </w: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mayores de 18 años en el Estado.</w:t>
            </w:r>
          </w:p>
        </w:tc>
        <w:tc>
          <w:tcPr>
            <w:tcW w:w="1285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20,671 Variación porcentual de trámites presentados ante el Registro Público de la Propiedad y del Comercio, calificados</w:t>
            </w:r>
          </w:p>
        </w:tc>
        <w:tc>
          <w:tcPr>
            <w:tcW w:w="1234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Mide el cambio porcentual de los trámites realizados del Registro Público de la Propiedad y del Comercio el año actual respecto al año anterior.</w:t>
            </w:r>
          </w:p>
        </w:tc>
        <w:tc>
          <w:tcPr>
            <w:tcW w:w="1793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 xml:space="preserve">B = Total de trámites presentados ante el Registro Público de la Propiedad, calificados del año actual C = Total de trámites presentados ante el Registro Público de la </w:t>
            </w: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Propiedad, calificados del año anterior</w:t>
            </w:r>
          </w:p>
        </w:tc>
        <w:tc>
          <w:tcPr>
            <w:tcW w:w="961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Ascendente</w:t>
            </w:r>
          </w:p>
        </w:tc>
        <w:tc>
          <w:tcPr>
            <w:tcW w:w="80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((B-C)/C)*100</w:t>
            </w:r>
          </w:p>
        </w:tc>
        <w:tc>
          <w:tcPr>
            <w:tcW w:w="888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Variación porcentual</w:t>
            </w:r>
          </w:p>
        </w:tc>
        <w:tc>
          <w:tcPr>
            <w:tcW w:w="61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13.85</w:t>
            </w:r>
          </w:p>
        </w:tc>
        <w:tc>
          <w:tcPr>
            <w:tcW w:w="61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1.59</w:t>
            </w:r>
          </w:p>
        </w:tc>
        <w:tc>
          <w:tcPr>
            <w:tcW w:w="1006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Trimestral</w:t>
            </w:r>
          </w:p>
        </w:tc>
        <w:tc>
          <w:tcPr>
            <w:tcW w:w="852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-20%</w:t>
            </w:r>
          </w:p>
        </w:tc>
        <w:tc>
          <w:tcPr>
            <w:tcW w:w="115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 xml:space="preserve">Se calificó 20% menos trámites ingresados en el año actual, respecto al año anterior. </w:t>
            </w:r>
          </w:p>
        </w:tc>
      </w:tr>
      <w:tr w:rsidR="009C1040" w:rsidRPr="007E1CC9" w:rsidTr="009C1040">
        <w:trPr>
          <w:trHeight w:val="1365"/>
        </w:trPr>
        <w:tc>
          <w:tcPr>
            <w:tcW w:w="1271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COMPONENTE</w:t>
            </w:r>
          </w:p>
        </w:tc>
        <w:tc>
          <w:tcPr>
            <w:tcW w:w="1074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Mejorar la certeza jurídica en el ejercicio de los derechos de identidad y patrimonio de los ciudadanos mayores de 18 años en el Estado.</w:t>
            </w:r>
          </w:p>
        </w:tc>
        <w:tc>
          <w:tcPr>
            <w:tcW w:w="1285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20,673 Variación porcentual de trámites inscritos ante el Registro Público de la Propiedad y del Comercio en menos de 15 días</w:t>
            </w:r>
          </w:p>
        </w:tc>
        <w:tc>
          <w:tcPr>
            <w:tcW w:w="1234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Mide el cambio porcentual de trámites no inscritos ante el Registro Público de la Propiedad antes de 15 días en el año actual respecto al año anterior.</w:t>
            </w:r>
          </w:p>
        </w:tc>
        <w:tc>
          <w:tcPr>
            <w:tcW w:w="1793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B = Total de trámites inscritos antes de los 15 días en el Registro Público de la Propiedad en el trimestre del año actual C = Total de trámites inscritos antes de los 15 días en el Registro Público de la Propiedad en el trimestre del año anterior</w:t>
            </w:r>
          </w:p>
        </w:tc>
        <w:tc>
          <w:tcPr>
            <w:tcW w:w="961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Ascendente</w:t>
            </w:r>
          </w:p>
        </w:tc>
        <w:tc>
          <w:tcPr>
            <w:tcW w:w="80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((B-C)/C)*100</w:t>
            </w:r>
          </w:p>
        </w:tc>
        <w:tc>
          <w:tcPr>
            <w:tcW w:w="888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Variación porcentual</w:t>
            </w:r>
          </w:p>
        </w:tc>
        <w:tc>
          <w:tcPr>
            <w:tcW w:w="61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48.72</w:t>
            </w:r>
          </w:p>
        </w:tc>
        <w:tc>
          <w:tcPr>
            <w:tcW w:w="61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6.1</w:t>
            </w:r>
          </w:p>
        </w:tc>
        <w:tc>
          <w:tcPr>
            <w:tcW w:w="1006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Trimestral</w:t>
            </w:r>
          </w:p>
        </w:tc>
        <w:tc>
          <w:tcPr>
            <w:tcW w:w="852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155.46%</w:t>
            </w:r>
          </w:p>
        </w:tc>
        <w:tc>
          <w:tcPr>
            <w:tcW w:w="115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Se atendió 155.46% más de inscripciones en 15 días o menos, el año actual, respecto al año anterior.</w:t>
            </w:r>
          </w:p>
        </w:tc>
      </w:tr>
      <w:tr w:rsidR="009C1040" w:rsidRPr="007E1CC9" w:rsidTr="009C1040">
        <w:trPr>
          <w:trHeight w:val="1365"/>
        </w:trPr>
        <w:tc>
          <w:tcPr>
            <w:tcW w:w="1271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ACTIVIDAD</w:t>
            </w:r>
          </w:p>
        </w:tc>
        <w:tc>
          <w:tcPr>
            <w:tcW w:w="1074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Mejorar la certeza jurídica en el ejercicio de los derechos de identidad y patrimonio de los ciudadanos mayores de 18 años en el Estado.</w:t>
            </w:r>
          </w:p>
        </w:tc>
        <w:tc>
          <w:tcPr>
            <w:tcW w:w="1285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21, 925 Porcentaje de trámites con calificación jurídica</w:t>
            </w:r>
          </w:p>
        </w:tc>
        <w:tc>
          <w:tcPr>
            <w:tcW w:w="1234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Mide la proporción del grado de responsabilidad en la verificación de los trámites para su registro.</w:t>
            </w:r>
          </w:p>
        </w:tc>
        <w:tc>
          <w:tcPr>
            <w:tcW w:w="1793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B = Total de trámites con calificación jurídica registrados C = Total de trámites presentados en el Registro Público</w:t>
            </w:r>
          </w:p>
        </w:tc>
        <w:tc>
          <w:tcPr>
            <w:tcW w:w="961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Ascendente</w:t>
            </w:r>
          </w:p>
        </w:tc>
        <w:tc>
          <w:tcPr>
            <w:tcW w:w="80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(B/C)*100</w:t>
            </w:r>
          </w:p>
        </w:tc>
        <w:tc>
          <w:tcPr>
            <w:tcW w:w="888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Porcentaje</w:t>
            </w:r>
          </w:p>
        </w:tc>
        <w:tc>
          <w:tcPr>
            <w:tcW w:w="61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102.4</w:t>
            </w:r>
          </w:p>
        </w:tc>
        <w:tc>
          <w:tcPr>
            <w:tcW w:w="61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101.41</w:t>
            </w:r>
          </w:p>
        </w:tc>
        <w:tc>
          <w:tcPr>
            <w:tcW w:w="1006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Trimestral</w:t>
            </w:r>
          </w:p>
        </w:tc>
        <w:tc>
          <w:tcPr>
            <w:tcW w:w="852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92.49%</w:t>
            </w:r>
          </w:p>
        </w:tc>
        <w:tc>
          <w:tcPr>
            <w:tcW w:w="115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El 92.49 de los trámites ingresados durante el mes de Febrero, fueron calificados en tiempo.</w:t>
            </w:r>
          </w:p>
        </w:tc>
      </w:tr>
      <w:tr w:rsidR="009C1040" w:rsidRPr="007E1CC9" w:rsidTr="009C1040">
        <w:trPr>
          <w:trHeight w:val="1635"/>
        </w:trPr>
        <w:tc>
          <w:tcPr>
            <w:tcW w:w="1271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ACTIVIDAD</w:t>
            </w:r>
          </w:p>
        </w:tc>
        <w:tc>
          <w:tcPr>
            <w:tcW w:w="1074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 xml:space="preserve">Mejorar la certeza jurídica en el ejercicio de los derechos de identidad y </w:t>
            </w: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patrimonio de los ciudadanos mayores de 18 años en el Estado.</w:t>
            </w:r>
          </w:p>
        </w:tc>
        <w:tc>
          <w:tcPr>
            <w:tcW w:w="1285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21,926 Variación porcentual de actos jurídicos inscritos en la ámbito mobiliario y mercantil</w:t>
            </w:r>
          </w:p>
        </w:tc>
        <w:tc>
          <w:tcPr>
            <w:tcW w:w="1234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 xml:space="preserve">Mide el cambio porcentual del cumplimiento normativo de la inscripción de sociedades y de bienes </w:t>
            </w: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inmuebles en el año actual respecto al año anterior.</w:t>
            </w:r>
          </w:p>
        </w:tc>
        <w:tc>
          <w:tcPr>
            <w:tcW w:w="1793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 xml:space="preserve">B = Total de actos jurídicos llevado por notarios y escribanos sobre ámbito mobiliario y mercantil del trimestre del año actual C = </w:t>
            </w: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Total de actos jurídicos llevado por notarios y escribanos sobre ámbito mobiliario y mercantil del trimestre del año anterior</w:t>
            </w:r>
          </w:p>
        </w:tc>
        <w:tc>
          <w:tcPr>
            <w:tcW w:w="961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Ascendente</w:t>
            </w:r>
          </w:p>
        </w:tc>
        <w:tc>
          <w:tcPr>
            <w:tcW w:w="80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((B-C)/C)*100</w:t>
            </w:r>
          </w:p>
        </w:tc>
        <w:tc>
          <w:tcPr>
            <w:tcW w:w="888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Variación porcentual</w:t>
            </w:r>
          </w:p>
        </w:tc>
        <w:tc>
          <w:tcPr>
            <w:tcW w:w="61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-29.99</w:t>
            </w:r>
          </w:p>
        </w:tc>
        <w:tc>
          <w:tcPr>
            <w:tcW w:w="61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30.35</w:t>
            </w:r>
          </w:p>
        </w:tc>
        <w:tc>
          <w:tcPr>
            <w:tcW w:w="1006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Trimestral</w:t>
            </w:r>
          </w:p>
        </w:tc>
        <w:tc>
          <w:tcPr>
            <w:tcW w:w="852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-52.04%</w:t>
            </w:r>
          </w:p>
        </w:tc>
        <w:tc>
          <w:tcPr>
            <w:tcW w:w="115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Se obtuvo una variación porcentual del -52.04% respecto al año anterior</w:t>
            </w:r>
          </w:p>
        </w:tc>
      </w:tr>
      <w:tr w:rsidR="009C1040" w:rsidRPr="007E1CC9" w:rsidTr="009C1040">
        <w:trPr>
          <w:trHeight w:val="1635"/>
        </w:trPr>
        <w:tc>
          <w:tcPr>
            <w:tcW w:w="1271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ACTIVIDAD</w:t>
            </w:r>
          </w:p>
        </w:tc>
        <w:tc>
          <w:tcPr>
            <w:tcW w:w="1074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Mejorar la certeza jurídica en el ejercicio de los derechos de identidad y patrimonio de los ciudadanos mayores de 18 años en el Estado.</w:t>
            </w:r>
          </w:p>
        </w:tc>
        <w:tc>
          <w:tcPr>
            <w:tcW w:w="1285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21,927 Variación porcentual de la actualización de los datos del Registro Público de la Propiedad y del Comercio</w:t>
            </w:r>
          </w:p>
        </w:tc>
        <w:tc>
          <w:tcPr>
            <w:tcW w:w="1234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Mide el cambio porcentual de la actualización de los datos contenidos en el Sistema del Registro Público de la Propiedad en el año actual respecto al año anterior.</w:t>
            </w:r>
          </w:p>
        </w:tc>
        <w:tc>
          <w:tcPr>
            <w:tcW w:w="1793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B = Total de datos actualizados del registro de la propiedad del año actual   C = Total de datos actualizados del registro de la propiedad del año anterior</w:t>
            </w:r>
          </w:p>
        </w:tc>
        <w:tc>
          <w:tcPr>
            <w:tcW w:w="961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Ascendente</w:t>
            </w:r>
          </w:p>
        </w:tc>
        <w:tc>
          <w:tcPr>
            <w:tcW w:w="80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((B-C)/C)*100</w:t>
            </w:r>
          </w:p>
        </w:tc>
        <w:tc>
          <w:tcPr>
            <w:tcW w:w="888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Variación porcentual</w:t>
            </w:r>
          </w:p>
        </w:tc>
        <w:tc>
          <w:tcPr>
            <w:tcW w:w="61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5.27</w:t>
            </w:r>
          </w:p>
        </w:tc>
        <w:tc>
          <w:tcPr>
            <w:tcW w:w="61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16</w:t>
            </w:r>
          </w:p>
        </w:tc>
        <w:tc>
          <w:tcPr>
            <w:tcW w:w="1006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Trimestral</w:t>
            </w:r>
          </w:p>
        </w:tc>
        <w:tc>
          <w:tcPr>
            <w:tcW w:w="852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25.46%</w:t>
            </w:r>
          </w:p>
        </w:tc>
        <w:tc>
          <w:tcPr>
            <w:tcW w:w="115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 xml:space="preserve">Se han ingresado 25.46% inscripciones en el año actual respecto al anterior. </w:t>
            </w:r>
          </w:p>
        </w:tc>
      </w:tr>
      <w:tr w:rsidR="009C1040" w:rsidRPr="007E1CC9" w:rsidTr="009C1040">
        <w:trPr>
          <w:trHeight w:val="1365"/>
        </w:trPr>
        <w:tc>
          <w:tcPr>
            <w:tcW w:w="1271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COMPONENTE</w:t>
            </w:r>
          </w:p>
        </w:tc>
        <w:tc>
          <w:tcPr>
            <w:tcW w:w="1074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Mejorar la certeza jurídica en el ejercicio de los derechos de identidad y patrimonio de los ciudadanos mayores de 18 años en el Estado.</w:t>
            </w:r>
          </w:p>
        </w:tc>
        <w:tc>
          <w:tcPr>
            <w:tcW w:w="1285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20,674 Variación porcentual del padrón catastral vinculado a la cartografía digital en el Estado</w:t>
            </w:r>
          </w:p>
        </w:tc>
        <w:tc>
          <w:tcPr>
            <w:tcW w:w="1234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Mide el cambio porcentual de la incorporación del padrón del Catastro al padrón digital en el año actual respecto al año anterior.</w:t>
            </w:r>
          </w:p>
        </w:tc>
        <w:tc>
          <w:tcPr>
            <w:tcW w:w="1793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B = Total del padrón catastral vinculado a la cartografía digital del Estado en el año actual</w:t>
            </w:r>
            <w:r w:rsidRPr="007E1CC9">
              <w:rPr>
                <w:rFonts w:ascii="Barlow" w:hAnsi="Barlow" w:cs="Arial"/>
                <w:sz w:val="20"/>
                <w:szCs w:val="20"/>
              </w:rPr>
              <w:br/>
              <w:t>C = Total del padrón catastral vinculado a la cartografía digital del Estado en el año anterior</w:t>
            </w:r>
          </w:p>
        </w:tc>
        <w:tc>
          <w:tcPr>
            <w:tcW w:w="961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Ascendente</w:t>
            </w:r>
          </w:p>
        </w:tc>
        <w:tc>
          <w:tcPr>
            <w:tcW w:w="80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((B-C)/C)*100</w:t>
            </w:r>
          </w:p>
        </w:tc>
        <w:tc>
          <w:tcPr>
            <w:tcW w:w="888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Variación porcentual</w:t>
            </w:r>
          </w:p>
        </w:tc>
        <w:tc>
          <w:tcPr>
            <w:tcW w:w="61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111.18</w:t>
            </w:r>
          </w:p>
        </w:tc>
        <w:tc>
          <w:tcPr>
            <w:tcW w:w="61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2.9</w:t>
            </w:r>
          </w:p>
        </w:tc>
        <w:tc>
          <w:tcPr>
            <w:tcW w:w="1006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Trimestral</w:t>
            </w:r>
          </w:p>
        </w:tc>
        <w:tc>
          <w:tcPr>
            <w:tcW w:w="852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53.89%</w:t>
            </w:r>
          </w:p>
        </w:tc>
        <w:tc>
          <w:tcPr>
            <w:tcW w:w="115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El padrón catastral vinculado a la cartografía digital del Estado, se encuentra en un 53.89%</w:t>
            </w:r>
          </w:p>
        </w:tc>
      </w:tr>
      <w:tr w:rsidR="009C1040" w:rsidRPr="007E1CC9" w:rsidTr="009C1040">
        <w:trPr>
          <w:trHeight w:val="1365"/>
        </w:trPr>
        <w:tc>
          <w:tcPr>
            <w:tcW w:w="1271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COMPONENTE</w:t>
            </w:r>
          </w:p>
        </w:tc>
        <w:tc>
          <w:tcPr>
            <w:tcW w:w="1074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 xml:space="preserve">Mejorar la certeza jurídica en el ejercicio de los derechos de identidad y </w:t>
            </w: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patrimonio de los ciudadanos mayores de 18 años en el Estado.</w:t>
            </w:r>
          </w:p>
        </w:tc>
        <w:tc>
          <w:tcPr>
            <w:tcW w:w="1285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20,676 Variación porcentual del padrón catastral con antecedentes registral y catastral integrado</w:t>
            </w:r>
          </w:p>
        </w:tc>
        <w:tc>
          <w:tcPr>
            <w:tcW w:w="1234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 xml:space="preserve">Mide el cambio porcentual del padrón catastral en sus antecedentes registrales y catastrales en el año </w:t>
            </w: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actual respecto al año anterior.</w:t>
            </w:r>
          </w:p>
        </w:tc>
        <w:tc>
          <w:tcPr>
            <w:tcW w:w="1793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 xml:space="preserve">B = Total del padrón catastral con antecedentes registrales y catastrales del Estado integrados del año actual        C = Total del padrón </w:t>
            </w: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catastral con antecedentes registrales y catastrales del Estado integrados del año anterior</w:t>
            </w:r>
          </w:p>
        </w:tc>
        <w:tc>
          <w:tcPr>
            <w:tcW w:w="961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Ascendente</w:t>
            </w:r>
          </w:p>
        </w:tc>
        <w:tc>
          <w:tcPr>
            <w:tcW w:w="80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((B-C)/C)*100</w:t>
            </w:r>
          </w:p>
        </w:tc>
        <w:tc>
          <w:tcPr>
            <w:tcW w:w="888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Variación porcentual</w:t>
            </w:r>
          </w:p>
        </w:tc>
        <w:tc>
          <w:tcPr>
            <w:tcW w:w="61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9.91</w:t>
            </w:r>
          </w:p>
        </w:tc>
        <w:tc>
          <w:tcPr>
            <w:tcW w:w="61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16</w:t>
            </w:r>
          </w:p>
        </w:tc>
        <w:tc>
          <w:tcPr>
            <w:tcW w:w="1006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Trimestral</w:t>
            </w:r>
          </w:p>
        </w:tc>
        <w:tc>
          <w:tcPr>
            <w:tcW w:w="852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12.54%</w:t>
            </w:r>
          </w:p>
        </w:tc>
        <w:tc>
          <w:tcPr>
            <w:tcW w:w="115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El padrón catastral vinculado con antecedentes registral y catastral integrado se encuentra al 12.54%</w:t>
            </w:r>
          </w:p>
        </w:tc>
      </w:tr>
      <w:tr w:rsidR="009C1040" w:rsidRPr="007E1CC9" w:rsidTr="009C1040">
        <w:trPr>
          <w:trHeight w:val="1365"/>
        </w:trPr>
        <w:tc>
          <w:tcPr>
            <w:tcW w:w="1271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ACTIVIDAD</w:t>
            </w:r>
          </w:p>
        </w:tc>
        <w:tc>
          <w:tcPr>
            <w:tcW w:w="1074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Mejorar la certeza jurídica en el ejercicio de los derechos de identidad y patrimonio de los ciudadanos mayores de 18 años en el Estado.</w:t>
            </w:r>
          </w:p>
        </w:tc>
        <w:tc>
          <w:tcPr>
            <w:tcW w:w="1285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21,928 Tiempo promedio implementado para la verificación y análisis de la documentación</w:t>
            </w:r>
          </w:p>
        </w:tc>
        <w:tc>
          <w:tcPr>
            <w:tcW w:w="1234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Mide si el tiempo de validación y análisis es adecuado para los servicios catastrales.</w:t>
            </w:r>
          </w:p>
        </w:tc>
        <w:tc>
          <w:tcPr>
            <w:tcW w:w="1793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B = Total de días que transcurre en que se recibe hasta la validación y análisis de los servicios catastrales en el trimestre C = Total de servicios catastrales validadas en el trimestre</w:t>
            </w:r>
          </w:p>
        </w:tc>
        <w:tc>
          <w:tcPr>
            <w:tcW w:w="961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Ascendente</w:t>
            </w:r>
          </w:p>
        </w:tc>
        <w:tc>
          <w:tcPr>
            <w:tcW w:w="80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SUM B/C</w:t>
            </w:r>
          </w:p>
        </w:tc>
        <w:tc>
          <w:tcPr>
            <w:tcW w:w="888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Promedio de días</w:t>
            </w:r>
          </w:p>
        </w:tc>
        <w:tc>
          <w:tcPr>
            <w:tcW w:w="61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61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1006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Trimestral</w:t>
            </w:r>
          </w:p>
        </w:tc>
        <w:tc>
          <w:tcPr>
            <w:tcW w:w="852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1.10 días</w:t>
            </w:r>
          </w:p>
        </w:tc>
        <w:tc>
          <w:tcPr>
            <w:tcW w:w="115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Se requirió de 1. 10 días para la validación y análisis de los trámites y servicios catastrales ingresados</w:t>
            </w:r>
          </w:p>
        </w:tc>
      </w:tr>
      <w:tr w:rsidR="009C1040" w:rsidRPr="007E1CC9" w:rsidTr="009C1040">
        <w:trPr>
          <w:trHeight w:val="1365"/>
        </w:trPr>
        <w:tc>
          <w:tcPr>
            <w:tcW w:w="1271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ACTIVIDAD</w:t>
            </w:r>
          </w:p>
        </w:tc>
        <w:tc>
          <w:tcPr>
            <w:tcW w:w="1074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Mejorar la certeza jurídica en el ejercicio de los derechos de identidad y patrimonio de los ciudadanos mayores de 18 años en el Estado.</w:t>
            </w:r>
          </w:p>
        </w:tc>
        <w:tc>
          <w:tcPr>
            <w:tcW w:w="1285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21,929 Porcentaje de trabajos técnico elaborados</w:t>
            </w:r>
          </w:p>
        </w:tc>
        <w:tc>
          <w:tcPr>
            <w:tcW w:w="1234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Mide la proporción de los trabajos del área técnica realizados en campo y gabinete.</w:t>
            </w:r>
          </w:p>
        </w:tc>
        <w:tc>
          <w:tcPr>
            <w:tcW w:w="1793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B = Total de trabajos técnico elaborados C = Total de trabajos técnico solicitados</w:t>
            </w:r>
          </w:p>
        </w:tc>
        <w:tc>
          <w:tcPr>
            <w:tcW w:w="961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Ascendente</w:t>
            </w:r>
          </w:p>
        </w:tc>
        <w:tc>
          <w:tcPr>
            <w:tcW w:w="80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(B/C)*100</w:t>
            </w:r>
          </w:p>
        </w:tc>
        <w:tc>
          <w:tcPr>
            <w:tcW w:w="888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Porcentaje</w:t>
            </w:r>
          </w:p>
        </w:tc>
        <w:tc>
          <w:tcPr>
            <w:tcW w:w="61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52.76</w:t>
            </w:r>
          </w:p>
        </w:tc>
        <w:tc>
          <w:tcPr>
            <w:tcW w:w="61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57.69</w:t>
            </w:r>
          </w:p>
        </w:tc>
        <w:tc>
          <w:tcPr>
            <w:tcW w:w="1006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Trimestral</w:t>
            </w:r>
          </w:p>
        </w:tc>
        <w:tc>
          <w:tcPr>
            <w:tcW w:w="852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52%</w:t>
            </w:r>
          </w:p>
        </w:tc>
        <w:tc>
          <w:tcPr>
            <w:tcW w:w="115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El 52% de los trabajos del área técnica catastral fueron elaborados.</w:t>
            </w:r>
          </w:p>
        </w:tc>
      </w:tr>
      <w:tr w:rsidR="009C1040" w:rsidRPr="007E1CC9" w:rsidTr="009C1040">
        <w:trPr>
          <w:trHeight w:val="1365"/>
        </w:trPr>
        <w:tc>
          <w:tcPr>
            <w:tcW w:w="1271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ACTIVIDAD</w:t>
            </w:r>
          </w:p>
        </w:tc>
        <w:tc>
          <w:tcPr>
            <w:tcW w:w="1074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 xml:space="preserve">Mejorar la certeza jurídica en el ejercicio de los derechos de identidad y </w:t>
            </w: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patrimonio de los ciudadanos mayores de 18 años en el Estado.</w:t>
            </w:r>
          </w:p>
        </w:tc>
        <w:tc>
          <w:tcPr>
            <w:tcW w:w="1285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21,931 Variación porcentual de la actualización del padrón catastral</w:t>
            </w:r>
          </w:p>
        </w:tc>
        <w:tc>
          <w:tcPr>
            <w:tcW w:w="1234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 xml:space="preserve">Mide el cambio porcentual de </w:t>
            </w:r>
            <w:r w:rsidR="009C1040" w:rsidRPr="007E1CC9">
              <w:rPr>
                <w:rFonts w:ascii="Barlow" w:hAnsi="Barlow" w:cs="Arial"/>
                <w:sz w:val="20"/>
                <w:szCs w:val="20"/>
              </w:rPr>
              <w:t>la actualización</w:t>
            </w:r>
            <w:r w:rsidRPr="007E1CC9">
              <w:rPr>
                <w:rFonts w:ascii="Barlow" w:hAnsi="Barlow" w:cs="Arial"/>
                <w:sz w:val="20"/>
                <w:szCs w:val="20"/>
              </w:rPr>
              <w:t xml:space="preserve"> del padrón catastral en el año actual respecto al año anterior.</w:t>
            </w:r>
          </w:p>
        </w:tc>
        <w:tc>
          <w:tcPr>
            <w:tcW w:w="1793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B = Total de padrón catastral actualizado en el año actual C = Total de padrón catastral actualizado en el año anterior</w:t>
            </w:r>
          </w:p>
        </w:tc>
        <w:tc>
          <w:tcPr>
            <w:tcW w:w="961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Ascendente</w:t>
            </w:r>
          </w:p>
        </w:tc>
        <w:tc>
          <w:tcPr>
            <w:tcW w:w="801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((B-C)/C)*100</w:t>
            </w:r>
          </w:p>
        </w:tc>
        <w:tc>
          <w:tcPr>
            <w:tcW w:w="888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Variación porcentual</w:t>
            </w:r>
          </w:p>
        </w:tc>
        <w:tc>
          <w:tcPr>
            <w:tcW w:w="61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-30.35</w:t>
            </w:r>
          </w:p>
        </w:tc>
        <w:tc>
          <w:tcPr>
            <w:tcW w:w="61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16</w:t>
            </w:r>
          </w:p>
        </w:tc>
        <w:tc>
          <w:tcPr>
            <w:tcW w:w="1006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Trimestral</w:t>
            </w:r>
          </w:p>
        </w:tc>
        <w:tc>
          <w:tcPr>
            <w:tcW w:w="852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21%</w:t>
            </w:r>
          </w:p>
        </w:tc>
        <w:tc>
          <w:tcPr>
            <w:tcW w:w="115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Se atendió 21% más de cédulas catastrales el año actual respecto al anterior.</w:t>
            </w:r>
          </w:p>
        </w:tc>
      </w:tr>
    </w:tbl>
    <w:p w:rsidR="00346EB6" w:rsidRPr="007E1CC9" w:rsidRDefault="00346EB6" w:rsidP="00CB603F">
      <w:pPr>
        <w:rPr>
          <w:rFonts w:ascii="Barlow" w:hAnsi="Barlow" w:cs="Arial"/>
          <w:b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860"/>
        <w:gridCol w:w="1000"/>
        <w:gridCol w:w="2087"/>
        <w:gridCol w:w="1855"/>
        <w:gridCol w:w="1119"/>
        <w:gridCol w:w="714"/>
        <w:gridCol w:w="866"/>
        <w:gridCol w:w="643"/>
        <w:gridCol w:w="545"/>
        <w:gridCol w:w="824"/>
        <w:gridCol w:w="686"/>
        <w:gridCol w:w="1092"/>
      </w:tblGrid>
      <w:tr w:rsidR="00346EB6" w:rsidRPr="007E1CC9" w:rsidTr="009C1040">
        <w:trPr>
          <w:trHeight w:val="300"/>
        </w:trPr>
        <w:tc>
          <w:tcPr>
            <w:tcW w:w="2131" w:type="dxa"/>
            <w:gridSpan w:val="2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  <w:lang w:val="es-MX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PROGRAMA PRESUPUESTARIO:</w:t>
            </w:r>
          </w:p>
        </w:tc>
        <w:tc>
          <w:tcPr>
            <w:tcW w:w="6061" w:type="dxa"/>
            <w:gridSpan w:val="4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422 - Innovación y Eficiencia en la Información para la Gestión Pública</w:t>
            </w:r>
          </w:p>
        </w:tc>
        <w:tc>
          <w:tcPr>
            <w:tcW w:w="714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3147" w:type="dxa"/>
            <w:gridSpan w:val="4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MARZO 2023</w:t>
            </w:r>
          </w:p>
        </w:tc>
      </w:tr>
      <w:tr w:rsidR="009C1040" w:rsidRPr="007E1CC9" w:rsidTr="009C1040">
        <w:trPr>
          <w:trHeight w:val="315"/>
        </w:trPr>
        <w:tc>
          <w:tcPr>
            <w:tcW w:w="1271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860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1000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2087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1855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1119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714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643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545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824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686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1092" w:type="dxa"/>
            <w:noWrap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</w:p>
        </w:tc>
      </w:tr>
      <w:tr w:rsidR="00346EB6" w:rsidRPr="007E1CC9" w:rsidTr="009C1040">
        <w:trPr>
          <w:trHeight w:val="315"/>
        </w:trPr>
        <w:tc>
          <w:tcPr>
            <w:tcW w:w="1271" w:type="dxa"/>
            <w:vMerge w:val="restart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Ámbito de Desempeño:</w:t>
            </w:r>
          </w:p>
        </w:tc>
        <w:tc>
          <w:tcPr>
            <w:tcW w:w="860" w:type="dxa"/>
            <w:vMerge w:val="restart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Objetivo:</w:t>
            </w:r>
          </w:p>
        </w:tc>
        <w:tc>
          <w:tcPr>
            <w:tcW w:w="11431" w:type="dxa"/>
            <w:gridSpan w:val="11"/>
            <w:noWrap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INDICADORES</w:t>
            </w:r>
          </w:p>
        </w:tc>
      </w:tr>
      <w:tr w:rsidR="00346EB6" w:rsidRPr="007E1CC9" w:rsidTr="009C1040">
        <w:trPr>
          <w:trHeight w:val="555"/>
        </w:trPr>
        <w:tc>
          <w:tcPr>
            <w:tcW w:w="1271" w:type="dxa"/>
            <w:vMerge/>
            <w:hideMark/>
          </w:tcPr>
          <w:p w:rsidR="00346EB6" w:rsidRPr="007E1CC9" w:rsidRDefault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:rsidR="00346EB6" w:rsidRPr="007E1CC9" w:rsidRDefault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</w:p>
        </w:tc>
        <w:tc>
          <w:tcPr>
            <w:tcW w:w="1000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Número y Nombre:</w:t>
            </w:r>
          </w:p>
        </w:tc>
        <w:tc>
          <w:tcPr>
            <w:tcW w:w="2087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Definición:</w:t>
            </w:r>
          </w:p>
        </w:tc>
        <w:tc>
          <w:tcPr>
            <w:tcW w:w="1855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Variables</w:t>
            </w:r>
          </w:p>
        </w:tc>
        <w:tc>
          <w:tcPr>
            <w:tcW w:w="111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Tendencia</w:t>
            </w:r>
          </w:p>
        </w:tc>
        <w:tc>
          <w:tcPr>
            <w:tcW w:w="714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 xml:space="preserve"> Método de cálculo</w:t>
            </w:r>
          </w:p>
        </w:tc>
        <w:tc>
          <w:tcPr>
            <w:tcW w:w="866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643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Línea base</w:t>
            </w:r>
          </w:p>
        </w:tc>
        <w:tc>
          <w:tcPr>
            <w:tcW w:w="545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Meta</w:t>
            </w:r>
          </w:p>
        </w:tc>
        <w:tc>
          <w:tcPr>
            <w:tcW w:w="824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Periodicidad</w:t>
            </w:r>
          </w:p>
        </w:tc>
        <w:tc>
          <w:tcPr>
            <w:tcW w:w="686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Resultado del período</w:t>
            </w:r>
          </w:p>
        </w:tc>
        <w:tc>
          <w:tcPr>
            <w:tcW w:w="1092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7E1CC9">
              <w:rPr>
                <w:rFonts w:ascii="Barlow" w:hAnsi="Barlow" w:cs="Arial"/>
                <w:bCs/>
                <w:sz w:val="20"/>
                <w:szCs w:val="20"/>
              </w:rPr>
              <w:t>Observaciones</w:t>
            </w:r>
          </w:p>
        </w:tc>
      </w:tr>
      <w:tr w:rsidR="00346EB6" w:rsidRPr="007E1CC9" w:rsidTr="009C1040">
        <w:trPr>
          <w:trHeight w:val="2811"/>
        </w:trPr>
        <w:tc>
          <w:tcPr>
            <w:tcW w:w="1271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COMPONENTE</w:t>
            </w:r>
          </w:p>
        </w:tc>
        <w:tc>
          <w:tcPr>
            <w:tcW w:w="860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Mejorar la política de datos abiertos de la Administración Pública Estatal</w:t>
            </w: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.</w:t>
            </w:r>
          </w:p>
        </w:tc>
        <w:tc>
          <w:tcPr>
            <w:tcW w:w="1000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lastRenderedPageBreak/>
              <w:t>23,144 Porcentaje de requerimientos atendidos de plataformas tecnológicas</w:t>
            </w:r>
          </w:p>
        </w:tc>
        <w:tc>
          <w:tcPr>
            <w:tcW w:w="2087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Mide la proporción de atención a los requerimientos de desarrollo de plataformas institucionales, administrativas y de atención al público para las dependencias y entidades del Poder Ejecutivo.</w:t>
            </w:r>
          </w:p>
        </w:tc>
        <w:tc>
          <w:tcPr>
            <w:tcW w:w="1855" w:type="dxa"/>
            <w:hideMark/>
          </w:tcPr>
          <w:p w:rsidR="00346EB6" w:rsidRPr="007E1CC9" w:rsidRDefault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B= Total de requerimientos atendidos en el periodo establecido                            C= Total de requerimientos solicitados en el periodo establecido</w:t>
            </w:r>
          </w:p>
        </w:tc>
        <w:tc>
          <w:tcPr>
            <w:tcW w:w="1119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Ascendente</w:t>
            </w:r>
          </w:p>
        </w:tc>
        <w:tc>
          <w:tcPr>
            <w:tcW w:w="714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(B/C)*100</w:t>
            </w:r>
          </w:p>
        </w:tc>
        <w:tc>
          <w:tcPr>
            <w:tcW w:w="866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Porcentaje</w:t>
            </w:r>
          </w:p>
        </w:tc>
        <w:tc>
          <w:tcPr>
            <w:tcW w:w="643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45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80</w:t>
            </w:r>
          </w:p>
        </w:tc>
        <w:tc>
          <w:tcPr>
            <w:tcW w:w="824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Trimestral</w:t>
            </w:r>
          </w:p>
        </w:tc>
        <w:tc>
          <w:tcPr>
            <w:tcW w:w="686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100%</w:t>
            </w:r>
          </w:p>
        </w:tc>
        <w:tc>
          <w:tcPr>
            <w:tcW w:w="1092" w:type="dxa"/>
            <w:hideMark/>
          </w:tcPr>
          <w:p w:rsidR="00346EB6" w:rsidRPr="007E1CC9" w:rsidRDefault="00346EB6" w:rsidP="00346EB6">
            <w:pPr>
              <w:rPr>
                <w:rFonts w:ascii="Barlow" w:hAnsi="Barlow" w:cs="Arial"/>
                <w:sz w:val="20"/>
                <w:szCs w:val="20"/>
              </w:rPr>
            </w:pPr>
            <w:r w:rsidRPr="007E1CC9">
              <w:rPr>
                <w:rFonts w:ascii="Barlow" w:hAnsi="Barlow" w:cs="Arial"/>
                <w:sz w:val="20"/>
                <w:szCs w:val="20"/>
              </w:rPr>
              <w:t>Se atendió el 100% de los requerimientos en plataformas tecnológicas solicitados</w:t>
            </w:r>
          </w:p>
        </w:tc>
      </w:tr>
    </w:tbl>
    <w:p w:rsidR="00346EB6" w:rsidRPr="007E1CC9" w:rsidRDefault="00346EB6" w:rsidP="00CB603F">
      <w:pPr>
        <w:rPr>
          <w:rFonts w:ascii="Barlow" w:hAnsi="Barlow" w:cs="Arial"/>
          <w:sz w:val="20"/>
          <w:szCs w:val="20"/>
        </w:rPr>
      </w:pPr>
    </w:p>
    <w:p w:rsidR="00346EB6" w:rsidRPr="007E1CC9" w:rsidRDefault="00346EB6" w:rsidP="00CB603F">
      <w:pPr>
        <w:rPr>
          <w:rFonts w:ascii="Barlow" w:hAnsi="Barlow" w:cs="Arial"/>
          <w:sz w:val="20"/>
          <w:szCs w:val="20"/>
        </w:rPr>
      </w:pPr>
    </w:p>
    <w:p w:rsidR="00461D67" w:rsidRPr="007E1CC9" w:rsidRDefault="00800CA5" w:rsidP="00CB603F">
      <w:pPr>
        <w:rPr>
          <w:rFonts w:ascii="Barlow" w:hAnsi="Barlow" w:cs="Arial"/>
          <w:b/>
          <w:sz w:val="20"/>
          <w:szCs w:val="20"/>
          <w:lang w:val="es-MX"/>
        </w:rPr>
      </w:pPr>
      <w:r w:rsidRPr="007E1CC9">
        <w:rPr>
          <w:rFonts w:ascii="Barlow" w:hAnsi="Barlow" w:cs="Arial"/>
          <w:sz w:val="20"/>
          <w:szCs w:val="20"/>
        </w:rPr>
        <w:t>Bajo protesta de decir verdad declaramos que los Estados Financieros y sus notas, son razonablemente correctos y son responsabilidad del emisor</w:t>
      </w:r>
      <w:r w:rsidRPr="007E1CC9">
        <w:rPr>
          <w:rFonts w:ascii="Barlow" w:hAnsi="Barlow" w:cs="Arial"/>
          <w:b/>
          <w:sz w:val="20"/>
          <w:szCs w:val="20"/>
        </w:rPr>
        <w:t>.</w:t>
      </w:r>
    </w:p>
    <w:sectPr w:rsidR="00461D67" w:rsidRPr="007E1CC9" w:rsidSect="007E1CC9">
      <w:footerReference w:type="default" r:id="rId6"/>
      <w:pgSz w:w="15840" w:h="12240" w:orient="landscape" w:code="1"/>
      <w:pgMar w:top="2835" w:right="1134" w:bottom="1701" w:left="1134" w:header="0" w:footer="4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09C" w:rsidRDefault="00CF009C">
      <w:r>
        <w:separator/>
      </w:r>
    </w:p>
  </w:endnote>
  <w:endnote w:type="continuationSeparator" w:id="0">
    <w:p w:rsidR="00CF009C" w:rsidRDefault="00CF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A5A" w:rsidRDefault="00590A5A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09C" w:rsidRDefault="00CF009C">
      <w:r>
        <w:separator/>
      </w:r>
    </w:p>
  </w:footnote>
  <w:footnote w:type="continuationSeparator" w:id="0">
    <w:p w:rsidR="00CF009C" w:rsidRDefault="00CF0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42"/>
    <w:rsid w:val="00001A67"/>
    <w:rsid w:val="00022D9F"/>
    <w:rsid w:val="000456CC"/>
    <w:rsid w:val="00081E44"/>
    <w:rsid w:val="000830BF"/>
    <w:rsid w:val="000D2937"/>
    <w:rsid w:val="001235FA"/>
    <w:rsid w:val="00127AA8"/>
    <w:rsid w:val="001C2B9C"/>
    <w:rsid w:val="001E2EEE"/>
    <w:rsid w:val="001F0F19"/>
    <w:rsid w:val="0021354C"/>
    <w:rsid w:val="00222FDB"/>
    <w:rsid w:val="0030553C"/>
    <w:rsid w:val="00321DEB"/>
    <w:rsid w:val="00346EB6"/>
    <w:rsid w:val="00381422"/>
    <w:rsid w:val="00394D0E"/>
    <w:rsid w:val="00394D65"/>
    <w:rsid w:val="003C7263"/>
    <w:rsid w:val="003F722B"/>
    <w:rsid w:val="00424516"/>
    <w:rsid w:val="00461D67"/>
    <w:rsid w:val="00483B59"/>
    <w:rsid w:val="005375B9"/>
    <w:rsid w:val="00552401"/>
    <w:rsid w:val="00590A5A"/>
    <w:rsid w:val="0059469E"/>
    <w:rsid w:val="005C59C6"/>
    <w:rsid w:val="00610F6F"/>
    <w:rsid w:val="00626B97"/>
    <w:rsid w:val="006323F1"/>
    <w:rsid w:val="00662BFB"/>
    <w:rsid w:val="00675998"/>
    <w:rsid w:val="006A7CB5"/>
    <w:rsid w:val="006E19B3"/>
    <w:rsid w:val="006E552C"/>
    <w:rsid w:val="006F493D"/>
    <w:rsid w:val="00706138"/>
    <w:rsid w:val="007463E1"/>
    <w:rsid w:val="007E1CC9"/>
    <w:rsid w:val="00800CA5"/>
    <w:rsid w:val="00813853"/>
    <w:rsid w:val="008769B0"/>
    <w:rsid w:val="008B4694"/>
    <w:rsid w:val="009106F0"/>
    <w:rsid w:val="009334AE"/>
    <w:rsid w:val="00945CEB"/>
    <w:rsid w:val="00970D74"/>
    <w:rsid w:val="009C1040"/>
    <w:rsid w:val="009E396B"/>
    <w:rsid w:val="009F7305"/>
    <w:rsid w:val="00AD349D"/>
    <w:rsid w:val="00B21FC6"/>
    <w:rsid w:val="00B66491"/>
    <w:rsid w:val="00BA2FA1"/>
    <w:rsid w:val="00C17709"/>
    <w:rsid w:val="00CB603F"/>
    <w:rsid w:val="00CE44E4"/>
    <w:rsid w:val="00CF009C"/>
    <w:rsid w:val="00D82F1E"/>
    <w:rsid w:val="00E76D4C"/>
    <w:rsid w:val="00E80275"/>
    <w:rsid w:val="00E900F8"/>
    <w:rsid w:val="00E9716E"/>
    <w:rsid w:val="00ED064E"/>
    <w:rsid w:val="00EE1F42"/>
    <w:rsid w:val="00F44467"/>
    <w:rsid w:val="00FD5811"/>
    <w:rsid w:val="00FD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9018C"/>
  <w15:docId w15:val="{D722C1EE-D725-40C8-9CF3-B0E1FED3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Ttulo">
    <w:name w:val="Title"/>
    <w:basedOn w:val="Normal"/>
    <w:uiPriority w:val="1"/>
    <w:qFormat/>
    <w:pPr>
      <w:spacing w:before="19"/>
      <w:ind w:left="20"/>
    </w:pPr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B60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603F"/>
    <w:rPr>
      <w:rFonts w:ascii="Lucida Sans Unicode" w:eastAsia="Lucida Sans Unicode" w:hAnsi="Lucida Sans Unicode" w:cs="Lucida Sans Unicod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B60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603F"/>
    <w:rPr>
      <w:rFonts w:ascii="Lucida Sans Unicode" w:eastAsia="Lucida Sans Unicode" w:hAnsi="Lucida Sans Unicode" w:cs="Lucida Sans Unicode"/>
      <w:lang w:val="es-ES"/>
    </w:rPr>
  </w:style>
  <w:style w:type="table" w:styleId="Tablaconcuadrcula">
    <w:name w:val="Table Grid"/>
    <w:basedOn w:val="Tablanormal"/>
    <w:uiPriority w:val="39"/>
    <w:rsid w:val="0055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2729</Words>
  <Characters>15013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Sharon Yanelli Lara Medrano</cp:lastModifiedBy>
  <cp:revision>2</cp:revision>
  <dcterms:created xsi:type="dcterms:W3CDTF">2023-04-25T17:38:00Z</dcterms:created>
  <dcterms:modified xsi:type="dcterms:W3CDTF">2023-04-25T17:38:00Z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2022-04-26T00:00:00Z</vt:filetime>
  </property>
</Properties>
</file>