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3DD6D" w14:textId="09C28674" w:rsidR="008041C6" w:rsidRDefault="008041C6">
      <w:bookmarkStart w:id="0" w:name="_GoBack"/>
      <w:bookmarkEnd w:id="0"/>
    </w:p>
    <w:p w14:paraId="677CD1F3" w14:textId="77777777" w:rsidR="008041C6" w:rsidRDefault="008041C6" w:rsidP="008041C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14:paraId="3A8F377C" w14:textId="78C0CEBF" w:rsidR="008041C6" w:rsidRDefault="008041C6" w:rsidP="008041C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14:paraId="23507294" w14:textId="77777777" w:rsidR="008041C6" w:rsidRDefault="008041C6" w:rsidP="008041C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</w:p>
    <w:p w14:paraId="60486C22" w14:textId="77777777" w:rsidR="008041C6" w:rsidRDefault="008041C6" w:rsidP="008041C6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</w:p>
    <w:p w14:paraId="0F405079" w14:textId="53F804BC" w:rsidR="008041C6" w:rsidRPr="008041C6" w:rsidRDefault="008041C6" w:rsidP="008041C6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>
        <w:rPr>
          <w:rFonts w:ascii="Barlow" w:hAnsi="Barlow" w:cs="Arial"/>
          <w:b/>
          <w:sz w:val="20"/>
          <w:szCs w:val="20"/>
        </w:rPr>
        <w:t>Ente Público:  ESCUELA SUPERIOR DE ARTES DE YUCATÁN</w:t>
      </w:r>
    </w:p>
    <w:tbl>
      <w:tblPr>
        <w:tblW w:w="5922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2980"/>
        <w:gridCol w:w="447"/>
        <w:gridCol w:w="1961"/>
        <w:gridCol w:w="1132"/>
        <w:gridCol w:w="666"/>
        <w:gridCol w:w="193"/>
        <w:gridCol w:w="801"/>
        <w:gridCol w:w="193"/>
        <w:gridCol w:w="662"/>
        <w:gridCol w:w="331"/>
        <w:gridCol w:w="891"/>
        <w:gridCol w:w="103"/>
        <w:gridCol w:w="749"/>
        <w:gridCol w:w="244"/>
        <w:gridCol w:w="711"/>
        <w:gridCol w:w="48"/>
        <w:gridCol w:w="10"/>
        <w:gridCol w:w="649"/>
        <w:gridCol w:w="711"/>
        <w:gridCol w:w="849"/>
        <w:gridCol w:w="1710"/>
      </w:tblGrid>
      <w:tr w:rsidR="00C84AFC" w:rsidRPr="008041C6" w14:paraId="0B5A4EDB" w14:textId="77777777" w:rsidTr="008041C6">
        <w:trPr>
          <w:gridBefore w:val="1"/>
          <w:gridAfter w:val="1"/>
          <w:wBefore w:w="11" w:type="pct"/>
          <w:wAfter w:w="533" w:type="pct"/>
          <w:trHeight w:val="375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66F8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4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06B1" w14:textId="57EF7B75" w:rsidR="00C84AFC" w:rsidRPr="008041C6" w:rsidRDefault="00C84AFC" w:rsidP="0094338A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A2E6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6D6308ED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0ABF8004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EA9F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F0C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3532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B4F4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BCCC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4DF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DC40" w14:textId="5B32D2C8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6C3A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2E8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92CD9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6FEA4E01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70B10" w:rsidRPr="008041C6" w14:paraId="4ABC6B50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279" w14:textId="714A8206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 Presupuestario:  </w:t>
            </w:r>
            <w:r w:rsidR="00C631FB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463 Educación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para la Profesionalización Artística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E90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C5A7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2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5B42" w14:textId="4320448F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Población objetivo:  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Los estudiantes de disciplinas artísticas de la Universidad de las Artes de Yucatán 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(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UNAY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)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tienen acceso a la profesionalización artística</w:t>
            </w:r>
          </w:p>
          <w:p w14:paraId="74ABA04E" w14:textId="3DE25E6F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Eje PED: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Yucatán con mejor calidad de vida para las personas </w:t>
            </w:r>
          </w:p>
          <w:p w14:paraId="1923738D" w14:textId="18D0BE3F" w:rsidR="001B417E" w:rsidRPr="008041C6" w:rsidRDefault="001B417E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Tema PED: 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Cultura y deporte </w:t>
            </w: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4AAE7946" w14:textId="243DDD02" w:rsidR="001B417E" w:rsidRPr="008041C6" w:rsidRDefault="001B417E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Objetivo PED: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Mejorar la cobertura de educación artística para el incremento de formación de profesionales en el arte </w:t>
            </w:r>
          </w:p>
          <w:p w14:paraId="044B02D5" w14:textId="77777777" w:rsidR="001308D7" w:rsidRPr="008041C6" w:rsidRDefault="001308D7" w:rsidP="005F392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Líneas de acción: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Promover los programas de educación superior en artes como opción de formación</w:t>
            </w:r>
            <w:r w:rsidR="00FA3251"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FA325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integral </w:t>
            </w:r>
          </w:p>
          <w:p w14:paraId="18DCC161" w14:textId="77777777" w:rsidR="00C84AFC" w:rsidRPr="008041C6" w:rsidRDefault="001308D7" w:rsidP="001308D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Líneas de acción</w:t>
            </w:r>
            <w:r w:rsidR="001B417E"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  <w:r w:rsidR="001B417E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Implementar acciones que mejoren la calidad de la enseñanza en artes</w:t>
            </w:r>
          </w:p>
          <w:p w14:paraId="4C7BF6EB" w14:textId="43A5D89F" w:rsidR="001308D7" w:rsidRPr="008041C6" w:rsidRDefault="001308D7" w:rsidP="001308D7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Líneas de acción: 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Establecer alianzas estratégicas con empresas para fomentar el emprendimiento</w:t>
            </w: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y 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autoempleo de los agentes del sector cultural</w:t>
            </w:r>
          </w:p>
        </w:tc>
      </w:tr>
      <w:tr w:rsidR="00553290" w:rsidRPr="008041C6" w14:paraId="0768FADE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C304" w14:textId="5AF2CC98" w:rsidR="00C84AFC" w:rsidRPr="008041C6" w:rsidRDefault="00C84AFC" w:rsidP="003276F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Información correspondiente al:</w:t>
            </w: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del 1</w:t>
            </w:r>
            <w:r w:rsidR="00934FE5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B632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al </w:t>
            </w:r>
            <w:r w:rsidR="00455DA3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</w:t>
            </w:r>
            <w:r w:rsidR="006B632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006560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marzo </w:t>
            </w:r>
            <w:r w:rsidR="00034F7D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</w:t>
            </w:r>
            <w:r w:rsidR="00584C1D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27E5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202</w:t>
            </w:r>
            <w:r w:rsidR="006B6321"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9F5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4D1D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2DFE1499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7C38A28D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C7C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6D6" w14:textId="77777777" w:rsidR="00C84AFC" w:rsidRPr="008041C6" w:rsidRDefault="00C84AFC" w:rsidP="005F392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7E6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951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5AB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03BB" w14:textId="77777777" w:rsidR="00553290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158F0922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BEB" w14:textId="77777777" w:rsidR="00553290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14:paraId="5461D38C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F25" w14:textId="77777777" w:rsidR="00C84AFC" w:rsidRPr="008041C6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DC0" w14:textId="77777777" w:rsidR="00553290" w:rsidRPr="008041C6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1A61DA64" w14:textId="77777777" w:rsidR="00C84AFC" w:rsidRPr="008041C6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3E76D" w14:textId="77777777" w:rsidR="00553290" w:rsidRPr="008041C6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2BD203CF" w14:textId="77777777" w:rsidR="00C84AFC" w:rsidRPr="008041C6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8F36B" w14:textId="77777777" w:rsidR="00C84AFC" w:rsidRPr="008041C6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F13D5" w14:textId="77777777" w:rsidR="00C84AFC" w:rsidRPr="008041C6" w:rsidRDefault="00C84AFC" w:rsidP="0036284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006560" w:rsidRPr="008041C6" w14:paraId="00A5C4B6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3C0E2B3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Resumen Narrativo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39C5C106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28ACE68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21D53B5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A211E32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3903D07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F821FB6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3E079828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46506EE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2C7AE7A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17D6C3D" w14:textId="77777777" w:rsidR="00C84AFC" w:rsidRPr="008041C6" w:rsidRDefault="00C84AFC" w:rsidP="00C84AF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3AE4BFB" w14:textId="77777777" w:rsidR="00C84AFC" w:rsidRPr="008041C6" w:rsidRDefault="00C84AFC" w:rsidP="005F392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006560" w:rsidRPr="008041C6" w14:paraId="7EA7F127" w14:textId="77777777" w:rsidTr="008041C6">
        <w:trPr>
          <w:gridBefore w:val="1"/>
          <w:gridAfter w:val="1"/>
          <w:wBefore w:w="11" w:type="pct"/>
          <w:wAfter w:w="533" w:type="pct"/>
          <w:trHeight w:val="1152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3C93" w14:textId="722BEB04" w:rsidR="004F524A" w:rsidRPr="008041C6" w:rsidRDefault="004F524A" w:rsidP="004F524A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lastRenderedPageBreak/>
              <w:t>Fin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Se contribuye a mejorar la cobertura de educación artística para el incremento de formación de profesionales de las artes mediante el acceso a programas académicos de educación superior en artes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D808" w14:textId="69D14CF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22,507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Tasa de matrícula en artes por cada 100 mil habitantes.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56E4" w14:textId="75E8244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113.10                                       Estudiantes por cada 100 mil habitantes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3435" w14:textId="65C42C6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114.90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4C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F3D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A9CE" w14:textId="198E86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2B17" w14:textId="566C734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ED086" w14:textId="7E81D8F0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5CE1" w14:textId="0A23124D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1E00E" w14:textId="02CCE96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D5B64" w14:textId="00777B9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08B5164C" w14:textId="77777777" w:rsidTr="008041C6">
        <w:trPr>
          <w:gridBefore w:val="1"/>
          <w:gridAfter w:val="1"/>
          <w:wBefore w:w="11" w:type="pct"/>
          <w:wAfter w:w="533" w:type="pct"/>
          <w:trHeight w:val="1354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F9B" w14:textId="1D828F2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Propósito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Los estudiantes de disciplinas artísticas de la Escuela Superior de Artes de Yucatán tienen acceso a la profesionalización artística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4A" w14:textId="34BA82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sz w:val="20"/>
                <w:szCs w:val="20"/>
                <w:lang w:eastAsia="es-MX"/>
              </w:rPr>
              <w:t>22,536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estudiantes titulados de la Escuela Superior de Artes de Yucatán (ESAY).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2D9F" w14:textId="31E8543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1.61                              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2C6" w14:textId="38F4ACC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1.61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310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48D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E2BC" w14:textId="1705540F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4B5E" w14:textId="3FAE266F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045C5" w14:textId="0191567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F14A44" w14:textId="3A8B002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BAF948" w14:textId="45C53B9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FA0C41" w14:textId="0BC954C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65D96E5D" w14:textId="77777777" w:rsidTr="008041C6">
        <w:trPr>
          <w:gridBefore w:val="1"/>
          <w:gridAfter w:val="1"/>
          <w:wBefore w:w="11" w:type="pct"/>
          <w:wAfter w:w="533" w:type="pct"/>
          <w:trHeight w:val="423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1EAE" w14:textId="3A95463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Programas académicos impartidos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AE1B" w14:textId="0BB38C9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21,355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Variación porcentual de actividades de formación académica curricular y extracurricular.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4B26" w14:textId="3BEFA1D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2.90                       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F10" w14:textId="731FE6BA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0.70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ED6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02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C541" w14:textId="733C776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5005" w14:textId="6D1FACF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779B" w14:textId="3A47BCB8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3A19" w14:textId="1F45227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7AD1" w14:textId="56192FA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846F" w14:textId="4276795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7938C49C" w14:textId="77777777" w:rsidTr="008041C6">
        <w:trPr>
          <w:gridBefore w:val="1"/>
          <w:gridAfter w:val="1"/>
          <w:wBefore w:w="11" w:type="pct"/>
          <w:wAfter w:w="533" w:type="pct"/>
          <w:trHeight w:val="767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008" w14:textId="02244F5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C1A1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Capacitación a docentes de la Escuela Superior de Artes de Yucatán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B27B" w14:textId="401DCA9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21,360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06560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P</w:t>
            </w:r>
            <w:r w:rsidR="000F6E8E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orcentaje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de profesores capacitados.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B44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85.71</w:t>
            </w:r>
          </w:p>
          <w:p w14:paraId="2E259622" w14:textId="2FC9E468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 xml:space="preserve">Porcentaje 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6BC4" w14:textId="6F4C30B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86.89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119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8DE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188B" w14:textId="5334A23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44C5" w14:textId="7F14921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FCDA" w14:textId="7BDD97C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1561" w14:textId="2274F4B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1070" w14:textId="29D66F3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8F9A" w14:textId="71BE3A7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75291618" w14:textId="77777777" w:rsidTr="008041C6">
        <w:trPr>
          <w:gridBefore w:val="1"/>
          <w:gridAfter w:val="1"/>
          <w:wBefore w:w="11" w:type="pct"/>
          <w:wAfter w:w="533" w:type="pct"/>
          <w:trHeight w:val="987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8152" w14:textId="1E251AF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C1A2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Elaboración del plan anual de trabajo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8F4" w14:textId="1087DB5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21,367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Porcentaje de avance de las actividades del programa de formación de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lastRenderedPageBreak/>
              <w:t>profesionales del arte.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32D5" w14:textId="58F69D0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lastRenderedPageBreak/>
              <w:t>98.18</w:t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06BE" w14:textId="07F2CB6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98.53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07B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962" w14:textId="28C9C71D" w:rsidR="004F524A" w:rsidRPr="008041C6" w:rsidRDefault="00D86C07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57141" w14:textId="31BE6E7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69D7D" w14:textId="10268B6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473D7" w14:textId="65F5576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DCD81F" w14:textId="0102DD6D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5BEF02" w14:textId="23FB76A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ED0015" w14:textId="2540048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5595ECB7" w14:textId="77777777" w:rsidTr="008041C6">
        <w:trPr>
          <w:gridBefore w:val="1"/>
          <w:gridAfter w:val="1"/>
          <w:wBefore w:w="11" w:type="pct"/>
          <w:wAfter w:w="533" w:type="pct"/>
          <w:trHeight w:val="79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936" w14:textId="46F70E4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C1A3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Realización de eventos académicos artísticos y culturales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A513" w14:textId="0EEC441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sz w:val="20"/>
                <w:szCs w:val="20"/>
                <w:lang w:eastAsia="es-MX"/>
              </w:rPr>
              <w:t>21,369</w:t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Promedio de asistentes por evento.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0A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62.69</w:t>
            </w:r>
          </w:p>
          <w:p w14:paraId="0254391B" w14:textId="4AAA87C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Asistentes por evento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84D7" w14:textId="0B2817C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63.24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99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14008" w14:textId="4D45A109" w:rsidR="004F524A" w:rsidRPr="008041C6" w:rsidRDefault="00503963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84.48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23E35" w14:textId="34A54DD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96627" w14:textId="04A1221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0930C" w14:textId="543B5E6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662BFE" w14:textId="12A1620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B29A33" w14:textId="6432F9A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D251B9" w14:textId="71A1B89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37EB3B88" w14:textId="77777777" w:rsidTr="008041C6">
        <w:trPr>
          <w:gridBefore w:val="1"/>
          <w:gridAfter w:val="1"/>
          <w:wBefore w:w="11" w:type="pct"/>
          <w:wAfter w:w="533" w:type="pct"/>
          <w:trHeight w:val="745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FF65" w14:textId="0C0ABF2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Cursos de </w:t>
            </w:r>
            <w:r w:rsidR="00006560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E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 w:rsidR="00006560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ontinua impartidos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BA81" w14:textId="475ACE5D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21,374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beneficiarios de los servicios de Educación Continua satisfechos.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7E3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 xml:space="preserve">98.75 </w:t>
            </w:r>
          </w:p>
          <w:p w14:paraId="5338FF2A" w14:textId="6567078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C4B" w14:textId="3C9884D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98.77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318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76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3786" w14:textId="3E71ED0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B6A5" w14:textId="79C9669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79CCD" w14:textId="49EF3B7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73B89" w14:textId="6A012B8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3F986" w14:textId="129B470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083BCE" w14:textId="44A89650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1337D3A1" w14:textId="77777777" w:rsidTr="008041C6">
        <w:trPr>
          <w:gridBefore w:val="1"/>
          <w:gridAfter w:val="1"/>
          <w:wBefore w:w="11" w:type="pct"/>
          <w:wAfter w:w="533" w:type="pct"/>
          <w:trHeight w:val="475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09BA" w14:textId="01ABA9D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C2A1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Elaboración del catálogo de actividades de educación continua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2FB6" w14:textId="678B9B1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22,557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0F6E8E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de la oferta de actividades de Educación Continua que presentó demanda suficiente.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3ECB" w14:textId="422CC17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81.82</w:t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DE3E" w14:textId="4A069CCA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83.33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AF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226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6804" w14:textId="2510002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6480" w14:textId="63FABC20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6DD" w14:textId="1A23A19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D992" w14:textId="609A4A5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9558" w14:textId="7003E5F8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52F8" w14:textId="339ED95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57D49316" w14:textId="77777777" w:rsidTr="008041C6">
        <w:trPr>
          <w:gridBefore w:val="1"/>
          <w:gridAfter w:val="1"/>
          <w:wBefore w:w="11" w:type="pct"/>
          <w:wAfter w:w="533" w:type="pct"/>
          <w:trHeight w:val="96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91AA" w14:textId="283642A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C2A2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Ejecución del plan anual de trabajo de actividades de educación continua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038" w14:textId="45FCC3D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sz w:val="20"/>
                <w:szCs w:val="20"/>
                <w:lang w:eastAsia="es-MX"/>
              </w:rPr>
              <w:t>21,383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promedio de inscritos a las actividades de Educación Continua.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E9B6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8.89</w:t>
            </w:r>
          </w:p>
          <w:p w14:paraId="59DE87DD" w14:textId="1FB2A0C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Personas por actividad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C28" w14:textId="22CE5B2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8.80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053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92B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285E" w14:textId="0A32FFF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7E81" w14:textId="43F4321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0B54" w14:textId="3FFC0FBA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A8801" w14:textId="72F1C41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7D2E" w14:textId="2A7F5BC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F405A" w14:textId="52DE055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7B69DED8" w14:textId="77777777" w:rsidTr="008041C6">
        <w:trPr>
          <w:gridBefore w:val="1"/>
          <w:gridAfter w:val="1"/>
          <w:wBefore w:w="11" w:type="pct"/>
          <w:wAfter w:w="533" w:type="pct"/>
          <w:trHeight w:val="86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9556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3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.</w:t>
            </w:r>
          </w:p>
          <w:p w14:paraId="111B9D65" w14:textId="4F8CC28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Becas otorgadas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C78" w14:textId="660ECCE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22,565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con becas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490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30.61</w:t>
            </w:r>
          </w:p>
          <w:p w14:paraId="1A2DA0B9" w14:textId="377E2A7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A7E1" w14:textId="7E2F567D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37.05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584E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B96" w14:textId="72C9E808" w:rsidR="004F524A" w:rsidRPr="008041C6" w:rsidRDefault="00503963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18</w:t>
            </w:r>
            <w:r w:rsidR="00712F7D"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6CA0" w14:textId="334756E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F584" w14:textId="21D9957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60D" w14:textId="6479706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6D67" w14:textId="0A18622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BD8" w14:textId="58B09A3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BF18" w14:textId="1F5D486F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055A1F3B" w14:textId="77777777" w:rsidTr="008041C6">
        <w:trPr>
          <w:gridBefore w:val="1"/>
          <w:gridAfter w:val="1"/>
          <w:wBefore w:w="11" w:type="pct"/>
          <w:wAfter w:w="533" w:type="pct"/>
          <w:trHeight w:val="959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1096" w14:textId="60D7349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C3A1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Publicación de la convocatoria para becas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17BE" w14:textId="3B09AF6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sz w:val="20"/>
                <w:szCs w:val="20"/>
                <w:lang w:eastAsia="es-MX"/>
              </w:rPr>
              <w:t>22,570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becas recibidas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B847" w14:textId="7915FC0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-10.23</w:t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56FA" w14:textId="5B71C9A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30.68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73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D51A" w14:textId="048E5903" w:rsidR="004F524A" w:rsidRPr="008041C6" w:rsidRDefault="00712F7D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4.</w:t>
            </w:r>
            <w:r w:rsidR="00503963"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4</w:t>
            </w: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B6A" w14:textId="401C791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8A99" w14:textId="1C9CA2C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E84B" w14:textId="418B6B3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87D9" w14:textId="56F9A06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5A63" w14:textId="00B265D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578A" w14:textId="639FB36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41238D03" w14:textId="77777777" w:rsidTr="008041C6">
        <w:trPr>
          <w:gridBefore w:val="1"/>
          <w:gridAfter w:val="1"/>
          <w:wBefore w:w="11" w:type="pct"/>
          <w:wAfter w:w="533" w:type="pct"/>
          <w:trHeight w:val="123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298" w14:textId="7D9A790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C3A2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</w: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Aprobación de becas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28D9" w14:textId="2A22CCE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22,572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solicitudes de becas aprobadas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8E9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82.28</w:t>
            </w:r>
          </w:p>
          <w:p w14:paraId="2B35DA68" w14:textId="4ED813EA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958E" w14:textId="5280E8C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98.26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574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3D51" w14:textId="7858B4C3" w:rsidR="004F524A" w:rsidRPr="008041C6" w:rsidRDefault="00712F7D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81.25%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2B10" w14:textId="29F6296B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D67B" w14:textId="5B85756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2C70" w14:textId="26350820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92FE" w14:textId="17D6CAF6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C6A1" w14:textId="632B8694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FCB6" w14:textId="382449AF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545A189F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F3F3" w14:textId="19099A1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4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Apoyos económicos entregados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728A" w14:textId="2068422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sz w:val="20"/>
                <w:szCs w:val="20"/>
                <w:lang w:eastAsia="es-MX"/>
              </w:rPr>
              <w:t>22,577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con Apoyos económicos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82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3.74</w:t>
            </w:r>
          </w:p>
          <w:p w14:paraId="34E6F9FD" w14:textId="431C695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414B" w14:textId="34030CE5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5.25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A0AD" w14:textId="39308AA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0329" w14:textId="2EDBE2D3" w:rsidR="004F524A" w:rsidRPr="008041C6" w:rsidRDefault="00712F7D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0E7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CB83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A1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249B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1665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CA20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2A8D6642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44A" w14:textId="5ABE08E3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C4A1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Publicación de la convocatoria para apoyos económicos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FD46" w14:textId="4767D3F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22,581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apoyos económicos recibidas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8D8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26.32</w:t>
            </w:r>
          </w:p>
          <w:p w14:paraId="001D175D" w14:textId="06CD2455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EF59" w14:textId="06F776B9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-16.67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1BC0" w14:textId="16450C0E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64B2" w14:textId="586F0BC0" w:rsidR="004F524A" w:rsidRPr="008041C6" w:rsidRDefault="00712F7D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69.23%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F99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2DD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01DC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2C23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2509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C0E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784DD1A4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8BF" w14:textId="753A9878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C4A2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Aprobación de apoyos económicos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07E7" w14:textId="63F81E3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22,583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solicitudes de apoyos económicos aprobadas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F55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75.00</w:t>
            </w:r>
          </w:p>
          <w:p w14:paraId="4DEDEB74" w14:textId="5B60242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A65F" w14:textId="12570D29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80.00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D33" w14:textId="71EC3C9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6A55" w14:textId="277472FD" w:rsidR="004F524A" w:rsidRPr="008041C6" w:rsidRDefault="00712F7D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36.36%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F95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B2B3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7D28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3262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C50D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497B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43699337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99D" w14:textId="1B13372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5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Descuentos otorgados </w:t>
            </w: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(No aplica para el 2023)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40A" w14:textId="4B37A3F1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22,637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Porcentaje de estudiantes con descuentos otorgados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72D3" w14:textId="6B7E8B09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F7C6" w14:textId="70A8D7CB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28B7" w14:textId="43D23329" w:rsidR="004F524A" w:rsidRPr="008041C6" w:rsidRDefault="00C45879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0C1" w14:textId="458D965D" w:rsidR="004F524A" w:rsidRPr="008041C6" w:rsidRDefault="000F6E8E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11A6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D65D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6516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B26A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79E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744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2D9AB752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843" w14:textId="3099270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C5A1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Publicación de la convocatoria para descuentos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B22" w14:textId="7E7BD0AC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22,640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descuentos recibidas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1431" w14:textId="186B8CF2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8886" w14:textId="710ADFAD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45A8" w14:textId="720192EB" w:rsidR="004F524A" w:rsidRPr="008041C6" w:rsidRDefault="00C45879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3B16" w14:textId="63CE3989" w:rsidR="004F524A" w:rsidRPr="008041C6" w:rsidRDefault="000F6E8E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9AE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5694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2A4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EC2F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A88F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359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15A89ED8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8EBF" w14:textId="6F01441A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C5A2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Aprobación de descuentos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F394" w14:textId="1E9E8FC2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22,642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solicitudes de descuentos aprobadas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4577" w14:textId="4933DFCA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1C3" w14:textId="661D309B" w:rsidR="004F524A" w:rsidRPr="008041C6" w:rsidRDefault="004F524A" w:rsidP="004F524A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3CE9" w14:textId="416E3835" w:rsidR="004F524A" w:rsidRPr="008041C6" w:rsidRDefault="00C45879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bCs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Cs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A3E4" w14:textId="79822F1B" w:rsidR="004F524A" w:rsidRPr="008041C6" w:rsidRDefault="000F6E8E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3560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6BA9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E651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ACE7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274F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D240" w14:textId="77777777" w:rsidR="004F524A" w:rsidRPr="008041C6" w:rsidRDefault="004F524A" w:rsidP="004F524A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3511399E" w14:textId="77777777" w:rsidTr="008041C6">
        <w:trPr>
          <w:gridBefore w:val="1"/>
          <w:gridAfter w:val="1"/>
          <w:wBefore w:w="11" w:type="pct"/>
          <w:wAfter w:w="533" w:type="pct"/>
          <w:trHeight w:val="136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7D17" w14:textId="353ED5FC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 6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Asesoría y tutorías proporcionadas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9C64" w14:textId="46A4013C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22,645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matriculados que participan en el Programa Académico de Asesorías y Tutorías.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7E45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58.50</w:t>
            </w:r>
          </w:p>
          <w:p w14:paraId="6847D165" w14:textId="7B4BF16F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Calibri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0255" w14:textId="2B7A1D65" w:rsidR="00B736B0" w:rsidRPr="008041C6" w:rsidRDefault="00B736B0" w:rsidP="00B736B0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60.66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4D45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A77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BE60" w14:textId="2FB1194C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25DF" w14:textId="277E3482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89F1" w14:textId="7D46FDA9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C9A7" w14:textId="3B2E60DE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FA1D" w14:textId="19DC8030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FA7C" w14:textId="68AEED8F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272DA80B" w14:textId="77777777" w:rsidTr="008041C6">
        <w:trPr>
          <w:gridBefore w:val="1"/>
          <w:gridAfter w:val="1"/>
          <w:wBefore w:w="11" w:type="pct"/>
          <w:wAfter w:w="533" w:type="pct"/>
          <w:trHeight w:val="996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42AE" w14:textId="1CD028BA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C4A1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Impartición de tutorías a estudiantes de la Escuela Superior de Artes de Yucatán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F6B6" w14:textId="78B71772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22,647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tutoría por estudiante.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644E" w14:textId="77777777" w:rsidR="00605AD1" w:rsidRPr="008041C6" w:rsidRDefault="00B736B0" w:rsidP="00B736B0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 xml:space="preserve">2.26 </w:t>
            </w:r>
          </w:p>
          <w:p w14:paraId="3774023B" w14:textId="6FA47041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613B" w14:textId="08064F34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2.23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F6E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77C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08CC" w14:textId="3A5BA3FD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5167" w14:textId="7E0253F4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A758" w14:textId="4028F315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CD62" w14:textId="7B31CA40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1087" w14:textId="5DFE2DD9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E269" w14:textId="6BBA1D2D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006560" w:rsidRPr="008041C6" w14:paraId="26D1B079" w14:textId="77777777" w:rsidTr="008041C6">
        <w:trPr>
          <w:gridBefore w:val="1"/>
          <w:gridAfter w:val="1"/>
          <w:wBefore w:w="11" w:type="pct"/>
          <w:wAfter w:w="533" w:type="pct"/>
          <w:trHeight w:val="886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75EE" w14:textId="230B733E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Actividad: C4A2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br/>
              <w:t>Impartición de asesorías académicas y artísticas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ED52" w14:textId="0950CAB3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22,649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asesoría por estudiante.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8ADB" w14:textId="77777777" w:rsidR="00605AD1" w:rsidRPr="008041C6" w:rsidRDefault="00B736B0" w:rsidP="00B736B0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 xml:space="preserve">5.08 </w:t>
            </w:r>
          </w:p>
          <w:p w14:paraId="4AA95607" w14:textId="6FDBAD05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3251" w14:textId="63D525D1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5.49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D38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77B" w14:textId="77777777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C73A" w14:textId="091452D3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B57" w14:textId="5B593A09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3868" w14:textId="51DB0B9C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B26B" w14:textId="0072DED4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7508" w14:textId="0DFEBBAF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9CA9" w14:textId="1256260F" w:rsidR="00B736B0" w:rsidRPr="008041C6" w:rsidRDefault="00B736B0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03963" w:rsidRPr="008041C6" w14:paraId="05502FAF" w14:textId="77777777" w:rsidTr="008041C6">
        <w:trPr>
          <w:gridBefore w:val="1"/>
          <w:gridAfter w:val="1"/>
          <w:wBefore w:w="11" w:type="pct"/>
          <w:wAfter w:w="533" w:type="pct"/>
          <w:trHeight w:val="886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CB35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Componente: 7</w:t>
            </w:r>
          </w:p>
          <w:p w14:paraId="2F83AD61" w14:textId="536AB3A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  <w:t>Espacios educativos para la Universidad de las Artes de Yucatán adecuados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3242" w14:textId="6F0B5FFA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23580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Porcentaje de espacios educativos adecuados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0DE2" w14:textId="7BD896F7" w:rsidR="00503963" w:rsidRPr="008041C6" w:rsidRDefault="005D2553" w:rsidP="00B736B0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4CE7" w14:textId="733286AE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1</w:t>
            </w:r>
            <w:r w:rsidR="005D2553"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FD6E" w14:textId="588B483E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31AF" w14:textId="5A982DAB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06C6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D20B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AA10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1F3F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A267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469F" w14:textId="77777777" w:rsidR="00503963" w:rsidRPr="008041C6" w:rsidRDefault="00503963" w:rsidP="00B736B0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1B65B4F6" w14:textId="77777777" w:rsidTr="008041C6">
        <w:trPr>
          <w:gridBefore w:val="1"/>
          <w:gridAfter w:val="1"/>
          <w:wBefore w:w="11" w:type="pct"/>
          <w:wAfter w:w="533" w:type="pct"/>
          <w:trHeight w:val="886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955D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 C7A1</w:t>
            </w:r>
          </w:p>
          <w:p w14:paraId="79EA4C69" w14:textId="4212E34D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  <w:t>Entrega de espacios educativos para la Universidad de las Artes de Yucatán de acuerdo a la norma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4D7C" w14:textId="2EF15D4D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23581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 xml:space="preserve"> Porcentaje de espacios educativos para la Universidad de las Artes de Yucatán entregados de acuerdo a la norma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52E9" w14:textId="2C14A170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6559" w14:textId="4CA7E1C3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E3B9" w14:textId="3E0EEAE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E242" w14:textId="1B1CEF23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E4B3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85B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7251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5D4D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1E93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D1CF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644B4550" w14:textId="77777777" w:rsidTr="008041C6">
        <w:trPr>
          <w:gridBefore w:val="1"/>
          <w:gridAfter w:val="1"/>
          <w:wBefore w:w="11" w:type="pct"/>
          <w:wAfter w:w="533" w:type="pct"/>
          <w:trHeight w:val="886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76E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color w:val="000000"/>
                <w:sz w:val="20"/>
                <w:szCs w:val="20"/>
                <w:lang w:eastAsia="es-MX"/>
              </w:rPr>
              <w:t>Actividad C7A2</w:t>
            </w:r>
          </w:p>
          <w:p w14:paraId="0DEE0AF1" w14:textId="23076B2E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Cs/>
                <w:color w:val="000000"/>
                <w:sz w:val="20"/>
                <w:szCs w:val="20"/>
                <w:lang w:eastAsia="es-MX"/>
              </w:rPr>
              <w:t>Elaboración de solicitudes para la construcción, ampliación y equipamiento de espacios educativos de la Universidad de las Artes de Yucatán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6D90" w14:textId="1F6F869D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23582</w:t>
            </w:r>
            <w:r w:rsidRPr="008041C6">
              <w:rPr>
                <w:rFonts w:ascii="Barlow" w:hAnsi="Barlow"/>
                <w:sz w:val="20"/>
                <w:szCs w:val="20"/>
              </w:rPr>
              <w:t xml:space="preserve"> </w:t>
            </w: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Porcentaje de solicitudes para la adecuación de espacios educativos aprobadas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CEA7" w14:textId="48ADE43E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sz w:val="20"/>
                <w:szCs w:val="20"/>
                <w:lang w:eastAsia="es-MX"/>
              </w:rPr>
              <w:t>SM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D65A" w14:textId="4AEF2739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2253" w14:textId="3A9CDD78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85A5" w14:textId="400EC86A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ED53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4F96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D70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AAA0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631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2D3C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571B9782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EAD2" w14:textId="77777777" w:rsidR="005D2553" w:rsidRPr="008041C6" w:rsidRDefault="005D2553" w:rsidP="005D2553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Capítulo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C6477" w14:textId="77777777" w:rsidR="005D2553" w:rsidRPr="008041C6" w:rsidRDefault="005D2553" w:rsidP="005D2553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6EB77" w14:textId="77777777" w:rsidR="005D2553" w:rsidRPr="008041C6" w:rsidRDefault="005D2553" w:rsidP="005D255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30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3F4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47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AB15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D3D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910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8EE3E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0FB88563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34E1D7AB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4BEF8843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2EA4" w14:textId="77777777" w:rsidR="005D2553" w:rsidRPr="008041C6" w:rsidRDefault="005D2553" w:rsidP="005D2553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304E" w14:textId="77777777" w:rsidR="005D2553" w:rsidRPr="008041C6" w:rsidRDefault="005D2553" w:rsidP="005D2553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BFB4C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Finalidad: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8014" w14:textId="77777777" w:rsidR="005D2553" w:rsidRPr="008041C6" w:rsidRDefault="005D2553" w:rsidP="005D2553">
            <w:pPr>
              <w:spacing w:after="0" w:line="240" w:lineRule="auto"/>
              <w:ind w:left="231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2679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   Desarrollo Social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5B1BF985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5B4046F8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20FD937D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48F5" w14:textId="77777777" w:rsidR="005D2553" w:rsidRPr="008041C6" w:rsidRDefault="005D2553" w:rsidP="005D2553">
            <w:pPr>
              <w:spacing w:after="0" w:line="240" w:lineRule="auto"/>
              <w:ind w:firstLineChars="100" w:firstLine="20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B7F2" w14:textId="77777777" w:rsidR="005D2553" w:rsidRPr="008041C6" w:rsidRDefault="005D2553" w:rsidP="005D2553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F89B1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Eje: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2FC8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D562" w14:textId="6B687331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02.01. Yucatán con mejor calidad de vida para las personas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0E1A069E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177C9219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59921F3B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40C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7EB1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54070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5F78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50282" w14:textId="329B9B71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02.01.04   Recreación, Cultura y Otras Manifestaciones Sociales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7F6DE541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3600D903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38DC8968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89A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</w:p>
          <w:p w14:paraId="1C66EA0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 xml:space="preserve">NA: No Aplica </w:t>
            </w:r>
          </w:p>
          <w:p w14:paraId="55C4FDCA" w14:textId="71D50181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SM: Sin Medición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02AE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88DF2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7AB9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2C92C" w14:textId="2371B5D2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02.01.04.02 Cultura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221C7F25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3A465FF8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0A71F937" w14:textId="77777777" w:rsidTr="008041C6">
        <w:trPr>
          <w:gridBefore w:val="1"/>
          <w:gridAfter w:val="1"/>
          <w:wBefore w:w="11" w:type="pct"/>
          <w:wAfter w:w="533" w:type="pct"/>
          <w:trHeight w:val="300"/>
        </w:trPr>
        <w:tc>
          <w:tcPr>
            <w:tcW w:w="10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2C3A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97EB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9ED1D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Presupuestario:</w:t>
            </w:r>
          </w:p>
        </w:tc>
        <w:tc>
          <w:tcPr>
            <w:tcW w:w="16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23BC" w14:textId="50FA231A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8041C6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02.01.04.02.463PP Educación para la Profesionalización Artística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0BC9D7F7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596ECB16" w14:textId="77777777" w:rsidR="005D2553" w:rsidRPr="008041C6" w:rsidRDefault="005D2553" w:rsidP="005D255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5D2553" w:rsidRPr="008041C6" w14:paraId="2DEDFB60" w14:textId="77777777" w:rsidTr="008041C6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000" w:type="pct"/>
            <w:gridSpan w:val="22"/>
          </w:tcPr>
          <w:p w14:paraId="51726DE0" w14:textId="77777777" w:rsidR="005D2553" w:rsidRPr="008041C6" w:rsidRDefault="005D2553" w:rsidP="005D25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329AC8F" w14:textId="34186058" w:rsidR="007C7636" w:rsidRDefault="008041C6" w:rsidP="008041C6">
      <w:pPr>
        <w:jc w:val="both"/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</w:t>
      </w:r>
    </w:p>
    <w:sectPr w:rsidR="007C7636" w:rsidSect="008041C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06560"/>
    <w:rsid w:val="00014FF5"/>
    <w:rsid w:val="00034F7D"/>
    <w:rsid w:val="000750EF"/>
    <w:rsid w:val="000A3C0D"/>
    <w:rsid w:val="000D5451"/>
    <w:rsid w:val="000E10AB"/>
    <w:rsid w:val="000E783F"/>
    <w:rsid w:val="000F6E8E"/>
    <w:rsid w:val="001074BD"/>
    <w:rsid w:val="00123EC5"/>
    <w:rsid w:val="001308D7"/>
    <w:rsid w:val="00134834"/>
    <w:rsid w:val="00140A60"/>
    <w:rsid w:val="001424AD"/>
    <w:rsid w:val="00156262"/>
    <w:rsid w:val="001A33C9"/>
    <w:rsid w:val="001B417E"/>
    <w:rsid w:val="001B5278"/>
    <w:rsid w:val="001C7CEB"/>
    <w:rsid w:val="001D49AB"/>
    <w:rsid w:val="001F450B"/>
    <w:rsid w:val="002059FD"/>
    <w:rsid w:val="00261877"/>
    <w:rsid w:val="00270B10"/>
    <w:rsid w:val="0028443F"/>
    <w:rsid w:val="00287251"/>
    <w:rsid w:val="00287F6E"/>
    <w:rsid w:val="002A3348"/>
    <w:rsid w:val="002A3F74"/>
    <w:rsid w:val="002D1AB1"/>
    <w:rsid w:val="002D1D1F"/>
    <w:rsid w:val="002D259F"/>
    <w:rsid w:val="002D3425"/>
    <w:rsid w:val="002F7BE0"/>
    <w:rsid w:val="003276FD"/>
    <w:rsid w:val="003521CD"/>
    <w:rsid w:val="00362840"/>
    <w:rsid w:val="00371864"/>
    <w:rsid w:val="00395F86"/>
    <w:rsid w:val="003C504E"/>
    <w:rsid w:val="00423C4A"/>
    <w:rsid w:val="00431FA3"/>
    <w:rsid w:val="00432011"/>
    <w:rsid w:val="004334F5"/>
    <w:rsid w:val="00455DA3"/>
    <w:rsid w:val="00474824"/>
    <w:rsid w:val="004776A7"/>
    <w:rsid w:val="00497302"/>
    <w:rsid w:val="004C5A72"/>
    <w:rsid w:val="004F524A"/>
    <w:rsid w:val="00503963"/>
    <w:rsid w:val="00516709"/>
    <w:rsid w:val="00533008"/>
    <w:rsid w:val="0053360A"/>
    <w:rsid w:val="00541202"/>
    <w:rsid w:val="00553290"/>
    <w:rsid w:val="0056483A"/>
    <w:rsid w:val="005727E5"/>
    <w:rsid w:val="00584C1D"/>
    <w:rsid w:val="005C1605"/>
    <w:rsid w:val="005C5AED"/>
    <w:rsid w:val="005D2553"/>
    <w:rsid w:val="005F0808"/>
    <w:rsid w:val="005F3271"/>
    <w:rsid w:val="005F3921"/>
    <w:rsid w:val="00605AD1"/>
    <w:rsid w:val="00692525"/>
    <w:rsid w:val="006B6321"/>
    <w:rsid w:val="006E3FDE"/>
    <w:rsid w:val="00704393"/>
    <w:rsid w:val="00712F7D"/>
    <w:rsid w:val="00742CBF"/>
    <w:rsid w:val="00755352"/>
    <w:rsid w:val="00780748"/>
    <w:rsid w:val="00781ED6"/>
    <w:rsid w:val="00782D27"/>
    <w:rsid w:val="007866AA"/>
    <w:rsid w:val="007C7636"/>
    <w:rsid w:val="007F4189"/>
    <w:rsid w:val="008041C6"/>
    <w:rsid w:val="008109A2"/>
    <w:rsid w:val="00861B91"/>
    <w:rsid w:val="008736D5"/>
    <w:rsid w:val="008767AE"/>
    <w:rsid w:val="0088658F"/>
    <w:rsid w:val="008B432D"/>
    <w:rsid w:val="008D063A"/>
    <w:rsid w:val="00900FA9"/>
    <w:rsid w:val="009037CA"/>
    <w:rsid w:val="00934FE5"/>
    <w:rsid w:val="0093640D"/>
    <w:rsid w:val="00936A75"/>
    <w:rsid w:val="00937718"/>
    <w:rsid w:val="0094338A"/>
    <w:rsid w:val="00954A67"/>
    <w:rsid w:val="00972909"/>
    <w:rsid w:val="009A4FC5"/>
    <w:rsid w:val="009C7708"/>
    <w:rsid w:val="00A148D2"/>
    <w:rsid w:val="00A16AC9"/>
    <w:rsid w:val="00A43BA3"/>
    <w:rsid w:val="00A46753"/>
    <w:rsid w:val="00A50735"/>
    <w:rsid w:val="00A50932"/>
    <w:rsid w:val="00A743B3"/>
    <w:rsid w:val="00A85916"/>
    <w:rsid w:val="00A91975"/>
    <w:rsid w:val="00AE2171"/>
    <w:rsid w:val="00B3485F"/>
    <w:rsid w:val="00B60FA4"/>
    <w:rsid w:val="00B736B0"/>
    <w:rsid w:val="00BA49C5"/>
    <w:rsid w:val="00BD5334"/>
    <w:rsid w:val="00C0753C"/>
    <w:rsid w:val="00C33E93"/>
    <w:rsid w:val="00C400EB"/>
    <w:rsid w:val="00C453CC"/>
    <w:rsid w:val="00C45879"/>
    <w:rsid w:val="00C631FB"/>
    <w:rsid w:val="00C84AFC"/>
    <w:rsid w:val="00C910A7"/>
    <w:rsid w:val="00C92C72"/>
    <w:rsid w:val="00CC4D09"/>
    <w:rsid w:val="00CE0001"/>
    <w:rsid w:val="00D86C07"/>
    <w:rsid w:val="00DC0012"/>
    <w:rsid w:val="00DC6069"/>
    <w:rsid w:val="00DC6D91"/>
    <w:rsid w:val="00DF22DA"/>
    <w:rsid w:val="00E0374C"/>
    <w:rsid w:val="00E32C7A"/>
    <w:rsid w:val="00E36E9E"/>
    <w:rsid w:val="00E463B0"/>
    <w:rsid w:val="00E57ED8"/>
    <w:rsid w:val="00E91665"/>
    <w:rsid w:val="00EF248B"/>
    <w:rsid w:val="00F072AC"/>
    <w:rsid w:val="00F72FC3"/>
    <w:rsid w:val="00F83E4F"/>
    <w:rsid w:val="00F856AE"/>
    <w:rsid w:val="00F85AD5"/>
    <w:rsid w:val="00F85C33"/>
    <w:rsid w:val="00FA3251"/>
    <w:rsid w:val="00FD2CE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FB77"/>
  <w15:docId w15:val="{7A21F377-47A1-49C0-8242-17B1D33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73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6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6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6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2</cp:revision>
  <cp:lastPrinted>2023-02-08T17:11:00Z</cp:lastPrinted>
  <dcterms:created xsi:type="dcterms:W3CDTF">2023-04-24T20:24:00Z</dcterms:created>
  <dcterms:modified xsi:type="dcterms:W3CDTF">2023-04-24T20:24:00Z</dcterms:modified>
</cp:coreProperties>
</file>