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DC0DF" w14:textId="77777777" w:rsidR="00F219FB" w:rsidRPr="00F219FB" w:rsidRDefault="00F219FB" w:rsidP="00F219FB">
      <w:pPr>
        <w:pStyle w:val="Texto"/>
        <w:spacing w:line="276" w:lineRule="auto"/>
        <w:ind w:left="720" w:firstLine="0"/>
        <w:jc w:val="center"/>
        <w:rPr>
          <w:rFonts w:ascii="Barlow" w:hAnsi="Barlow"/>
          <w:b/>
          <w:sz w:val="20"/>
          <w:szCs w:val="20"/>
        </w:rPr>
      </w:pPr>
      <w:r w:rsidRPr="00F219FB">
        <w:rPr>
          <w:rFonts w:ascii="Barlow" w:hAnsi="Barlow"/>
          <w:b/>
          <w:sz w:val="20"/>
          <w:szCs w:val="20"/>
        </w:rPr>
        <w:t>Notas a los Estados Financieros</w:t>
      </w:r>
    </w:p>
    <w:p w14:paraId="58FD0AC5" w14:textId="4AAF599C" w:rsidR="00F219FB" w:rsidRPr="00F219FB" w:rsidRDefault="00F219FB" w:rsidP="00F219FB">
      <w:pPr>
        <w:pStyle w:val="Texto"/>
        <w:spacing w:line="276" w:lineRule="auto"/>
        <w:ind w:left="720" w:firstLine="0"/>
        <w:jc w:val="center"/>
        <w:rPr>
          <w:rFonts w:ascii="Barlow" w:hAnsi="Barlow"/>
          <w:b/>
          <w:sz w:val="20"/>
          <w:szCs w:val="20"/>
        </w:rPr>
      </w:pPr>
      <w:r w:rsidRPr="00F219FB">
        <w:rPr>
          <w:rFonts w:ascii="Barlow" w:hAnsi="Barlow"/>
          <w:b/>
          <w:sz w:val="20"/>
          <w:szCs w:val="20"/>
        </w:rPr>
        <w:t>Al 31 de marzo de 2022</w:t>
      </w:r>
    </w:p>
    <w:p w14:paraId="7E9306A6" w14:textId="77777777" w:rsidR="00F219FB" w:rsidRPr="00F219FB" w:rsidRDefault="00F219FB" w:rsidP="00F219FB">
      <w:pPr>
        <w:pStyle w:val="Prrafodelista"/>
        <w:spacing w:line="240" w:lineRule="auto"/>
        <w:jc w:val="center"/>
        <w:rPr>
          <w:rFonts w:ascii="Barlow" w:hAnsi="Barlow" w:cs="Arial"/>
          <w:b/>
          <w:sz w:val="20"/>
          <w:szCs w:val="20"/>
        </w:rPr>
      </w:pPr>
      <w:r w:rsidRPr="00F219FB">
        <w:rPr>
          <w:rFonts w:ascii="Barlow" w:hAnsi="Barlow" w:cs="Arial"/>
          <w:b/>
          <w:sz w:val="20"/>
          <w:szCs w:val="20"/>
        </w:rPr>
        <w:t>(Cifras en Pesos)</w:t>
      </w:r>
    </w:p>
    <w:p w14:paraId="6972FB66" w14:textId="13797BD7" w:rsidR="00F219FB" w:rsidRDefault="00F219FB" w:rsidP="00F219FB">
      <w:pPr>
        <w:pStyle w:val="Prrafodelista"/>
        <w:rPr>
          <w:rFonts w:ascii="Barlow" w:hAnsi="Barlow" w:cs="Calibri"/>
          <w:b/>
          <w:sz w:val="20"/>
          <w:szCs w:val="20"/>
        </w:rPr>
      </w:pPr>
      <w:r w:rsidRPr="00F219FB">
        <w:rPr>
          <w:rFonts w:ascii="Barlow" w:hAnsi="Barlow" w:cs="Calibri"/>
          <w:b/>
          <w:sz w:val="20"/>
          <w:szCs w:val="20"/>
        </w:rPr>
        <w:t>Ente Público:  UNIVERSIDAD AUTÓNOMA DE YUCATÁN</w:t>
      </w:r>
    </w:p>
    <w:p w14:paraId="3690A080" w14:textId="77777777" w:rsidR="00F219FB" w:rsidRPr="00F219FB" w:rsidRDefault="00F219FB" w:rsidP="00F219FB">
      <w:pPr>
        <w:pStyle w:val="Prrafodelista"/>
        <w:rPr>
          <w:rFonts w:ascii="Barlow" w:hAnsi="Barlow" w:cs="Times New Roman"/>
          <w:sz w:val="20"/>
          <w:szCs w:val="20"/>
        </w:rPr>
      </w:pPr>
    </w:p>
    <w:p w14:paraId="56E6C8AF" w14:textId="349176FD" w:rsidR="005D4E54" w:rsidRPr="00F219FB" w:rsidRDefault="005D4E54" w:rsidP="005D4E54">
      <w:pPr>
        <w:pStyle w:val="Prrafodelista"/>
        <w:numPr>
          <w:ilvl w:val="0"/>
          <w:numId w:val="1"/>
        </w:numPr>
        <w:ind w:left="0" w:firstLine="0"/>
        <w:rPr>
          <w:rFonts w:ascii="Barlow" w:hAnsi="Barlow"/>
          <w:b/>
          <w:bCs/>
          <w:sz w:val="20"/>
          <w:szCs w:val="20"/>
          <w:highlight w:val="lightGray"/>
        </w:rPr>
      </w:pPr>
      <w:r w:rsidRPr="00F219FB">
        <w:rPr>
          <w:rFonts w:ascii="Barlow" w:hAnsi="Barlow"/>
          <w:b/>
          <w:bCs/>
          <w:sz w:val="20"/>
          <w:szCs w:val="20"/>
          <w:highlight w:val="lightGray"/>
        </w:rPr>
        <w:t>NOTAS DE DESGLOSE</w:t>
      </w:r>
    </w:p>
    <w:p w14:paraId="4B8E9A42" w14:textId="77777777" w:rsidR="005D4E54" w:rsidRPr="00F219FB" w:rsidRDefault="005D4E54" w:rsidP="005D4E54">
      <w:pPr>
        <w:pStyle w:val="Prrafodelista"/>
        <w:ind w:left="0"/>
        <w:rPr>
          <w:rFonts w:ascii="Barlow" w:hAnsi="Barlow"/>
          <w:sz w:val="20"/>
          <w:szCs w:val="20"/>
        </w:rPr>
      </w:pPr>
    </w:p>
    <w:p w14:paraId="3770DFBD" w14:textId="6CF5CC41" w:rsidR="005D4E54" w:rsidRPr="00F219FB" w:rsidRDefault="005D4E54" w:rsidP="00D10D85">
      <w:pPr>
        <w:pStyle w:val="Prrafodelista"/>
        <w:numPr>
          <w:ilvl w:val="0"/>
          <w:numId w:val="4"/>
        </w:numPr>
        <w:rPr>
          <w:rFonts w:ascii="Barlow" w:hAnsi="Barlow"/>
          <w:sz w:val="20"/>
          <w:szCs w:val="20"/>
        </w:rPr>
      </w:pPr>
      <w:r w:rsidRPr="00F219FB">
        <w:rPr>
          <w:rFonts w:ascii="Barlow" w:hAnsi="Barlow"/>
          <w:sz w:val="20"/>
          <w:szCs w:val="20"/>
        </w:rPr>
        <w:t>NOTAS AL ESTADO DE SITUACIÓN FINANCIERA</w:t>
      </w:r>
    </w:p>
    <w:p w14:paraId="755306EA" w14:textId="7914A01E" w:rsidR="005D4E54" w:rsidRPr="00F219FB" w:rsidRDefault="005D4E54" w:rsidP="005D4E54">
      <w:pPr>
        <w:rPr>
          <w:rFonts w:ascii="Barlow" w:hAnsi="Barlow"/>
          <w:b/>
          <w:bCs/>
          <w:sz w:val="20"/>
          <w:szCs w:val="20"/>
        </w:rPr>
      </w:pPr>
      <w:r w:rsidRPr="00F219FB">
        <w:rPr>
          <w:rFonts w:ascii="Barlow" w:hAnsi="Barlow"/>
          <w:b/>
          <w:bCs/>
          <w:sz w:val="20"/>
          <w:szCs w:val="20"/>
        </w:rPr>
        <w:t>Activo</w:t>
      </w:r>
    </w:p>
    <w:bookmarkStart w:id="0" w:name="_MON_1681824782"/>
    <w:bookmarkEnd w:id="0"/>
    <w:p w14:paraId="274F9BF5" w14:textId="475704FB" w:rsidR="00123C14" w:rsidRPr="00F219FB" w:rsidRDefault="00BE3C64" w:rsidP="005D4E54">
      <w:pPr>
        <w:rPr>
          <w:rFonts w:ascii="Barlow" w:hAnsi="Barlow"/>
          <w:b/>
          <w:bCs/>
          <w:sz w:val="20"/>
          <w:szCs w:val="20"/>
        </w:rPr>
      </w:pPr>
      <w:r w:rsidRPr="00F219FB">
        <w:rPr>
          <w:rFonts w:ascii="Barlow" w:hAnsi="Barlow"/>
          <w:b/>
          <w:bCs/>
          <w:sz w:val="20"/>
          <w:szCs w:val="20"/>
        </w:rPr>
        <w:object w:dxaOrig="6217" w:dyaOrig="3183" w14:anchorId="0ED4B8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5pt;height:159pt" o:ole="">
            <v:imagedata r:id="rId11" o:title=""/>
          </v:shape>
          <o:OLEObject Type="Embed" ProgID="Excel.Sheet.12" ShapeID="_x0000_i1025" DrawAspect="Content" ObjectID="_1712565081" r:id="rId12"/>
        </w:object>
      </w:r>
    </w:p>
    <w:p w14:paraId="1AAA2AC1" w14:textId="0D36E87C" w:rsidR="00123C14" w:rsidRPr="00F219FB" w:rsidRDefault="00123C14" w:rsidP="005D4E54">
      <w:pPr>
        <w:rPr>
          <w:rFonts w:ascii="Barlow" w:hAnsi="Barlow"/>
          <w:b/>
          <w:bCs/>
          <w:sz w:val="20"/>
          <w:szCs w:val="20"/>
        </w:rPr>
      </w:pPr>
    </w:p>
    <w:p w14:paraId="15D53A65" w14:textId="67C47E5C" w:rsidR="00CC3A57" w:rsidRPr="00F219FB" w:rsidRDefault="00F4382D" w:rsidP="00D10D85">
      <w:pPr>
        <w:rPr>
          <w:rFonts w:ascii="Barlow" w:hAnsi="Barlow"/>
          <w:sz w:val="20"/>
          <w:szCs w:val="20"/>
          <w:u w:val="single"/>
        </w:rPr>
      </w:pPr>
      <w:r w:rsidRPr="00F219FB">
        <w:rPr>
          <w:rFonts w:ascii="Barlow" w:hAnsi="Barlow"/>
          <w:sz w:val="20"/>
          <w:szCs w:val="20"/>
        </w:rPr>
        <w:t xml:space="preserve">1. </w:t>
      </w:r>
      <w:r w:rsidR="005D4E54" w:rsidRPr="00F219FB">
        <w:rPr>
          <w:rFonts w:ascii="Barlow" w:hAnsi="Barlow"/>
          <w:sz w:val="20"/>
          <w:szCs w:val="20"/>
        </w:rPr>
        <w:t>Los saldos de efectivo y equivalentes que se presentan en este rubro del Estado de situación financiera, corresponden a transferencias federales, estatales, ingresos propios de las dependencias así como aportaciones de  diversas  Instituciones públicas y/o privadas otorgadas a la Universidad para el aseguramiento de la calidad en infraestructura académica, nuevas construcciones  y apoyo a la investigación entre otros mismos que corresponden a fondos  que se tienen en custodia sin poder disponer de ellos, más que para la realización de los Proyectos y Programas para los cuales fueron asignados.</w:t>
      </w:r>
    </w:p>
    <w:p w14:paraId="08466F5C" w14:textId="76BB9878" w:rsidR="00D10D85" w:rsidRPr="00F219FB" w:rsidRDefault="00D10D85" w:rsidP="00D10D85">
      <w:pPr>
        <w:rPr>
          <w:rFonts w:ascii="Barlow" w:hAnsi="Barlow"/>
          <w:sz w:val="20"/>
          <w:szCs w:val="20"/>
          <w:u w:val="single"/>
        </w:rPr>
      </w:pPr>
      <w:r w:rsidRPr="00F219FB">
        <w:rPr>
          <w:rFonts w:ascii="Barlow" w:hAnsi="Barlow"/>
          <w:sz w:val="20"/>
          <w:szCs w:val="20"/>
          <w:u w:val="single"/>
        </w:rPr>
        <w:lastRenderedPageBreak/>
        <w:t xml:space="preserve">Derechos a recibir </w:t>
      </w:r>
      <w:r w:rsidR="00674494" w:rsidRPr="00F219FB">
        <w:rPr>
          <w:rFonts w:ascii="Barlow" w:hAnsi="Barlow"/>
          <w:sz w:val="20"/>
          <w:szCs w:val="20"/>
          <w:u w:val="single"/>
        </w:rPr>
        <w:t>e</w:t>
      </w:r>
      <w:r w:rsidRPr="00F219FB">
        <w:rPr>
          <w:rFonts w:ascii="Barlow" w:hAnsi="Barlow"/>
          <w:sz w:val="20"/>
          <w:szCs w:val="20"/>
          <w:u w:val="single"/>
        </w:rPr>
        <w:t>fectivo y equivalentes</w:t>
      </w:r>
    </w:p>
    <w:p w14:paraId="3E9D6D53" w14:textId="1FC386F9" w:rsidR="00981C36" w:rsidRPr="00F219FB" w:rsidRDefault="008E5A8F" w:rsidP="008E5A8F">
      <w:pPr>
        <w:rPr>
          <w:rFonts w:ascii="Barlow" w:hAnsi="Barlow"/>
          <w:sz w:val="20"/>
          <w:szCs w:val="20"/>
        </w:rPr>
      </w:pPr>
      <w:r w:rsidRPr="00F219FB">
        <w:rPr>
          <w:rFonts w:ascii="Barlow" w:hAnsi="Barlow"/>
          <w:sz w:val="20"/>
          <w:szCs w:val="20"/>
        </w:rPr>
        <w:t>2.</w:t>
      </w:r>
      <w:r w:rsidR="00F4382D" w:rsidRPr="00F219FB">
        <w:rPr>
          <w:rFonts w:ascii="Barlow" w:hAnsi="Barlow"/>
          <w:sz w:val="20"/>
          <w:szCs w:val="20"/>
        </w:rPr>
        <w:t xml:space="preserve"> </w:t>
      </w:r>
      <w:r w:rsidRPr="00F219FB">
        <w:rPr>
          <w:rFonts w:ascii="Barlow" w:hAnsi="Barlow"/>
          <w:sz w:val="20"/>
          <w:szCs w:val="20"/>
        </w:rPr>
        <w:t>No aplica</w:t>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5BA712E9" w14:textId="4A6E796F" w:rsidR="00AD104A" w:rsidRPr="00F219FB" w:rsidRDefault="008E5A8F" w:rsidP="008E5A8F">
      <w:pPr>
        <w:rPr>
          <w:rFonts w:ascii="Barlow" w:hAnsi="Barlow"/>
          <w:sz w:val="20"/>
          <w:szCs w:val="20"/>
        </w:rPr>
      </w:pPr>
      <w:r w:rsidRPr="00F219FB">
        <w:rPr>
          <w:rFonts w:ascii="Barlow" w:hAnsi="Barlow"/>
          <w:sz w:val="20"/>
          <w:szCs w:val="20"/>
        </w:rPr>
        <w:t>3.</w:t>
      </w:r>
      <w:r w:rsidR="00F4382D" w:rsidRPr="00F219FB">
        <w:rPr>
          <w:rFonts w:ascii="Barlow" w:hAnsi="Barlow"/>
          <w:sz w:val="20"/>
          <w:szCs w:val="20"/>
        </w:rPr>
        <w:t xml:space="preserve"> </w:t>
      </w:r>
      <w:r w:rsidRPr="00F219FB">
        <w:rPr>
          <w:rFonts w:ascii="Barlow" w:hAnsi="Barlow"/>
          <w:sz w:val="20"/>
          <w:szCs w:val="20"/>
        </w:rPr>
        <w:t>El saldo de esta cuenta a la fecha que se presentan los estados financieros está integrado por las siguientes partidas:</w:t>
      </w:r>
    </w:p>
    <w:p w14:paraId="4E24F11D" w14:textId="0C3A7BC1" w:rsidR="0067627F" w:rsidRPr="00F219FB" w:rsidRDefault="0067627F" w:rsidP="008E5A8F">
      <w:pPr>
        <w:rPr>
          <w:rFonts w:ascii="Barlow" w:hAnsi="Barlow"/>
          <w:sz w:val="20"/>
          <w:szCs w:val="20"/>
        </w:rPr>
      </w:pPr>
    </w:p>
    <w:tbl>
      <w:tblPr>
        <w:tblW w:w="7420" w:type="dxa"/>
        <w:tblCellMar>
          <w:left w:w="70" w:type="dxa"/>
          <w:right w:w="70" w:type="dxa"/>
        </w:tblCellMar>
        <w:tblLook w:val="04A0" w:firstRow="1" w:lastRow="0" w:firstColumn="1" w:lastColumn="0" w:noHBand="0" w:noVBand="1"/>
      </w:tblPr>
      <w:tblGrid>
        <w:gridCol w:w="7420"/>
      </w:tblGrid>
      <w:tr w:rsidR="0067627F" w:rsidRPr="00F219FB" w14:paraId="500CED8B" w14:textId="77777777" w:rsidTr="00303B79">
        <w:trPr>
          <w:trHeight w:val="183"/>
        </w:trPr>
        <w:tc>
          <w:tcPr>
            <w:tcW w:w="7420" w:type="dxa"/>
            <w:tcBorders>
              <w:top w:val="nil"/>
              <w:right w:val="nil"/>
            </w:tcBorders>
            <w:shd w:val="clear" w:color="auto" w:fill="auto"/>
            <w:noWrap/>
            <w:vAlign w:val="bottom"/>
            <w:hideMark/>
          </w:tcPr>
          <w:p w14:paraId="03520E43" w14:textId="6675A0E4" w:rsidR="003F33E1" w:rsidRPr="00F219FB" w:rsidRDefault="0067627F" w:rsidP="0067627F">
            <w:pPr>
              <w:spacing w:after="0" w:line="240" w:lineRule="auto"/>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 xml:space="preserve">                b2) Cuentas por Cobrar a Corto Plazo</w:t>
            </w:r>
          </w:p>
          <w:p w14:paraId="752B7FFE" w14:textId="77777777" w:rsidR="003F33E1" w:rsidRPr="00F219FB" w:rsidRDefault="003F33E1" w:rsidP="0067627F">
            <w:pPr>
              <w:spacing w:after="0" w:line="240" w:lineRule="auto"/>
              <w:rPr>
                <w:rFonts w:ascii="Barlow" w:eastAsia="Times New Roman" w:hAnsi="Barlow" w:cs="Calibri"/>
                <w:color w:val="000000"/>
                <w:sz w:val="20"/>
                <w:szCs w:val="20"/>
                <w:highlight w:val="yellow"/>
                <w:lang w:eastAsia="es-MX"/>
              </w:rPr>
            </w:pPr>
          </w:p>
          <w:p w14:paraId="42F1C485" w14:textId="7DF9D9F5" w:rsidR="003F33E1" w:rsidRPr="00F219FB" w:rsidRDefault="003F33E1" w:rsidP="0067627F">
            <w:pPr>
              <w:spacing w:after="0" w:line="240" w:lineRule="auto"/>
              <w:rPr>
                <w:rFonts w:ascii="Barlow" w:eastAsia="Times New Roman" w:hAnsi="Barlow" w:cs="Calibri"/>
                <w:color w:val="000000"/>
                <w:sz w:val="20"/>
                <w:szCs w:val="20"/>
                <w:highlight w:val="yellow"/>
                <w:lang w:eastAsia="es-MX"/>
              </w:rPr>
            </w:pPr>
          </w:p>
        </w:tc>
      </w:tr>
    </w:tbl>
    <w:bookmarkStart w:id="1" w:name="_MON_1651652340"/>
    <w:bookmarkEnd w:id="1"/>
    <w:p w14:paraId="3235FC3C" w14:textId="21477DA1" w:rsidR="00A41C63" w:rsidRPr="00F219FB" w:rsidRDefault="00F63266" w:rsidP="00C41FA2">
      <w:pPr>
        <w:rPr>
          <w:rFonts w:ascii="Barlow" w:hAnsi="Barlow"/>
          <w:sz w:val="20"/>
          <w:szCs w:val="20"/>
        </w:rPr>
      </w:pPr>
      <w:r w:rsidRPr="00F219FB">
        <w:rPr>
          <w:rFonts w:ascii="Barlow" w:hAnsi="Barlow"/>
          <w:sz w:val="20"/>
          <w:szCs w:val="20"/>
        </w:rPr>
        <w:object w:dxaOrig="6119" w:dyaOrig="1471" w14:anchorId="2CD22D82">
          <v:shape id="_x0000_i1026" type="#_x0000_t75" style="width:305.25pt;height:73.5pt" o:ole="">
            <v:imagedata r:id="rId13" o:title=""/>
          </v:shape>
          <o:OLEObject Type="Embed" ProgID="Excel.Sheet.12" ShapeID="_x0000_i1026" DrawAspect="Content" ObjectID="_1712565082" r:id="rId14"/>
        </w:object>
      </w:r>
    </w:p>
    <w:p w14:paraId="09617ECF" w14:textId="06E6E294" w:rsidR="00C41FA2" w:rsidRPr="00F219FB" w:rsidRDefault="00B974E0" w:rsidP="00C41FA2">
      <w:pPr>
        <w:rPr>
          <w:rFonts w:ascii="Barlow" w:hAnsi="Barlow"/>
          <w:sz w:val="20"/>
          <w:szCs w:val="20"/>
        </w:rPr>
      </w:pPr>
      <w:r w:rsidRPr="00F219FB">
        <w:rPr>
          <w:rFonts w:ascii="Barlow" w:hAnsi="Barlow"/>
          <w:sz w:val="20"/>
          <w:szCs w:val="20"/>
        </w:rPr>
        <w:t xml:space="preserve">             </w:t>
      </w:r>
      <w:r w:rsidR="00C41FA2" w:rsidRPr="00F219FB">
        <w:rPr>
          <w:rFonts w:ascii="Barlow" w:eastAsia="Times New Roman" w:hAnsi="Barlow" w:cs="Calibri"/>
          <w:color w:val="000000"/>
          <w:sz w:val="20"/>
          <w:szCs w:val="20"/>
          <w:lang w:eastAsia="es-MX"/>
        </w:rPr>
        <w:t xml:space="preserve">  </w:t>
      </w:r>
      <w:r w:rsidRPr="00F219FB">
        <w:rPr>
          <w:rFonts w:ascii="Barlow" w:eastAsia="Times New Roman" w:hAnsi="Barlow" w:cs="Calibri"/>
          <w:color w:val="000000"/>
          <w:sz w:val="20"/>
          <w:szCs w:val="20"/>
          <w:lang w:eastAsia="es-MX"/>
        </w:rPr>
        <w:t>b3</w:t>
      </w:r>
      <w:r w:rsidR="00C41FA2" w:rsidRPr="00F219FB">
        <w:rPr>
          <w:rFonts w:ascii="Barlow" w:eastAsia="Times New Roman" w:hAnsi="Barlow" w:cs="Calibri"/>
          <w:color w:val="000000"/>
          <w:sz w:val="20"/>
          <w:szCs w:val="20"/>
          <w:lang w:eastAsia="es-MX"/>
        </w:rPr>
        <w:t xml:space="preserve">) </w:t>
      </w:r>
      <w:r w:rsidRPr="00F219FB">
        <w:rPr>
          <w:rFonts w:ascii="Barlow" w:eastAsia="Times New Roman" w:hAnsi="Barlow" w:cs="Calibri"/>
          <w:color w:val="000000"/>
          <w:sz w:val="20"/>
          <w:szCs w:val="20"/>
          <w:lang w:eastAsia="es-MX"/>
        </w:rPr>
        <w:t>Deudores diversos</w:t>
      </w:r>
    </w:p>
    <w:bookmarkStart w:id="2" w:name="_MON_1681993427"/>
    <w:bookmarkEnd w:id="2"/>
    <w:p w14:paraId="6745B3D6" w14:textId="0B8D6070" w:rsidR="00400AE0" w:rsidRPr="00F219FB" w:rsidRDefault="0085288C" w:rsidP="008E5A8F">
      <w:pPr>
        <w:rPr>
          <w:rFonts w:ascii="Barlow" w:hAnsi="Barlow"/>
          <w:sz w:val="20"/>
          <w:szCs w:val="20"/>
        </w:rPr>
      </w:pPr>
      <w:r w:rsidRPr="00F219FB">
        <w:rPr>
          <w:rFonts w:ascii="Barlow" w:hAnsi="Barlow"/>
          <w:sz w:val="20"/>
          <w:szCs w:val="20"/>
        </w:rPr>
        <w:object w:dxaOrig="5811" w:dyaOrig="1180" w14:anchorId="07C89CB7">
          <v:shape id="_x0000_i1027" type="#_x0000_t75" style="width:290.25pt;height:58.5pt" o:ole="">
            <v:imagedata r:id="rId15" o:title=""/>
          </v:shape>
          <o:OLEObject Type="Embed" ProgID="Excel.Sheet.12" ShapeID="_x0000_i1027" DrawAspect="Content" ObjectID="_1712565083" r:id="rId16"/>
        </w:object>
      </w:r>
      <w:r w:rsidR="003F0FB6" w:rsidRPr="00F219FB">
        <w:rPr>
          <w:rFonts w:ascii="Barlow" w:hAnsi="Barlow"/>
          <w:sz w:val="20"/>
          <w:szCs w:val="20"/>
        </w:rPr>
        <w:tab/>
      </w:r>
      <w:r w:rsidR="003F0FB6" w:rsidRPr="00F219FB">
        <w:rPr>
          <w:rFonts w:ascii="Barlow" w:hAnsi="Barlow"/>
          <w:sz w:val="20"/>
          <w:szCs w:val="20"/>
        </w:rPr>
        <w:tab/>
      </w:r>
    </w:p>
    <w:p w14:paraId="41A39CD9" w14:textId="77777777" w:rsidR="00400AE0" w:rsidRPr="00F219FB" w:rsidRDefault="00400AE0" w:rsidP="008E5A8F">
      <w:pPr>
        <w:rPr>
          <w:rFonts w:ascii="Barlow" w:hAnsi="Barlow"/>
          <w:sz w:val="20"/>
          <w:szCs w:val="20"/>
        </w:rPr>
      </w:pPr>
    </w:p>
    <w:p w14:paraId="5A5B30CF" w14:textId="4E1811CF" w:rsidR="005F1BFA" w:rsidRPr="00F219FB" w:rsidRDefault="005F1BFA" w:rsidP="00F219FB">
      <w:pPr>
        <w:tabs>
          <w:tab w:val="left" w:pos="3960"/>
        </w:tabs>
        <w:rPr>
          <w:rFonts w:ascii="Barlow" w:eastAsia="Times New Roman" w:hAnsi="Barlow" w:cs="Calibri"/>
          <w:color w:val="000000"/>
          <w:sz w:val="20"/>
          <w:szCs w:val="20"/>
          <w:lang w:eastAsia="es-MX"/>
        </w:rPr>
      </w:pPr>
    </w:p>
    <w:p w14:paraId="1633AABD" w14:textId="767968E7" w:rsidR="0067627F" w:rsidRPr="00F219FB" w:rsidRDefault="005F4848" w:rsidP="0067627F">
      <w:pPr>
        <w:rPr>
          <w:rFonts w:ascii="Barlow" w:hAnsi="Barlow"/>
          <w:sz w:val="20"/>
          <w:szCs w:val="20"/>
          <w:u w:val="single"/>
        </w:rPr>
      </w:pPr>
      <w:r w:rsidRPr="00F219FB">
        <w:rPr>
          <w:rFonts w:ascii="Barlow" w:hAnsi="Barlow"/>
          <w:sz w:val="20"/>
          <w:szCs w:val="20"/>
          <w:u w:val="single"/>
        </w:rPr>
        <w:t xml:space="preserve">Derechos a recibir </w:t>
      </w:r>
      <w:r w:rsidR="00674494" w:rsidRPr="00F219FB">
        <w:rPr>
          <w:rFonts w:ascii="Barlow" w:hAnsi="Barlow"/>
          <w:sz w:val="20"/>
          <w:szCs w:val="20"/>
          <w:u w:val="single"/>
        </w:rPr>
        <w:t>b</w:t>
      </w:r>
      <w:r w:rsidR="0020096E" w:rsidRPr="00F219FB">
        <w:rPr>
          <w:rFonts w:ascii="Barlow" w:hAnsi="Barlow"/>
          <w:sz w:val="20"/>
          <w:szCs w:val="20"/>
          <w:u w:val="single"/>
        </w:rPr>
        <w:t xml:space="preserve">ienes o </w:t>
      </w:r>
      <w:r w:rsidR="00674494" w:rsidRPr="00F219FB">
        <w:rPr>
          <w:rFonts w:ascii="Barlow" w:hAnsi="Barlow"/>
          <w:sz w:val="20"/>
          <w:szCs w:val="20"/>
          <w:u w:val="single"/>
        </w:rPr>
        <w:t>s</w:t>
      </w:r>
      <w:r w:rsidR="0020096E" w:rsidRPr="00F219FB">
        <w:rPr>
          <w:rFonts w:ascii="Barlow" w:hAnsi="Barlow"/>
          <w:sz w:val="20"/>
          <w:szCs w:val="20"/>
          <w:u w:val="single"/>
        </w:rPr>
        <w:t>ervicios</w:t>
      </w:r>
    </w:p>
    <w:p w14:paraId="25294F5B" w14:textId="3624E7CB" w:rsidR="0067627F" w:rsidRPr="00F219FB" w:rsidRDefault="0067627F" w:rsidP="005F4848">
      <w:pPr>
        <w:rPr>
          <w:rFonts w:ascii="Barlow" w:hAnsi="Barlow"/>
          <w:sz w:val="20"/>
          <w:szCs w:val="20"/>
        </w:rPr>
      </w:pPr>
      <w:r w:rsidRPr="00F219FB">
        <w:rPr>
          <w:rFonts w:ascii="Barlow" w:hAnsi="Barlow"/>
          <w:sz w:val="20"/>
          <w:szCs w:val="20"/>
        </w:rPr>
        <w:t>Otros Derechos a Recibir Bienes o Servicios a Corto Plazo</w:t>
      </w:r>
    </w:p>
    <w:bookmarkStart w:id="3" w:name="_MON_1651655856"/>
    <w:bookmarkEnd w:id="3"/>
    <w:p w14:paraId="304BB18C" w14:textId="1286ED4B" w:rsidR="00AD104A" w:rsidRPr="00F219FB" w:rsidRDefault="00847B10" w:rsidP="005F4848">
      <w:pPr>
        <w:rPr>
          <w:rFonts w:ascii="Barlow" w:hAnsi="Barlow"/>
          <w:sz w:val="20"/>
          <w:szCs w:val="20"/>
        </w:rPr>
      </w:pPr>
      <w:r w:rsidRPr="00F219FB">
        <w:rPr>
          <w:rFonts w:ascii="Barlow" w:hAnsi="Barlow"/>
          <w:sz w:val="20"/>
          <w:szCs w:val="20"/>
        </w:rPr>
        <w:object w:dxaOrig="6779" w:dyaOrig="2079" w14:anchorId="4901282E">
          <v:shape id="_x0000_i1028" type="#_x0000_t75" style="width:339pt;height:103.5pt" o:ole="">
            <v:imagedata r:id="rId17" o:title=""/>
          </v:shape>
          <o:OLEObject Type="Embed" ProgID="Excel.Sheet.12" ShapeID="_x0000_i1028" DrawAspect="Content" ObjectID="_1712565084" r:id="rId18"/>
        </w:object>
      </w:r>
    </w:p>
    <w:p w14:paraId="56EDDCA1" w14:textId="4C8CB13D" w:rsidR="00AD104A" w:rsidRPr="00F219FB" w:rsidRDefault="00946D97" w:rsidP="005F4848">
      <w:pPr>
        <w:rPr>
          <w:rFonts w:ascii="Barlow" w:hAnsi="Barlow"/>
          <w:sz w:val="20"/>
          <w:szCs w:val="20"/>
        </w:rPr>
      </w:pPr>
      <w:r w:rsidRPr="00F219FB">
        <w:rPr>
          <w:rFonts w:ascii="Barlow" w:hAnsi="Barlow"/>
          <w:sz w:val="20"/>
          <w:szCs w:val="20"/>
        </w:rPr>
        <w:t>4</w:t>
      </w:r>
      <w:r w:rsidR="009270BA" w:rsidRPr="00F219FB">
        <w:rPr>
          <w:rFonts w:ascii="Barlow" w:hAnsi="Barlow"/>
          <w:sz w:val="20"/>
          <w:szCs w:val="20"/>
        </w:rPr>
        <w:t>. No aplica</w:t>
      </w:r>
    </w:p>
    <w:p w14:paraId="7E819762" w14:textId="0F6221F5" w:rsidR="00533DDC" w:rsidRPr="00F219FB" w:rsidRDefault="00946D97" w:rsidP="004C4F08">
      <w:pPr>
        <w:rPr>
          <w:rFonts w:ascii="Barlow" w:hAnsi="Barlow"/>
          <w:sz w:val="20"/>
          <w:szCs w:val="20"/>
        </w:rPr>
      </w:pPr>
      <w:r w:rsidRPr="00F219FB">
        <w:rPr>
          <w:rFonts w:ascii="Barlow" w:hAnsi="Barlow"/>
          <w:sz w:val="20"/>
          <w:szCs w:val="20"/>
        </w:rPr>
        <w:t>5</w:t>
      </w:r>
      <w:r w:rsidR="009270BA" w:rsidRPr="00F219FB">
        <w:rPr>
          <w:rFonts w:ascii="Barlow" w:hAnsi="Barlow"/>
          <w:sz w:val="20"/>
          <w:szCs w:val="20"/>
        </w:rPr>
        <w:t xml:space="preserve">. </w:t>
      </w:r>
      <w:r w:rsidR="0014673D" w:rsidRPr="00F219FB">
        <w:rPr>
          <w:rFonts w:ascii="Barlow" w:hAnsi="Barlow"/>
          <w:sz w:val="20"/>
          <w:szCs w:val="20"/>
        </w:rPr>
        <w:t>No aplica</w:t>
      </w:r>
    </w:p>
    <w:p w14:paraId="5A3988BD" w14:textId="1727E1EB" w:rsidR="004C4F08" w:rsidRPr="00F219FB" w:rsidRDefault="004C4F08" w:rsidP="004C4F08">
      <w:pPr>
        <w:rPr>
          <w:rFonts w:ascii="Barlow" w:hAnsi="Barlow"/>
          <w:sz w:val="20"/>
          <w:szCs w:val="20"/>
        </w:rPr>
      </w:pPr>
      <w:r w:rsidRPr="00F219FB">
        <w:rPr>
          <w:rFonts w:ascii="Barlow" w:hAnsi="Barlow"/>
          <w:sz w:val="20"/>
          <w:szCs w:val="20"/>
          <w:u w:val="single"/>
        </w:rPr>
        <w:t>Inversiones financieras</w:t>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77B0F009" w14:textId="304A2206" w:rsidR="00FB0A5D" w:rsidRPr="00F219FB" w:rsidRDefault="00946D97" w:rsidP="004C4F08">
      <w:pPr>
        <w:rPr>
          <w:rFonts w:ascii="Barlow" w:hAnsi="Barlow"/>
          <w:sz w:val="20"/>
          <w:szCs w:val="20"/>
        </w:rPr>
      </w:pPr>
      <w:r w:rsidRPr="00F219FB">
        <w:rPr>
          <w:rFonts w:ascii="Barlow" w:hAnsi="Barlow"/>
          <w:sz w:val="20"/>
          <w:szCs w:val="20"/>
        </w:rPr>
        <w:t>6</w:t>
      </w:r>
      <w:r w:rsidR="004C4F08" w:rsidRPr="00F219FB">
        <w:rPr>
          <w:rFonts w:ascii="Barlow" w:hAnsi="Barlow"/>
          <w:sz w:val="20"/>
          <w:szCs w:val="20"/>
        </w:rPr>
        <w:t xml:space="preserve">. Integración del saldo de inversiones temporales (hasta 3 meses) </w:t>
      </w:r>
      <w:r w:rsidR="004C4F08" w:rsidRPr="00F219FB">
        <w:rPr>
          <w:rFonts w:ascii="Barlow" w:hAnsi="Barlow"/>
          <w:sz w:val="20"/>
          <w:szCs w:val="20"/>
        </w:rPr>
        <w:tab/>
      </w:r>
      <w:r w:rsidR="004C4F08" w:rsidRPr="00F219FB">
        <w:rPr>
          <w:rFonts w:ascii="Barlow" w:hAnsi="Barlow"/>
          <w:sz w:val="20"/>
          <w:szCs w:val="20"/>
        </w:rPr>
        <w:tab/>
      </w:r>
      <w:r w:rsidR="004C4F08" w:rsidRPr="00F219FB">
        <w:rPr>
          <w:rFonts w:ascii="Barlow" w:hAnsi="Barlow"/>
          <w:sz w:val="20"/>
          <w:szCs w:val="20"/>
        </w:rPr>
        <w:tab/>
      </w:r>
    </w:p>
    <w:bookmarkStart w:id="4" w:name="_MON_1651658938"/>
    <w:bookmarkEnd w:id="4"/>
    <w:bookmarkStart w:id="5" w:name="_MON_1681825739"/>
    <w:bookmarkEnd w:id="5"/>
    <w:p w14:paraId="5A233B12" w14:textId="3FA7C308" w:rsidR="00867CD3" w:rsidRPr="00F219FB" w:rsidRDefault="00847B10" w:rsidP="00F219FB">
      <w:pPr>
        <w:rPr>
          <w:rFonts w:ascii="Barlow" w:hAnsi="Barlow"/>
          <w:sz w:val="20"/>
          <w:szCs w:val="20"/>
        </w:rPr>
      </w:pPr>
      <w:r w:rsidRPr="00F219FB">
        <w:rPr>
          <w:rFonts w:ascii="Barlow" w:hAnsi="Barlow"/>
          <w:sz w:val="20"/>
          <w:szCs w:val="20"/>
        </w:rPr>
        <w:object w:dxaOrig="5715" w:dyaOrig="1471" w14:anchorId="2ED204D3">
          <v:shape id="_x0000_i1029" type="#_x0000_t75" style="width:285.75pt;height:73.5pt" o:ole="">
            <v:imagedata r:id="rId19" o:title=""/>
          </v:shape>
          <o:OLEObject Type="Embed" ProgID="Excel.Sheet.12" ShapeID="_x0000_i1029" DrawAspect="Content" ObjectID="_1712565085" r:id="rId20"/>
        </w:object>
      </w:r>
    </w:p>
    <w:p w14:paraId="2716FDAB" w14:textId="5E35C3BF" w:rsidR="004C0D86" w:rsidRPr="00F219FB" w:rsidRDefault="00946D97" w:rsidP="00F219FB">
      <w:pPr>
        <w:spacing w:after="0" w:line="240" w:lineRule="auto"/>
        <w:rPr>
          <w:rFonts w:ascii="Barlow" w:eastAsia="Times New Roman" w:hAnsi="Barlow" w:cstheme="minorHAnsi"/>
          <w:color w:val="000000"/>
          <w:sz w:val="20"/>
          <w:szCs w:val="20"/>
          <w:lang w:eastAsia="es-MX"/>
        </w:rPr>
      </w:pPr>
      <w:r w:rsidRPr="00F219FB">
        <w:rPr>
          <w:rFonts w:ascii="Barlow" w:eastAsia="Times New Roman" w:hAnsi="Barlow" w:cstheme="minorHAnsi"/>
          <w:color w:val="000000"/>
          <w:sz w:val="20"/>
          <w:szCs w:val="20"/>
          <w:lang w:eastAsia="es-MX"/>
        </w:rPr>
        <w:t>7</w:t>
      </w:r>
      <w:r w:rsidR="00FF66D1" w:rsidRPr="00F219FB">
        <w:rPr>
          <w:rFonts w:ascii="Barlow" w:eastAsia="Times New Roman" w:hAnsi="Barlow" w:cstheme="minorHAnsi"/>
          <w:color w:val="000000"/>
          <w:sz w:val="20"/>
          <w:szCs w:val="20"/>
          <w:lang w:eastAsia="es-MX"/>
        </w:rPr>
        <w:t>. No aplica</w:t>
      </w:r>
    </w:p>
    <w:p w14:paraId="4FA34C41" w14:textId="46B13999" w:rsidR="00F219FB" w:rsidRPr="00F219FB" w:rsidRDefault="00F219FB" w:rsidP="00F219FB">
      <w:pPr>
        <w:spacing w:after="0" w:line="240" w:lineRule="auto"/>
        <w:rPr>
          <w:rFonts w:ascii="Barlow" w:eastAsia="Times New Roman" w:hAnsi="Barlow" w:cstheme="minorHAnsi"/>
          <w:color w:val="000000"/>
          <w:sz w:val="20"/>
          <w:szCs w:val="20"/>
          <w:lang w:eastAsia="es-MX"/>
        </w:rPr>
      </w:pPr>
    </w:p>
    <w:p w14:paraId="17FB7036" w14:textId="77777777" w:rsidR="00F219FB" w:rsidRPr="00F219FB" w:rsidRDefault="00F219FB" w:rsidP="00F219FB">
      <w:pPr>
        <w:spacing w:after="0" w:line="240" w:lineRule="auto"/>
        <w:rPr>
          <w:rFonts w:ascii="Barlow" w:eastAsia="Times New Roman" w:hAnsi="Barlow" w:cstheme="minorHAnsi"/>
          <w:color w:val="000000"/>
          <w:sz w:val="20"/>
          <w:szCs w:val="20"/>
          <w:lang w:eastAsia="es-MX"/>
        </w:rPr>
      </w:pPr>
    </w:p>
    <w:p w14:paraId="2D6BA053" w14:textId="7A225F38" w:rsidR="00B45099" w:rsidRPr="00F219FB" w:rsidRDefault="00B45099" w:rsidP="00EA39DE">
      <w:pPr>
        <w:rPr>
          <w:rFonts w:ascii="Barlow" w:eastAsia="Times New Roman" w:hAnsi="Barlow" w:cstheme="minorHAnsi"/>
          <w:color w:val="000000"/>
          <w:sz w:val="20"/>
          <w:szCs w:val="20"/>
          <w:lang w:eastAsia="es-MX"/>
        </w:rPr>
      </w:pPr>
      <w:r w:rsidRPr="00F219FB">
        <w:rPr>
          <w:rFonts w:ascii="Barlow" w:hAnsi="Barlow"/>
          <w:sz w:val="20"/>
          <w:szCs w:val="20"/>
          <w:u w:val="single"/>
        </w:rPr>
        <w:t>Bienes muebles, inmuebles e intangibles</w:t>
      </w:r>
      <w:r w:rsidRPr="00F219FB">
        <w:rPr>
          <w:rFonts w:ascii="Barlow" w:eastAsia="Times New Roman" w:hAnsi="Barlow" w:cstheme="minorHAnsi"/>
          <w:color w:val="000000"/>
          <w:sz w:val="20"/>
          <w:szCs w:val="20"/>
          <w:lang w:eastAsia="es-MX"/>
        </w:rPr>
        <w:tab/>
      </w:r>
      <w:r w:rsidRPr="00F219FB">
        <w:rPr>
          <w:rFonts w:ascii="Barlow" w:eastAsia="Times New Roman" w:hAnsi="Barlow" w:cstheme="minorHAnsi"/>
          <w:color w:val="000000"/>
          <w:sz w:val="20"/>
          <w:szCs w:val="20"/>
          <w:lang w:eastAsia="es-MX"/>
        </w:rPr>
        <w:tab/>
      </w:r>
      <w:r w:rsidRPr="00F219FB">
        <w:rPr>
          <w:rFonts w:ascii="Barlow" w:eastAsia="Times New Roman" w:hAnsi="Barlow" w:cstheme="minorHAnsi"/>
          <w:color w:val="000000"/>
          <w:sz w:val="20"/>
          <w:szCs w:val="20"/>
          <w:lang w:eastAsia="es-MX"/>
        </w:rPr>
        <w:tab/>
      </w:r>
    </w:p>
    <w:p w14:paraId="30F8FC8B" w14:textId="2002EE64" w:rsidR="00B45099" w:rsidRPr="00F219FB" w:rsidRDefault="00946D97" w:rsidP="00B45099">
      <w:pPr>
        <w:spacing w:after="0" w:line="240" w:lineRule="auto"/>
        <w:rPr>
          <w:rFonts w:ascii="Barlow" w:eastAsia="Times New Roman" w:hAnsi="Barlow" w:cstheme="minorHAnsi"/>
          <w:color w:val="000000"/>
          <w:sz w:val="20"/>
          <w:szCs w:val="20"/>
          <w:lang w:eastAsia="es-MX"/>
        </w:rPr>
      </w:pPr>
      <w:r w:rsidRPr="00F219FB">
        <w:rPr>
          <w:rFonts w:ascii="Barlow" w:eastAsia="Times New Roman" w:hAnsi="Barlow" w:cstheme="minorHAnsi"/>
          <w:color w:val="000000"/>
          <w:sz w:val="20"/>
          <w:szCs w:val="20"/>
          <w:lang w:eastAsia="es-MX"/>
        </w:rPr>
        <w:t>8</w:t>
      </w:r>
      <w:r w:rsidR="00B45099" w:rsidRPr="00F219FB">
        <w:rPr>
          <w:rFonts w:ascii="Barlow" w:eastAsia="Times New Roman" w:hAnsi="Barlow" w:cstheme="minorHAnsi"/>
          <w:color w:val="000000"/>
          <w:sz w:val="20"/>
          <w:szCs w:val="20"/>
          <w:lang w:eastAsia="es-MX"/>
        </w:rPr>
        <w:t>. Su integración es la siguiente:</w:t>
      </w:r>
    </w:p>
    <w:p w14:paraId="2B8042E1" w14:textId="77777777" w:rsidR="00D11625" w:rsidRPr="00F219FB" w:rsidRDefault="00D11625" w:rsidP="00B45099">
      <w:pPr>
        <w:spacing w:after="0" w:line="240" w:lineRule="auto"/>
        <w:rPr>
          <w:rFonts w:ascii="Barlow" w:eastAsia="Times New Roman" w:hAnsi="Barlow" w:cstheme="minorHAnsi"/>
          <w:color w:val="000000"/>
          <w:sz w:val="20"/>
          <w:szCs w:val="20"/>
          <w:lang w:eastAsia="es-MX"/>
        </w:rPr>
      </w:pPr>
    </w:p>
    <w:p w14:paraId="3F496BB3" w14:textId="2A7451CB" w:rsidR="00B45099" w:rsidRPr="00F219FB" w:rsidRDefault="00B45099" w:rsidP="00B45099">
      <w:pPr>
        <w:spacing w:after="0" w:line="240" w:lineRule="auto"/>
        <w:rPr>
          <w:rFonts w:ascii="Barlow" w:eastAsia="Times New Roman" w:hAnsi="Barlow" w:cstheme="minorHAnsi"/>
          <w:color w:val="000000"/>
          <w:sz w:val="20"/>
          <w:szCs w:val="20"/>
          <w:lang w:eastAsia="es-MX"/>
        </w:rPr>
      </w:pPr>
    </w:p>
    <w:tbl>
      <w:tblPr>
        <w:tblW w:w="11394" w:type="dxa"/>
        <w:tblCellMar>
          <w:left w:w="70" w:type="dxa"/>
          <w:right w:w="70" w:type="dxa"/>
        </w:tblCellMar>
        <w:tblLook w:val="04A0" w:firstRow="1" w:lastRow="0" w:firstColumn="1" w:lastColumn="0" w:noHBand="0" w:noVBand="1"/>
      </w:tblPr>
      <w:tblGrid>
        <w:gridCol w:w="5680"/>
        <w:gridCol w:w="1970"/>
        <w:gridCol w:w="1809"/>
        <w:gridCol w:w="1935"/>
      </w:tblGrid>
      <w:tr w:rsidR="004070E5" w:rsidRPr="00F219FB" w14:paraId="0E2519E6" w14:textId="77777777" w:rsidTr="00D11625">
        <w:trPr>
          <w:trHeight w:val="70"/>
        </w:trPr>
        <w:tc>
          <w:tcPr>
            <w:tcW w:w="5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03B42" w14:textId="77777777" w:rsidR="004070E5" w:rsidRPr="00F219FB" w:rsidRDefault="004070E5" w:rsidP="004070E5">
            <w:pPr>
              <w:spacing w:after="0" w:line="240" w:lineRule="auto"/>
              <w:rPr>
                <w:rFonts w:ascii="Barlow" w:eastAsia="Times New Roman" w:hAnsi="Barlow" w:cs="Calibri"/>
                <w:b/>
                <w:bCs/>
                <w:color w:val="000000"/>
                <w:sz w:val="20"/>
                <w:szCs w:val="20"/>
                <w:lang w:eastAsia="es-MX"/>
              </w:rPr>
            </w:pPr>
            <w:r w:rsidRPr="00F219FB">
              <w:rPr>
                <w:rFonts w:ascii="Barlow" w:eastAsia="Times New Roman" w:hAnsi="Barlow" w:cs="Calibri"/>
                <w:b/>
                <w:bCs/>
                <w:color w:val="000000"/>
                <w:sz w:val="20"/>
                <w:szCs w:val="20"/>
                <w:lang w:eastAsia="es-MX"/>
              </w:rPr>
              <w:lastRenderedPageBreak/>
              <w:t>Saldo al 31 de marzo de 2022</w:t>
            </w:r>
          </w:p>
        </w:tc>
        <w:tc>
          <w:tcPr>
            <w:tcW w:w="1970" w:type="dxa"/>
            <w:tcBorders>
              <w:top w:val="single" w:sz="4" w:space="0" w:color="auto"/>
              <w:left w:val="nil"/>
              <w:bottom w:val="single" w:sz="4" w:space="0" w:color="auto"/>
              <w:right w:val="single" w:sz="4" w:space="0" w:color="auto"/>
            </w:tcBorders>
            <w:shd w:val="clear" w:color="auto" w:fill="auto"/>
            <w:noWrap/>
            <w:vAlign w:val="center"/>
            <w:hideMark/>
          </w:tcPr>
          <w:p w14:paraId="50EE1776" w14:textId="77777777" w:rsidR="004070E5" w:rsidRPr="00F219FB" w:rsidRDefault="004070E5" w:rsidP="004070E5">
            <w:pPr>
              <w:spacing w:after="0" w:line="240" w:lineRule="auto"/>
              <w:jc w:val="center"/>
              <w:rPr>
                <w:rFonts w:ascii="Barlow" w:eastAsia="Times New Roman" w:hAnsi="Barlow" w:cs="Calibri"/>
                <w:b/>
                <w:bCs/>
                <w:color w:val="000000"/>
                <w:sz w:val="20"/>
                <w:szCs w:val="20"/>
                <w:lang w:eastAsia="es-MX"/>
              </w:rPr>
            </w:pPr>
            <w:r w:rsidRPr="00F219FB">
              <w:rPr>
                <w:rFonts w:ascii="Barlow" w:eastAsia="Times New Roman" w:hAnsi="Barlow" w:cs="Calibri"/>
                <w:b/>
                <w:bCs/>
                <w:color w:val="000000"/>
                <w:sz w:val="20"/>
                <w:szCs w:val="20"/>
                <w:lang w:eastAsia="es-MX"/>
              </w:rPr>
              <w:t>Inversión</w:t>
            </w:r>
          </w:p>
        </w:tc>
        <w:tc>
          <w:tcPr>
            <w:tcW w:w="1809" w:type="dxa"/>
            <w:tcBorders>
              <w:top w:val="single" w:sz="4" w:space="0" w:color="auto"/>
              <w:left w:val="nil"/>
              <w:bottom w:val="single" w:sz="4" w:space="0" w:color="auto"/>
              <w:right w:val="single" w:sz="4" w:space="0" w:color="auto"/>
            </w:tcBorders>
            <w:shd w:val="clear" w:color="auto" w:fill="auto"/>
            <w:vAlign w:val="center"/>
            <w:hideMark/>
          </w:tcPr>
          <w:p w14:paraId="5906E474" w14:textId="77777777" w:rsidR="004070E5" w:rsidRPr="00F219FB" w:rsidRDefault="004070E5" w:rsidP="004070E5">
            <w:pPr>
              <w:spacing w:after="0" w:line="240" w:lineRule="auto"/>
              <w:jc w:val="center"/>
              <w:rPr>
                <w:rFonts w:ascii="Barlow" w:eastAsia="Times New Roman" w:hAnsi="Barlow" w:cs="Calibri"/>
                <w:b/>
                <w:bCs/>
                <w:color w:val="000000"/>
                <w:sz w:val="20"/>
                <w:szCs w:val="20"/>
                <w:lang w:eastAsia="es-MX"/>
              </w:rPr>
            </w:pPr>
            <w:r w:rsidRPr="00F219FB">
              <w:rPr>
                <w:rFonts w:ascii="Barlow" w:eastAsia="Times New Roman" w:hAnsi="Barlow" w:cs="Calibri"/>
                <w:b/>
                <w:bCs/>
                <w:color w:val="000000"/>
                <w:sz w:val="20"/>
                <w:szCs w:val="20"/>
                <w:lang w:eastAsia="es-MX"/>
              </w:rPr>
              <w:t>Depreciación acumulada</w:t>
            </w:r>
          </w:p>
        </w:tc>
        <w:tc>
          <w:tcPr>
            <w:tcW w:w="1935" w:type="dxa"/>
            <w:tcBorders>
              <w:top w:val="single" w:sz="4" w:space="0" w:color="auto"/>
              <w:left w:val="nil"/>
              <w:bottom w:val="single" w:sz="4" w:space="0" w:color="auto"/>
              <w:right w:val="single" w:sz="4" w:space="0" w:color="auto"/>
            </w:tcBorders>
            <w:shd w:val="clear" w:color="auto" w:fill="auto"/>
            <w:noWrap/>
            <w:vAlign w:val="center"/>
            <w:hideMark/>
          </w:tcPr>
          <w:p w14:paraId="78772721" w14:textId="77777777" w:rsidR="004070E5" w:rsidRPr="00F219FB" w:rsidRDefault="004070E5" w:rsidP="004070E5">
            <w:pPr>
              <w:spacing w:after="0" w:line="240" w:lineRule="auto"/>
              <w:jc w:val="center"/>
              <w:rPr>
                <w:rFonts w:ascii="Barlow" w:eastAsia="Times New Roman" w:hAnsi="Barlow" w:cs="Calibri"/>
                <w:b/>
                <w:bCs/>
                <w:color w:val="000000"/>
                <w:sz w:val="20"/>
                <w:szCs w:val="20"/>
                <w:lang w:eastAsia="es-MX"/>
              </w:rPr>
            </w:pPr>
            <w:r w:rsidRPr="00F219FB">
              <w:rPr>
                <w:rFonts w:ascii="Barlow" w:eastAsia="Times New Roman" w:hAnsi="Barlow" w:cs="Calibri"/>
                <w:b/>
                <w:bCs/>
                <w:color w:val="000000"/>
                <w:sz w:val="20"/>
                <w:szCs w:val="20"/>
                <w:lang w:eastAsia="es-MX"/>
              </w:rPr>
              <w:t>Neto</w:t>
            </w:r>
          </w:p>
        </w:tc>
      </w:tr>
      <w:tr w:rsidR="004070E5" w:rsidRPr="00F219FB" w14:paraId="14834EDB" w14:textId="77777777" w:rsidTr="00D11625">
        <w:trPr>
          <w:trHeight w:val="70"/>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405F383D" w14:textId="77777777" w:rsidR="004070E5" w:rsidRPr="00F219FB" w:rsidRDefault="004070E5" w:rsidP="00D11625">
            <w:pPr>
              <w:spacing w:after="0" w:line="240" w:lineRule="auto"/>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 xml:space="preserve">Bienes inmuebles                                                                                    </w:t>
            </w:r>
          </w:p>
        </w:tc>
        <w:tc>
          <w:tcPr>
            <w:tcW w:w="1970" w:type="dxa"/>
            <w:tcBorders>
              <w:top w:val="nil"/>
              <w:left w:val="nil"/>
              <w:bottom w:val="single" w:sz="4" w:space="0" w:color="auto"/>
              <w:right w:val="single" w:sz="4" w:space="0" w:color="auto"/>
            </w:tcBorders>
            <w:shd w:val="clear" w:color="auto" w:fill="auto"/>
            <w:noWrap/>
            <w:vAlign w:val="bottom"/>
            <w:hideMark/>
          </w:tcPr>
          <w:p w14:paraId="1FFD5208" w14:textId="2AF84E90" w:rsidR="004070E5" w:rsidRPr="00F219FB" w:rsidRDefault="004070E5" w:rsidP="00D11625">
            <w:pPr>
              <w:spacing w:after="0" w:line="240" w:lineRule="auto"/>
              <w:jc w:val="right"/>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 xml:space="preserve">164,000,379.75 </w:t>
            </w:r>
          </w:p>
        </w:tc>
        <w:tc>
          <w:tcPr>
            <w:tcW w:w="1809" w:type="dxa"/>
            <w:tcBorders>
              <w:top w:val="nil"/>
              <w:left w:val="nil"/>
              <w:bottom w:val="single" w:sz="4" w:space="0" w:color="auto"/>
              <w:right w:val="single" w:sz="4" w:space="0" w:color="auto"/>
            </w:tcBorders>
            <w:shd w:val="clear" w:color="auto" w:fill="auto"/>
            <w:noWrap/>
            <w:vAlign w:val="bottom"/>
            <w:hideMark/>
          </w:tcPr>
          <w:p w14:paraId="5440B686" w14:textId="79B84A36" w:rsidR="004070E5" w:rsidRPr="00F219FB" w:rsidRDefault="004070E5" w:rsidP="00D11625">
            <w:pPr>
              <w:spacing w:after="0" w:line="240" w:lineRule="auto"/>
              <w:jc w:val="right"/>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 xml:space="preserve">             51,960.64 </w:t>
            </w:r>
          </w:p>
        </w:tc>
        <w:tc>
          <w:tcPr>
            <w:tcW w:w="1935" w:type="dxa"/>
            <w:tcBorders>
              <w:top w:val="nil"/>
              <w:left w:val="nil"/>
              <w:bottom w:val="single" w:sz="4" w:space="0" w:color="auto"/>
              <w:right w:val="single" w:sz="4" w:space="0" w:color="auto"/>
            </w:tcBorders>
            <w:shd w:val="clear" w:color="auto" w:fill="auto"/>
            <w:noWrap/>
            <w:vAlign w:val="bottom"/>
            <w:hideMark/>
          </w:tcPr>
          <w:p w14:paraId="51A726AB" w14:textId="77777777" w:rsidR="004070E5" w:rsidRPr="00F219FB" w:rsidRDefault="004070E5" w:rsidP="00D11625">
            <w:pPr>
              <w:spacing w:after="0" w:line="240" w:lineRule="auto"/>
              <w:jc w:val="right"/>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 xml:space="preserve">     163,948,419.11 </w:t>
            </w:r>
          </w:p>
        </w:tc>
      </w:tr>
      <w:tr w:rsidR="004070E5" w:rsidRPr="00F219FB" w14:paraId="27B24724" w14:textId="77777777" w:rsidTr="00D11625">
        <w:trPr>
          <w:trHeight w:val="300"/>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0C74EE25" w14:textId="77777777" w:rsidR="004070E5" w:rsidRPr="00F219FB" w:rsidRDefault="004070E5" w:rsidP="00D11625">
            <w:pPr>
              <w:spacing w:after="0" w:line="240" w:lineRule="auto"/>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Mobiliario y equipo administración</w:t>
            </w:r>
          </w:p>
        </w:tc>
        <w:tc>
          <w:tcPr>
            <w:tcW w:w="1970" w:type="dxa"/>
            <w:tcBorders>
              <w:top w:val="nil"/>
              <w:left w:val="nil"/>
              <w:bottom w:val="single" w:sz="4" w:space="0" w:color="auto"/>
              <w:right w:val="single" w:sz="4" w:space="0" w:color="auto"/>
            </w:tcBorders>
            <w:shd w:val="clear" w:color="auto" w:fill="auto"/>
            <w:noWrap/>
            <w:vAlign w:val="bottom"/>
            <w:hideMark/>
          </w:tcPr>
          <w:p w14:paraId="7CE0B8F6" w14:textId="77777777" w:rsidR="004070E5" w:rsidRPr="00F219FB" w:rsidRDefault="004070E5" w:rsidP="00D11625">
            <w:pPr>
              <w:spacing w:after="0" w:line="240" w:lineRule="auto"/>
              <w:jc w:val="right"/>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 xml:space="preserve">     133,760,966.77 </w:t>
            </w:r>
          </w:p>
        </w:tc>
        <w:tc>
          <w:tcPr>
            <w:tcW w:w="1809" w:type="dxa"/>
            <w:tcBorders>
              <w:top w:val="nil"/>
              <w:left w:val="nil"/>
              <w:bottom w:val="single" w:sz="4" w:space="0" w:color="auto"/>
              <w:right w:val="single" w:sz="4" w:space="0" w:color="auto"/>
            </w:tcBorders>
            <w:shd w:val="clear" w:color="auto" w:fill="auto"/>
            <w:noWrap/>
            <w:vAlign w:val="bottom"/>
            <w:hideMark/>
          </w:tcPr>
          <w:p w14:paraId="5424A60F" w14:textId="65ED8924" w:rsidR="004070E5" w:rsidRPr="00F219FB" w:rsidRDefault="004070E5" w:rsidP="00D11625">
            <w:pPr>
              <w:spacing w:after="0" w:line="240" w:lineRule="auto"/>
              <w:jc w:val="right"/>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 xml:space="preserve">      78,716,452.45 </w:t>
            </w:r>
          </w:p>
        </w:tc>
        <w:tc>
          <w:tcPr>
            <w:tcW w:w="1935" w:type="dxa"/>
            <w:tcBorders>
              <w:top w:val="nil"/>
              <w:left w:val="nil"/>
              <w:bottom w:val="single" w:sz="4" w:space="0" w:color="auto"/>
              <w:right w:val="single" w:sz="4" w:space="0" w:color="auto"/>
            </w:tcBorders>
            <w:shd w:val="clear" w:color="auto" w:fill="auto"/>
            <w:noWrap/>
            <w:vAlign w:val="bottom"/>
            <w:hideMark/>
          </w:tcPr>
          <w:p w14:paraId="1D036E7C" w14:textId="77777777" w:rsidR="004070E5" w:rsidRPr="00F219FB" w:rsidRDefault="004070E5" w:rsidP="00D11625">
            <w:pPr>
              <w:spacing w:after="0" w:line="240" w:lineRule="auto"/>
              <w:jc w:val="right"/>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 xml:space="preserve">        55,044,514.32 </w:t>
            </w:r>
          </w:p>
        </w:tc>
      </w:tr>
      <w:tr w:rsidR="004070E5" w:rsidRPr="00F219FB" w14:paraId="0E4E4D4E" w14:textId="77777777" w:rsidTr="00D11625">
        <w:trPr>
          <w:trHeight w:val="199"/>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7D5FFD7A" w14:textId="77777777" w:rsidR="004070E5" w:rsidRPr="00F219FB" w:rsidRDefault="004070E5" w:rsidP="00D11625">
            <w:pPr>
              <w:spacing w:after="0" w:line="240" w:lineRule="auto"/>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Mobiliario y equipo educacional y recreativo</w:t>
            </w:r>
          </w:p>
        </w:tc>
        <w:tc>
          <w:tcPr>
            <w:tcW w:w="1970" w:type="dxa"/>
            <w:tcBorders>
              <w:top w:val="nil"/>
              <w:left w:val="nil"/>
              <w:bottom w:val="single" w:sz="4" w:space="0" w:color="auto"/>
              <w:right w:val="single" w:sz="4" w:space="0" w:color="auto"/>
            </w:tcBorders>
            <w:shd w:val="clear" w:color="auto" w:fill="auto"/>
            <w:noWrap/>
            <w:vAlign w:val="bottom"/>
            <w:hideMark/>
          </w:tcPr>
          <w:p w14:paraId="668C2382" w14:textId="77777777" w:rsidR="004070E5" w:rsidRPr="00F219FB" w:rsidRDefault="004070E5" w:rsidP="00D11625">
            <w:pPr>
              <w:spacing w:after="0" w:line="240" w:lineRule="auto"/>
              <w:jc w:val="right"/>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 xml:space="preserve">        26,951,857.66 </w:t>
            </w:r>
          </w:p>
        </w:tc>
        <w:tc>
          <w:tcPr>
            <w:tcW w:w="1809" w:type="dxa"/>
            <w:tcBorders>
              <w:top w:val="nil"/>
              <w:left w:val="nil"/>
              <w:bottom w:val="single" w:sz="4" w:space="0" w:color="auto"/>
              <w:right w:val="single" w:sz="4" w:space="0" w:color="auto"/>
            </w:tcBorders>
            <w:shd w:val="clear" w:color="auto" w:fill="auto"/>
            <w:noWrap/>
            <w:vAlign w:val="bottom"/>
            <w:hideMark/>
          </w:tcPr>
          <w:p w14:paraId="293B2B8A" w14:textId="64B30E08" w:rsidR="004070E5" w:rsidRPr="00F219FB" w:rsidRDefault="004070E5" w:rsidP="00D11625">
            <w:pPr>
              <w:spacing w:after="0" w:line="240" w:lineRule="auto"/>
              <w:jc w:val="right"/>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 xml:space="preserve">       16,626,638.72 </w:t>
            </w:r>
          </w:p>
        </w:tc>
        <w:tc>
          <w:tcPr>
            <w:tcW w:w="1935" w:type="dxa"/>
            <w:tcBorders>
              <w:top w:val="nil"/>
              <w:left w:val="nil"/>
              <w:bottom w:val="single" w:sz="4" w:space="0" w:color="auto"/>
              <w:right w:val="single" w:sz="4" w:space="0" w:color="auto"/>
            </w:tcBorders>
            <w:shd w:val="clear" w:color="auto" w:fill="auto"/>
            <w:noWrap/>
            <w:vAlign w:val="bottom"/>
            <w:hideMark/>
          </w:tcPr>
          <w:p w14:paraId="5E020387" w14:textId="77777777" w:rsidR="004070E5" w:rsidRPr="00F219FB" w:rsidRDefault="004070E5" w:rsidP="00D11625">
            <w:pPr>
              <w:spacing w:after="0" w:line="240" w:lineRule="auto"/>
              <w:jc w:val="right"/>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 xml:space="preserve">        10,325,218.94 </w:t>
            </w:r>
          </w:p>
        </w:tc>
      </w:tr>
      <w:tr w:rsidR="004070E5" w:rsidRPr="00F219FB" w14:paraId="49FF8765" w14:textId="77777777" w:rsidTr="00D11625">
        <w:trPr>
          <w:trHeight w:val="300"/>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6CF85517" w14:textId="77777777" w:rsidR="004070E5" w:rsidRPr="00F219FB" w:rsidRDefault="004070E5" w:rsidP="00D11625">
            <w:pPr>
              <w:spacing w:after="0" w:line="240" w:lineRule="auto"/>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Equipo e Instrumental médico y de laboratorio</w:t>
            </w:r>
          </w:p>
        </w:tc>
        <w:tc>
          <w:tcPr>
            <w:tcW w:w="1970" w:type="dxa"/>
            <w:tcBorders>
              <w:top w:val="nil"/>
              <w:left w:val="nil"/>
              <w:bottom w:val="single" w:sz="4" w:space="0" w:color="auto"/>
              <w:right w:val="single" w:sz="4" w:space="0" w:color="auto"/>
            </w:tcBorders>
            <w:shd w:val="clear" w:color="auto" w:fill="auto"/>
            <w:noWrap/>
            <w:vAlign w:val="bottom"/>
            <w:hideMark/>
          </w:tcPr>
          <w:p w14:paraId="0DE5568F" w14:textId="77777777" w:rsidR="004070E5" w:rsidRPr="00F219FB" w:rsidRDefault="004070E5" w:rsidP="00D11625">
            <w:pPr>
              <w:spacing w:after="0" w:line="240" w:lineRule="auto"/>
              <w:jc w:val="right"/>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 xml:space="preserve">        79,595,332.04 </w:t>
            </w:r>
          </w:p>
        </w:tc>
        <w:tc>
          <w:tcPr>
            <w:tcW w:w="1809" w:type="dxa"/>
            <w:tcBorders>
              <w:top w:val="nil"/>
              <w:left w:val="nil"/>
              <w:bottom w:val="single" w:sz="4" w:space="0" w:color="auto"/>
              <w:right w:val="single" w:sz="4" w:space="0" w:color="auto"/>
            </w:tcBorders>
            <w:shd w:val="clear" w:color="auto" w:fill="auto"/>
            <w:noWrap/>
            <w:vAlign w:val="bottom"/>
            <w:hideMark/>
          </w:tcPr>
          <w:p w14:paraId="32366186" w14:textId="442E2E96" w:rsidR="004070E5" w:rsidRPr="00F219FB" w:rsidRDefault="004070E5" w:rsidP="00D11625">
            <w:pPr>
              <w:spacing w:after="0" w:line="240" w:lineRule="auto"/>
              <w:jc w:val="right"/>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 xml:space="preserve">       24,084,681.82 </w:t>
            </w:r>
          </w:p>
        </w:tc>
        <w:tc>
          <w:tcPr>
            <w:tcW w:w="1935" w:type="dxa"/>
            <w:tcBorders>
              <w:top w:val="nil"/>
              <w:left w:val="nil"/>
              <w:bottom w:val="single" w:sz="4" w:space="0" w:color="auto"/>
              <w:right w:val="single" w:sz="4" w:space="0" w:color="auto"/>
            </w:tcBorders>
            <w:shd w:val="clear" w:color="auto" w:fill="auto"/>
            <w:noWrap/>
            <w:vAlign w:val="bottom"/>
            <w:hideMark/>
          </w:tcPr>
          <w:p w14:paraId="6B4826A5" w14:textId="77777777" w:rsidR="004070E5" w:rsidRPr="00F219FB" w:rsidRDefault="004070E5" w:rsidP="00D11625">
            <w:pPr>
              <w:spacing w:after="0" w:line="240" w:lineRule="auto"/>
              <w:jc w:val="right"/>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 xml:space="preserve">        55,510,650.22 </w:t>
            </w:r>
          </w:p>
        </w:tc>
      </w:tr>
      <w:tr w:rsidR="004070E5" w:rsidRPr="00F219FB" w14:paraId="27B06591" w14:textId="77777777" w:rsidTr="00D11625">
        <w:trPr>
          <w:trHeight w:val="300"/>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6AFA067B" w14:textId="77777777" w:rsidR="004070E5" w:rsidRPr="00F219FB" w:rsidRDefault="004070E5" w:rsidP="00D11625">
            <w:pPr>
              <w:spacing w:after="0" w:line="240" w:lineRule="auto"/>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Maquinaria, otros equipos y herramientas</w:t>
            </w:r>
          </w:p>
        </w:tc>
        <w:tc>
          <w:tcPr>
            <w:tcW w:w="1970" w:type="dxa"/>
            <w:tcBorders>
              <w:top w:val="nil"/>
              <w:left w:val="nil"/>
              <w:bottom w:val="single" w:sz="4" w:space="0" w:color="auto"/>
              <w:right w:val="single" w:sz="4" w:space="0" w:color="auto"/>
            </w:tcBorders>
            <w:shd w:val="clear" w:color="auto" w:fill="auto"/>
            <w:noWrap/>
            <w:vAlign w:val="bottom"/>
            <w:hideMark/>
          </w:tcPr>
          <w:p w14:paraId="14D77FE4" w14:textId="77777777" w:rsidR="004070E5" w:rsidRPr="00F219FB" w:rsidRDefault="004070E5" w:rsidP="00D11625">
            <w:pPr>
              <w:spacing w:after="0" w:line="240" w:lineRule="auto"/>
              <w:jc w:val="right"/>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 xml:space="preserve">     326,201,762.81 </w:t>
            </w:r>
          </w:p>
        </w:tc>
        <w:tc>
          <w:tcPr>
            <w:tcW w:w="1809" w:type="dxa"/>
            <w:tcBorders>
              <w:top w:val="nil"/>
              <w:left w:val="nil"/>
              <w:bottom w:val="single" w:sz="4" w:space="0" w:color="auto"/>
              <w:right w:val="single" w:sz="4" w:space="0" w:color="auto"/>
            </w:tcBorders>
            <w:shd w:val="clear" w:color="auto" w:fill="auto"/>
            <w:noWrap/>
            <w:vAlign w:val="bottom"/>
            <w:hideMark/>
          </w:tcPr>
          <w:p w14:paraId="2A521430" w14:textId="77777777" w:rsidR="004070E5" w:rsidRPr="00F219FB" w:rsidRDefault="004070E5" w:rsidP="00D11625">
            <w:pPr>
              <w:spacing w:after="0" w:line="240" w:lineRule="auto"/>
              <w:jc w:val="right"/>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 xml:space="preserve">     121,197,245.03 </w:t>
            </w:r>
          </w:p>
        </w:tc>
        <w:tc>
          <w:tcPr>
            <w:tcW w:w="1935" w:type="dxa"/>
            <w:tcBorders>
              <w:top w:val="nil"/>
              <w:left w:val="nil"/>
              <w:bottom w:val="single" w:sz="4" w:space="0" w:color="auto"/>
              <w:right w:val="single" w:sz="4" w:space="0" w:color="auto"/>
            </w:tcBorders>
            <w:shd w:val="clear" w:color="auto" w:fill="auto"/>
            <w:noWrap/>
            <w:vAlign w:val="bottom"/>
            <w:hideMark/>
          </w:tcPr>
          <w:p w14:paraId="29DD3E6B" w14:textId="77777777" w:rsidR="004070E5" w:rsidRPr="00F219FB" w:rsidRDefault="004070E5" w:rsidP="00D11625">
            <w:pPr>
              <w:spacing w:after="0" w:line="240" w:lineRule="auto"/>
              <w:jc w:val="right"/>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 xml:space="preserve">     205,004,517.78 </w:t>
            </w:r>
          </w:p>
        </w:tc>
      </w:tr>
      <w:tr w:rsidR="004070E5" w:rsidRPr="00F219FB" w14:paraId="297F936E" w14:textId="77777777" w:rsidTr="00D11625">
        <w:trPr>
          <w:trHeight w:val="300"/>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35352539" w14:textId="77777777" w:rsidR="004070E5" w:rsidRPr="00F219FB" w:rsidRDefault="004070E5" w:rsidP="00D11625">
            <w:pPr>
              <w:spacing w:after="0" w:line="240" w:lineRule="auto"/>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Equipo de transporte</w:t>
            </w:r>
          </w:p>
        </w:tc>
        <w:tc>
          <w:tcPr>
            <w:tcW w:w="1970" w:type="dxa"/>
            <w:tcBorders>
              <w:top w:val="nil"/>
              <w:left w:val="nil"/>
              <w:bottom w:val="single" w:sz="4" w:space="0" w:color="auto"/>
              <w:right w:val="single" w:sz="4" w:space="0" w:color="auto"/>
            </w:tcBorders>
            <w:shd w:val="clear" w:color="auto" w:fill="auto"/>
            <w:noWrap/>
            <w:vAlign w:val="bottom"/>
            <w:hideMark/>
          </w:tcPr>
          <w:p w14:paraId="52E1C25D" w14:textId="77777777" w:rsidR="004070E5" w:rsidRPr="00F219FB" w:rsidRDefault="004070E5" w:rsidP="00D11625">
            <w:pPr>
              <w:spacing w:after="0" w:line="240" w:lineRule="auto"/>
              <w:jc w:val="right"/>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 xml:space="preserve">          1,408,508.19 </w:t>
            </w:r>
          </w:p>
        </w:tc>
        <w:tc>
          <w:tcPr>
            <w:tcW w:w="1809" w:type="dxa"/>
            <w:tcBorders>
              <w:top w:val="nil"/>
              <w:left w:val="nil"/>
              <w:bottom w:val="single" w:sz="4" w:space="0" w:color="auto"/>
              <w:right w:val="single" w:sz="4" w:space="0" w:color="auto"/>
            </w:tcBorders>
            <w:shd w:val="clear" w:color="auto" w:fill="auto"/>
            <w:noWrap/>
            <w:vAlign w:val="bottom"/>
            <w:hideMark/>
          </w:tcPr>
          <w:p w14:paraId="39EA4EA4" w14:textId="77777777" w:rsidR="004070E5" w:rsidRPr="00F219FB" w:rsidRDefault="004070E5" w:rsidP="00D11625">
            <w:pPr>
              <w:spacing w:after="0" w:line="240" w:lineRule="auto"/>
              <w:jc w:val="right"/>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 xml:space="preserve">          1,233,224.76 </w:t>
            </w:r>
          </w:p>
        </w:tc>
        <w:tc>
          <w:tcPr>
            <w:tcW w:w="1935" w:type="dxa"/>
            <w:tcBorders>
              <w:top w:val="nil"/>
              <w:left w:val="nil"/>
              <w:bottom w:val="single" w:sz="4" w:space="0" w:color="auto"/>
              <w:right w:val="single" w:sz="4" w:space="0" w:color="auto"/>
            </w:tcBorders>
            <w:shd w:val="clear" w:color="auto" w:fill="auto"/>
            <w:noWrap/>
            <w:vAlign w:val="bottom"/>
            <w:hideMark/>
          </w:tcPr>
          <w:p w14:paraId="6CD7AFC9" w14:textId="77777777" w:rsidR="004070E5" w:rsidRPr="00F219FB" w:rsidRDefault="004070E5" w:rsidP="00D11625">
            <w:pPr>
              <w:spacing w:after="0" w:line="240" w:lineRule="auto"/>
              <w:jc w:val="right"/>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 xml:space="preserve">              175,283.43 </w:t>
            </w:r>
          </w:p>
        </w:tc>
      </w:tr>
      <w:tr w:rsidR="004070E5" w:rsidRPr="00F219FB" w14:paraId="6F066539" w14:textId="77777777" w:rsidTr="00D11625">
        <w:trPr>
          <w:trHeight w:val="300"/>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1E479B89" w14:textId="77777777" w:rsidR="004070E5" w:rsidRPr="00F219FB" w:rsidRDefault="004070E5" w:rsidP="00D11625">
            <w:pPr>
              <w:spacing w:after="0" w:line="240" w:lineRule="auto"/>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Colecciones, Obras de arte y objetos valiosos</w:t>
            </w:r>
          </w:p>
        </w:tc>
        <w:tc>
          <w:tcPr>
            <w:tcW w:w="1970" w:type="dxa"/>
            <w:tcBorders>
              <w:top w:val="nil"/>
              <w:left w:val="nil"/>
              <w:bottom w:val="single" w:sz="4" w:space="0" w:color="auto"/>
              <w:right w:val="single" w:sz="4" w:space="0" w:color="auto"/>
            </w:tcBorders>
            <w:shd w:val="clear" w:color="auto" w:fill="auto"/>
            <w:noWrap/>
            <w:vAlign w:val="bottom"/>
            <w:hideMark/>
          </w:tcPr>
          <w:p w14:paraId="3C268F91" w14:textId="77777777" w:rsidR="004070E5" w:rsidRPr="00F219FB" w:rsidRDefault="004070E5" w:rsidP="00D11625">
            <w:pPr>
              <w:spacing w:after="0" w:line="240" w:lineRule="auto"/>
              <w:jc w:val="right"/>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 xml:space="preserve">                44,411.80 </w:t>
            </w:r>
          </w:p>
        </w:tc>
        <w:tc>
          <w:tcPr>
            <w:tcW w:w="1809" w:type="dxa"/>
            <w:tcBorders>
              <w:top w:val="nil"/>
              <w:left w:val="nil"/>
              <w:bottom w:val="single" w:sz="4" w:space="0" w:color="auto"/>
              <w:right w:val="single" w:sz="4" w:space="0" w:color="auto"/>
            </w:tcBorders>
            <w:shd w:val="clear" w:color="auto" w:fill="auto"/>
            <w:noWrap/>
            <w:vAlign w:val="bottom"/>
            <w:hideMark/>
          </w:tcPr>
          <w:p w14:paraId="2E5E7B61" w14:textId="77777777" w:rsidR="004070E5" w:rsidRPr="00F219FB" w:rsidRDefault="004070E5" w:rsidP="00D11625">
            <w:pPr>
              <w:spacing w:after="0" w:line="240" w:lineRule="auto"/>
              <w:jc w:val="right"/>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 </w:t>
            </w:r>
          </w:p>
        </w:tc>
        <w:tc>
          <w:tcPr>
            <w:tcW w:w="1935" w:type="dxa"/>
            <w:tcBorders>
              <w:top w:val="nil"/>
              <w:left w:val="nil"/>
              <w:bottom w:val="single" w:sz="4" w:space="0" w:color="auto"/>
              <w:right w:val="single" w:sz="4" w:space="0" w:color="auto"/>
            </w:tcBorders>
            <w:shd w:val="clear" w:color="auto" w:fill="auto"/>
            <w:noWrap/>
            <w:vAlign w:val="bottom"/>
            <w:hideMark/>
          </w:tcPr>
          <w:p w14:paraId="79AFF993" w14:textId="77777777" w:rsidR="004070E5" w:rsidRPr="00F219FB" w:rsidRDefault="004070E5" w:rsidP="00D11625">
            <w:pPr>
              <w:spacing w:after="0" w:line="240" w:lineRule="auto"/>
              <w:jc w:val="right"/>
              <w:rPr>
                <w:rFonts w:ascii="Barlow" w:eastAsia="Times New Roman" w:hAnsi="Barlow" w:cs="Calibri"/>
                <w:color w:val="000000"/>
                <w:sz w:val="20"/>
                <w:szCs w:val="20"/>
                <w:lang w:eastAsia="es-MX"/>
              </w:rPr>
            </w:pPr>
            <w:r w:rsidRPr="00F219FB">
              <w:rPr>
                <w:rFonts w:ascii="Barlow" w:eastAsia="Times New Roman" w:hAnsi="Barlow" w:cs="Calibri"/>
                <w:color w:val="000000"/>
                <w:sz w:val="20"/>
                <w:szCs w:val="20"/>
                <w:lang w:eastAsia="es-MX"/>
              </w:rPr>
              <w:t xml:space="preserve">                44,411.80 </w:t>
            </w:r>
          </w:p>
        </w:tc>
      </w:tr>
      <w:tr w:rsidR="004070E5" w:rsidRPr="00F219FB" w14:paraId="4384C157" w14:textId="77777777" w:rsidTr="00D11625">
        <w:trPr>
          <w:trHeight w:val="300"/>
        </w:trPr>
        <w:tc>
          <w:tcPr>
            <w:tcW w:w="5680" w:type="dxa"/>
            <w:tcBorders>
              <w:top w:val="nil"/>
              <w:left w:val="single" w:sz="4" w:space="0" w:color="auto"/>
              <w:bottom w:val="single" w:sz="4" w:space="0" w:color="auto"/>
              <w:right w:val="single" w:sz="4" w:space="0" w:color="auto"/>
            </w:tcBorders>
            <w:shd w:val="clear" w:color="auto" w:fill="auto"/>
            <w:noWrap/>
            <w:vAlign w:val="bottom"/>
            <w:hideMark/>
          </w:tcPr>
          <w:p w14:paraId="63664067" w14:textId="77777777" w:rsidR="004070E5" w:rsidRPr="00F219FB" w:rsidRDefault="004070E5" w:rsidP="00D11625">
            <w:pPr>
              <w:spacing w:after="0" w:line="240" w:lineRule="auto"/>
              <w:rPr>
                <w:rFonts w:ascii="Barlow" w:eastAsia="Times New Roman" w:hAnsi="Barlow" w:cs="Calibri"/>
                <w:b/>
                <w:bCs/>
                <w:color w:val="000000"/>
                <w:sz w:val="20"/>
                <w:szCs w:val="20"/>
                <w:lang w:eastAsia="es-MX"/>
              </w:rPr>
            </w:pPr>
            <w:r w:rsidRPr="00F219FB">
              <w:rPr>
                <w:rFonts w:ascii="Barlow" w:eastAsia="Times New Roman" w:hAnsi="Barlow" w:cs="Calibri"/>
                <w:b/>
                <w:bCs/>
                <w:color w:val="000000"/>
                <w:sz w:val="20"/>
                <w:szCs w:val="20"/>
                <w:lang w:eastAsia="es-MX"/>
              </w:rPr>
              <w:t>Total</w:t>
            </w:r>
          </w:p>
        </w:tc>
        <w:tc>
          <w:tcPr>
            <w:tcW w:w="1970" w:type="dxa"/>
            <w:tcBorders>
              <w:top w:val="nil"/>
              <w:left w:val="nil"/>
              <w:bottom w:val="single" w:sz="4" w:space="0" w:color="auto"/>
              <w:right w:val="single" w:sz="4" w:space="0" w:color="auto"/>
            </w:tcBorders>
            <w:shd w:val="clear" w:color="auto" w:fill="auto"/>
            <w:noWrap/>
            <w:vAlign w:val="bottom"/>
            <w:hideMark/>
          </w:tcPr>
          <w:p w14:paraId="64C1A3A1" w14:textId="77777777" w:rsidR="004070E5" w:rsidRPr="00F219FB" w:rsidRDefault="004070E5" w:rsidP="00D11625">
            <w:pPr>
              <w:spacing w:after="0" w:line="240" w:lineRule="auto"/>
              <w:jc w:val="right"/>
              <w:rPr>
                <w:rFonts w:ascii="Barlow" w:eastAsia="Times New Roman" w:hAnsi="Barlow" w:cs="Calibri"/>
                <w:b/>
                <w:bCs/>
                <w:color w:val="000000"/>
                <w:sz w:val="20"/>
                <w:szCs w:val="20"/>
                <w:lang w:eastAsia="es-MX"/>
              </w:rPr>
            </w:pPr>
            <w:r w:rsidRPr="00F219FB">
              <w:rPr>
                <w:rFonts w:ascii="Barlow" w:eastAsia="Times New Roman" w:hAnsi="Barlow" w:cs="Calibri"/>
                <w:b/>
                <w:bCs/>
                <w:color w:val="000000"/>
                <w:sz w:val="20"/>
                <w:szCs w:val="20"/>
                <w:lang w:eastAsia="es-MX"/>
              </w:rPr>
              <w:t xml:space="preserve"> $  731,963,219.02 </w:t>
            </w:r>
          </w:p>
        </w:tc>
        <w:tc>
          <w:tcPr>
            <w:tcW w:w="1809" w:type="dxa"/>
            <w:tcBorders>
              <w:top w:val="nil"/>
              <w:left w:val="nil"/>
              <w:bottom w:val="single" w:sz="4" w:space="0" w:color="auto"/>
              <w:right w:val="single" w:sz="4" w:space="0" w:color="auto"/>
            </w:tcBorders>
            <w:shd w:val="clear" w:color="auto" w:fill="auto"/>
            <w:noWrap/>
            <w:vAlign w:val="bottom"/>
            <w:hideMark/>
          </w:tcPr>
          <w:p w14:paraId="73AF4D1F" w14:textId="77777777" w:rsidR="004070E5" w:rsidRPr="00F219FB" w:rsidRDefault="004070E5" w:rsidP="00D11625">
            <w:pPr>
              <w:spacing w:after="0" w:line="240" w:lineRule="auto"/>
              <w:jc w:val="right"/>
              <w:rPr>
                <w:rFonts w:ascii="Barlow" w:eastAsia="Times New Roman" w:hAnsi="Barlow" w:cs="Calibri"/>
                <w:b/>
                <w:bCs/>
                <w:color w:val="000000"/>
                <w:sz w:val="20"/>
                <w:szCs w:val="20"/>
                <w:lang w:eastAsia="es-MX"/>
              </w:rPr>
            </w:pPr>
            <w:r w:rsidRPr="00F219FB">
              <w:rPr>
                <w:rFonts w:ascii="Barlow" w:eastAsia="Times New Roman" w:hAnsi="Barlow" w:cs="Calibri"/>
                <w:b/>
                <w:bCs/>
                <w:color w:val="000000"/>
                <w:sz w:val="20"/>
                <w:szCs w:val="20"/>
                <w:lang w:eastAsia="es-MX"/>
              </w:rPr>
              <w:t xml:space="preserve"> $  241,910,203.42 </w:t>
            </w:r>
          </w:p>
        </w:tc>
        <w:tc>
          <w:tcPr>
            <w:tcW w:w="1935" w:type="dxa"/>
            <w:tcBorders>
              <w:top w:val="nil"/>
              <w:left w:val="nil"/>
              <w:bottom w:val="single" w:sz="4" w:space="0" w:color="auto"/>
              <w:right w:val="single" w:sz="4" w:space="0" w:color="auto"/>
            </w:tcBorders>
            <w:shd w:val="clear" w:color="auto" w:fill="auto"/>
            <w:noWrap/>
            <w:vAlign w:val="bottom"/>
            <w:hideMark/>
          </w:tcPr>
          <w:p w14:paraId="272EA536" w14:textId="77777777" w:rsidR="004070E5" w:rsidRPr="00F219FB" w:rsidRDefault="004070E5" w:rsidP="00D11625">
            <w:pPr>
              <w:spacing w:after="0" w:line="240" w:lineRule="auto"/>
              <w:jc w:val="right"/>
              <w:rPr>
                <w:rFonts w:ascii="Barlow" w:eastAsia="Times New Roman" w:hAnsi="Barlow" w:cs="Calibri"/>
                <w:b/>
                <w:bCs/>
                <w:color w:val="000000"/>
                <w:sz w:val="20"/>
                <w:szCs w:val="20"/>
                <w:lang w:eastAsia="es-MX"/>
              </w:rPr>
            </w:pPr>
            <w:r w:rsidRPr="00F219FB">
              <w:rPr>
                <w:rFonts w:ascii="Barlow" w:eastAsia="Times New Roman" w:hAnsi="Barlow" w:cs="Calibri"/>
                <w:b/>
                <w:bCs/>
                <w:color w:val="000000"/>
                <w:sz w:val="20"/>
                <w:szCs w:val="20"/>
                <w:lang w:eastAsia="es-MX"/>
              </w:rPr>
              <w:t xml:space="preserve"> $  490,053,015.60 </w:t>
            </w:r>
          </w:p>
        </w:tc>
      </w:tr>
    </w:tbl>
    <w:p w14:paraId="33E04CFB" w14:textId="77777777" w:rsidR="000F70A8" w:rsidRPr="00F219FB" w:rsidRDefault="000F70A8" w:rsidP="00EA39DE">
      <w:pPr>
        <w:spacing w:after="0" w:line="240" w:lineRule="auto"/>
        <w:rPr>
          <w:rFonts w:ascii="Barlow" w:eastAsia="Times New Roman" w:hAnsi="Barlow" w:cstheme="minorHAnsi"/>
          <w:color w:val="000000"/>
          <w:sz w:val="20"/>
          <w:szCs w:val="20"/>
          <w:lang w:eastAsia="es-MX"/>
        </w:rPr>
      </w:pPr>
    </w:p>
    <w:p w14:paraId="59561E99" w14:textId="0B867D3D" w:rsidR="00AD104A" w:rsidRPr="00F219FB" w:rsidRDefault="00AD104A" w:rsidP="00EA39DE">
      <w:pPr>
        <w:spacing w:after="0" w:line="240" w:lineRule="auto"/>
        <w:rPr>
          <w:rFonts w:ascii="Barlow" w:eastAsia="Times New Roman" w:hAnsi="Barlow" w:cstheme="minorHAnsi"/>
          <w:color w:val="000000"/>
          <w:sz w:val="20"/>
          <w:szCs w:val="20"/>
          <w:lang w:eastAsia="es-MX"/>
        </w:rPr>
      </w:pPr>
      <w:bookmarkStart w:id="6" w:name="_MON_1651660031"/>
      <w:bookmarkEnd w:id="6"/>
    </w:p>
    <w:p w14:paraId="6B048534" w14:textId="23F717BB" w:rsidR="00C40AF5" w:rsidRPr="00F219FB" w:rsidRDefault="00946D97" w:rsidP="00176041">
      <w:pPr>
        <w:rPr>
          <w:rFonts w:ascii="Barlow" w:hAnsi="Barlow"/>
          <w:sz w:val="20"/>
          <w:szCs w:val="20"/>
        </w:rPr>
      </w:pPr>
      <w:r w:rsidRPr="00F219FB">
        <w:rPr>
          <w:rFonts w:ascii="Barlow" w:hAnsi="Barlow"/>
          <w:sz w:val="20"/>
          <w:szCs w:val="20"/>
        </w:rPr>
        <w:t>9</w:t>
      </w:r>
      <w:r w:rsidR="000E50FA" w:rsidRPr="00F219FB">
        <w:rPr>
          <w:rFonts w:ascii="Barlow" w:hAnsi="Barlow"/>
          <w:sz w:val="20"/>
          <w:szCs w:val="20"/>
        </w:rPr>
        <w:t>. No aplica</w:t>
      </w:r>
    </w:p>
    <w:p w14:paraId="7D95C944" w14:textId="77777777" w:rsidR="000F70A8" w:rsidRPr="00F219FB" w:rsidRDefault="000F70A8" w:rsidP="00946D97">
      <w:pPr>
        <w:rPr>
          <w:rFonts w:ascii="Barlow" w:hAnsi="Barlow"/>
          <w:sz w:val="20"/>
          <w:szCs w:val="20"/>
        </w:rPr>
      </w:pPr>
    </w:p>
    <w:p w14:paraId="21F82EDF" w14:textId="3EF5FA72" w:rsidR="00B67468" w:rsidRPr="00F219FB" w:rsidRDefault="00946D97" w:rsidP="00946D97">
      <w:pPr>
        <w:rPr>
          <w:rFonts w:ascii="Barlow" w:hAnsi="Barlow"/>
          <w:sz w:val="20"/>
          <w:szCs w:val="20"/>
        </w:rPr>
      </w:pPr>
      <w:r w:rsidRPr="00F219FB">
        <w:rPr>
          <w:rFonts w:ascii="Barlow" w:hAnsi="Barlow"/>
          <w:sz w:val="20"/>
          <w:szCs w:val="20"/>
        </w:rPr>
        <w:t>10. No aplica</w:t>
      </w:r>
    </w:p>
    <w:p w14:paraId="0C03884A" w14:textId="77777777" w:rsidR="000F70A8" w:rsidRPr="00F219FB" w:rsidRDefault="000F70A8" w:rsidP="00946D97">
      <w:pPr>
        <w:rPr>
          <w:rFonts w:ascii="Barlow" w:hAnsi="Barlow"/>
          <w:sz w:val="20"/>
          <w:szCs w:val="20"/>
          <w:u w:val="single"/>
        </w:rPr>
      </w:pPr>
    </w:p>
    <w:p w14:paraId="20F8246C" w14:textId="76573E72" w:rsidR="0067627F" w:rsidRPr="00F219FB" w:rsidRDefault="00D665FE" w:rsidP="00946D97">
      <w:pPr>
        <w:rPr>
          <w:rFonts w:ascii="Barlow" w:hAnsi="Barlow"/>
          <w:sz w:val="20"/>
          <w:szCs w:val="20"/>
          <w:u w:val="single"/>
        </w:rPr>
      </w:pPr>
      <w:r w:rsidRPr="00F219FB">
        <w:rPr>
          <w:rFonts w:ascii="Barlow" w:hAnsi="Barlow"/>
          <w:sz w:val="20"/>
          <w:szCs w:val="20"/>
          <w:u w:val="single"/>
        </w:rPr>
        <w:t>Otros Activos Circulantes</w:t>
      </w:r>
    </w:p>
    <w:p w14:paraId="2CE8BCF4" w14:textId="16187865" w:rsidR="00F334CA" w:rsidRPr="00F219FB" w:rsidRDefault="00373A28" w:rsidP="00946D97">
      <w:pPr>
        <w:rPr>
          <w:rFonts w:ascii="Barlow" w:hAnsi="Barlow"/>
          <w:sz w:val="20"/>
          <w:szCs w:val="20"/>
        </w:rPr>
      </w:pPr>
      <w:r w:rsidRPr="00F219FB">
        <w:rPr>
          <w:rFonts w:ascii="Barlow" w:hAnsi="Barlow"/>
          <w:sz w:val="20"/>
          <w:szCs w:val="20"/>
        </w:rPr>
        <w:t>11. Este rubro está integrado por depósitos en garantía a Comisión Federal de Electricidad por un importe de $10,000.00 pesos.</w:t>
      </w:r>
    </w:p>
    <w:p w14:paraId="43CF84F2" w14:textId="0B2C11FB" w:rsidR="000F70A8" w:rsidRPr="00F219FB" w:rsidRDefault="000F70A8" w:rsidP="00946D97">
      <w:pPr>
        <w:rPr>
          <w:rFonts w:ascii="Barlow" w:hAnsi="Barlow"/>
          <w:sz w:val="20"/>
          <w:szCs w:val="20"/>
        </w:rPr>
      </w:pPr>
    </w:p>
    <w:p w14:paraId="34BA8A66" w14:textId="7E902F82" w:rsidR="000F70A8" w:rsidRPr="00F219FB" w:rsidRDefault="000F70A8" w:rsidP="00946D97">
      <w:pPr>
        <w:rPr>
          <w:rFonts w:ascii="Barlow" w:hAnsi="Barlow"/>
          <w:b/>
          <w:bCs/>
          <w:sz w:val="20"/>
          <w:szCs w:val="20"/>
        </w:rPr>
      </w:pPr>
    </w:p>
    <w:p w14:paraId="7C7B8A01" w14:textId="2A6A4B44" w:rsidR="000F70A8" w:rsidRPr="00F219FB" w:rsidRDefault="000F70A8" w:rsidP="00946D97">
      <w:pPr>
        <w:rPr>
          <w:rFonts w:ascii="Barlow" w:hAnsi="Barlow"/>
          <w:b/>
          <w:bCs/>
          <w:sz w:val="20"/>
          <w:szCs w:val="20"/>
        </w:rPr>
      </w:pPr>
    </w:p>
    <w:p w14:paraId="4AD62FC4" w14:textId="15F357A9" w:rsidR="000F70A8" w:rsidRPr="00F219FB" w:rsidRDefault="000F70A8" w:rsidP="00946D97">
      <w:pPr>
        <w:rPr>
          <w:rFonts w:ascii="Barlow" w:hAnsi="Barlow"/>
          <w:b/>
          <w:bCs/>
          <w:sz w:val="20"/>
          <w:szCs w:val="20"/>
        </w:rPr>
      </w:pPr>
    </w:p>
    <w:p w14:paraId="33769FA0" w14:textId="77777777" w:rsidR="000F70A8" w:rsidRPr="00F219FB" w:rsidRDefault="000F70A8" w:rsidP="00946D97">
      <w:pPr>
        <w:rPr>
          <w:rFonts w:ascii="Barlow" w:hAnsi="Barlow"/>
          <w:b/>
          <w:bCs/>
          <w:sz w:val="20"/>
          <w:szCs w:val="20"/>
        </w:rPr>
      </w:pPr>
    </w:p>
    <w:p w14:paraId="60362A7A" w14:textId="06C4CA51" w:rsidR="00983911" w:rsidRPr="00F219FB" w:rsidRDefault="00983911" w:rsidP="00946D97">
      <w:pPr>
        <w:rPr>
          <w:rFonts w:ascii="Barlow" w:hAnsi="Barlow"/>
          <w:sz w:val="20"/>
          <w:szCs w:val="20"/>
        </w:rPr>
      </w:pPr>
      <w:r w:rsidRPr="00F219FB">
        <w:rPr>
          <w:rFonts w:ascii="Barlow" w:hAnsi="Barlow"/>
          <w:b/>
          <w:bCs/>
          <w:sz w:val="20"/>
          <w:szCs w:val="20"/>
        </w:rPr>
        <w:t>Pasivo</w:t>
      </w:r>
      <w:r w:rsidR="00373A28" w:rsidRPr="00F219FB">
        <w:rPr>
          <w:rFonts w:ascii="Barlow" w:hAnsi="Barlow"/>
          <w:sz w:val="20"/>
          <w:szCs w:val="20"/>
        </w:rPr>
        <w:tab/>
      </w:r>
    </w:p>
    <w:p w14:paraId="432B2E55" w14:textId="65424E9B" w:rsidR="003433E2" w:rsidRPr="00F219FB" w:rsidRDefault="003433E2" w:rsidP="003433E2">
      <w:pPr>
        <w:spacing w:after="0" w:line="240" w:lineRule="auto"/>
        <w:rPr>
          <w:rFonts w:ascii="Barlow" w:hAnsi="Barlow"/>
          <w:sz w:val="20"/>
          <w:szCs w:val="20"/>
        </w:rPr>
      </w:pPr>
      <w:r w:rsidRPr="00F219FB">
        <w:rPr>
          <w:rFonts w:ascii="Barlow" w:hAnsi="Barlow"/>
          <w:sz w:val="20"/>
          <w:szCs w:val="20"/>
        </w:rPr>
        <w:t>1. El rubro de pasivos se integra por pasivos a corto plazo y se generó en la presente administración</w:t>
      </w:r>
      <w:r w:rsidR="008F008D" w:rsidRPr="00F219FB">
        <w:rPr>
          <w:rFonts w:ascii="Barlow" w:hAnsi="Barlow"/>
          <w:sz w:val="20"/>
          <w:szCs w:val="20"/>
        </w:rPr>
        <w:t>.</w:t>
      </w:r>
    </w:p>
    <w:p w14:paraId="5C04ED13" w14:textId="77777777" w:rsidR="00DC3BF8" w:rsidRPr="00F219FB" w:rsidRDefault="00DC3BF8" w:rsidP="00946D97">
      <w:pPr>
        <w:rPr>
          <w:rFonts w:ascii="Barlow" w:hAnsi="Barlow"/>
          <w:sz w:val="20"/>
          <w:szCs w:val="20"/>
          <w:u w:val="single"/>
        </w:rPr>
      </w:pPr>
    </w:p>
    <w:p w14:paraId="22558556" w14:textId="3CC7E765" w:rsidR="00373A28" w:rsidRPr="00F219FB" w:rsidRDefault="003300E3" w:rsidP="00946D97">
      <w:pPr>
        <w:rPr>
          <w:rFonts w:ascii="Barlow" w:hAnsi="Barlow"/>
          <w:sz w:val="20"/>
          <w:szCs w:val="20"/>
          <w:u w:val="single"/>
        </w:rPr>
      </w:pPr>
      <w:r w:rsidRPr="00F219FB">
        <w:rPr>
          <w:rFonts w:ascii="Barlow" w:hAnsi="Barlow"/>
          <w:sz w:val="20"/>
          <w:szCs w:val="20"/>
          <w:u w:val="single"/>
        </w:rPr>
        <w:t>Cuentas por pagar</w:t>
      </w:r>
    </w:p>
    <w:bookmarkStart w:id="7" w:name="_MON_1651938971"/>
    <w:bookmarkEnd w:id="7"/>
    <w:p w14:paraId="6EB5ED3F" w14:textId="47A76AA5" w:rsidR="00B95E8D" w:rsidRPr="00F219FB" w:rsidRDefault="00300DEE" w:rsidP="00946D97">
      <w:pPr>
        <w:rPr>
          <w:rFonts w:ascii="Barlow" w:hAnsi="Barlow"/>
          <w:sz w:val="20"/>
          <w:szCs w:val="20"/>
        </w:rPr>
      </w:pPr>
      <w:r w:rsidRPr="00F219FB">
        <w:rPr>
          <w:rFonts w:ascii="Barlow" w:hAnsi="Barlow"/>
          <w:sz w:val="20"/>
          <w:szCs w:val="20"/>
        </w:rPr>
        <w:object w:dxaOrig="6345" w:dyaOrig="1471" w14:anchorId="4E8F0FBE">
          <v:shape id="_x0000_i1030" type="#_x0000_t75" style="width:317.25pt;height:72.75pt" o:ole="">
            <v:imagedata r:id="rId21" o:title=""/>
          </v:shape>
          <o:OLEObject Type="Embed" ProgID="Excel.Sheet.12" ShapeID="_x0000_i1030" DrawAspect="Content" ObjectID="_1712565086" r:id="rId22"/>
        </w:object>
      </w:r>
    </w:p>
    <w:p w14:paraId="3B0CCBA2" w14:textId="77777777" w:rsidR="000643A5" w:rsidRPr="00F219FB" w:rsidRDefault="000643A5" w:rsidP="00946D97">
      <w:pPr>
        <w:rPr>
          <w:rFonts w:ascii="Barlow" w:hAnsi="Barlow"/>
          <w:sz w:val="20"/>
          <w:szCs w:val="20"/>
        </w:rPr>
      </w:pPr>
    </w:p>
    <w:bookmarkStart w:id="8" w:name="_MON_1680111343"/>
    <w:bookmarkEnd w:id="8"/>
    <w:p w14:paraId="4DFB2FC9" w14:textId="099DD515" w:rsidR="00994FE9" w:rsidRPr="00F219FB" w:rsidRDefault="00F93A2B" w:rsidP="00946D97">
      <w:pPr>
        <w:rPr>
          <w:rFonts w:ascii="Barlow" w:hAnsi="Barlow"/>
          <w:sz w:val="20"/>
          <w:szCs w:val="20"/>
        </w:rPr>
      </w:pPr>
      <w:r w:rsidRPr="00F219FB">
        <w:rPr>
          <w:rFonts w:ascii="Barlow" w:hAnsi="Barlow"/>
          <w:sz w:val="20"/>
          <w:szCs w:val="20"/>
        </w:rPr>
        <w:object w:dxaOrig="6345" w:dyaOrig="1180" w14:anchorId="599C5FCA">
          <v:shape id="_x0000_i1031" type="#_x0000_t75" style="width:317.25pt;height:58.5pt" o:ole="">
            <v:imagedata r:id="rId23" o:title=""/>
          </v:shape>
          <o:OLEObject Type="Embed" ProgID="Excel.Sheet.12" ShapeID="_x0000_i1031" DrawAspect="Content" ObjectID="_1712565087" r:id="rId24"/>
        </w:object>
      </w:r>
    </w:p>
    <w:p w14:paraId="25A1DA85" w14:textId="70BC2877" w:rsidR="006A414D" w:rsidRPr="00F219FB" w:rsidRDefault="006A414D" w:rsidP="00946D97">
      <w:pPr>
        <w:rPr>
          <w:rFonts w:ascii="Barlow" w:hAnsi="Barlow"/>
          <w:sz w:val="20"/>
          <w:szCs w:val="20"/>
        </w:rPr>
      </w:pPr>
    </w:p>
    <w:p w14:paraId="7D6956E9" w14:textId="645CB420" w:rsidR="00C92BC2" w:rsidRPr="00F219FB" w:rsidRDefault="00BF1BDF" w:rsidP="00946D97">
      <w:pPr>
        <w:rPr>
          <w:rFonts w:ascii="Barlow" w:hAnsi="Barlow"/>
          <w:sz w:val="20"/>
          <w:szCs w:val="20"/>
          <w:u w:val="single"/>
        </w:rPr>
      </w:pPr>
      <w:r w:rsidRPr="00F219FB">
        <w:rPr>
          <w:rFonts w:ascii="Barlow" w:hAnsi="Barlow"/>
          <w:sz w:val="20"/>
          <w:szCs w:val="20"/>
          <w:u w:val="single"/>
        </w:rPr>
        <w:t xml:space="preserve">Otras </w:t>
      </w:r>
      <w:r w:rsidR="00C92BC2" w:rsidRPr="00F219FB">
        <w:rPr>
          <w:rFonts w:ascii="Barlow" w:hAnsi="Barlow"/>
          <w:sz w:val="20"/>
          <w:szCs w:val="20"/>
          <w:u w:val="single"/>
        </w:rPr>
        <w:t>Cuentas por pagar</w:t>
      </w:r>
    </w:p>
    <w:bookmarkStart w:id="9" w:name="_MON_1651939219"/>
    <w:bookmarkEnd w:id="9"/>
    <w:p w14:paraId="32A6C959" w14:textId="306567B9" w:rsidR="00EA39DE" w:rsidRPr="00F219FB" w:rsidRDefault="00300DEE" w:rsidP="009053D8">
      <w:pPr>
        <w:rPr>
          <w:rFonts w:ascii="Barlow" w:hAnsi="Barlow"/>
          <w:sz w:val="20"/>
          <w:szCs w:val="20"/>
        </w:rPr>
      </w:pPr>
      <w:r w:rsidRPr="00F219FB">
        <w:rPr>
          <w:rFonts w:ascii="Barlow" w:hAnsi="Barlow"/>
          <w:sz w:val="20"/>
          <w:szCs w:val="20"/>
        </w:rPr>
        <w:object w:dxaOrig="7311" w:dyaOrig="1471" w14:anchorId="39AA29FB">
          <v:shape id="_x0000_i1032" type="#_x0000_t75" style="width:365.25pt;height:73.5pt" o:ole="">
            <v:imagedata r:id="rId25" o:title=""/>
          </v:shape>
          <o:OLEObject Type="Embed" ProgID="Excel.Sheet.12" ShapeID="_x0000_i1032" DrawAspect="Content" ObjectID="_1712565088" r:id="rId26"/>
        </w:object>
      </w:r>
    </w:p>
    <w:p w14:paraId="06326898" w14:textId="77777777" w:rsidR="00EE5E79" w:rsidRPr="00F219FB" w:rsidRDefault="00EE5E79" w:rsidP="009053D8">
      <w:pPr>
        <w:rPr>
          <w:rFonts w:ascii="Barlow" w:hAnsi="Barlow"/>
          <w:sz w:val="20"/>
          <w:szCs w:val="20"/>
        </w:rPr>
      </w:pPr>
    </w:p>
    <w:p w14:paraId="14ABF581" w14:textId="7880F48B" w:rsidR="009053D8" w:rsidRPr="00F219FB" w:rsidRDefault="009053D8" w:rsidP="009053D8">
      <w:pPr>
        <w:rPr>
          <w:rFonts w:ascii="Barlow" w:hAnsi="Barlow"/>
          <w:sz w:val="20"/>
          <w:szCs w:val="20"/>
        </w:rPr>
      </w:pPr>
      <w:r w:rsidRPr="00F219FB">
        <w:rPr>
          <w:rFonts w:ascii="Barlow" w:hAnsi="Barlow"/>
          <w:sz w:val="20"/>
          <w:szCs w:val="20"/>
        </w:rPr>
        <w:t>2. No aplica</w:t>
      </w:r>
    </w:p>
    <w:p w14:paraId="190411EB" w14:textId="77777777" w:rsidR="00D77651" w:rsidRPr="00F219FB" w:rsidRDefault="00D77651" w:rsidP="009053D8">
      <w:pPr>
        <w:rPr>
          <w:rFonts w:ascii="Barlow" w:hAnsi="Barlow"/>
          <w:sz w:val="20"/>
          <w:szCs w:val="20"/>
        </w:rPr>
      </w:pPr>
    </w:p>
    <w:p w14:paraId="701FE2C8" w14:textId="7B56EB7D" w:rsidR="005551B0" w:rsidRPr="00F219FB" w:rsidRDefault="009053D8" w:rsidP="009053D8">
      <w:pPr>
        <w:rPr>
          <w:rFonts w:ascii="Barlow" w:hAnsi="Barlow"/>
          <w:sz w:val="20"/>
          <w:szCs w:val="20"/>
        </w:rPr>
      </w:pPr>
      <w:r w:rsidRPr="00F219FB">
        <w:rPr>
          <w:rFonts w:ascii="Barlow" w:hAnsi="Barlow"/>
          <w:sz w:val="20"/>
          <w:szCs w:val="20"/>
        </w:rPr>
        <w:t>3. No aplica</w:t>
      </w:r>
    </w:p>
    <w:p w14:paraId="7B0709CA" w14:textId="65C8CCA9" w:rsidR="001C6A24" w:rsidRPr="00F219FB" w:rsidRDefault="00B93107" w:rsidP="001C6A24">
      <w:pPr>
        <w:pStyle w:val="Prrafodelista"/>
        <w:numPr>
          <w:ilvl w:val="0"/>
          <w:numId w:val="4"/>
        </w:numPr>
        <w:rPr>
          <w:rFonts w:ascii="Barlow" w:hAnsi="Barlow"/>
          <w:sz w:val="20"/>
          <w:szCs w:val="20"/>
        </w:rPr>
      </w:pPr>
      <w:r w:rsidRPr="00F219FB">
        <w:rPr>
          <w:rFonts w:ascii="Barlow" w:hAnsi="Barlow"/>
          <w:sz w:val="20"/>
          <w:szCs w:val="20"/>
        </w:rPr>
        <w:t xml:space="preserve">NOTAS AL ESTADO DE </w:t>
      </w:r>
      <w:r w:rsidR="00004184" w:rsidRPr="00F219FB">
        <w:rPr>
          <w:rFonts w:ascii="Barlow" w:hAnsi="Barlow"/>
          <w:sz w:val="20"/>
          <w:szCs w:val="20"/>
        </w:rPr>
        <w:t>ACTIVIDADES</w:t>
      </w:r>
    </w:p>
    <w:p w14:paraId="63605D9D" w14:textId="610D60FC" w:rsidR="00EF1D66" w:rsidRPr="00F219FB" w:rsidRDefault="0003095C" w:rsidP="00EF1D66">
      <w:pPr>
        <w:rPr>
          <w:rFonts w:ascii="Barlow" w:hAnsi="Barlow"/>
          <w:b/>
          <w:bCs/>
          <w:sz w:val="20"/>
          <w:szCs w:val="20"/>
        </w:rPr>
      </w:pPr>
      <w:r w:rsidRPr="00F219FB">
        <w:rPr>
          <w:rFonts w:ascii="Barlow" w:hAnsi="Barlow"/>
          <w:b/>
          <w:bCs/>
          <w:sz w:val="20"/>
          <w:szCs w:val="20"/>
        </w:rPr>
        <w:t>Ingresos y otros beneficios</w:t>
      </w:r>
    </w:p>
    <w:p w14:paraId="34492D5C" w14:textId="029941F9" w:rsidR="001941C5" w:rsidRPr="00F219FB" w:rsidRDefault="00B96B75" w:rsidP="001C6A24">
      <w:pPr>
        <w:rPr>
          <w:rFonts w:ascii="Barlow" w:hAnsi="Barlow"/>
          <w:sz w:val="20"/>
          <w:szCs w:val="20"/>
          <w:u w:val="single"/>
        </w:rPr>
      </w:pPr>
      <w:r w:rsidRPr="00F219FB">
        <w:rPr>
          <w:rFonts w:ascii="Barlow" w:hAnsi="Barlow"/>
          <w:sz w:val="20"/>
          <w:szCs w:val="20"/>
          <w:u w:val="single"/>
        </w:rPr>
        <w:t xml:space="preserve">1. </w:t>
      </w:r>
      <w:r w:rsidR="001941C5" w:rsidRPr="00F219FB">
        <w:rPr>
          <w:rFonts w:ascii="Barlow" w:hAnsi="Barlow"/>
          <w:sz w:val="20"/>
          <w:szCs w:val="20"/>
          <w:u w:val="single"/>
        </w:rPr>
        <w:t>Ingresos de gestión</w:t>
      </w:r>
    </w:p>
    <w:p w14:paraId="6E0F0B78" w14:textId="7535A8F7" w:rsidR="00F518A7" w:rsidRPr="00F219FB" w:rsidRDefault="002E1F8D" w:rsidP="00F518A7">
      <w:pPr>
        <w:rPr>
          <w:rFonts w:ascii="Barlow" w:hAnsi="Barlow"/>
          <w:sz w:val="20"/>
          <w:szCs w:val="20"/>
        </w:rPr>
      </w:pPr>
      <w:r w:rsidRPr="00F219FB">
        <w:rPr>
          <w:rFonts w:ascii="Barlow" w:hAnsi="Barlow"/>
          <w:sz w:val="20"/>
          <w:szCs w:val="20"/>
        </w:rPr>
        <w:t>Los ingresos de gestión se encuentran integrados en las siguientes par</w:t>
      </w:r>
      <w:r w:rsidR="00651450" w:rsidRPr="00F219FB">
        <w:rPr>
          <w:rFonts w:ascii="Barlow" w:hAnsi="Barlow"/>
          <w:sz w:val="20"/>
          <w:szCs w:val="20"/>
        </w:rPr>
        <w:t>t</w:t>
      </w:r>
      <w:r w:rsidRPr="00F219FB">
        <w:rPr>
          <w:rFonts w:ascii="Barlow" w:hAnsi="Barlow"/>
          <w:sz w:val="20"/>
          <w:szCs w:val="20"/>
        </w:rPr>
        <w:t>idas,</w:t>
      </w:r>
    </w:p>
    <w:p w14:paraId="5D605DB3" w14:textId="4F581918" w:rsidR="00480B06" w:rsidRPr="00F219FB" w:rsidRDefault="00480B06" w:rsidP="00F518A7">
      <w:pPr>
        <w:rPr>
          <w:rFonts w:ascii="Barlow" w:hAnsi="Barlow"/>
          <w:sz w:val="20"/>
          <w:szCs w:val="20"/>
          <w:u w:val="single"/>
        </w:rPr>
      </w:pPr>
    </w:p>
    <w:p w14:paraId="536D0A71" w14:textId="77777777" w:rsidR="004930A1" w:rsidRPr="00F219FB" w:rsidRDefault="004930A1" w:rsidP="00F518A7">
      <w:pPr>
        <w:rPr>
          <w:rFonts w:ascii="Barlow" w:hAnsi="Barlow"/>
          <w:sz w:val="20"/>
          <w:szCs w:val="20"/>
          <w:u w:val="single"/>
        </w:rPr>
      </w:pPr>
    </w:p>
    <w:p w14:paraId="2C34BABF" w14:textId="6188EFB2" w:rsidR="007203C9" w:rsidRPr="00F219FB" w:rsidRDefault="007203C9" w:rsidP="00F518A7">
      <w:pPr>
        <w:rPr>
          <w:rFonts w:ascii="Barlow" w:hAnsi="Barlow"/>
          <w:sz w:val="20"/>
          <w:szCs w:val="20"/>
          <w:u w:val="single"/>
        </w:rPr>
      </w:pPr>
      <w:r w:rsidRPr="00F219FB">
        <w:rPr>
          <w:rFonts w:ascii="Barlow" w:hAnsi="Barlow"/>
          <w:sz w:val="20"/>
          <w:szCs w:val="20"/>
          <w:u w:val="single"/>
        </w:rPr>
        <w:t>Product</w:t>
      </w:r>
      <w:r w:rsidR="00D67CBD" w:rsidRPr="00F219FB">
        <w:rPr>
          <w:rFonts w:ascii="Barlow" w:hAnsi="Barlow"/>
          <w:sz w:val="20"/>
          <w:szCs w:val="20"/>
          <w:u w:val="single"/>
        </w:rPr>
        <w:t>os</w:t>
      </w:r>
    </w:p>
    <w:bookmarkStart w:id="10" w:name="_MON_1651947263"/>
    <w:bookmarkEnd w:id="10"/>
    <w:p w14:paraId="3312E18C" w14:textId="1F433E04" w:rsidR="00EA39DE" w:rsidRPr="00F219FB" w:rsidRDefault="00246455" w:rsidP="00A279BB">
      <w:pPr>
        <w:rPr>
          <w:rFonts w:ascii="Barlow" w:hAnsi="Barlow"/>
          <w:sz w:val="20"/>
          <w:szCs w:val="20"/>
        </w:rPr>
      </w:pPr>
      <w:r w:rsidRPr="00F219FB">
        <w:rPr>
          <w:rFonts w:ascii="Barlow" w:hAnsi="Barlow"/>
          <w:sz w:val="20"/>
          <w:szCs w:val="20"/>
        </w:rPr>
        <w:object w:dxaOrig="8199" w:dyaOrig="890" w14:anchorId="477F6FCE">
          <v:shape id="_x0000_i1033" type="#_x0000_t75" style="width:410.25pt;height:44.25pt" o:ole="">
            <v:imagedata r:id="rId27" o:title=""/>
          </v:shape>
          <o:OLEObject Type="Embed" ProgID="Excel.Sheet.12" ShapeID="_x0000_i1033" DrawAspect="Content" ObjectID="_1712565089" r:id="rId28"/>
        </w:object>
      </w:r>
    </w:p>
    <w:p w14:paraId="64DC3191" w14:textId="77777777" w:rsidR="00EA39DE" w:rsidRPr="00F219FB" w:rsidRDefault="00EA39DE" w:rsidP="00A279BB">
      <w:pPr>
        <w:rPr>
          <w:rFonts w:ascii="Barlow" w:hAnsi="Barlow"/>
          <w:sz w:val="20"/>
          <w:szCs w:val="20"/>
          <w:u w:val="single"/>
        </w:rPr>
      </w:pPr>
    </w:p>
    <w:p w14:paraId="2F3DD6DE" w14:textId="52739ADC" w:rsidR="00DF627D" w:rsidRPr="00F219FB" w:rsidRDefault="00BD50E3" w:rsidP="00A279BB">
      <w:pPr>
        <w:rPr>
          <w:rFonts w:ascii="Barlow" w:hAnsi="Barlow"/>
          <w:sz w:val="20"/>
          <w:szCs w:val="20"/>
          <w:u w:val="single"/>
        </w:rPr>
      </w:pPr>
      <w:r w:rsidRPr="00F219FB">
        <w:rPr>
          <w:rFonts w:ascii="Barlow" w:hAnsi="Barlow"/>
          <w:sz w:val="20"/>
          <w:szCs w:val="20"/>
          <w:u w:val="single"/>
        </w:rPr>
        <w:t>2.</w:t>
      </w:r>
      <w:r w:rsidR="00AA0EB3" w:rsidRPr="00F219FB">
        <w:rPr>
          <w:rFonts w:ascii="Barlow" w:hAnsi="Barlow"/>
          <w:sz w:val="20"/>
          <w:szCs w:val="20"/>
          <w:u w:val="single"/>
        </w:rPr>
        <w:t>Transferencias, asignaciones, subsidios y otras ayudas</w:t>
      </w:r>
    </w:p>
    <w:bookmarkStart w:id="11" w:name="_MON_1651948518"/>
    <w:bookmarkEnd w:id="11"/>
    <w:p w14:paraId="61D15BA4" w14:textId="6B9F6FF4" w:rsidR="00555DF5" w:rsidRPr="00F219FB" w:rsidRDefault="00461908" w:rsidP="002E1F8D">
      <w:pPr>
        <w:rPr>
          <w:rFonts w:ascii="Barlow" w:hAnsi="Barlow"/>
          <w:sz w:val="20"/>
          <w:szCs w:val="20"/>
        </w:rPr>
      </w:pPr>
      <w:r w:rsidRPr="00F219FB">
        <w:rPr>
          <w:rFonts w:ascii="Barlow" w:hAnsi="Barlow"/>
          <w:sz w:val="20"/>
          <w:szCs w:val="20"/>
        </w:rPr>
        <w:object w:dxaOrig="7553" w:dyaOrig="1890" w14:anchorId="1DD42C7E">
          <v:shape id="_x0000_i1034" type="#_x0000_t75" style="width:379.5pt;height:95.25pt" o:ole="">
            <v:imagedata r:id="rId29" o:title=""/>
          </v:shape>
          <o:OLEObject Type="Embed" ProgID="Excel.Sheet.12" ShapeID="_x0000_i1034" DrawAspect="Content" ObjectID="_1712565090" r:id="rId30"/>
        </w:object>
      </w:r>
    </w:p>
    <w:bookmarkStart w:id="12" w:name="_MON_1651951195"/>
    <w:bookmarkEnd w:id="12"/>
    <w:p w14:paraId="2479B720" w14:textId="5900FD38" w:rsidR="004B388E" w:rsidRPr="00F219FB" w:rsidRDefault="00E656DA" w:rsidP="005E5A9D">
      <w:pPr>
        <w:rPr>
          <w:rFonts w:ascii="Barlow" w:hAnsi="Barlow"/>
          <w:sz w:val="20"/>
          <w:szCs w:val="20"/>
        </w:rPr>
      </w:pPr>
      <w:r w:rsidRPr="00F219FB">
        <w:rPr>
          <w:rFonts w:ascii="Barlow" w:hAnsi="Barlow"/>
          <w:sz w:val="20"/>
          <w:szCs w:val="20"/>
        </w:rPr>
        <w:object w:dxaOrig="5811" w:dyaOrig="1760" w14:anchorId="7D90B71A">
          <v:shape id="_x0000_i1035" type="#_x0000_t75" style="width:291.75pt;height:87.75pt" o:ole="">
            <v:imagedata r:id="rId31" o:title=""/>
          </v:shape>
          <o:OLEObject Type="Embed" ProgID="Excel.Sheet.12" ShapeID="_x0000_i1035" DrawAspect="Content" ObjectID="_1712565091" r:id="rId32"/>
        </w:object>
      </w:r>
    </w:p>
    <w:p w14:paraId="75D61228" w14:textId="2C2604F5" w:rsidR="005E5A9D" w:rsidRPr="00F219FB" w:rsidRDefault="005E5A9D" w:rsidP="005E5A9D">
      <w:pPr>
        <w:rPr>
          <w:rFonts w:ascii="Barlow" w:hAnsi="Barlow"/>
          <w:b/>
          <w:bCs/>
          <w:sz w:val="20"/>
          <w:szCs w:val="20"/>
        </w:rPr>
      </w:pPr>
      <w:r w:rsidRPr="00F219FB">
        <w:rPr>
          <w:rFonts w:ascii="Barlow" w:hAnsi="Barlow"/>
          <w:b/>
          <w:bCs/>
          <w:sz w:val="20"/>
          <w:szCs w:val="20"/>
        </w:rPr>
        <w:t>Gastos y otras pérdidas</w:t>
      </w:r>
    </w:p>
    <w:p w14:paraId="0781CF54" w14:textId="3EC5B96F" w:rsidR="00A9425D" w:rsidRPr="00F219FB" w:rsidRDefault="00A9425D" w:rsidP="00A9425D">
      <w:pPr>
        <w:rPr>
          <w:rFonts w:ascii="Barlow" w:hAnsi="Barlow"/>
          <w:sz w:val="20"/>
          <w:szCs w:val="20"/>
        </w:rPr>
      </w:pPr>
      <w:r w:rsidRPr="00F219FB">
        <w:rPr>
          <w:rFonts w:ascii="Barlow" w:hAnsi="Barlow"/>
          <w:sz w:val="20"/>
          <w:szCs w:val="20"/>
        </w:rPr>
        <w:t>1.</w:t>
      </w:r>
      <w:r w:rsidR="00A616C5" w:rsidRPr="00F219FB">
        <w:rPr>
          <w:rFonts w:ascii="Barlow" w:hAnsi="Barlow"/>
          <w:sz w:val="20"/>
          <w:szCs w:val="20"/>
        </w:rPr>
        <w:t>El rubro de gastos</w:t>
      </w:r>
      <w:r w:rsidRPr="00F219FB">
        <w:rPr>
          <w:rFonts w:ascii="Barlow" w:hAnsi="Barlow"/>
          <w:sz w:val="20"/>
          <w:szCs w:val="20"/>
        </w:rPr>
        <w:t xml:space="preserve"> y otras pérdidas está integrado por:</w:t>
      </w:r>
    </w:p>
    <w:p w14:paraId="60685CE3" w14:textId="27AD59BB" w:rsidR="001D03CE" w:rsidRPr="00F219FB" w:rsidRDefault="001D03CE" w:rsidP="00A9425D">
      <w:pPr>
        <w:rPr>
          <w:rFonts w:ascii="Barlow" w:hAnsi="Barlow"/>
          <w:sz w:val="20"/>
          <w:szCs w:val="20"/>
          <w:u w:val="single"/>
        </w:rPr>
      </w:pPr>
      <w:r w:rsidRPr="00F219FB">
        <w:rPr>
          <w:rFonts w:ascii="Barlow" w:hAnsi="Barlow"/>
          <w:sz w:val="20"/>
          <w:szCs w:val="20"/>
          <w:u w:val="single"/>
        </w:rPr>
        <w:t xml:space="preserve">Gastos de </w:t>
      </w:r>
      <w:r w:rsidR="00F55D43" w:rsidRPr="00F219FB">
        <w:rPr>
          <w:rFonts w:ascii="Barlow" w:hAnsi="Barlow"/>
          <w:sz w:val="20"/>
          <w:szCs w:val="20"/>
          <w:u w:val="single"/>
        </w:rPr>
        <w:t>funcionamiento</w:t>
      </w:r>
    </w:p>
    <w:bookmarkStart w:id="13" w:name="_MON_1651954100"/>
    <w:bookmarkEnd w:id="13"/>
    <w:p w14:paraId="18A0CD47" w14:textId="0EF51976" w:rsidR="00BA6BED" w:rsidRPr="00F219FB" w:rsidRDefault="00FD403E" w:rsidP="002E1F8D">
      <w:pPr>
        <w:rPr>
          <w:rFonts w:ascii="Barlow" w:hAnsi="Barlow"/>
          <w:sz w:val="20"/>
          <w:szCs w:val="20"/>
        </w:rPr>
      </w:pPr>
      <w:r w:rsidRPr="00F219FB">
        <w:rPr>
          <w:rFonts w:ascii="Barlow" w:hAnsi="Barlow"/>
          <w:sz w:val="20"/>
          <w:szCs w:val="20"/>
        </w:rPr>
        <w:object w:dxaOrig="5907" w:dyaOrig="1180" w14:anchorId="5A9AA27C">
          <v:shape id="_x0000_i1036" type="#_x0000_t75" style="width:296.25pt;height:59.25pt" o:ole="">
            <v:imagedata r:id="rId33" o:title=""/>
          </v:shape>
          <o:OLEObject Type="Embed" ProgID="Excel.Sheet.12" ShapeID="_x0000_i1036" DrawAspect="Content" ObjectID="_1712565092" r:id="rId34"/>
        </w:object>
      </w:r>
    </w:p>
    <w:p w14:paraId="65F062AE" w14:textId="20B4174F" w:rsidR="00046548" w:rsidRPr="00F219FB" w:rsidRDefault="00046548" w:rsidP="00B146B6">
      <w:pPr>
        <w:rPr>
          <w:rFonts w:ascii="Barlow" w:hAnsi="Barlow"/>
          <w:sz w:val="20"/>
          <w:szCs w:val="20"/>
          <w:u w:val="single"/>
        </w:rPr>
      </w:pPr>
    </w:p>
    <w:p w14:paraId="51CF38CF" w14:textId="77777777" w:rsidR="00616767" w:rsidRPr="00F219FB" w:rsidRDefault="00616767" w:rsidP="00B146B6">
      <w:pPr>
        <w:rPr>
          <w:rFonts w:ascii="Barlow" w:hAnsi="Barlow"/>
          <w:sz w:val="20"/>
          <w:szCs w:val="20"/>
          <w:u w:val="single"/>
        </w:rPr>
      </w:pPr>
    </w:p>
    <w:p w14:paraId="5ABF10BC" w14:textId="77777777" w:rsidR="00715B93" w:rsidRPr="00F219FB" w:rsidRDefault="00715B93" w:rsidP="00B146B6">
      <w:pPr>
        <w:rPr>
          <w:rFonts w:ascii="Barlow" w:hAnsi="Barlow"/>
          <w:sz w:val="20"/>
          <w:szCs w:val="20"/>
          <w:u w:val="single"/>
        </w:rPr>
      </w:pPr>
    </w:p>
    <w:p w14:paraId="48010738" w14:textId="04E8436B" w:rsidR="00F2162F" w:rsidRPr="00F219FB" w:rsidRDefault="00B146B6" w:rsidP="002E1F8D">
      <w:pPr>
        <w:rPr>
          <w:rFonts w:ascii="Barlow" w:hAnsi="Barlow"/>
          <w:sz w:val="20"/>
          <w:szCs w:val="20"/>
          <w:u w:val="single"/>
        </w:rPr>
      </w:pPr>
      <w:r w:rsidRPr="00F219FB">
        <w:rPr>
          <w:rFonts w:ascii="Barlow" w:hAnsi="Barlow"/>
          <w:sz w:val="20"/>
          <w:szCs w:val="20"/>
          <w:u w:val="single"/>
        </w:rPr>
        <w:t>Transferencias, asignaciones, subsi</w:t>
      </w:r>
      <w:r w:rsidR="004377A5" w:rsidRPr="00F219FB">
        <w:rPr>
          <w:rFonts w:ascii="Barlow" w:hAnsi="Barlow"/>
          <w:sz w:val="20"/>
          <w:szCs w:val="20"/>
          <w:u w:val="single"/>
        </w:rPr>
        <w:t>dios y otras ayudas</w:t>
      </w:r>
    </w:p>
    <w:p w14:paraId="4E889032" w14:textId="77777777" w:rsidR="00715B93" w:rsidRPr="00F219FB" w:rsidRDefault="00715B93" w:rsidP="002E1F8D">
      <w:pPr>
        <w:rPr>
          <w:rFonts w:ascii="Barlow" w:hAnsi="Barlow"/>
          <w:sz w:val="20"/>
          <w:szCs w:val="20"/>
        </w:rPr>
      </w:pPr>
    </w:p>
    <w:bookmarkStart w:id="14" w:name="_MON_1651954344"/>
    <w:bookmarkEnd w:id="14"/>
    <w:p w14:paraId="2F451E28" w14:textId="70CA0993" w:rsidR="0008201D" w:rsidRPr="00F219FB" w:rsidRDefault="00F652D5" w:rsidP="001C6A24">
      <w:pPr>
        <w:rPr>
          <w:rFonts w:ascii="Barlow" w:hAnsi="Barlow"/>
          <w:sz w:val="20"/>
          <w:szCs w:val="20"/>
          <w:u w:val="single"/>
        </w:rPr>
      </w:pPr>
      <w:r w:rsidRPr="00F219FB">
        <w:rPr>
          <w:rFonts w:ascii="Barlow" w:hAnsi="Barlow"/>
          <w:sz w:val="20"/>
          <w:szCs w:val="20"/>
        </w:rPr>
        <w:object w:dxaOrig="9024" w:dyaOrig="1471" w14:anchorId="2CAE38BD">
          <v:shape id="_x0000_i1037" type="#_x0000_t75" style="width:452.25pt;height:73.5pt" o:ole="">
            <v:imagedata r:id="rId35" o:title=""/>
          </v:shape>
          <o:OLEObject Type="Embed" ProgID="Excel.Sheet.12" ShapeID="_x0000_i1037" DrawAspect="Content" ObjectID="_1712565093" r:id="rId36"/>
        </w:object>
      </w:r>
    </w:p>
    <w:p w14:paraId="6370985C" w14:textId="337108B7" w:rsidR="00660CB0" w:rsidRPr="00F219FB" w:rsidRDefault="00690C20" w:rsidP="00381CF6">
      <w:pPr>
        <w:pStyle w:val="Prrafodelista"/>
        <w:numPr>
          <w:ilvl w:val="0"/>
          <w:numId w:val="4"/>
        </w:numPr>
        <w:rPr>
          <w:rFonts w:ascii="Barlow" w:hAnsi="Barlow"/>
          <w:sz w:val="20"/>
          <w:szCs w:val="20"/>
        </w:rPr>
      </w:pPr>
      <w:r w:rsidRPr="00F219FB">
        <w:rPr>
          <w:rFonts w:ascii="Barlow" w:hAnsi="Barlow"/>
          <w:sz w:val="20"/>
          <w:szCs w:val="20"/>
        </w:rPr>
        <w:t>NOTAS AL ESTADO DE VARIACIONES EN LA HACIENDA</w:t>
      </w:r>
    </w:p>
    <w:p w14:paraId="373968C8" w14:textId="7AB2EDA1" w:rsidR="00B57D66" w:rsidRPr="00F219FB" w:rsidRDefault="00BE3DDA" w:rsidP="00B57D66">
      <w:pPr>
        <w:spacing w:after="0" w:line="240" w:lineRule="auto"/>
        <w:jc w:val="both"/>
        <w:rPr>
          <w:rFonts w:ascii="Barlow" w:eastAsia="Times New Roman" w:hAnsi="Barlow" w:cstheme="minorHAnsi"/>
          <w:color w:val="000000"/>
          <w:sz w:val="20"/>
          <w:szCs w:val="20"/>
          <w:lang w:eastAsia="es-MX"/>
        </w:rPr>
      </w:pPr>
      <w:r w:rsidRPr="00F219FB">
        <w:rPr>
          <w:rFonts w:ascii="Barlow" w:eastAsia="Times New Roman" w:hAnsi="Barlow" w:cstheme="minorHAnsi"/>
          <w:color w:val="000000"/>
          <w:sz w:val="20"/>
          <w:szCs w:val="20"/>
          <w:lang w:eastAsia="es-MX"/>
        </w:rPr>
        <w:t>El patrimonio generado de la Universidad incluye los remanentes de ejercicios anteriores, el remanente del ejercicio, los ingresos por ejercer de fondos etiquetados y la reserva para la actualización patrimonial, la cual fue creada en ejercicios anteriores con la finalidad de reconocer la revaluación de sus bienes patrimoniales cuantificados en esas fechas</w:t>
      </w:r>
      <w:r w:rsidR="00AE405C" w:rsidRPr="00F219FB">
        <w:rPr>
          <w:rFonts w:ascii="Barlow" w:eastAsia="Times New Roman" w:hAnsi="Barlow" w:cstheme="minorHAnsi"/>
          <w:color w:val="000000"/>
          <w:sz w:val="20"/>
          <w:szCs w:val="20"/>
          <w:lang w:eastAsia="es-MX"/>
        </w:rPr>
        <w:t>.</w:t>
      </w:r>
    </w:p>
    <w:p w14:paraId="1B29C0F2" w14:textId="77777777" w:rsidR="008B47C5" w:rsidRPr="00F219FB" w:rsidRDefault="008B47C5" w:rsidP="00B57D66">
      <w:pPr>
        <w:spacing w:after="0" w:line="240" w:lineRule="auto"/>
        <w:jc w:val="both"/>
        <w:rPr>
          <w:rFonts w:ascii="Barlow" w:eastAsia="Times New Roman" w:hAnsi="Barlow" w:cstheme="minorHAnsi"/>
          <w:color w:val="000000"/>
          <w:sz w:val="20"/>
          <w:szCs w:val="20"/>
          <w:lang w:eastAsia="es-MX"/>
        </w:rPr>
      </w:pPr>
    </w:p>
    <w:p w14:paraId="29395CE2" w14:textId="2E551A74" w:rsidR="00B57D66" w:rsidRPr="00F219FB" w:rsidRDefault="00F10448" w:rsidP="00B57D66">
      <w:pPr>
        <w:spacing w:after="0" w:line="240" w:lineRule="auto"/>
        <w:jc w:val="both"/>
        <w:rPr>
          <w:rFonts w:ascii="Barlow" w:eastAsia="Times New Roman" w:hAnsi="Barlow" w:cstheme="minorHAnsi"/>
          <w:color w:val="000000"/>
          <w:sz w:val="20"/>
          <w:szCs w:val="20"/>
          <w:lang w:eastAsia="es-MX"/>
        </w:rPr>
      </w:pPr>
      <w:r w:rsidRPr="00F219FB">
        <w:rPr>
          <w:rFonts w:ascii="Barlow" w:eastAsia="Times New Roman" w:hAnsi="Barlow" w:cstheme="minorHAnsi"/>
          <w:color w:val="000000"/>
          <w:sz w:val="20"/>
          <w:szCs w:val="20"/>
          <w:lang w:eastAsia="es-MX"/>
        </w:rPr>
        <w:t>1.Aportaciones de capital contribuido</w:t>
      </w:r>
    </w:p>
    <w:p w14:paraId="11E4A691" w14:textId="0BD6B4AA" w:rsidR="00F10448" w:rsidRPr="00F219FB" w:rsidRDefault="00F10448" w:rsidP="00B57D66">
      <w:pPr>
        <w:spacing w:after="0" w:line="240" w:lineRule="auto"/>
        <w:jc w:val="both"/>
        <w:rPr>
          <w:rFonts w:ascii="Barlow" w:eastAsia="Times New Roman" w:hAnsi="Barlow" w:cstheme="minorHAnsi"/>
          <w:color w:val="000000"/>
          <w:sz w:val="20"/>
          <w:szCs w:val="20"/>
          <w:lang w:eastAsia="es-MX"/>
        </w:rPr>
      </w:pPr>
    </w:p>
    <w:bookmarkStart w:id="15" w:name="_MON_1651955359"/>
    <w:bookmarkEnd w:id="15"/>
    <w:p w14:paraId="46DD82C6" w14:textId="4C710D1B" w:rsidR="00F10448" w:rsidRPr="00F219FB" w:rsidRDefault="005E48BE" w:rsidP="00B57D66">
      <w:pPr>
        <w:spacing w:after="0" w:line="240" w:lineRule="auto"/>
        <w:jc w:val="both"/>
        <w:rPr>
          <w:rFonts w:ascii="Barlow" w:eastAsia="Times New Roman" w:hAnsi="Barlow" w:cstheme="minorHAnsi"/>
          <w:color w:val="000000"/>
          <w:sz w:val="20"/>
          <w:szCs w:val="20"/>
          <w:lang w:eastAsia="es-MX"/>
        </w:rPr>
      </w:pPr>
      <w:r w:rsidRPr="00F219FB">
        <w:rPr>
          <w:rFonts w:ascii="Barlow" w:eastAsia="Times New Roman" w:hAnsi="Barlow" w:cstheme="minorHAnsi"/>
          <w:color w:val="000000"/>
          <w:sz w:val="20"/>
          <w:szCs w:val="20"/>
          <w:lang w:eastAsia="es-MX"/>
        </w:rPr>
        <w:object w:dxaOrig="7635" w:dyaOrig="890" w14:anchorId="047B3BB3">
          <v:shape id="_x0000_i1038" type="#_x0000_t75" style="width:384pt;height:44.25pt" o:ole="">
            <v:imagedata r:id="rId37" o:title=""/>
          </v:shape>
          <o:OLEObject Type="Embed" ProgID="Excel.Sheet.12" ShapeID="_x0000_i1038" DrawAspect="Content" ObjectID="_1712565094" r:id="rId38"/>
        </w:object>
      </w:r>
    </w:p>
    <w:p w14:paraId="2BDFD1E9" w14:textId="77777777" w:rsidR="008B47C5" w:rsidRPr="00F219FB" w:rsidRDefault="008B47C5" w:rsidP="00B57D66">
      <w:pPr>
        <w:spacing w:after="0" w:line="240" w:lineRule="auto"/>
        <w:jc w:val="both"/>
        <w:rPr>
          <w:rFonts w:ascii="Barlow" w:eastAsia="Times New Roman" w:hAnsi="Barlow" w:cstheme="minorHAnsi"/>
          <w:color w:val="000000"/>
          <w:sz w:val="20"/>
          <w:szCs w:val="20"/>
          <w:lang w:eastAsia="es-MX"/>
        </w:rPr>
      </w:pPr>
    </w:p>
    <w:p w14:paraId="76A55762" w14:textId="20F8D70F" w:rsidR="00863090" w:rsidRPr="00F219FB" w:rsidRDefault="00002E04" w:rsidP="00863090">
      <w:pPr>
        <w:spacing w:after="0" w:line="240" w:lineRule="auto"/>
        <w:jc w:val="both"/>
        <w:rPr>
          <w:rFonts w:ascii="Barlow" w:eastAsia="Times New Roman" w:hAnsi="Barlow" w:cstheme="minorHAnsi"/>
          <w:color w:val="000000"/>
          <w:sz w:val="20"/>
          <w:szCs w:val="20"/>
          <w:lang w:eastAsia="es-MX"/>
        </w:rPr>
      </w:pPr>
      <w:r w:rsidRPr="00F219FB">
        <w:rPr>
          <w:rFonts w:ascii="Barlow" w:eastAsia="Times New Roman" w:hAnsi="Barlow" w:cstheme="minorHAnsi"/>
          <w:color w:val="000000"/>
          <w:sz w:val="20"/>
          <w:szCs w:val="20"/>
          <w:lang w:eastAsia="es-MX"/>
        </w:rPr>
        <w:t>2</w:t>
      </w:r>
      <w:r w:rsidR="00863090" w:rsidRPr="00F219FB">
        <w:rPr>
          <w:rFonts w:ascii="Barlow" w:eastAsia="Times New Roman" w:hAnsi="Barlow" w:cstheme="minorHAnsi"/>
          <w:color w:val="000000"/>
          <w:sz w:val="20"/>
          <w:szCs w:val="20"/>
          <w:lang w:eastAsia="es-MX"/>
        </w:rPr>
        <w:t>.</w:t>
      </w:r>
      <w:r w:rsidR="00110BFB" w:rsidRPr="00F219FB">
        <w:rPr>
          <w:rFonts w:ascii="Barlow" w:eastAsia="Times New Roman" w:hAnsi="Barlow" w:cstheme="minorHAnsi"/>
          <w:color w:val="000000"/>
          <w:sz w:val="20"/>
          <w:szCs w:val="20"/>
          <w:lang w:eastAsia="es-MX"/>
        </w:rPr>
        <w:t>Patrimonio generado</w:t>
      </w:r>
    </w:p>
    <w:p w14:paraId="5A702810" w14:textId="77777777" w:rsidR="00A25672" w:rsidRPr="00F219FB" w:rsidRDefault="00A25672" w:rsidP="00863090">
      <w:pPr>
        <w:spacing w:after="0" w:line="240" w:lineRule="auto"/>
        <w:jc w:val="both"/>
        <w:rPr>
          <w:rFonts w:ascii="Barlow" w:eastAsia="Times New Roman" w:hAnsi="Barlow" w:cstheme="minorHAnsi"/>
          <w:color w:val="000000"/>
          <w:sz w:val="20"/>
          <w:szCs w:val="20"/>
          <w:lang w:eastAsia="es-MX"/>
        </w:rPr>
      </w:pPr>
    </w:p>
    <w:bookmarkStart w:id="16" w:name="_MON_1651955865"/>
    <w:bookmarkEnd w:id="16"/>
    <w:p w14:paraId="4B3FBE75" w14:textId="0FBD4AC1" w:rsidR="009C129E" w:rsidRPr="00F219FB" w:rsidRDefault="005E48BE" w:rsidP="00863090">
      <w:pPr>
        <w:spacing w:after="0" w:line="240" w:lineRule="auto"/>
        <w:jc w:val="both"/>
        <w:rPr>
          <w:rFonts w:ascii="Barlow" w:eastAsia="Times New Roman" w:hAnsi="Barlow" w:cstheme="minorHAnsi"/>
          <w:color w:val="000000"/>
          <w:sz w:val="20"/>
          <w:szCs w:val="20"/>
          <w:lang w:eastAsia="es-MX"/>
        </w:rPr>
      </w:pPr>
      <w:r w:rsidRPr="00F219FB">
        <w:rPr>
          <w:rFonts w:ascii="Barlow" w:eastAsia="Times New Roman" w:hAnsi="Barlow" w:cstheme="minorHAnsi"/>
          <w:color w:val="000000"/>
          <w:sz w:val="20"/>
          <w:szCs w:val="20"/>
          <w:lang w:eastAsia="es-MX"/>
        </w:rPr>
        <w:object w:dxaOrig="10490" w:dyaOrig="1180" w14:anchorId="61B66203">
          <v:shape id="_x0000_i1039" type="#_x0000_t75" style="width:524.25pt;height:58.5pt" o:ole="">
            <v:imagedata r:id="rId39" o:title=""/>
          </v:shape>
          <o:OLEObject Type="Embed" ProgID="Excel.Sheet.12" ShapeID="_x0000_i1039" DrawAspect="Content" ObjectID="_1712565095" r:id="rId40"/>
        </w:object>
      </w:r>
    </w:p>
    <w:p w14:paraId="0F42B14D" w14:textId="522418CD" w:rsidR="00B62492" w:rsidRPr="00F219FB" w:rsidRDefault="00550F43" w:rsidP="00550F43">
      <w:pPr>
        <w:pStyle w:val="Prrafodelista"/>
        <w:numPr>
          <w:ilvl w:val="0"/>
          <w:numId w:val="4"/>
        </w:numPr>
        <w:rPr>
          <w:rFonts w:ascii="Barlow" w:hAnsi="Barlow"/>
          <w:sz w:val="20"/>
          <w:szCs w:val="20"/>
        </w:rPr>
      </w:pPr>
      <w:r w:rsidRPr="00F219FB">
        <w:rPr>
          <w:rFonts w:ascii="Barlow" w:hAnsi="Barlow"/>
          <w:sz w:val="20"/>
          <w:szCs w:val="20"/>
        </w:rPr>
        <w:lastRenderedPageBreak/>
        <w:t>NOTAS AL ESTADO DE VARIACIONES DE FLUJOS DE EFECTIVO</w:t>
      </w:r>
    </w:p>
    <w:p w14:paraId="5AB470A4" w14:textId="3A6AE980" w:rsidR="00F86626" w:rsidRPr="00F219FB" w:rsidRDefault="00513F2C" w:rsidP="00550F43">
      <w:pPr>
        <w:rPr>
          <w:rFonts w:ascii="Barlow" w:hAnsi="Barlow"/>
          <w:sz w:val="20"/>
          <w:szCs w:val="20"/>
        </w:rPr>
      </w:pPr>
      <w:r w:rsidRPr="00F219FB">
        <w:rPr>
          <w:rFonts w:ascii="Barlow" w:hAnsi="Barlow"/>
          <w:sz w:val="20"/>
          <w:szCs w:val="20"/>
        </w:rPr>
        <w:t>1.</w:t>
      </w:r>
      <w:r w:rsidR="00A93242" w:rsidRPr="00F219FB">
        <w:rPr>
          <w:rFonts w:ascii="Barlow" w:hAnsi="Barlow"/>
          <w:sz w:val="20"/>
          <w:szCs w:val="20"/>
        </w:rPr>
        <w:t>Efectivo y equivalente</w:t>
      </w:r>
      <w:r w:rsidR="00B62492" w:rsidRPr="00F219FB">
        <w:rPr>
          <w:rFonts w:ascii="Barlow" w:hAnsi="Barlow"/>
          <w:sz w:val="20"/>
          <w:szCs w:val="20"/>
        </w:rPr>
        <w:t>s</w:t>
      </w:r>
    </w:p>
    <w:bookmarkStart w:id="17" w:name="_MON_1651956249"/>
    <w:bookmarkEnd w:id="17"/>
    <w:p w14:paraId="36F3856F" w14:textId="2185F9E7" w:rsidR="00465669" w:rsidRPr="00F219FB" w:rsidRDefault="00F219FB" w:rsidP="00550F43">
      <w:pPr>
        <w:rPr>
          <w:rFonts w:ascii="Barlow" w:hAnsi="Barlow"/>
          <w:sz w:val="20"/>
          <w:szCs w:val="20"/>
        </w:rPr>
      </w:pPr>
      <w:r w:rsidRPr="00F219FB">
        <w:rPr>
          <w:rFonts w:ascii="Barlow" w:hAnsi="Barlow"/>
          <w:sz w:val="20"/>
          <w:szCs w:val="20"/>
        </w:rPr>
        <w:object w:dxaOrig="9730" w:dyaOrig="3123" w14:anchorId="3F01E26F">
          <v:shape id="_x0000_i1040" type="#_x0000_t75" style="width:471pt;height:151.5pt" o:ole="">
            <v:imagedata r:id="rId41" o:title=""/>
          </v:shape>
          <o:OLEObject Type="Embed" ProgID="Excel.Sheet.12" ShapeID="_x0000_i1040" DrawAspect="Content" ObjectID="_1712565096" r:id="rId42"/>
        </w:object>
      </w:r>
    </w:p>
    <w:p w14:paraId="180A8923" w14:textId="2F359DCD" w:rsidR="00505D94" w:rsidRPr="00F219FB" w:rsidRDefault="00736940" w:rsidP="00550F43">
      <w:pPr>
        <w:rPr>
          <w:rFonts w:ascii="Barlow" w:hAnsi="Barlow"/>
          <w:sz w:val="20"/>
          <w:szCs w:val="20"/>
        </w:rPr>
      </w:pPr>
      <w:r w:rsidRPr="00F219FB">
        <w:rPr>
          <w:rFonts w:ascii="Barlow" w:hAnsi="Barlow"/>
          <w:sz w:val="20"/>
          <w:szCs w:val="20"/>
        </w:rPr>
        <w:t>2</w:t>
      </w:r>
      <w:r w:rsidR="00A35029" w:rsidRPr="00F219FB">
        <w:rPr>
          <w:rFonts w:ascii="Barlow" w:hAnsi="Barlow"/>
          <w:sz w:val="20"/>
          <w:szCs w:val="20"/>
        </w:rPr>
        <w:t>. Conciliación de flujos de operación y cuenta de ahorro/desahorro</w:t>
      </w:r>
      <w:r w:rsidR="003752B2" w:rsidRPr="00F219FB">
        <w:rPr>
          <w:rFonts w:ascii="Barlow" w:hAnsi="Barlow"/>
          <w:sz w:val="20"/>
          <w:szCs w:val="20"/>
        </w:rPr>
        <w:tab/>
      </w:r>
    </w:p>
    <w:bookmarkStart w:id="18" w:name="_MON_1651957192"/>
    <w:bookmarkEnd w:id="18"/>
    <w:p w14:paraId="511C4DF4" w14:textId="24A6BC86" w:rsidR="00D00DC9" w:rsidRPr="00F219FB" w:rsidRDefault="00F219FB" w:rsidP="00F219FB">
      <w:pPr>
        <w:ind w:firstLine="360"/>
        <w:rPr>
          <w:rFonts w:ascii="Barlow" w:hAnsi="Barlow"/>
          <w:sz w:val="20"/>
          <w:szCs w:val="20"/>
        </w:rPr>
      </w:pPr>
      <w:r w:rsidRPr="00F219FB">
        <w:rPr>
          <w:rFonts w:ascii="Barlow" w:hAnsi="Barlow"/>
          <w:sz w:val="20"/>
          <w:szCs w:val="20"/>
        </w:rPr>
        <w:object w:dxaOrig="9394" w:dyaOrig="3211" w14:anchorId="2FA5E2F0">
          <v:shape id="_x0000_i1124" type="#_x0000_t75" style="width:533.25pt;height:147.75pt" o:ole="">
            <v:imagedata r:id="rId43" o:title=""/>
          </v:shape>
          <o:OLEObject Type="Embed" ProgID="Excel.Sheet.12" ShapeID="_x0000_i1124" DrawAspect="Content" ObjectID="_1712565097" r:id="rId44"/>
        </w:object>
      </w:r>
    </w:p>
    <w:p w14:paraId="29094312" w14:textId="18D695BB" w:rsidR="00B62549" w:rsidRPr="00F219FB" w:rsidRDefault="00B71AE3" w:rsidP="00B62549">
      <w:pPr>
        <w:pStyle w:val="Prrafodelista"/>
        <w:numPr>
          <w:ilvl w:val="0"/>
          <w:numId w:val="4"/>
        </w:numPr>
        <w:jc w:val="both"/>
        <w:rPr>
          <w:rFonts w:ascii="Barlow" w:hAnsi="Barlow"/>
          <w:sz w:val="20"/>
          <w:szCs w:val="20"/>
        </w:rPr>
      </w:pPr>
      <w:r w:rsidRPr="00F219FB">
        <w:rPr>
          <w:rFonts w:ascii="Barlow" w:hAnsi="Barlow"/>
          <w:sz w:val="20"/>
          <w:szCs w:val="20"/>
        </w:rPr>
        <w:lastRenderedPageBreak/>
        <w:t>CONCILIACIÓN ENTRE LOS INGRESOS PRESUPUESTARIOS Y CONTABLES, ASÍ COMO ENTRE LOS EGRESOS PRESUPUESTARIOS Y LOS GASTOS CONTABLES</w:t>
      </w:r>
    </w:p>
    <w:bookmarkStart w:id="19" w:name="_MON_1651958522"/>
    <w:bookmarkEnd w:id="19"/>
    <w:p w14:paraId="65F799AA" w14:textId="3971BD1F" w:rsidR="00B62549" w:rsidRPr="00F219FB" w:rsidRDefault="00F219FB" w:rsidP="00F219FB">
      <w:pPr>
        <w:jc w:val="center"/>
        <w:rPr>
          <w:rFonts w:ascii="Barlow" w:hAnsi="Barlow"/>
          <w:sz w:val="20"/>
          <w:szCs w:val="20"/>
        </w:rPr>
      </w:pPr>
      <w:r w:rsidRPr="00F219FB">
        <w:rPr>
          <w:rFonts w:ascii="Barlow" w:hAnsi="Barlow"/>
          <w:sz w:val="20"/>
          <w:szCs w:val="20"/>
        </w:rPr>
        <w:object w:dxaOrig="12734" w:dyaOrig="6887" w14:anchorId="48397DF4">
          <v:shape id="_x0000_i1133" type="#_x0000_t75" style="width:589.5pt;height:316.5pt" o:ole="">
            <v:imagedata r:id="rId45" o:title=""/>
          </v:shape>
          <o:OLEObject Type="Embed" ProgID="Excel.Sheet.12" ShapeID="_x0000_i1133" DrawAspect="Content" ObjectID="_1712565098" r:id="rId46"/>
        </w:object>
      </w:r>
    </w:p>
    <w:p w14:paraId="5944D2D4" w14:textId="55C95C68" w:rsidR="00D00DC9" w:rsidRPr="00F219FB" w:rsidRDefault="00D00DC9" w:rsidP="005B2309">
      <w:pPr>
        <w:jc w:val="both"/>
        <w:rPr>
          <w:rFonts w:ascii="Barlow" w:hAnsi="Barlow"/>
          <w:sz w:val="20"/>
          <w:szCs w:val="20"/>
        </w:rPr>
      </w:pPr>
    </w:p>
    <w:bookmarkStart w:id="20" w:name="_MON_1651958867"/>
    <w:bookmarkEnd w:id="20"/>
    <w:p w14:paraId="2C5ADEAB" w14:textId="68631552" w:rsidR="00AA46DA" w:rsidRPr="00F219FB" w:rsidRDefault="00F219FB" w:rsidP="00F219FB">
      <w:pPr>
        <w:jc w:val="center"/>
        <w:rPr>
          <w:rFonts w:ascii="Barlow" w:hAnsi="Barlow"/>
          <w:sz w:val="20"/>
          <w:szCs w:val="20"/>
        </w:rPr>
      </w:pPr>
      <w:r w:rsidRPr="00F219FB">
        <w:rPr>
          <w:rFonts w:ascii="Barlow" w:hAnsi="Barlow"/>
          <w:sz w:val="20"/>
          <w:szCs w:val="20"/>
        </w:rPr>
        <w:object w:dxaOrig="12554" w:dyaOrig="9436" w14:anchorId="390F7F33">
          <v:shape id="_x0000_i1141" type="#_x0000_t75" style="width:411pt;height:391.5pt" o:ole="">
            <v:imagedata r:id="rId47" o:title=""/>
          </v:shape>
          <o:OLEObject Type="Embed" ProgID="Excel.Sheet.12" ShapeID="_x0000_i1141" DrawAspect="Content" ObjectID="_1712565099" r:id="rId48"/>
        </w:object>
      </w:r>
    </w:p>
    <w:p w14:paraId="5EAB525F" w14:textId="36E71652" w:rsidR="00646EE0" w:rsidRPr="00F219FB" w:rsidRDefault="00646EE0" w:rsidP="00646EE0">
      <w:pPr>
        <w:pStyle w:val="Prrafodelista"/>
        <w:numPr>
          <w:ilvl w:val="0"/>
          <w:numId w:val="1"/>
        </w:numPr>
        <w:ind w:left="0" w:firstLine="0"/>
        <w:rPr>
          <w:rFonts w:ascii="Barlow" w:hAnsi="Barlow"/>
          <w:b/>
          <w:bCs/>
          <w:sz w:val="20"/>
          <w:szCs w:val="20"/>
          <w:highlight w:val="lightGray"/>
        </w:rPr>
      </w:pPr>
      <w:r w:rsidRPr="00F219FB">
        <w:rPr>
          <w:rFonts w:ascii="Barlow" w:hAnsi="Barlow"/>
          <w:b/>
          <w:bCs/>
          <w:sz w:val="20"/>
          <w:szCs w:val="20"/>
          <w:highlight w:val="lightGray"/>
        </w:rPr>
        <w:lastRenderedPageBreak/>
        <w:t xml:space="preserve">NOTAS DE MEMORIA Y CUENTAS DE </w:t>
      </w:r>
      <w:r w:rsidR="00DB2754" w:rsidRPr="00F219FB">
        <w:rPr>
          <w:rFonts w:ascii="Barlow" w:hAnsi="Barlow"/>
          <w:b/>
          <w:bCs/>
          <w:sz w:val="20"/>
          <w:szCs w:val="20"/>
          <w:highlight w:val="lightGray"/>
        </w:rPr>
        <w:t>ORDEN</w:t>
      </w:r>
    </w:p>
    <w:p w14:paraId="09BC7AED" w14:textId="23680A6B" w:rsidR="00DB2754" w:rsidRPr="00F219FB" w:rsidRDefault="00DB2754" w:rsidP="00DB2754">
      <w:pPr>
        <w:rPr>
          <w:rFonts w:ascii="Barlow" w:hAnsi="Barlow"/>
          <w:b/>
          <w:bCs/>
          <w:sz w:val="20"/>
          <w:szCs w:val="20"/>
          <w:highlight w:val="lightGray"/>
        </w:rPr>
      </w:pPr>
    </w:p>
    <w:p w14:paraId="69646CBB" w14:textId="7B4BC867" w:rsidR="00DB2754" w:rsidRPr="00F219FB" w:rsidRDefault="00467147" w:rsidP="00DB2754">
      <w:pPr>
        <w:rPr>
          <w:rFonts w:ascii="Barlow" w:hAnsi="Barlow"/>
          <w:b/>
          <w:bCs/>
          <w:sz w:val="20"/>
          <w:szCs w:val="20"/>
        </w:rPr>
      </w:pPr>
      <w:r w:rsidRPr="00F219FB">
        <w:rPr>
          <w:rFonts w:ascii="Barlow" w:hAnsi="Barlow"/>
          <w:b/>
          <w:bCs/>
          <w:sz w:val="20"/>
          <w:szCs w:val="20"/>
        </w:rPr>
        <w:t>Contables</w:t>
      </w:r>
    </w:p>
    <w:p w14:paraId="58D2168F" w14:textId="4E60DB5B" w:rsidR="00B61742" w:rsidRPr="00F219FB" w:rsidRDefault="00467147" w:rsidP="00DB2754">
      <w:pPr>
        <w:rPr>
          <w:rFonts w:ascii="Barlow" w:hAnsi="Barlow"/>
          <w:sz w:val="20"/>
          <w:szCs w:val="20"/>
        </w:rPr>
      </w:pPr>
      <w:r w:rsidRPr="00F219FB">
        <w:rPr>
          <w:rFonts w:ascii="Barlow" w:hAnsi="Barlow"/>
          <w:sz w:val="20"/>
          <w:szCs w:val="20"/>
        </w:rPr>
        <w:t xml:space="preserve">En estas cuentas de orden se registran </w:t>
      </w:r>
      <w:r w:rsidR="00A665B7" w:rsidRPr="00F219FB">
        <w:rPr>
          <w:rFonts w:ascii="Barlow" w:hAnsi="Barlow"/>
          <w:sz w:val="20"/>
          <w:szCs w:val="20"/>
        </w:rPr>
        <w:t>las siguientes situaciones:</w:t>
      </w:r>
    </w:p>
    <w:p w14:paraId="00AA4F0C" w14:textId="77777777" w:rsidR="00604860" w:rsidRPr="00F219FB" w:rsidRDefault="00604860" w:rsidP="00DB2754">
      <w:pPr>
        <w:rPr>
          <w:rFonts w:ascii="Barlow" w:hAnsi="Barlow"/>
          <w:sz w:val="20"/>
          <w:szCs w:val="20"/>
        </w:rPr>
      </w:pPr>
    </w:p>
    <w:p w14:paraId="2EC1BCA9" w14:textId="66070EE5" w:rsidR="00B61742" w:rsidRPr="00F219FB" w:rsidRDefault="00B61742" w:rsidP="00B61742">
      <w:pPr>
        <w:rPr>
          <w:rFonts w:ascii="Barlow" w:hAnsi="Barlow"/>
          <w:sz w:val="20"/>
          <w:szCs w:val="20"/>
          <w:u w:val="single"/>
        </w:rPr>
      </w:pPr>
      <w:r w:rsidRPr="00F219FB">
        <w:rPr>
          <w:rFonts w:ascii="Barlow" w:hAnsi="Barlow"/>
          <w:sz w:val="20"/>
          <w:szCs w:val="20"/>
          <w:u w:val="single"/>
        </w:rPr>
        <w:t>Litigios en proceso</w:t>
      </w:r>
    </w:p>
    <w:p w14:paraId="0CBF885E" w14:textId="77777777" w:rsidR="006F0A29" w:rsidRPr="00F219FB" w:rsidRDefault="006F0A29" w:rsidP="006F0A29">
      <w:pPr>
        <w:rPr>
          <w:rFonts w:ascii="Barlow" w:hAnsi="Barlow"/>
          <w:sz w:val="20"/>
          <w:szCs w:val="20"/>
        </w:rPr>
      </w:pPr>
      <w:r w:rsidRPr="00F219FB">
        <w:rPr>
          <w:rFonts w:ascii="Barlow" w:hAnsi="Barlow"/>
          <w:sz w:val="20"/>
          <w:szCs w:val="20"/>
        </w:rPr>
        <w:t>Conforme a la información proporcionada por el departamento de asuntos jurídicos de la oficina del abogado general de la Universidad, la Institución al cierre de año, tiene los siguientes litigios en proceso</w:t>
      </w:r>
    </w:p>
    <w:bookmarkStart w:id="21" w:name="_MON_1652028998"/>
    <w:bookmarkEnd w:id="21"/>
    <w:p w14:paraId="3CB5B3D5" w14:textId="3CD57AA7" w:rsidR="00B61742" w:rsidRPr="00F219FB" w:rsidRDefault="00D9406A" w:rsidP="00B61742">
      <w:pPr>
        <w:rPr>
          <w:rFonts w:ascii="Barlow" w:hAnsi="Barlow"/>
          <w:sz w:val="20"/>
          <w:szCs w:val="20"/>
        </w:rPr>
      </w:pPr>
      <w:r w:rsidRPr="00F219FB">
        <w:rPr>
          <w:rFonts w:ascii="Barlow" w:hAnsi="Barlow"/>
          <w:sz w:val="20"/>
          <w:szCs w:val="20"/>
        </w:rPr>
        <w:object w:dxaOrig="8635" w:dyaOrig="3528" w14:anchorId="4CA483FF">
          <v:shape id="_x0000_i1044" type="#_x0000_t75" style="width:6in;height:177pt" o:ole="">
            <v:imagedata r:id="rId49" o:title=""/>
          </v:shape>
          <o:OLEObject Type="Embed" ProgID="Excel.Sheet.12" ShapeID="_x0000_i1044" DrawAspect="Content" ObjectID="_1712565100" r:id="rId50"/>
        </w:object>
      </w:r>
    </w:p>
    <w:p w14:paraId="4AB6F5E7" w14:textId="77777777" w:rsidR="00AA0EC0" w:rsidRPr="00F219FB" w:rsidRDefault="00AA0EC0" w:rsidP="00B61742">
      <w:pPr>
        <w:rPr>
          <w:rFonts w:ascii="Barlow" w:hAnsi="Barlow"/>
          <w:sz w:val="20"/>
          <w:szCs w:val="20"/>
          <w:u w:val="single"/>
        </w:rPr>
      </w:pPr>
    </w:p>
    <w:p w14:paraId="662BA6CF" w14:textId="453E7B45" w:rsidR="00E07477" w:rsidRPr="00F219FB" w:rsidRDefault="00E07477" w:rsidP="00B61742">
      <w:pPr>
        <w:rPr>
          <w:rFonts w:ascii="Barlow" w:hAnsi="Barlow"/>
          <w:sz w:val="20"/>
          <w:szCs w:val="20"/>
          <w:u w:val="single"/>
        </w:rPr>
      </w:pPr>
    </w:p>
    <w:p w14:paraId="123CD9B6" w14:textId="61CBE561" w:rsidR="00350841" w:rsidRPr="00F219FB" w:rsidRDefault="004F0A95" w:rsidP="00B61742">
      <w:pPr>
        <w:rPr>
          <w:rFonts w:ascii="Barlow" w:hAnsi="Barlow"/>
          <w:sz w:val="20"/>
          <w:szCs w:val="20"/>
          <w:u w:val="single"/>
        </w:rPr>
      </w:pPr>
      <w:r w:rsidRPr="00F219FB">
        <w:rPr>
          <w:rFonts w:ascii="Barlow" w:hAnsi="Barlow"/>
          <w:sz w:val="20"/>
          <w:szCs w:val="20"/>
          <w:u w:val="single"/>
        </w:rPr>
        <w:lastRenderedPageBreak/>
        <w:t>Cuentas de orden</w:t>
      </w:r>
    </w:p>
    <w:p w14:paraId="1C542282" w14:textId="77777777" w:rsidR="00EA41D6" w:rsidRPr="00F219FB" w:rsidRDefault="00EA41D6" w:rsidP="00B61742">
      <w:pPr>
        <w:rPr>
          <w:rFonts w:ascii="Barlow" w:hAnsi="Barlow"/>
          <w:b/>
          <w:bCs/>
          <w:sz w:val="20"/>
          <w:szCs w:val="20"/>
          <w:highlight w:val="yellow"/>
        </w:rPr>
      </w:pPr>
    </w:p>
    <w:p w14:paraId="7D54A6E9" w14:textId="2326A351" w:rsidR="00E34CA5" w:rsidRPr="00F219FB" w:rsidRDefault="0009326F" w:rsidP="00B61742">
      <w:pPr>
        <w:rPr>
          <w:rFonts w:ascii="Barlow" w:hAnsi="Barlow"/>
          <w:b/>
          <w:bCs/>
          <w:sz w:val="20"/>
          <w:szCs w:val="20"/>
        </w:rPr>
      </w:pPr>
      <w:r w:rsidRPr="00F219FB">
        <w:rPr>
          <w:rFonts w:ascii="Barlow" w:hAnsi="Barlow"/>
          <w:b/>
          <w:bCs/>
          <w:sz w:val="20"/>
          <w:szCs w:val="20"/>
        </w:rPr>
        <w:t>Presupuestarias</w:t>
      </w:r>
    </w:p>
    <w:bookmarkStart w:id="22" w:name="_MON_1652029773"/>
    <w:bookmarkEnd w:id="22"/>
    <w:p w14:paraId="4624B55A" w14:textId="26B200E2" w:rsidR="004909A3" w:rsidRPr="00F219FB" w:rsidRDefault="00F75F4E" w:rsidP="00B61742">
      <w:pPr>
        <w:rPr>
          <w:rFonts w:ascii="Barlow" w:hAnsi="Barlow"/>
          <w:b/>
          <w:bCs/>
          <w:sz w:val="20"/>
          <w:szCs w:val="20"/>
        </w:rPr>
      </w:pPr>
      <w:r w:rsidRPr="00F219FB">
        <w:rPr>
          <w:rFonts w:ascii="Barlow" w:hAnsi="Barlow"/>
          <w:b/>
          <w:bCs/>
          <w:sz w:val="20"/>
          <w:szCs w:val="20"/>
        </w:rPr>
        <w:object w:dxaOrig="12525" w:dyaOrig="2744" w14:anchorId="015C01AF">
          <v:shape id="_x0000_i1045" type="#_x0000_t75" style="width:625.5pt;height:136.5pt" o:ole="">
            <v:imagedata r:id="rId51" o:title=""/>
          </v:shape>
          <o:OLEObject Type="Embed" ProgID="Excel.Sheet.12" ShapeID="_x0000_i1045" DrawAspect="Content" ObjectID="_1712565101" r:id="rId52"/>
        </w:object>
      </w:r>
    </w:p>
    <w:p w14:paraId="6E3E9797" w14:textId="3FC26BFE" w:rsidR="00661500" w:rsidRPr="00F219FB" w:rsidRDefault="00661500" w:rsidP="00661500">
      <w:pPr>
        <w:pStyle w:val="Prrafodelista"/>
        <w:numPr>
          <w:ilvl w:val="0"/>
          <w:numId w:val="1"/>
        </w:numPr>
        <w:ind w:left="0" w:firstLine="0"/>
        <w:rPr>
          <w:rFonts w:ascii="Barlow" w:hAnsi="Barlow"/>
          <w:b/>
          <w:bCs/>
          <w:sz w:val="20"/>
          <w:szCs w:val="20"/>
          <w:highlight w:val="lightGray"/>
        </w:rPr>
      </w:pPr>
      <w:r w:rsidRPr="00F219FB">
        <w:rPr>
          <w:rFonts w:ascii="Barlow" w:hAnsi="Barlow"/>
          <w:b/>
          <w:bCs/>
          <w:sz w:val="20"/>
          <w:szCs w:val="20"/>
          <w:highlight w:val="lightGray"/>
        </w:rPr>
        <w:t>NOTAS DE GESTIÓN ADMINISTRATIVA</w:t>
      </w:r>
    </w:p>
    <w:p w14:paraId="6B1A35A0" w14:textId="3BA013C0" w:rsidR="00714EAB" w:rsidRPr="00F219FB" w:rsidRDefault="00714EAB" w:rsidP="00661500">
      <w:pPr>
        <w:rPr>
          <w:rFonts w:ascii="Barlow" w:hAnsi="Barlow"/>
          <w:b/>
          <w:bCs/>
          <w:sz w:val="20"/>
          <w:szCs w:val="20"/>
        </w:rPr>
      </w:pPr>
      <w:r w:rsidRPr="00F219FB">
        <w:rPr>
          <w:rFonts w:ascii="Barlow" w:hAnsi="Barlow"/>
          <w:b/>
          <w:bCs/>
          <w:sz w:val="20"/>
          <w:szCs w:val="20"/>
        </w:rPr>
        <w:t>1.Introducción</w:t>
      </w:r>
    </w:p>
    <w:p w14:paraId="6F112601" w14:textId="7BC9906C" w:rsidR="00714EAB" w:rsidRDefault="00250835" w:rsidP="00250835">
      <w:pPr>
        <w:jc w:val="both"/>
        <w:rPr>
          <w:rFonts w:ascii="Barlow" w:hAnsi="Barlow"/>
          <w:sz w:val="20"/>
          <w:szCs w:val="20"/>
        </w:rPr>
      </w:pPr>
      <w:r w:rsidRPr="00F219FB">
        <w:rPr>
          <w:rFonts w:ascii="Barlow" w:hAnsi="Barlow"/>
          <w:sz w:val="20"/>
          <w:szCs w:val="20"/>
        </w:rPr>
        <w:t xml:space="preserve">Los estados financieros de la Universidad Autónoma de Yucatán proveen información financiera a </w:t>
      </w:r>
      <w:r w:rsidR="003B4707" w:rsidRPr="00F219FB">
        <w:rPr>
          <w:rFonts w:ascii="Barlow" w:hAnsi="Barlow"/>
          <w:sz w:val="20"/>
          <w:szCs w:val="20"/>
        </w:rPr>
        <w:t>sus</w:t>
      </w:r>
      <w:r w:rsidRPr="00F219FB">
        <w:rPr>
          <w:rFonts w:ascii="Barlow" w:hAnsi="Barlow"/>
          <w:sz w:val="20"/>
          <w:szCs w:val="20"/>
        </w:rPr>
        <w:t xml:space="preserve"> principales usuarios, al congreso y a los ciudadanos. El objetivo del presente documento es la revelación del contexto y de los aspectos económicos financieros más relevantes que influyeron en las decisiones del período y que deberán ser considerados en la elaboración de los estados financieros para </w:t>
      </w:r>
      <w:r w:rsidR="001B7A94" w:rsidRPr="00F219FB">
        <w:rPr>
          <w:rFonts w:ascii="Barlow" w:hAnsi="Barlow"/>
          <w:sz w:val="20"/>
          <w:szCs w:val="20"/>
        </w:rPr>
        <w:t xml:space="preserve">su </w:t>
      </w:r>
      <w:r w:rsidRPr="00F219FB">
        <w:rPr>
          <w:rFonts w:ascii="Barlow" w:hAnsi="Barlow"/>
          <w:sz w:val="20"/>
          <w:szCs w:val="20"/>
        </w:rPr>
        <w:t>mayor comprensión</w:t>
      </w:r>
      <w:r w:rsidR="00F80D95" w:rsidRPr="00F219FB">
        <w:rPr>
          <w:rFonts w:ascii="Barlow" w:hAnsi="Barlow"/>
          <w:sz w:val="20"/>
          <w:szCs w:val="20"/>
        </w:rPr>
        <w:t xml:space="preserve">, </w:t>
      </w:r>
      <w:r w:rsidR="001B7A94" w:rsidRPr="00F219FB">
        <w:rPr>
          <w:rFonts w:ascii="Barlow" w:hAnsi="Barlow"/>
          <w:sz w:val="20"/>
          <w:szCs w:val="20"/>
        </w:rPr>
        <w:t xml:space="preserve">así como de </w:t>
      </w:r>
      <w:r w:rsidRPr="00F219FB">
        <w:rPr>
          <w:rFonts w:ascii="Barlow" w:hAnsi="Barlow"/>
          <w:sz w:val="20"/>
          <w:szCs w:val="20"/>
        </w:rPr>
        <w:t>sus particularidades. De esta manera, se informa y explica la respuesta de la Universidad Autónoma de Yucatán a las condiciones relacionadas con la información financiera de cada período de gestión; además de exponer aquellas políticas que podrían afectar la toma de decisiones en períodos posteriores.</w:t>
      </w:r>
    </w:p>
    <w:p w14:paraId="7EB668A8" w14:textId="36D9E4C0" w:rsidR="0075511D" w:rsidRDefault="0075511D" w:rsidP="00250835">
      <w:pPr>
        <w:jc w:val="both"/>
        <w:rPr>
          <w:rFonts w:ascii="Barlow" w:hAnsi="Barlow"/>
          <w:sz w:val="20"/>
          <w:szCs w:val="20"/>
        </w:rPr>
      </w:pPr>
    </w:p>
    <w:p w14:paraId="60296CFE" w14:textId="304744E9" w:rsidR="0075511D" w:rsidRDefault="0075511D" w:rsidP="00250835">
      <w:pPr>
        <w:jc w:val="both"/>
        <w:rPr>
          <w:rFonts w:ascii="Barlow" w:hAnsi="Barlow"/>
          <w:sz w:val="20"/>
          <w:szCs w:val="20"/>
        </w:rPr>
      </w:pPr>
    </w:p>
    <w:p w14:paraId="392B630E" w14:textId="77777777" w:rsidR="0075511D" w:rsidRPr="00F219FB" w:rsidRDefault="0075511D" w:rsidP="00250835">
      <w:pPr>
        <w:jc w:val="both"/>
        <w:rPr>
          <w:rFonts w:ascii="Barlow" w:hAnsi="Barlow"/>
          <w:sz w:val="20"/>
          <w:szCs w:val="20"/>
        </w:rPr>
      </w:pPr>
    </w:p>
    <w:p w14:paraId="48E68DB0" w14:textId="2A9FDA27" w:rsidR="00D006FD" w:rsidRPr="00F219FB" w:rsidRDefault="00D006FD" w:rsidP="00D006FD">
      <w:pPr>
        <w:rPr>
          <w:rFonts w:ascii="Barlow" w:hAnsi="Barlow"/>
          <w:b/>
          <w:bCs/>
          <w:sz w:val="20"/>
          <w:szCs w:val="20"/>
        </w:rPr>
      </w:pPr>
      <w:r w:rsidRPr="00F219FB">
        <w:rPr>
          <w:rFonts w:ascii="Barlow" w:hAnsi="Barlow"/>
          <w:b/>
          <w:bCs/>
          <w:sz w:val="20"/>
          <w:szCs w:val="20"/>
        </w:rPr>
        <w:lastRenderedPageBreak/>
        <w:t>2.Panorama económico y financiero</w:t>
      </w:r>
    </w:p>
    <w:p w14:paraId="5180D82B" w14:textId="1F5ABE84" w:rsidR="00D006FD" w:rsidRPr="00F219FB" w:rsidRDefault="00C45D3B" w:rsidP="00D006FD">
      <w:pPr>
        <w:rPr>
          <w:rFonts w:ascii="Barlow" w:hAnsi="Barlow"/>
          <w:sz w:val="20"/>
          <w:szCs w:val="20"/>
        </w:rPr>
      </w:pPr>
      <w:r w:rsidRPr="00F219FB">
        <w:rPr>
          <w:rFonts w:ascii="Barlow" w:hAnsi="Barlow"/>
          <w:sz w:val="20"/>
          <w:szCs w:val="20"/>
        </w:rPr>
        <w:t>En el aspecto económico la Universidad Autónoma de Yucatán cuenta con las siguientes fuentes de ingreso:</w:t>
      </w:r>
    </w:p>
    <w:p w14:paraId="774B919C" w14:textId="2B8F376B" w:rsidR="00C45D3B" w:rsidRPr="00F219FB" w:rsidRDefault="00282C7C" w:rsidP="00F80D95">
      <w:pPr>
        <w:spacing w:after="0"/>
        <w:rPr>
          <w:rFonts w:ascii="Barlow" w:hAnsi="Barlow"/>
          <w:sz w:val="20"/>
          <w:szCs w:val="20"/>
        </w:rPr>
      </w:pPr>
      <w:r w:rsidRPr="00F219FB">
        <w:rPr>
          <w:rFonts w:ascii="Barlow" w:hAnsi="Barlow"/>
          <w:sz w:val="20"/>
          <w:szCs w:val="20"/>
        </w:rPr>
        <w:t>-  Aportaciones del gobierno federal</w:t>
      </w:r>
    </w:p>
    <w:p w14:paraId="56FBFF87" w14:textId="304DD744" w:rsidR="00282C7C" w:rsidRPr="00F219FB" w:rsidRDefault="00173353" w:rsidP="00F80D95">
      <w:pPr>
        <w:spacing w:after="0"/>
        <w:rPr>
          <w:rFonts w:ascii="Barlow" w:hAnsi="Barlow"/>
          <w:sz w:val="20"/>
          <w:szCs w:val="20"/>
        </w:rPr>
      </w:pPr>
      <w:r w:rsidRPr="00F219FB">
        <w:rPr>
          <w:rFonts w:ascii="Barlow" w:hAnsi="Barlow"/>
          <w:sz w:val="20"/>
          <w:szCs w:val="20"/>
        </w:rPr>
        <w:t>-  Aportaciones del gobierno estatal</w:t>
      </w:r>
    </w:p>
    <w:p w14:paraId="19A210B4" w14:textId="35482BE9" w:rsidR="00173353" w:rsidRPr="00F219FB" w:rsidRDefault="00173353" w:rsidP="00F80D95">
      <w:pPr>
        <w:spacing w:after="0"/>
        <w:rPr>
          <w:rFonts w:ascii="Barlow" w:hAnsi="Barlow"/>
          <w:sz w:val="20"/>
          <w:szCs w:val="20"/>
        </w:rPr>
      </w:pPr>
      <w:r w:rsidRPr="00F219FB">
        <w:rPr>
          <w:rFonts w:ascii="Barlow" w:hAnsi="Barlow"/>
          <w:sz w:val="20"/>
          <w:szCs w:val="20"/>
        </w:rPr>
        <w:t>-  Ingresos propios</w:t>
      </w:r>
    </w:p>
    <w:p w14:paraId="0E220DFE" w14:textId="24DD3007" w:rsidR="003A7E6F" w:rsidRPr="00F219FB" w:rsidRDefault="00173353" w:rsidP="00F80D95">
      <w:pPr>
        <w:spacing w:after="0"/>
        <w:jc w:val="both"/>
        <w:rPr>
          <w:rFonts w:ascii="Barlow" w:hAnsi="Barlow"/>
          <w:sz w:val="20"/>
          <w:szCs w:val="20"/>
        </w:rPr>
      </w:pPr>
      <w:r w:rsidRPr="00F219FB">
        <w:rPr>
          <w:rFonts w:ascii="Barlow" w:hAnsi="Barlow"/>
          <w:sz w:val="20"/>
          <w:szCs w:val="20"/>
        </w:rPr>
        <w:t xml:space="preserve">- Aportaciones de diversas instituciones y fundaciones para programas de investigación, programas específicos de acuerdo </w:t>
      </w:r>
      <w:r w:rsidR="00477D4F" w:rsidRPr="00F219FB">
        <w:rPr>
          <w:rFonts w:ascii="Barlow" w:hAnsi="Barlow"/>
          <w:sz w:val="20"/>
          <w:szCs w:val="20"/>
        </w:rPr>
        <w:t xml:space="preserve">con </w:t>
      </w:r>
      <w:r w:rsidRPr="00F219FB">
        <w:rPr>
          <w:rFonts w:ascii="Barlow" w:hAnsi="Barlow"/>
          <w:sz w:val="20"/>
          <w:szCs w:val="20"/>
        </w:rPr>
        <w:t>los convenios que se celebren con estos organismos</w:t>
      </w:r>
    </w:p>
    <w:p w14:paraId="33F80DC9" w14:textId="77777777" w:rsidR="00EF7DB9" w:rsidRPr="00F219FB" w:rsidRDefault="00EF7DB9" w:rsidP="00F80D95">
      <w:pPr>
        <w:spacing w:after="0"/>
        <w:jc w:val="both"/>
        <w:rPr>
          <w:rFonts w:ascii="Barlow" w:hAnsi="Barlow"/>
          <w:sz w:val="20"/>
          <w:szCs w:val="20"/>
        </w:rPr>
      </w:pPr>
    </w:p>
    <w:p w14:paraId="154BFFBC" w14:textId="4647CEB8" w:rsidR="00477D4F" w:rsidRPr="00F219FB" w:rsidRDefault="00F80D95" w:rsidP="00477D4F">
      <w:pPr>
        <w:jc w:val="both"/>
        <w:rPr>
          <w:rFonts w:ascii="Barlow" w:hAnsi="Barlow"/>
          <w:b/>
          <w:bCs/>
          <w:sz w:val="20"/>
          <w:szCs w:val="20"/>
        </w:rPr>
      </w:pPr>
      <w:r w:rsidRPr="00F219FB">
        <w:rPr>
          <w:rFonts w:ascii="Barlow" w:hAnsi="Barlow"/>
          <w:b/>
          <w:bCs/>
          <w:sz w:val="20"/>
          <w:szCs w:val="20"/>
        </w:rPr>
        <w:t>3. Autorización e Historia</w:t>
      </w:r>
    </w:p>
    <w:p w14:paraId="062701BD" w14:textId="5B6F14A1" w:rsidR="00F80D95" w:rsidRPr="00F219FB" w:rsidRDefault="00A960D1" w:rsidP="00477D4F">
      <w:pPr>
        <w:jc w:val="both"/>
        <w:rPr>
          <w:rFonts w:ascii="Barlow" w:hAnsi="Barlow"/>
          <w:sz w:val="20"/>
          <w:szCs w:val="20"/>
        </w:rPr>
      </w:pPr>
      <w:r w:rsidRPr="00F219FB">
        <w:rPr>
          <w:rFonts w:ascii="Barlow" w:hAnsi="Barlow"/>
          <w:sz w:val="20"/>
          <w:szCs w:val="20"/>
        </w:rPr>
        <w:t>En septiembre de 1984, siendo Rector de la Universidad el Ing.</w:t>
      </w:r>
      <w:r w:rsidR="00EE714E" w:rsidRPr="00F219FB">
        <w:rPr>
          <w:rFonts w:ascii="Barlow" w:hAnsi="Barlow"/>
          <w:sz w:val="20"/>
          <w:szCs w:val="20"/>
        </w:rPr>
        <w:t xml:space="preserve"> </w:t>
      </w:r>
      <w:r w:rsidR="00D055EC" w:rsidRPr="00F219FB">
        <w:rPr>
          <w:rFonts w:ascii="Barlow" w:hAnsi="Barlow"/>
          <w:sz w:val="20"/>
          <w:szCs w:val="20"/>
        </w:rPr>
        <w:t>Álvaro</w:t>
      </w:r>
      <w:r w:rsidRPr="00F219FB">
        <w:rPr>
          <w:rFonts w:ascii="Barlow" w:hAnsi="Barlow"/>
          <w:sz w:val="20"/>
          <w:szCs w:val="20"/>
        </w:rPr>
        <w:t xml:space="preserve"> J. </w:t>
      </w:r>
      <w:proofErr w:type="spellStart"/>
      <w:r w:rsidRPr="00F219FB">
        <w:rPr>
          <w:rFonts w:ascii="Barlow" w:hAnsi="Barlow"/>
          <w:sz w:val="20"/>
          <w:szCs w:val="20"/>
        </w:rPr>
        <w:t>Mimenza</w:t>
      </w:r>
      <w:proofErr w:type="spellEnd"/>
      <w:r w:rsidRPr="00F219FB">
        <w:rPr>
          <w:rFonts w:ascii="Barlow" w:hAnsi="Barlow"/>
          <w:sz w:val="20"/>
          <w:szCs w:val="20"/>
        </w:rPr>
        <w:t xml:space="preserve"> Cuevas</w:t>
      </w:r>
      <w:r w:rsidR="00EE714E" w:rsidRPr="00F219FB">
        <w:rPr>
          <w:rFonts w:ascii="Barlow" w:hAnsi="Barlow"/>
          <w:sz w:val="20"/>
          <w:szCs w:val="20"/>
        </w:rPr>
        <w:t>;</w:t>
      </w:r>
      <w:r w:rsidRPr="00F219FB">
        <w:rPr>
          <w:rFonts w:ascii="Barlow" w:hAnsi="Barlow"/>
          <w:sz w:val="20"/>
          <w:szCs w:val="20"/>
        </w:rPr>
        <w:t xml:space="preserve"> el Gobernador del estado, Sr. Víctor Cervera Pacheco, promulgó una nueva Ley Orgánica y el nombre de Universidad Autónoma de Yucatán rige a la Casa de Altos Estudios hasta la fecha.</w:t>
      </w:r>
    </w:p>
    <w:p w14:paraId="7ABB1745" w14:textId="03350987" w:rsidR="001A3EBE" w:rsidRPr="00F219FB" w:rsidRDefault="001A3EBE" w:rsidP="00477D4F">
      <w:pPr>
        <w:jc w:val="both"/>
        <w:rPr>
          <w:rFonts w:ascii="Barlow" w:hAnsi="Barlow"/>
          <w:sz w:val="20"/>
          <w:szCs w:val="20"/>
        </w:rPr>
      </w:pPr>
      <w:r w:rsidRPr="00F219FB">
        <w:rPr>
          <w:rFonts w:ascii="Barlow" w:hAnsi="Barlow"/>
          <w:sz w:val="20"/>
          <w:szCs w:val="20"/>
        </w:rPr>
        <w:t>La Universidad Autónoma de Yucatán es una institución de enseñanza superior, Autónoma por Ley, descentralizada del Estado, para organizar, administrar y desarrollar sus fines, con plena capacidad, personalidad jurídica y patrimonio propio.</w:t>
      </w:r>
    </w:p>
    <w:p w14:paraId="24BB3EC3" w14:textId="29FCAC70" w:rsidR="001A3EBE" w:rsidRPr="00F219FB" w:rsidRDefault="00554EF6" w:rsidP="00477D4F">
      <w:pPr>
        <w:jc w:val="both"/>
        <w:rPr>
          <w:rFonts w:ascii="Barlow" w:hAnsi="Barlow"/>
          <w:sz w:val="20"/>
          <w:szCs w:val="20"/>
        </w:rPr>
      </w:pPr>
      <w:r w:rsidRPr="00F219FB">
        <w:rPr>
          <w:rFonts w:ascii="Barlow" w:hAnsi="Barlow"/>
          <w:sz w:val="20"/>
          <w:szCs w:val="20"/>
        </w:rPr>
        <w:t>La Universidad Autónoma de Yucatán tiene por finalidades: Educar, generar el conocimiento y difundir la cultura en beneficio de la sociedad, para lo cual debe:</w:t>
      </w:r>
    </w:p>
    <w:p w14:paraId="5D700640" w14:textId="6AF6ABEF" w:rsidR="00554EF6" w:rsidRPr="00F219FB" w:rsidRDefault="00E37CE1" w:rsidP="00452498">
      <w:pPr>
        <w:spacing w:after="0"/>
        <w:jc w:val="both"/>
        <w:rPr>
          <w:rFonts w:ascii="Barlow" w:hAnsi="Barlow"/>
          <w:sz w:val="20"/>
          <w:szCs w:val="20"/>
        </w:rPr>
      </w:pPr>
      <w:r w:rsidRPr="00F219FB">
        <w:rPr>
          <w:rFonts w:ascii="Barlow" w:hAnsi="Barlow"/>
          <w:sz w:val="20"/>
          <w:szCs w:val="20"/>
        </w:rPr>
        <w:t>I.- Formar profesionales, Investigadores y maestros universitarios de acuerdo con las necesidades económicas, sociales y políticas de la entidad, de la región y de la Nación.</w:t>
      </w:r>
    </w:p>
    <w:p w14:paraId="142EF067" w14:textId="07110C99" w:rsidR="00E37CE1" w:rsidRPr="00F219FB" w:rsidRDefault="00E37CE1" w:rsidP="00452498">
      <w:pPr>
        <w:spacing w:after="0"/>
        <w:jc w:val="both"/>
        <w:rPr>
          <w:rFonts w:ascii="Barlow" w:hAnsi="Barlow"/>
          <w:sz w:val="20"/>
          <w:szCs w:val="20"/>
        </w:rPr>
      </w:pPr>
      <w:r w:rsidRPr="00F219FB">
        <w:rPr>
          <w:rFonts w:ascii="Barlow" w:hAnsi="Barlow"/>
          <w:sz w:val="20"/>
          <w:szCs w:val="20"/>
        </w:rPr>
        <w:t>II.- Fomentar y realizar investigación científica y humanística.</w:t>
      </w:r>
    </w:p>
    <w:p w14:paraId="341CECE0" w14:textId="50A8FF64" w:rsidR="00E37CE1" w:rsidRPr="00F219FB" w:rsidRDefault="00452498" w:rsidP="00452498">
      <w:pPr>
        <w:spacing w:after="0"/>
        <w:jc w:val="both"/>
        <w:rPr>
          <w:rFonts w:ascii="Barlow" w:hAnsi="Barlow"/>
          <w:sz w:val="20"/>
          <w:szCs w:val="20"/>
        </w:rPr>
      </w:pPr>
      <w:r w:rsidRPr="00F219FB">
        <w:rPr>
          <w:rFonts w:ascii="Barlow" w:hAnsi="Barlow"/>
          <w:sz w:val="20"/>
          <w:szCs w:val="20"/>
        </w:rPr>
        <w:t>III.- Extender los beneficios de la cultura a la sociedad.</w:t>
      </w:r>
    </w:p>
    <w:p w14:paraId="7E5A85E7" w14:textId="5083E3B5" w:rsidR="00452498" w:rsidRDefault="00452498" w:rsidP="00452498">
      <w:pPr>
        <w:spacing w:after="0"/>
        <w:jc w:val="both"/>
        <w:rPr>
          <w:rFonts w:ascii="Barlow" w:hAnsi="Barlow"/>
          <w:sz w:val="20"/>
          <w:szCs w:val="20"/>
        </w:rPr>
      </w:pPr>
    </w:p>
    <w:p w14:paraId="6EC36580" w14:textId="5919DC08" w:rsidR="0075511D" w:rsidRDefault="0075511D" w:rsidP="00452498">
      <w:pPr>
        <w:spacing w:after="0"/>
        <w:jc w:val="both"/>
        <w:rPr>
          <w:rFonts w:ascii="Barlow" w:hAnsi="Barlow"/>
          <w:sz w:val="20"/>
          <w:szCs w:val="20"/>
        </w:rPr>
      </w:pPr>
    </w:p>
    <w:p w14:paraId="501AF48C" w14:textId="3524904D" w:rsidR="0075511D" w:rsidRDefault="0075511D" w:rsidP="00452498">
      <w:pPr>
        <w:spacing w:after="0"/>
        <w:jc w:val="both"/>
        <w:rPr>
          <w:rFonts w:ascii="Barlow" w:hAnsi="Barlow"/>
          <w:sz w:val="20"/>
          <w:szCs w:val="20"/>
        </w:rPr>
      </w:pPr>
    </w:p>
    <w:p w14:paraId="56C0B3F6" w14:textId="39C4C3FA" w:rsidR="0075511D" w:rsidRDefault="0075511D" w:rsidP="00452498">
      <w:pPr>
        <w:spacing w:after="0"/>
        <w:jc w:val="both"/>
        <w:rPr>
          <w:rFonts w:ascii="Barlow" w:hAnsi="Barlow"/>
          <w:sz w:val="20"/>
          <w:szCs w:val="20"/>
        </w:rPr>
      </w:pPr>
    </w:p>
    <w:p w14:paraId="4C9F1EF8" w14:textId="0F73DF12" w:rsidR="0075511D" w:rsidRDefault="0075511D" w:rsidP="00452498">
      <w:pPr>
        <w:spacing w:after="0"/>
        <w:jc w:val="both"/>
        <w:rPr>
          <w:rFonts w:ascii="Barlow" w:hAnsi="Barlow"/>
          <w:sz w:val="20"/>
          <w:szCs w:val="20"/>
        </w:rPr>
      </w:pPr>
    </w:p>
    <w:p w14:paraId="6B417A3F" w14:textId="77777777" w:rsidR="0075511D" w:rsidRPr="00F219FB" w:rsidRDefault="0075511D" w:rsidP="00452498">
      <w:pPr>
        <w:spacing w:after="0"/>
        <w:jc w:val="both"/>
        <w:rPr>
          <w:rFonts w:ascii="Barlow" w:hAnsi="Barlow"/>
          <w:sz w:val="20"/>
          <w:szCs w:val="20"/>
        </w:rPr>
      </w:pPr>
    </w:p>
    <w:p w14:paraId="75AF94B5" w14:textId="77777777" w:rsidR="00604860" w:rsidRPr="00F219FB" w:rsidRDefault="00604860" w:rsidP="00452498">
      <w:pPr>
        <w:spacing w:after="0"/>
        <w:jc w:val="both"/>
        <w:rPr>
          <w:rFonts w:ascii="Barlow" w:hAnsi="Barlow"/>
          <w:sz w:val="20"/>
          <w:szCs w:val="20"/>
        </w:rPr>
      </w:pPr>
    </w:p>
    <w:p w14:paraId="4F29C00C" w14:textId="20B5B363" w:rsidR="00452498" w:rsidRPr="00F219FB" w:rsidRDefault="006D0D49" w:rsidP="00452498">
      <w:pPr>
        <w:spacing w:after="0"/>
        <w:jc w:val="both"/>
        <w:rPr>
          <w:rFonts w:ascii="Barlow" w:hAnsi="Barlow"/>
          <w:sz w:val="20"/>
          <w:szCs w:val="20"/>
        </w:rPr>
      </w:pPr>
      <w:r w:rsidRPr="00F219FB">
        <w:rPr>
          <w:rFonts w:ascii="Barlow" w:hAnsi="Barlow"/>
          <w:sz w:val="20"/>
          <w:szCs w:val="20"/>
        </w:rPr>
        <w:lastRenderedPageBreak/>
        <w:t>Para realizar sus fines, la Universidad Autónoma de Yucatán se fundamenta en los principios de la libertad de cátedra e investigación y de libre examen y discusión de las ideas, conforme a lo establecido en la fracción VIII del Artículo 3° constitucional.</w:t>
      </w:r>
    </w:p>
    <w:p w14:paraId="3120A328" w14:textId="4C200E3F" w:rsidR="006D0D49" w:rsidRPr="00F219FB" w:rsidRDefault="006D0D49" w:rsidP="00452498">
      <w:pPr>
        <w:spacing w:after="0"/>
        <w:jc w:val="both"/>
        <w:rPr>
          <w:rFonts w:ascii="Barlow" w:hAnsi="Barlow"/>
          <w:sz w:val="20"/>
          <w:szCs w:val="20"/>
        </w:rPr>
      </w:pPr>
    </w:p>
    <w:p w14:paraId="04CF6321" w14:textId="03EAA460" w:rsidR="006D0D49" w:rsidRPr="00F219FB" w:rsidRDefault="006D0D49" w:rsidP="00452498">
      <w:pPr>
        <w:spacing w:after="0"/>
        <w:jc w:val="both"/>
        <w:rPr>
          <w:rFonts w:ascii="Barlow" w:hAnsi="Barlow"/>
          <w:b/>
          <w:bCs/>
          <w:sz w:val="20"/>
          <w:szCs w:val="20"/>
        </w:rPr>
      </w:pPr>
      <w:r w:rsidRPr="00F219FB">
        <w:rPr>
          <w:rFonts w:ascii="Barlow" w:hAnsi="Barlow"/>
          <w:b/>
          <w:bCs/>
          <w:sz w:val="20"/>
          <w:szCs w:val="20"/>
        </w:rPr>
        <w:t>4. Organización y objeto social</w:t>
      </w:r>
    </w:p>
    <w:p w14:paraId="5BB0AACD" w14:textId="23954F98" w:rsidR="006D0D49" w:rsidRPr="00F219FB" w:rsidRDefault="006D0D49" w:rsidP="00452498">
      <w:pPr>
        <w:spacing w:after="0"/>
        <w:jc w:val="both"/>
        <w:rPr>
          <w:rFonts w:ascii="Barlow" w:hAnsi="Barlow"/>
          <w:b/>
          <w:bCs/>
          <w:sz w:val="20"/>
          <w:szCs w:val="20"/>
        </w:rPr>
      </w:pPr>
    </w:p>
    <w:p w14:paraId="2089E286" w14:textId="77777777" w:rsidR="00C21476" w:rsidRPr="00F219FB" w:rsidRDefault="00C21476" w:rsidP="00C21476">
      <w:pPr>
        <w:spacing w:after="0"/>
        <w:jc w:val="both"/>
        <w:rPr>
          <w:rFonts w:ascii="Barlow" w:hAnsi="Barlow"/>
          <w:sz w:val="20"/>
          <w:szCs w:val="20"/>
        </w:rPr>
      </w:pPr>
      <w:r w:rsidRPr="00F219FB">
        <w:rPr>
          <w:rFonts w:ascii="Barlow" w:hAnsi="Barlow"/>
          <w:sz w:val="20"/>
          <w:szCs w:val="20"/>
        </w:rPr>
        <w:t>La Universidad Autónoma de Yucatán imparte educación superior de licenciatura, maestría y doctorado, cursos de actualización y especialización, en sus modalidades escolar y extraescolar, así como la de bachillerato o su equivalente.</w:t>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64C3FE54" w14:textId="77777777" w:rsidR="00C21476" w:rsidRPr="00F219FB" w:rsidRDefault="00C21476" w:rsidP="00C21476">
      <w:pPr>
        <w:spacing w:after="0"/>
        <w:jc w:val="both"/>
        <w:rPr>
          <w:rFonts w:ascii="Barlow" w:hAnsi="Barlow"/>
          <w:sz w:val="20"/>
          <w:szCs w:val="20"/>
        </w:rPr>
      </w:pP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0CDC2D2C" w14:textId="59AB67E0" w:rsidR="00C21476" w:rsidRPr="00F219FB" w:rsidRDefault="00C21476" w:rsidP="00C21476">
      <w:pPr>
        <w:spacing w:after="0"/>
        <w:jc w:val="both"/>
        <w:rPr>
          <w:rFonts w:ascii="Barlow" w:hAnsi="Barlow"/>
          <w:sz w:val="20"/>
          <w:szCs w:val="20"/>
        </w:rPr>
      </w:pPr>
      <w:r w:rsidRPr="00F219FB">
        <w:rPr>
          <w:rFonts w:ascii="Barlow" w:hAnsi="Barlow"/>
          <w:sz w:val="20"/>
          <w:szCs w:val="20"/>
        </w:rPr>
        <w:t>A partir del 2007 se inicia la integración de las áreas del conocimiento mediante su agrupamiento físico en campus agrupando las dependencias universitarias como sigue:</w:t>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75BDB29E" w14:textId="77777777" w:rsidR="00C21476" w:rsidRPr="00F219FB" w:rsidRDefault="00C21476" w:rsidP="00C21476">
      <w:pPr>
        <w:spacing w:after="0"/>
        <w:jc w:val="both"/>
        <w:rPr>
          <w:rFonts w:ascii="Barlow" w:hAnsi="Barlow"/>
          <w:b/>
          <w:bCs/>
          <w:sz w:val="20"/>
          <w:szCs w:val="20"/>
        </w:rPr>
      </w:pPr>
      <w:r w:rsidRPr="00F219FB">
        <w:rPr>
          <w:rFonts w:ascii="Barlow" w:hAnsi="Barlow"/>
          <w:b/>
          <w:bCs/>
          <w:sz w:val="20"/>
          <w:szCs w:val="20"/>
        </w:rPr>
        <w:t>Campus de Ingeniería y Ciencias Exactas</w:t>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p>
    <w:p w14:paraId="097A5C1A" w14:textId="77777777" w:rsidR="00C21476" w:rsidRPr="00F219FB" w:rsidRDefault="00C21476" w:rsidP="00C21476">
      <w:pPr>
        <w:spacing w:after="0"/>
        <w:jc w:val="both"/>
        <w:rPr>
          <w:rFonts w:ascii="Barlow" w:hAnsi="Barlow"/>
          <w:sz w:val="20"/>
          <w:szCs w:val="20"/>
        </w:rPr>
      </w:pPr>
      <w:r w:rsidRPr="00F219FB">
        <w:rPr>
          <w:rFonts w:ascii="Barlow" w:hAnsi="Barlow"/>
          <w:sz w:val="20"/>
          <w:szCs w:val="20"/>
        </w:rPr>
        <w:t>Facultad de Ingeniería</w:t>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362BF8EF" w14:textId="77777777" w:rsidR="00C21476" w:rsidRPr="00F219FB" w:rsidRDefault="00C21476" w:rsidP="00C21476">
      <w:pPr>
        <w:spacing w:after="0"/>
        <w:jc w:val="both"/>
        <w:rPr>
          <w:rFonts w:ascii="Barlow" w:hAnsi="Barlow"/>
          <w:sz w:val="20"/>
          <w:szCs w:val="20"/>
        </w:rPr>
      </w:pPr>
      <w:r w:rsidRPr="00F219FB">
        <w:rPr>
          <w:rFonts w:ascii="Barlow" w:hAnsi="Barlow"/>
          <w:sz w:val="20"/>
          <w:szCs w:val="20"/>
        </w:rPr>
        <w:t>Facultad de Ingeniería Química</w:t>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032D0BE6" w14:textId="77777777" w:rsidR="0064235F" w:rsidRPr="00F219FB" w:rsidRDefault="00C21476" w:rsidP="00C21476">
      <w:pPr>
        <w:spacing w:after="0"/>
        <w:jc w:val="both"/>
        <w:rPr>
          <w:rFonts w:ascii="Barlow" w:hAnsi="Barlow"/>
          <w:sz w:val="20"/>
          <w:szCs w:val="20"/>
        </w:rPr>
      </w:pPr>
      <w:r w:rsidRPr="00F219FB">
        <w:rPr>
          <w:rFonts w:ascii="Barlow" w:hAnsi="Barlow"/>
          <w:sz w:val="20"/>
          <w:szCs w:val="20"/>
        </w:rPr>
        <w:t>Facultad de Matemáticas</w:t>
      </w:r>
      <w:r w:rsidRPr="00F219FB">
        <w:rPr>
          <w:rFonts w:ascii="Barlow" w:hAnsi="Barlow"/>
          <w:sz w:val="20"/>
          <w:szCs w:val="20"/>
        </w:rPr>
        <w:tab/>
      </w:r>
      <w:r w:rsidRPr="00F219FB">
        <w:rPr>
          <w:rFonts w:ascii="Barlow" w:hAnsi="Barlow"/>
          <w:sz w:val="20"/>
          <w:szCs w:val="20"/>
        </w:rPr>
        <w:tab/>
      </w:r>
    </w:p>
    <w:p w14:paraId="3A1877AA" w14:textId="611A75C8" w:rsidR="00C21476" w:rsidRPr="00F219FB" w:rsidRDefault="00C21476" w:rsidP="00C21476">
      <w:pPr>
        <w:spacing w:after="0"/>
        <w:jc w:val="both"/>
        <w:rPr>
          <w:rFonts w:ascii="Barlow" w:hAnsi="Barlow"/>
          <w:sz w:val="20"/>
          <w:szCs w:val="20"/>
        </w:rPr>
      </w:pP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57B393C4" w14:textId="77777777" w:rsidR="00C21476" w:rsidRPr="00F219FB" w:rsidRDefault="00C21476" w:rsidP="00C21476">
      <w:pPr>
        <w:spacing w:after="0"/>
        <w:jc w:val="both"/>
        <w:rPr>
          <w:rFonts w:ascii="Barlow" w:hAnsi="Barlow"/>
          <w:b/>
          <w:bCs/>
          <w:sz w:val="20"/>
          <w:szCs w:val="20"/>
        </w:rPr>
      </w:pPr>
      <w:r w:rsidRPr="00F219FB">
        <w:rPr>
          <w:rFonts w:ascii="Barlow" w:hAnsi="Barlow"/>
          <w:b/>
          <w:bCs/>
          <w:sz w:val="20"/>
          <w:szCs w:val="20"/>
        </w:rPr>
        <w:t>Campus de Ciencias Biológicas y Agropecuarias</w:t>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p>
    <w:p w14:paraId="1F38AC55" w14:textId="77777777" w:rsidR="00C21476" w:rsidRPr="00F219FB" w:rsidRDefault="00C21476" w:rsidP="00C21476">
      <w:pPr>
        <w:spacing w:after="0"/>
        <w:jc w:val="both"/>
        <w:rPr>
          <w:rFonts w:ascii="Barlow" w:hAnsi="Barlow"/>
          <w:sz w:val="20"/>
          <w:szCs w:val="20"/>
        </w:rPr>
      </w:pPr>
      <w:r w:rsidRPr="00F219FB">
        <w:rPr>
          <w:rFonts w:ascii="Barlow" w:hAnsi="Barlow"/>
          <w:sz w:val="20"/>
          <w:szCs w:val="20"/>
        </w:rPr>
        <w:t>Facultad de Medicina Veterinaria y Zootecnia</w:t>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5C380275" w14:textId="7B9F48C2" w:rsidR="00C21476" w:rsidRPr="00F219FB" w:rsidRDefault="00C21476" w:rsidP="00C21476">
      <w:pPr>
        <w:spacing w:after="0"/>
        <w:jc w:val="both"/>
        <w:rPr>
          <w:rFonts w:ascii="Barlow" w:hAnsi="Barlow"/>
          <w:sz w:val="20"/>
          <w:szCs w:val="20"/>
        </w:rPr>
      </w:pP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6BC32A94" w14:textId="77777777" w:rsidR="00C21476" w:rsidRPr="00F219FB" w:rsidRDefault="00C21476" w:rsidP="00C21476">
      <w:pPr>
        <w:spacing w:after="0"/>
        <w:jc w:val="both"/>
        <w:rPr>
          <w:rFonts w:ascii="Barlow" w:hAnsi="Barlow"/>
          <w:b/>
          <w:bCs/>
          <w:sz w:val="20"/>
          <w:szCs w:val="20"/>
        </w:rPr>
      </w:pPr>
      <w:r w:rsidRPr="00F219FB">
        <w:rPr>
          <w:rFonts w:ascii="Barlow" w:hAnsi="Barlow"/>
          <w:b/>
          <w:bCs/>
          <w:sz w:val="20"/>
          <w:szCs w:val="20"/>
        </w:rPr>
        <w:t>Campus de Ciencias de la Salud</w:t>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p>
    <w:p w14:paraId="39455512" w14:textId="77777777" w:rsidR="00C21476" w:rsidRPr="00F219FB" w:rsidRDefault="00C21476" w:rsidP="00C21476">
      <w:pPr>
        <w:spacing w:after="0"/>
        <w:jc w:val="both"/>
        <w:rPr>
          <w:rFonts w:ascii="Barlow" w:hAnsi="Barlow"/>
          <w:sz w:val="20"/>
          <w:szCs w:val="20"/>
        </w:rPr>
      </w:pPr>
      <w:r w:rsidRPr="00F219FB">
        <w:rPr>
          <w:rFonts w:ascii="Barlow" w:hAnsi="Barlow"/>
          <w:sz w:val="20"/>
          <w:szCs w:val="20"/>
        </w:rPr>
        <w:t>Facultad de Enfermería</w:t>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33DD5D32" w14:textId="77777777" w:rsidR="00C21476" w:rsidRPr="00F219FB" w:rsidRDefault="00C21476" w:rsidP="00C21476">
      <w:pPr>
        <w:spacing w:after="0"/>
        <w:jc w:val="both"/>
        <w:rPr>
          <w:rFonts w:ascii="Barlow" w:hAnsi="Barlow"/>
          <w:sz w:val="20"/>
          <w:szCs w:val="20"/>
        </w:rPr>
      </w:pPr>
      <w:r w:rsidRPr="00F219FB">
        <w:rPr>
          <w:rFonts w:ascii="Barlow" w:hAnsi="Barlow"/>
          <w:sz w:val="20"/>
          <w:szCs w:val="20"/>
        </w:rPr>
        <w:t>Facultad de Medicina</w:t>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4E4D0FD8" w14:textId="77777777" w:rsidR="00C21476" w:rsidRPr="00F219FB" w:rsidRDefault="00C21476" w:rsidP="00C21476">
      <w:pPr>
        <w:spacing w:after="0"/>
        <w:jc w:val="both"/>
        <w:rPr>
          <w:rFonts w:ascii="Barlow" w:hAnsi="Barlow"/>
          <w:sz w:val="20"/>
          <w:szCs w:val="20"/>
        </w:rPr>
      </w:pPr>
      <w:r w:rsidRPr="00F219FB">
        <w:rPr>
          <w:rFonts w:ascii="Barlow" w:hAnsi="Barlow"/>
          <w:sz w:val="20"/>
          <w:szCs w:val="20"/>
        </w:rPr>
        <w:t xml:space="preserve">Facultad de Odontología </w:t>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7D65B2A6" w14:textId="77777777" w:rsidR="00C21476" w:rsidRPr="00F219FB" w:rsidRDefault="00C21476" w:rsidP="00C21476">
      <w:pPr>
        <w:spacing w:after="0"/>
        <w:jc w:val="both"/>
        <w:rPr>
          <w:rFonts w:ascii="Barlow" w:hAnsi="Barlow"/>
          <w:sz w:val="20"/>
          <w:szCs w:val="20"/>
        </w:rPr>
      </w:pPr>
      <w:r w:rsidRPr="00F219FB">
        <w:rPr>
          <w:rFonts w:ascii="Barlow" w:hAnsi="Barlow"/>
          <w:sz w:val="20"/>
          <w:szCs w:val="20"/>
        </w:rPr>
        <w:t>Facultad de Química</w:t>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41837AB3" w14:textId="77777777" w:rsidR="00C21476" w:rsidRPr="00F219FB" w:rsidRDefault="00C21476" w:rsidP="00C21476">
      <w:pPr>
        <w:spacing w:after="0"/>
        <w:jc w:val="both"/>
        <w:rPr>
          <w:rFonts w:ascii="Barlow" w:hAnsi="Barlow"/>
          <w:sz w:val="20"/>
          <w:szCs w:val="20"/>
        </w:rPr>
      </w:pP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6C06EA2F" w14:textId="77777777" w:rsidR="00C21476" w:rsidRPr="00F219FB" w:rsidRDefault="00C21476" w:rsidP="00C21476">
      <w:pPr>
        <w:spacing w:after="0"/>
        <w:jc w:val="both"/>
        <w:rPr>
          <w:rFonts w:ascii="Barlow" w:hAnsi="Barlow"/>
          <w:b/>
          <w:bCs/>
          <w:sz w:val="20"/>
          <w:szCs w:val="20"/>
        </w:rPr>
      </w:pPr>
      <w:r w:rsidRPr="00F219FB">
        <w:rPr>
          <w:rFonts w:ascii="Barlow" w:hAnsi="Barlow"/>
          <w:b/>
          <w:bCs/>
          <w:sz w:val="20"/>
          <w:szCs w:val="20"/>
        </w:rPr>
        <w:t xml:space="preserve">Campus de Ciencias Sociales </w:t>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p>
    <w:p w14:paraId="60530003" w14:textId="77777777" w:rsidR="00C21476" w:rsidRPr="00F219FB" w:rsidRDefault="00C21476" w:rsidP="00C21476">
      <w:pPr>
        <w:spacing w:after="0"/>
        <w:jc w:val="both"/>
        <w:rPr>
          <w:rFonts w:ascii="Barlow" w:hAnsi="Barlow"/>
          <w:sz w:val="20"/>
          <w:szCs w:val="20"/>
        </w:rPr>
      </w:pPr>
      <w:r w:rsidRPr="00F219FB">
        <w:rPr>
          <w:rFonts w:ascii="Barlow" w:hAnsi="Barlow"/>
          <w:sz w:val="20"/>
          <w:szCs w:val="20"/>
        </w:rPr>
        <w:t>Facultad de Ciencias Antropológicas</w:t>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6B346581" w14:textId="0D5E89EC" w:rsidR="00C21476" w:rsidRPr="00F219FB" w:rsidRDefault="00C21476" w:rsidP="00C21476">
      <w:pPr>
        <w:spacing w:after="0"/>
        <w:jc w:val="both"/>
        <w:rPr>
          <w:rFonts w:ascii="Barlow" w:hAnsi="Barlow"/>
          <w:sz w:val="20"/>
          <w:szCs w:val="20"/>
        </w:rPr>
      </w:pPr>
      <w:r w:rsidRPr="00F219FB">
        <w:rPr>
          <w:rFonts w:ascii="Barlow" w:hAnsi="Barlow"/>
          <w:sz w:val="20"/>
          <w:szCs w:val="20"/>
        </w:rPr>
        <w:t>Facultad de Contaduría y Administración</w:t>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5426EDB7" w14:textId="77777777" w:rsidR="00C21476" w:rsidRPr="00F219FB" w:rsidRDefault="00C21476" w:rsidP="00C21476">
      <w:pPr>
        <w:spacing w:after="0"/>
        <w:jc w:val="both"/>
        <w:rPr>
          <w:rFonts w:ascii="Barlow" w:hAnsi="Barlow"/>
          <w:sz w:val="20"/>
          <w:szCs w:val="20"/>
        </w:rPr>
      </w:pPr>
      <w:r w:rsidRPr="00F219FB">
        <w:rPr>
          <w:rFonts w:ascii="Barlow" w:hAnsi="Barlow"/>
          <w:sz w:val="20"/>
          <w:szCs w:val="20"/>
        </w:rPr>
        <w:t>Facultad de Educación</w:t>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747A5607" w14:textId="77777777" w:rsidR="00C21476" w:rsidRPr="00F219FB" w:rsidRDefault="00C21476" w:rsidP="00C21476">
      <w:pPr>
        <w:spacing w:after="0"/>
        <w:jc w:val="both"/>
        <w:rPr>
          <w:rFonts w:ascii="Barlow" w:hAnsi="Barlow"/>
          <w:sz w:val="20"/>
          <w:szCs w:val="20"/>
        </w:rPr>
      </w:pPr>
      <w:r w:rsidRPr="00F219FB">
        <w:rPr>
          <w:rFonts w:ascii="Barlow" w:hAnsi="Barlow"/>
          <w:sz w:val="20"/>
          <w:szCs w:val="20"/>
        </w:rPr>
        <w:t>Facultad de Derecho</w:t>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14432E80" w14:textId="77777777" w:rsidR="00C21476" w:rsidRPr="00F219FB" w:rsidRDefault="00C21476" w:rsidP="00C21476">
      <w:pPr>
        <w:spacing w:after="0"/>
        <w:jc w:val="both"/>
        <w:rPr>
          <w:rFonts w:ascii="Barlow" w:hAnsi="Barlow"/>
          <w:sz w:val="20"/>
          <w:szCs w:val="20"/>
        </w:rPr>
      </w:pPr>
      <w:r w:rsidRPr="00F219FB">
        <w:rPr>
          <w:rFonts w:ascii="Barlow" w:hAnsi="Barlow"/>
          <w:sz w:val="20"/>
          <w:szCs w:val="20"/>
        </w:rPr>
        <w:lastRenderedPageBreak/>
        <w:t>Facultad de Economía</w:t>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705BA3F6" w14:textId="77777777" w:rsidR="00C21476" w:rsidRPr="00F219FB" w:rsidRDefault="00C21476" w:rsidP="00C21476">
      <w:pPr>
        <w:spacing w:after="0"/>
        <w:jc w:val="both"/>
        <w:rPr>
          <w:rFonts w:ascii="Barlow" w:hAnsi="Barlow"/>
          <w:sz w:val="20"/>
          <w:szCs w:val="20"/>
        </w:rPr>
      </w:pPr>
      <w:r w:rsidRPr="00F219FB">
        <w:rPr>
          <w:rFonts w:ascii="Barlow" w:hAnsi="Barlow"/>
          <w:sz w:val="20"/>
          <w:szCs w:val="20"/>
        </w:rPr>
        <w:t>Facultad de Psicología</w:t>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50E6DDBD" w14:textId="08E10ED2" w:rsidR="00932C13" w:rsidRPr="00F219FB" w:rsidRDefault="00C21476" w:rsidP="00C21476">
      <w:pPr>
        <w:spacing w:after="0"/>
        <w:jc w:val="both"/>
        <w:rPr>
          <w:rFonts w:ascii="Barlow" w:hAnsi="Barlow"/>
          <w:sz w:val="20"/>
          <w:szCs w:val="20"/>
        </w:rPr>
      </w:pP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5E7AA0D1" w14:textId="43D56D42" w:rsidR="00C21476" w:rsidRPr="00F219FB" w:rsidRDefault="00C21476" w:rsidP="00C21476">
      <w:pPr>
        <w:spacing w:after="0"/>
        <w:jc w:val="both"/>
        <w:rPr>
          <w:rFonts w:ascii="Barlow" w:hAnsi="Barlow"/>
          <w:b/>
          <w:bCs/>
          <w:sz w:val="20"/>
          <w:szCs w:val="20"/>
        </w:rPr>
      </w:pPr>
      <w:r w:rsidRPr="00F219FB">
        <w:rPr>
          <w:rFonts w:ascii="Barlow" w:hAnsi="Barlow"/>
          <w:b/>
          <w:bCs/>
          <w:sz w:val="20"/>
          <w:szCs w:val="20"/>
        </w:rPr>
        <w:t>Campus de Arquitectura, Arte y Diseño</w:t>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p>
    <w:p w14:paraId="217863AB" w14:textId="77777777" w:rsidR="00C21476" w:rsidRPr="00F219FB" w:rsidRDefault="00C21476" w:rsidP="00C21476">
      <w:pPr>
        <w:spacing w:after="0"/>
        <w:jc w:val="both"/>
        <w:rPr>
          <w:rFonts w:ascii="Barlow" w:hAnsi="Barlow"/>
          <w:sz w:val="20"/>
          <w:szCs w:val="20"/>
        </w:rPr>
      </w:pPr>
      <w:r w:rsidRPr="00F219FB">
        <w:rPr>
          <w:rFonts w:ascii="Barlow" w:hAnsi="Barlow"/>
          <w:sz w:val="20"/>
          <w:szCs w:val="20"/>
        </w:rPr>
        <w:t>Facultad de Arquitectura</w:t>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1B9C468F" w14:textId="77777777" w:rsidR="00932C13" w:rsidRPr="00F219FB" w:rsidRDefault="00932C13" w:rsidP="00C21476">
      <w:pPr>
        <w:spacing w:after="0"/>
        <w:jc w:val="both"/>
        <w:rPr>
          <w:rFonts w:ascii="Barlow" w:hAnsi="Barlow"/>
          <w:sz w:val="20"/>
          <w:szCs w:val="20"/>
        </w:rPr>
      </w:pPr>
    </w:p>
    <w:p w14:paraId="52EBEAAD" w14:textId="77777777" w:rsidR="00932C13" w:rsidRPr="00F219FB" w:rsidRDefault="00C21476" w:rsidP="00C21476">
      <w:pPr>
        <w:spacing w:after="0"/>
        <w:jc w:val="both"/>
        <w:rPr>
          <w:rFonts w:ascii="Barlow" w:hAnsi="Barlow"/>
          <w:b/>
          <w:bCs/>
          <w:sz w:val="20"/>
          <w:szCs w:val="20"/>
        </w:rPr>
      </w:pPr>
      <w:r w:rsidRPr="00F219FB">
        <w:rPr>
          <w:rFonts w:ascii="Barlow" w:hAnsi="Barlow"/>
          <w:b/>
          <w:bCs/>
          <w:sz w:val="20"/>
          <w:szCs w:val="20"/>
        </w:rPr>
        <w:t xml:space="preserve">Campus </w:t>
      </w:r>
      <w:proofErr w:type="spellStart"/>
      <w:r w:rsidRPr="00F219FB">
        <w:rPr>
          <w:rFonts w:ascii="Barlow" w:hAnsi="Barlow"/>
          <w:b/>
          <w:bCs/>
          <w:sz w:val="20"/>
          <w:szCs w:val="20"/>
        </w:rPr>
        <w:t>Tizimín</w:t>
      </w:r>
      <w:proofErr w:type="spellEnd"/>
      <w:r w:rsidRPr="00F219FB">
        <w:rPr>
          <w:rFonts w:ascii="Barlow" w:hAnsi="Barlow"/>
          <w:b/>
          <w:bCs/>
          <w:sz w:val="20"/>
          <w:szCs w:val="20"/>
        </w:rPr>
        <w:t xml:space="preserve"> y un Centro de Investigaciones Regionales</w:t>
      </w:r>
    </w:p>
    <w:p w14:paraId="193E7B5A" w14:textId="7EA15484" w:rsidR="00932C13" w:rsidRPr="00F219FB" w:rsidRDefault="00932C13" w:rsidP="00C21476">
      <w:pPr>
        <w:spacing w:after="0"/>
        <w:jc w:val="both"/>
        <w:rPr>
          <w:rFonts w:ascii="Barlow" w:hAnsi="Barlow"/>
          <w:b/>
          <w:bCs/>
          <w:sz w:val="20"/>
          <w:szCs w:val="20"/>
        </w:rPr>
      </w:pPr>
    </w:p>
    <w:p w14:paraId="78296881" w14:textId="77777777" w:rsidR="00712CCF" w:rsidRPr="00F219FB" w:rsidRDefault="00355A68" w:rsidP="00C21476">
      <w:pPr>
        <w:spacing w:after="0"/>
        <w:jc w:val="both"/>
        <w:rPr>
          <w:rFonts w:ascii="Barlow" w:hAnsi="Barlow"/>
          <w:b/>
          <w:bCs/>
          <w:sz w:val="20"/>
          <w:szCs w:val="20"/>
        </w:rPr>
      </w:pPr>
      <w:r w:rsidRPr="00F219FB">
        <w:rPr>
          <w:rFonts w:ascii="Barlow" w:hAnsi="Barlow"/>
          <w:b/>
          <w:bCs/>
          <w:sz w:val="20"/>
          <w:szCs w:val="20"/>
        </w:rPr>
        <w:t>5. Bases de preparación de los estados financieros</w:t>
      </w:r>
    </w:p>
    <w:p w14:paraId="459FBC5F" w14:textId="77777777" w:rsidR="00712CCF" w:rsidRPr="00F219FB" w:rsidRDefault="00712CCF" w:rsidP="00C21476">
      <w:pPr>
        <w:spacing w:after="0"/>
        <w:jc w:val="both"/>
        <w:rPr>
          <w:rFonts w:ascii="Barlow" w:hAnsi="Barlow"/>
          <w:b/>
          <w:bCs/>
          <w:sz w:val="20"/>
          <w:szCs w:val="20"/>
        </w:rPr>
      </w:pPr>
    </w:p>
    <w:p w14:paraId="51A1CCC6" w14:textId="77777777" w:rsidR="00712CCF" w:rsidRPr="00F219FB" w:rsidRDefault="00712CCF" w:rsidP="00C21476">
      <w:pPr>
        <w:spacing w:after="0"/>
        <w:jc w:val="both"/>
        <w:rPr>
          <w:rFonts w:ascii="Barlow" w:hAnsi="Barlow"/>
          <w:sz w:val="20"/>
          <w:szCs w:val="20"/>
        </w:rPr>
      </w:pPr>
      <w:r w:rsidRPr="00F219FB">
        <w:rPr>
          <w:rFonts w:ascii="Barlow" w:hAnsi="Barlow"/>
          <w:sz w:val="20"/>
          <w:szCs w:val="20"/>
        </w:rPr>
        <w:t>Cambios contables, Ley General de Contabilidad Gubernamental:</w:t>
      </w:r>
    </w:p>
    <w:p w14:paraId="0930B20B" w14:textId="77777777" w:rsidR="00712CCF" w:rsidRPr="00F219FB" w:rsidRDefault="00712CCF" w:rsidP="00C21476">
      <w:pPr>
        <w:spacing w:after="0"/>
        <w:jc w:val="both"/>
        <w:rPr>
          <w:rFonts w:ascii="Barlow" w:hAnsi="Barlow"/>
          <w:sz w:val="20"/>
          <w:szCs w:val="20"/>
        </w:rPr>
      </w:pPr>
    </w:p>
    <w:p w14:paraId="792B9738" w14:textId="77777777" w:rsidR="00BC21C5" w:rsidRPr="00F219FB" w:rsidRDefault="00AC4601" w:rsidP="00C21476">
      <w:pPr>
        <w:spacing w:after="0"/>
        <w:jc w:val="both"/>
        <w:rPr>
          <w:rFonts w:ascii="Barlow" w:hAnsi="Barlow"/>
          <w:sz w:val="20"/>
          <w:szCs w:val="20"/>
        </w:rPr>
      </w:pPr>
      <w:r w:rsidRPr="00F219FB">
        <w:rPr>
          <w:rFonts w:ascii="Barlow" w:hAnsi="Barlow"/>
          <w:sz w:val="20"/>
          <w:szCs w:val="20"/>
        </w:rPr>
        <w:t xml:space="preserve">A partir del ejercicio 2013 entran en vigor las disposiciones de la Ley General de Contabilidad Gubernamental, misma que se publicó en </w:t>
      </w:r>
      <w:r w:rsidR="00D055EC" w:rsidRPr="00F219FB">
        <w:rPr>
          <w:rFonts w:ascii="Barlow" w:hAnsi="Barlow"/>
          <w:sz w:val="20"/>
          <w:szCs w:val="20"/>
        </w:rPr>
        <w:t>diciembre</w:t>
      </w:r>
      <w:r w:rsidRPr="00F219FB">
        <w:rPr>
          <w:rFonts w:ascii="Barlow" w:hAnsi="Barlow"/>
          <w:sz w:val="20"/>
          <w:szCs w:val="20"/>
        </w:rPr>
        <w:t xml:space="preserve"> de 2008 y fue reformada en noviembre de 2012; esta ley tiene como fin primordial armonizar la contabilidad de todo el sector público en los tres niveles de gobierno, Federal, Estatal, Municipal, así como en los organismos descentralizados. La reforma de 2012 enfatiza la transparencia y rendición de cuentas de los entes públicos y describe el marco legal que regula la transparencia y rendición de cuentas públicas, conformado por seis ordenamientos jurídicos: Ley General de Transparencia y Acceso a la Información Pública Gubernamental, Ley General de Presupuesto y Responsabilidad Hacendaria, Ley General de Contabilidad Gubernamental, Ley de Fiscalización y Rendición de Cuentas de la Federación, Ley federal de Responsabilidades Administrativas y Decreto del Presupuesto de Egresos de la Federación. La Universidad Autónoma de Yucatán ha </w:t>
      </w:r>
    </w:p>
    <w:p w14:paraId="180F3FA5" w14:textId="77777777" w:rsidR="00BC21C5" w:rsidRPr="00F219FB" w:rsidRDefault="00BC21C5" w:rsidP="00C21476">
      <w:pPr>
        <w:spacing w:after="0"/>
        <w:jc w:val="both"/>
        <w:rPr>
          <w:rFonts w:ascii="Barlow" w:hAnsi="Barlow"/>
          <w:sz w:val="20"/>
          <w:szCs w:val="20"/>
        </w:rPr>
      </w:pPr>
    </w:p>
    <w:p w14:paraId="4F695E32" w14:textId="77777777" w:rsidR="001B542F" w:rsidRPr="00F219FB" w:rsidRDefault="00AC4601" w:rsidP="00C21476">
      <w:pPr>
        <w:spacing w:after="0"/>
        <w:jc w:val="both"/>
        <w:rPr>
          <w:rFonts w:ascii="Barlow" w:hAnsi="Barlow"/>
          <w:sz w:val="20"/>
          <w:szCs w:val="20"/>
        </w:rPr>
      </w:pPr>
      <w:r w:rsidRPr="00F219FB">
        <w:rPr>
          <w:rFonts w:ascii="Barlow" w:hAnsi="Barlow"/>
          <w:sz w:val="20"/>
          <w:szCs w:val="20"/>
        </w:rPr>
        <w:t xml:space="preserve">implementado y adoptado dicha normatividad, quedando pendiente la aplicación del documento emitido por la CONAC "Acuerdo por el que se emiten las reglas específicas del registro y valoración del patrimonio" pues se está en proceso de incorporar en sus registros contables, el resultado </w:t>
      </w:r>
    </w:p>
    <w:p w14:paraId="3C262399" w14:textId="77777777" w:rsidR="001B542F" w:rsidRPr="00F219FB" w:rsidRDefault="001B542F" w:rsidP="00C21476">
      <w:pPr>
        <w:spacing w:after="0"/>
        <w:jc w:val="both"/>
        <w:rPr>
          <w:rFonts w:ascii="Barlow" w:hAnsi="Barlow"/>
          <w:sz w:val="20"/>
          <w:szCs w:val="20"/>
        </w:rPr>
      </w:pPr>
    </w:p>
    <w:p w14:paraId="0686A34B" w14:textId="184F7AC9" w:rsidR="00AC4601" w:rsidRPr="00F219FB" w:rsidRDefault="00AC4601" w:rsidP="00C21476">
      <w:pPr>
        <w:spacing w:after="0"/>
        <w:jc w:val="both"/>
        <w:rPr>
          <w:rFonts w:ascii="Barlow" w:hAnsi="Barlow"/>
          <w:sz w:val="20"/>
          <w:szCs w:val="20"/>
        </w:rPr>
      </w:pPr>
      <w:r w:rsidRPr="00F219FB">
        <w:rPr>
          <w:rFonts w:ascii="Barlow" w:hAnsi="Barlow"/>
          <w:sz w:val="20"/>
          <w:szCs w:val="20"/>
        </w:rPr>
        <w:t>del trabajo de identificación y valuación física de los bienes muebles de la institución, procediendo a la cancelación de los saldos en libros y a cargar los saldos que arroje el subsistema de patrimonio de acuerdo al listado institucional de bienes muebles "Inventario contable gubernamental" realizado al 31 de diciembre de 2016. Los valores que se tomarán en consideración serán los campos de valor histórico, importe de revaluación y depreciación acumulada, la diferencia resultante de</w:t>
      </w:r>
      <w:r w:rsidR="00DE49E7" w:rsidRPr="00F219FB">
        <w:rPr>
          <w:rFonts w:ascii="Barlow" w:hAnsi="Barlow"/>
          <w:sz w:val="20"/>
          <w:szCs w:val="20"/>
        </w:rPr>
        <w:t xml:space="preserve"> esta</w:t>
      </w:r>
      <w:r w:rsidRPr="00F219FB">
        <w:rPr>
          <w:rFonts w:ascii="Barlow" w:hAnsi="Barlow"/>
          <w:sz w:val="20"/>
          <w:szCs w:val="20"/>
        </w:rPr>
        <w:t xml:space="preserve"> </w:t>
      </w:r>
      <w:r w:rsidR="00F81500" w:rsidRPr="00F219FB">
        <w:rPr>
          <w:rFonts w:ascii="Barlow" w:hAnsi="Barlow"/>
          <w:sz w:val="20"/>
          <w:szCs w:val="20"/>
        </w:rPr>
        <w:t>comparación</w:t>
      </w:r>
      <w:r w:rsidRPr="00F219FB">
        <w:rPr>
          <w:rFonts w:ascii="Barlow" w:hAnsi="Barlow"/>
          <w:sz w:val="20"/>
          <w:szCs w:val="20"/>
        </w:rPr>
        <w:t xml:space="preserve"> se afectará en el patrimonio.  Respecto de los bienes inmuebles la administración se encuentra todavía en el proceso de elaborar el inventario e identificación de los mismos respecto de los registros contables a efectos de proceder, en su caso, a la cuantificación y registro del efecto que pudiera determinarse al realizar ese mismo proceso.</w:t>
      </w:r>
    </w:p>
    <w:p w14:paraId="2636B6F9" w14:textId="77777777" w:rsidR="00AC4601" w:rsidRPr="00F219FB" w:rsidRDefault="00AC4601" w:rsidP="00C21476">
      <w:pPr>
        <w:spacing w:after="0"/>
        <w:jc w:val="both"/>
        <w:rPr>
          <w:rFonts w:ascii="Barlow" w:hAnsi="Barlow"/>
          <w:sz w:val="20"/>
          <w:szCs w:val="20"/>
        </w:rPr>
      </w:pPr>
    </w:p>
    <w:p w14:paraId="728332BA" w14:textId="5A2386D6" w:rsidR="00CD5043" w:rsidRPr="00F219FB" w:rsidRDefault="00CD5043" w:rsidP="00C21476">
      <w:pPr>
        <w:spacing w:after="0"/>
        <w:jc w:val="both"/>
        <w:rPr>
          <w:rFonts w:ascii="Barlow" w:hAnsi="Barlow"/>
          <w:sz w:val="20"/>
          <w:szCs w:val="20"/>
        </w:rPr>
      </w:pPr>
      <w:r w:rsidRPr="00F219FB">
        <w:rPr>
          <w:rFonts w:ascii="Barlow" w:hAnsi="Barlow"/>
          <w:i/>
          <w:iCs/>
          <w:sz w:val="20"/>
          <w:szCs w:val="20"/>
        </w:rPr>
        <w:t>Unidad monetaria</w:t>
      </w:r>
      <w:r w:rsidRPr="00F219FB">
        <w:rPr>
          <w:rFonts w:ascii="Barlow" w:hAnsi="Barlow"/>
          <w:sz w:val="20"/>
          <w:szCs w:val="20"/>
        </w:rPr>
        <w:t>. Los estados financieros están presentados en pesos, unidad monetaria vigente en nuestro país y expresados en miles de pesos.</w:t>
      </w:r>
    </w:p>
    <w:p w14:paraId="255AACA8" w14:textId="77777777" w:rsidR="00B001DE" w:rsidRPr="00F219FB" w:rsidRDefault="00B001DE" w:rsidP="00C21476">
      <w:pPr>
        <w:spacing w:after="0"/>
        <w:jc w:val="both"/>
        <w:rPr>
          <w:rFonts w:ascii="Barlow" w:hAnsi="Barlow"/>
          <w:i/>
          <w:iCs/>
          <w:sz w:val="20"/>
          <w:szCs w:val="20"/>
        </w:rPr>
      </w:pPr>
    </w:p>
    <w:p w14:paraId="1FF8A6EC" w14:textId="15BA40F5" w:rsidR="00CD5043" w:rsidRPr="00F219FB" w:rsidRDefault="00614178" w:rsidP="00C21476">
      <w:pPr>
        <w:spacing w:after="0"/>
        <w:jc w:val="both"/>
        <w:rPr>
          <w:rFonts w:ascii="Barlow" w:hAnsi="Barlow"/>
          <w:sz w:val="20"/>
          <w:szCs w:val="20"/>
        </w:rPr>
      </w:pPr>
      <w:r w:rsidRPr="00F219FB">
        <w:rPr>
          <w:rFonts w:ascii="Barlow" w:hAnsi="Barlow"/>
          <w:i/>
          <w:iCs/>
          <w:sz w:val="20"/>
          <w:szCs w:val="20"/>
        </w:rPr>
        <w:t>Sistema de registro</w:t>
      </w:r>
      <w:r w:rsidRPr="00F219FB">
        <w:rPr>
          <w:rFonts w:ascii="Barlow" w:hAnsi="Barlow"/>
          <w:sz w:val="20"/>
          <w:szCs w:val="20"/>
        </w:rPr>
        <w:t>. En el año del 2000 la Universidad Autónoma de Yucatán adopta el “Sistema de Contabilidad de Fondos” que consiste en registrar los recursos financieros clasificándolos para propósitos contables y de reporte, de acuerdo con su utilización y en concordancia con las leyes, normas, restricciones o limitaciones impuestas por las fuentes externas de la institución.</w:t>
      </w:r>
    </w:p>
    <w:p w14:paraId="600A3E1A" w14:textId="03FD589F" w:rsidR="00B001DE" w:rsidRPr="00F219FB" w:rsidRDefault="00B001DE" w:rsidP="00C21476">
      <w:pPr>
        <w:spacing w:after="0"/>
        <w:jc w:val="both"/>
        <w:rPr>
          <w:rFonts w:ascii="Barlow" w:hAnsi="Barlow"/>
          <w:sz w:val="20"/>
          <w:szCs w:val="20"/>
        </w:rPr>
      </w:pPr>
    </w:p>
    <w:p w14:paraId="293D71D4" w14:textId="35448FFB" w:rsidR="00B001DE" w:rsidRPr="00F219FB" w:rsidRDefault="00B001DE" w:rsidP="00C21476">
      <w:pPr>
        <w:spacing w:after="0"/>
        <w:jc w:val="both"/>
        <w:rPr>
          <w:rFonts w:ascii="Barlow" w:hAnsi="Barlow"/>
          <w:sz w:val="20"/>
          <w:szCs w:val="20"/>
        </w:rPr>
      </w:pPr>
    </w:p>
    <w:p w14:paraId="192FCEF7" w14:textId="77777777" w:rsidR="00CD5043" w:rsidRPr="00F219FB" w:rsidRDefault="00CD5043" w:rsidP="00C21476">
      <w:pPr>
        <w:spacing w:after="0"/>
        <w:jc w:val="both"/>
        <w:rPr>
          <w:rFonts w:ascii="Barlow" w:hAnsi="Barlow"/>
          <w:sz w:val="20"/>
          <w:szCs w:val="20"/>
        </w:rPr>
      </w:pPr>
    </w:p>
    <w:p w14:paraId="795DA552" w14:textId="0D28BDE3" w:rsidR="006D0D49" w:rsidRPr="00F219FB" w:rsidRDefault="00C21476" w:rsidP="00452498">
      <w:pPr>
        <w:spacing w:after="0"/>
        <w:jc w:val="both"/>
        <w:rPr>
          <w:rFonts w:ascii="Barlow" w:hAnsi="Barlow"/>
          <w:sz w:val="20"/>
          <w:szCs w:val="20"/>
        </w:rPr>
      </w:pP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39797783" w14:textId="05595261" w:rsidR="006D0D49" w:rsidRPr="00F219FB" w:rsidRDefault="00B001DE" w:rsidP="00452498">
      <w:pPr>
        <w:spacing w:after="0"/>
        <w:jc w:val="both"/>
        <w:rPr>
          <w:rFonts w:ascii="Barlow" w:hAnsi="Barlow"/>
          <w:b/>
          <w:bCs/>
          <w:sz w:val="20"/>
          <w:szCs w:val="20"/>
        </w:rPr>
      </w:pPr>
      <w:r w:rsidRPr="00F219FB">
        <w:rPr>
          <w:rFonts w:ascii="Barlow" w:hAnsi="Barlow"/>
          <w:b/>
          <w:bCs/>
          <w:sz w:val="20"/>
          <w:szCs w:val="20"/>
        </w:rPr>
        <w:t>6. Políticas de Contabilidad Significativas</w:t>
      </w:r>
    </w:p>
    <w:p w14:paraId="4EBA10FB" w14:textId="532A3A6F" w:rsidR="00B001DE" w:rsidRPr="00F219FB" w:rsidRDefault="00B001DE" w:rsidP="00452498">
      <w:pPr>
        <w:spacing w:after="0"/>
        <w:jc w:val="both"/>
        <w:rPr>
          <w:rFonts w:ascii="Barlow" w:hAnsi="Barlow"/>
          <w:b/>
          <w:bCs/>
          <w:sz w:val="20"/>
          <w:szCs w:val="20"/>
        </w:rPr>
      </w:pPr>
    </w:p>
    <w:p w14:paraId="16109895" w14:textId="1D7338C8" w:rsidR="00B001DE" w:rsidRPr="00F219FB" w:rsidRDefault="003751A5" w:rsidP="00452498">
      <w:pPr>
        <w:spacing w:after="0"/>
        <w:jc w:val="both"/>
        <w:rPr>
          <w:rFonts w:ascii="Barlow" w:hAnsi="Barlow"/>
          <w:sz w:val="20"/>
          <w:szCs w:val="20"/>
        </w:rPr>
      </w:pPr>
      <w:r w:rsidRPr="00F219FB">
        <w:rPr>
          <w:rFonts w:ascii="Barlow" w:hAnsi="Barlow"/>
          <w:sz w:val="20"/>
          <w:szCs w:val="20"/>
          <w:u w:val="single"/>
        </w:rPr>
        <w:t>Reconocimiento de la inflación en la información financiera</w:t>
      </w:r>
      <w:r w:rsidRPr="00F219FB">
        <w:rPr>
          <w:rFonts w:ascii="Barlow" w:hAnsi="Barlow"/>
          <w:sz w:val="20"/>
          <w:szCs w:val="20"/>
        </w:rPr>
        <w:t>.</w:t>
      </w:r>
    </w:p>
    <w:p w14:paraId="6856160A" w14:textId="77777777" w:rsidR="00791234" w:rsidRPr="00F219FB" w:rsidRDefault="00791234" w:rsidP="00452498">
      <w:pPr>
        <w:spacing w:after="0"/>
        <w:jc w:val="both"/>
        <w:rPr>
          <w:rFonts w:ascii="Barlow" w:hAnsi="Barlow"/>
          <w:sz w:val="20"/>
          <w:szCs w:val="20"/>
        </w:rPr>
      </w:pPr>
    </w:p>
    <w:p w14:paraId="3532F845" w14:textId="49985F1D" w:rsidR="00E37CE1" w:rsidRPr="00F219FB" w:rsidRDefault="00791234" w:rsidP="00477D4F">
      <w:pPr>
        <w:jc w:val="both"/>
        <w:rPr>
          <w:rFonts w:ascii="Barlow" w:hAnsi="Barlow"/>
          <w:sz w:val="20"/>
          <w:szCs w:val="20"/>
        </w:rPr>
      </w:pPr>
      <w:r w:rsidRPr="00F219FB">
        <w:rPr>
          <w:rFonts w:ascii="Barlow" w:hAnsi="Barlow"/>
          <w:sz w:val="20"/>
          <w:szCs w:val="20"/>
        </w:rPr>
        <w:t>La NIF B-10 promulgada, vigente a partir del 1º de enero de 2008, deja sin efecto al Boletín B-10, sus cinco documentos de adecuaciones y circulares relativas, y establece que una entidad puede operar en un entorno inflacionario cuando la inflación acumulada en los tres ejercicios anuales inmediatos anteriores es igual o mayor que el 26%, y no inflacionario, cuando la inflación es menor que el 26% en el período citado.</w:t>
      </w:r>
    </w:p>
    <w:p w14:paraId="7585C16F" w14:textId="22363E3B" w:rsidR="00791234" w:rsidRPr="00F219FB" w:rsidRDefault="00541A4D" w:rsidP="00477D4F">
      <w:pPr>
        <w:jc w:val="both"/>
        <w:rPr>
          <w:rFonts w:ascii="Barlow" w:hAnsi="Barlow"/>
          <w:sz w:val="20"/>
          <w:szCs w:val="20"/>
        </w:rPr>
      </w:pPr>
      <w:r w:rsidRPr="00F219FB">
        <w:rPr>
          <w:rFonts w:ascii="Barlow" w:hAnsi="Barlow"/>
          <w:sz w:val="20"/>
          <w:szCs w:val="20"/>
        </w:rPr>
        <w:t>La inflación anualizada del trienio que concluyó en 2018 y 2015, califica como un entorno económico no inflacionario, por lo que los estados financieros al 31 de diciembre de esos años no incorporan el efecto de la inflación del año transcurrido, y se mantiene en los registros contables la actualización de sus estados financieros realizada hasta el 31 de diciembre de 2007, fecha base en lo futuro. En los términos de la citada NIF B-10, las cifras de ambos ejercicios se consideran actualizadas y en consecuencia comparables. En caso de que se vuelva a estar en un entorno inflacionario, se deben reconocer los efectos acumulados de la inflación no reconocidos en los períodos en los que el entorno fue calificado como no inflacionario, de manera retrospectiva.</w:t>
      </w:r>
    </w:p>
    <w:p w14:paraId="2DE7E82C" w14:textId="2D610BE6" w:rsidR="00EA41D6" w:rsidRPr="00F219FB" w:rsidRDefault="00EA41D6" w:rsidP="00477D4F">
      <w:pPr>
        <w:jc w:val="both"/>
        <w:rPr>
          <w:rFonts w:ascii="Barlow" w:hAnsi="Barlow"/>
          <w:sz w:val="20"/>
          <w:szCs w:val="20"/>
        </w:rPr>
      </w:pPr>
    </w:p>
    <w:p w14:paraId="15FE2C30" w14:textId="31413701" w:rsidR="006639FE" w:rsidRPr="00F219FB" w:rsidRDefault="00C06C66" w:rsidP="00477D4F">
      <w:pPr>
        <w:jc w:val="both"/>
        <w:rPr>
          <w:rFonts w:ascii="Barlow" w:hAnsi="Barlow"/>
          <w:sz w:val="20"/>
          <w:szCs w:val="20"/>
        </w:rPr>
      </w:pPr>
      <w:r w:rsidRPr="00F219FB">
        <w:rPr>
          <w:rFonts w:ascii="Barlow" w:hAnsi="Barlow"/>
          <w:sz w:val="20"/>
          <w:szCs w:val="20"/>
        </w:rPr>
        <w:t>Los índices que se utilizaron para efectos de determinar un entorno económico no inflacionario fueron los siguientes:</w:t>
      </w:r>
    </w:p>
    <w:bookmarkStart w:id="23" w:name="_MON_1652033263"/>
    <w:bookmarkEnd w:id="23"/>
    <w:p w14:paraId="2A605732" w14:textId="500AE5FB" w:rsidR="004909A3" w:rsidRPr="00F219FB" w:rsidRDefault="002D28D8" w:rsidP="00477D4F">
      <w:pPr>
        <w:jc w:val="both"/>
        <w:rPr>
          <w:rFonts w:ascii="Barlow" w:hAnsi="Barlow"/>
          <w:sz w:val="20"/>
          <w:szCs w:val="20"/>
        </w:rPr>
      </w:pPr>
      <w:r w:rsidRPr="00F219FB">
        <w:rPr>
          <w:rFonts w:ascii="Barlow" w:hAnsi="Barlow"/>
          <w:sz w:val="20"/>
          <w:szCs w:val="20"/>
        </w:rPr>
        <w:object w:dxaOrig="5052" w:dyaOrig="1745" w14:anchorId="59922FC1">
          <v:shape id="_x0000_i1046" type="#_x0000_t75" style="width:252pt;height:87.75pt" o:ole="">
            <v:imagedata r:id="rId53" o:title=""/>
          </v:shape>
          <o:OLEObject Type="Embed" ProgID="Excel.Sheet.12" ShapeID="_x0000_i1046" DrawAspect="Content" ObjectID="_1712565102" r:id="rId54"/>
        </w:object>
      </w:r>
    </w:p>
    <w:p w14:paraId="1BE9C538" w14:textId="77777777" w:rsidR="000C4EF8" w:rsidRPr="00F219FB" w:rsidRDefault="000C4EF8" w:rsidP="000C4EF8">
      <w:pPr>
        <w:spacing w:after="0" w:line="240" w:lineRule="auto"/>
        <w:jc w:val="both"/>
        <w:rPr>
          <w:rFonts w:ascii="Barlow" w:eastAsia="Times New Roman" w:hAnsi="Barlow" w:cs="Calibri"/>
          <w:color w:val="000000"/>
          <w:sz w:val="20"/>
          <w:szCs w:val="20"/>
          <w:u w:val="single"/>
          <w:lang w:eastAsia="es-MX"/>
        </w:rPr>
      </w:pPr>
      <w:r w:rsidRPr="00F219FB">
        <w:rPr>
          <w:rFonts w:ascii="Barlow" w:eastAsia="Times New Roman" w:hAnsi="Barlow" w:cs="Calibri"/>
          <w:color w:val="000000"/>
          <w:sz w:val="20"/>
          <w:szCs w:val="20"/>
          <w:u w:val="single"/>
          <w:lang w:eastAsia="es-MX"/>
        </w:rPr>
        <w:t>Almacén.</w:t>
      </w:r>
    </w:p>
    <w:p w14:paraId="68151EE7" w14:textId="64DB4591" w:rsidR="00541A4D" w:rsidRPr="00F219FB" w:rsidRDefault="00541A4D" w:rsidP="00477D4F">
      <w:pPr>
        <w:jc w:val="both"/>
        <w:rPr>
          <w:rFonts w:ascii="Barlow" w:hAnsi="Barlow"/>
          <w:sz w:val="20"/>
          <w:szCs w:val="20"/>
        </w:rPr>
      </w:pPr>
    </w:p>
    <w:p w14:paraId="4B08AF7B" w14:textId="2935B95B" w:rsidR="000C4EF8" w:rsidRPr="00F219FB" w:rsidRDefault="000C4EF8" w:rsidP="000C4EF8">
      <w:pPr>
        <w:jc w:val="both"/>
        <w:rPr>
          <w:rFonts w:ascii="Barlow" w:hAnsi="Barlow"/>
          <w:sz w:val="20"/>
          <w:szCs w:val="20"/>
        </w:rPr>
      </w:pPr>
      <w:r w:rsidRPr="00F219FB">
        <w:rPr>
          <w:rFonts w:ascii="Barlow" w:hAnsi="Barlow"/>
          <w:sz w:val="20"/>
          <w:szCs w:val="20"/>
        </w:rPr>
        <w:t>Los diversos almacenes se encuentran registrados a su costo de adquisición y debido a su alta rotación se consideran actualizados a pesos de poder adquisitivo de la fecha de cierre. El método de valuación utilizado para su control contable y su aplicación a resultados es el de “promedios”</w:t>
      </w:r>
      <w:r w:rsidR="007641C3" w:rsidRPr="00F219FB">
        <w:rPr>
          <w:rFonts w:ascii="Barlow" w:hAnsi="Barlow"/>
          <w:sz w:val="20"/>
          <w:szCs w:val="20"/>
        </w:rPr>
        <w:t>.</w:t>
      </w:r>
    </w:p>
    <w:p w14:paraId="34482FF9" w14:textId="77777777" w:rsidR="00DE3908" w:rsidRPr="00F219FB" w:rsidRDefault="00DE3908" w:rsidP="000C4EF8">
      <w:pPr>
        <w:jc w:val="both"/>
        <w:rPr>
          <w:rFonts w:ascii="Barlow" w:hAnsi="Barlow"/>
          <w:b/>
          <w:bCs/>
          <w:sz w:val="20"/>
          <w:szCs w:val="20"/>
        </w:rPr>
      </w:pPr>
    </w:p>
    <w:p w14:paraId="0D149128" w14:textId="09A90597" w:rsidR="007641C3" w:rsidRPr="00F219FB" w:rsidRDefault="00C670F0" w:rsidP="000C4EF8">
      <w:pPr>
        <w:jc w:val="both"/>
        <w:rPr>
          <w:rFonts w:ascii="Barlow" w:hAnsi="Barlow"/>
          <w:b/>
          <w:bCs/>
          <w:sz w:val="20"/>
          <w:szCs w:val="20"/>
        </w:rPr>
      </w:pPr>
      <w:r w:rsidRPr="00F219FB">
        <w:rPr>
          <w:rFonts w:ascii="Barlow" w:hAnsi="Barlow"/>
          <w:b/>
          <w:bCs/>
          <w:sz w:val="20"/>
          <w:szCs w:val="20"/>
        </w:rPr>
        <w:t>7. Posesión en moneda extranjera y protección por riesgo cambiario</w:t>
      </w:r>
    </w:p>
    <w:p w14:paraId="48F93410" w14:textId="50652D30" w:rsidR="00C670F0" w:rsidRPr="00F219FB" w:rsidRDefault="00DE3908" w:rsidP="000C4EF8">
      <w:pPr>
        <w:jc w:val="both"/>
        <w:rPr>
          <w:rFonts w:ascii="Barlow" w:hAnsi="Barlow"/>
          <w:sz w:val="20"/>
          <w:szCs w:val="20"/>
        </w:rPr>
      </w:pPr>
      <w:r w:rsidRPr="00F219FB">
        <w:rPr>
          <w:rFonts w:ascii="Barlow" w:hAnsi="Barlow"/>
          <w:sz w:val="20"/>
          <w:szCs w:val="20"/>
        </w:rPr>
        <w:t>No se cuenta con activos o pasivos en moneda extranjera</w:t>
      </w:r>
    </w:p>
    <w:p w14:paraId="54835A16" w14:textId="4E23DB0D" w:rsidR="00DE3908" w:rsidRPr="00F219FB" w:rsidRDefault="00DE3908" w:rsidP="000C4EF8">
      <w:pPr>
        <w:jc w:val="both"/>
        <w:rPr>
          <w:rFonts w:ascii="Barlow" w:hAnsi="Barlow"/>
          <w:sz w:val="20"/>
          <w:szCs w:val="20"/>
        </w:rPr>
      </w:pPr>
    </w:p>
    <w:p w14:paraId="5097727D" w14:textId="4D7C0239" w:rsidR="00DE3908" w:rsidRPr="00F219FB" w:rsidRDefault="008273A6" w:rsidP="000C4EF8">
      <w:pPr>
        <w:jc w:val="both"/>
        <w:rPr>
          <w:rFonts w:ascii="Barlow" w:hAnsi="Barlow"/>
          <w:b/>
          <w:bCs/>
          <w:sz w:val="20"/>
          <w:szCs w:val="20"/>
        </w:rPr>
      </w:pPr>
      <w:r w:rsidRPr="00F219FB">
        <w:rPr>
          <w:rFonts w:ascii="Barlow" w:hAnsi="Barlow"/>
          <w:b/>
          <w:bCs/>
          <w:sz w:val="20"/>
          <w:szCs w:val="20"/>
        </w:rPr>
        <w:t>8. Reporte analítico del activo</w:t>
      </w:r>
    </w:p>
    <w:p w14:paraId="4800395B" w14:textId="3F55421E" w:rsidR="00C670F0" w:rsidRPr="00F219FB" w:rsidRDefault="0077129B" w:rsidP="000C4EF8">
      <w:pPr>
        <w:jc w:val="both"/>
        <w:rPr>
          <w:rFonts w:ascii="Barlow" w:hAnsi="Barlow"/>
          <w:sz w:val="20"/>
          <w:szCs w:val="20"/>
          <w:u w:val="single"/>
        </w:rPr>
      </w:pPr>
      <w:r w:rsidRPr="00F219FB">
        <w:rPr>
          <w:rFonts w:ascii="Barlow" w:hAnsi="Barlow"/>
          <w:sz w:val="20"/>
          <w:szCs w:val="20"/>
          <w:u w:val="single"/>
        </w:rPr>
        <w:t>Activos fijos. Registro y depreciación.</w:t>
      </w:r>
    </w:p>
    <w:p w14:paraId="44D644CD" w14:textId="10E1C94A" w:rsidR="0077129B" w:rsidRPr="00F219FB" w:rsidRDefault="00B57AD6" w:rsidP="000C4EF8">
      <w:pPr>
        <w:jc w:val="both"/>
        <w:rPr>
          <w:rFonts w:ascii="Barlow" w:hAnsi="Barlow"/>
          <w:sz w:val="20"/>
          <w:szCs w:val="20"/>
        </w:rPr>
      </w:pPr>
      <w:r w:rsidRPr="00F219FB">
        <w:rPr>
          <w:rFonts w:ascii="Barlow" w:hAnsi="Barlow"/>
          <w:sz w:val="20"/>
          <w:szCs w:val="20"/>
        </w:rPr>
        <w:t>Los inmuebles propiedad de la Universidad fueron incorporados al sistema de control de bienes conforme al avalúo realizado por perito independiente mediante estudio realizado en 1986. A partir de esa fecha se han incorporado a la contabilidad a su costo histórico de adquisición o construcción.</w:t>
      </w:r>
    </w:p>
    <w:p w14:paraId="40F3DD98" w14:textId="16D16D0B" w:rsidR="00C512AC" w:rsidRPr="00F219FB" w:rsidRDefault="00C512AC" w:rsidP="000C4EF8">
      <w:pPr>
        <w:jc w:val="both"/>
        <w:rPr>
          <w:rFonts w:ascii="Barlow" w:hAnsi="Barlow"/>
          <w:sz w:val="20"/>
          <w:szCs w:val="20"/>
        </w:rPr>
      </w:pPr>
      <w:r w:rsidRPr="00F219FB">
        <w:rPr>
          <w:rFonts w:ascii="Barlow" w:hAnsi="Barlow"/>
          <w:sz w:val="20"/>
          <w:szCs w:val="20"/>
        </w:rPr>
        <w:t>El mobiliario y equipo fue inicialmente controlado mediante un inventario físico realizado en 1985 y valuado en base a precios de mercado de ese año. A partir de esa fecha se han venido registrando las adiciones a su valor de adquisición.</w:t>
      </w:r>
    </w:p>
    <w:p w14:paraId="76F9B5EF" w14:textId="77777777" w:rsidR="00050F43" w:rsidRPr="00F219FB" w:rsidRDefault="00D34472" w:rsidP="000C4EF8">
      <w:pPr>
        <w:jc w:val="both"/>
        <w:rPr>
          <w:rFonts w:ascii="Barlow" w:hAnsi="Barlow"/>
          <w:sz w:val="20"/>
          <w:szCs w:val="20"/>
        </w:rPr>
      </w:pPr>
      <w:r w:rsidRPr="00F219FB">
        <w:rPr>
          <w:rFonts w:ascii="Barlow" w:hAnsi="Barlow"/>
          <w:sz w:val="20"/>
          <w:szCs w:val="20"/>
        </w:rPr>
        <w:t xml:space="preserve">Para efectos de su actualización, en el ejercicio de 1997, se determinó el valor neto de cada bien mediante la aplicación de la reserva por depreciación conforme a la vida útil estimada de los mismos en base al método de línea recta, y en ambos casos dichos valores de referencia de </w:t>
      </w:r>
    </w:p>
    <w:p w14:paraId="0A5A8A0D" w14:textId="77777777" w:rsidR="00050F43" w:rsidRPr="00F219FB" w:rsidRDefault="00050F43" w:rsidP="000C4EF8">
      <w:pPr>
        <w:jc w:val="both"/>
        <w:rPr>
          <w:rFonts w:ascii="Barlow" w:hAnsi="Barlow"/>
          <w:sz w:val="20"/>
          <w:szCs w:val="20"/>
        </w:rPr>
      </w:pPr>
    </w:p>
    <w:p w14:paraId="7B50EC53" w14:textId="64C5910D" w:rsidR="00D34472" w:rsidRPr="00F219FB" w:rsidRDefault="00D34472" w:rsidP="000C4EF8">
      <w:pPr>
        <w:jc w:val="both"/>
        <w:rPr>
          <w:rFonts w:ascii="Barlow" w:hAnsi="Barlow"/>
          <w:sz w:val="20"/>
          <w:szCs w:val="20"/>
        </w:rPr>
      </w:pPr>
      <w:r w:rsidRPr="00F219FB">
        <w:rPr>
          <w:rFonts w:ascii="Barlow" w:hAnsi="Barlow"/>
          <w:sz w:val="20"/>
          <w:szCs w:val="20"/>
        </w:rPr>
        <w:t>registro original fueron actualizados a pesos de poder adquisitivo a la fecha del balance al 31 de diciembre de 2007 por el método de cambios en el nivel general de precios.</w:t>
      </w:r>
    </w:p>
    <w:p w14:paraId="2B5D1C7A" w14:textId="77777777" w:rsidR="00EA41D6" w:rsidRPr="00F219FB" w:rsidRDefault="00EA41D6" w:rsidP="000C4EF8">
      <w:pPr>
        <w:jc w:val="both"/>
        <w:rPr>
          <w:rFonts w:ascii="Barlow" w:hAnsi="Barlow"/>
          <w:sz w:val="20"/>
          <w:szCs w:val="20"/>
        </w:rPr>
      </w:pPr>
    </w:p>
    <w:p w14:paraId="000A45C4" w14:textId="7B75B527" w:rsidR="00EA5F07" w:rsidRPr="00F219FB" w:rsidRDefault="00EA5F07" w:rsidP="000C4EF8">
      <w:pPr>
        <w:jc w:val="both"/>
        <w:rPr>
          <w:rFonts w:ascii="Barlow" w:hAnsi="Barlow"/>
          <w:sz w:val="20"/>
          <w:szCs w:val="20"/>
        </w:rPr>
      </w:pPr>
      <w:r w:rsidRPr="00F219FB">
        <w:rPr>
          <w:rFonts w:ascii="Barlow" w:hAnsi="Barlow"/>
          <w:sz w:val="20"/>
          <w:szCs w:val="20"/>
        </w:rPr>
        <w:t>Las tasas de depreciación utilizadas son:</w:t>
      </w:r>
    </w:p>
    <w:p w14:paraId="4F36A63B" w14:textId="1F145C24" w:rsidR="00EA5F07" w:rsidRPr="00F219FB" w:rsidRDefault="00816253" w:rsidP="00DD5FDC">
      <w:pPr>
        <w:spacing w:after="0"/>
        <w:jc w:val="both"/>
        <w:rPr>
          <w:rFonts w:ascii="Barlow" w:hAnsi="Barlow"/>
          <w:sz w:val="20"/>
          <w:szCs w:val="20"/>
        </w:rPr>
      </w:pPr>
      <w:r w:rsidRPr="00F219FB">
        <w:rPr>
          <w:rFonts w:ascii="Barlow" w:hAnsi="Barlow"/>
          <w:sz w:val="20"/>
          <w:szCs w:val="20"/>
        </w:rPr>
        <w:t>Edificios</w:t>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00DD5FDC" w:rsidRPr="00F219FB">
        <w:rPr>
          <w:rFonts w:ascii="Barlow" w:hAnsi="Barlow"/>
          <w:sz w:val="20"/>
          <w:szCs w:val="20"/>
        </w:rPr>
        <w:tab/>
      </w:r>
      <w:r w:rsidR="00466A68" w:rsidRPr="00F219FB">
        <w:rPr>
          <w:rFonts w:ascii="Barlow" w:hAnsi="Barlow"/>
          <w:sz w:val="20"/>
          <w:szCs w:val="20"/>
        </w:rPr>
        <w:t>3</w:t>
      </w:r>
      <w:r w:rsidRPr="00F219FB">
        <w:rPr>
          <w:rFonts w:ascii="Barlow" w:hAnsi="Barlow"/>
          <w:sz w:val="20"/>
          <w:szCs w:val="20"/>
        </w:rPr>
        <w:t>%</w:t>
      </w:r>
    </w:p>
    <w:p w14:paraId="4DA71D86" w14:textId="76831D9F" w:rsidR="00816253" w:rsidRPr="00F219FB" w:rsidRDefault="00816253" w:rsidP="00DD5FDC">
      <w:pPr>
        <w:spacing w:after="0"/>
        <w:jc w:val="both"/>
        <w:rPr>
          <w:rFonts w:ascii="Barlow" w:hAnsi="Barlow"/>
          <w:sz w:val="20"/>
          <w:szCs w:val="20"/>
        </w:rPr>
      </w:pPr>
      <w:r w:rsidRPr="00F219FB">
        <w:rPr>
          <w:rFonts w:ascii="Barlow" w:hAnsi="Barlow"/>
          <w:sz w:val="20"/>
          <w:szCs w:val="20"/>
        </w:rPr>
        <w:t>Mobiliario y equipo</w:t>
      </w:r>
      <w:r w:rsidRPr="00F219FB">
        <w:rPr>
          <w:rFonts w:ascii="Barlow" w:hAnsi="Barlow"/>
          <w:sz w:val="20"/>
          <w:szCs w:val="20"/>
        </w:rPr>
        <w:tab/>
      </w:r>
      <w:r w:rsidRPr="00F219FB">
        <w:rPr>
          <w:rFonts w:ascii="Barlow" w:hAnsi="Barlow"/>
          <w:sz w:val="20"/>
          <w:szCs w:val="20"/>
        </w:rPr>
        <w:tab/>
      </w:r>
      <w:r w:rsidR="00DD5FDC" w:rsidRPr="00F219FB">
        <w:rPr>
          <w:rFonts w:ascii="Barlow" w:hAnsi="Barlow"/>
          <w:sz w:val="20"/>
          <w:szCs w:val="20"/>
        </w:rPr>
        <w:tab/>
      </w:r>
      <w:r w:rsidR="00466A68" w:rsidRPr="00F219FB">
        <w:rPr>
          <w:rFonts w:ascii="Barlow" w:hAnsi="Barlow"/>
          <w:sz w:val="20"/>
          <w:szCs w:val="20"/>
        </w:rPr>
        <w:t>5</w:t>
      </w:r>
      <w:r w:rsidRPr="00F219FB">
        <w:rPr>
          <w:rFonts w:ascii="Barlow" w:hAnsi="Barlow"/>
          <w:sz w:val="20"/>
          <w:szCs w:val="20"/>
        </w:rPr>
        <w:t>%</w:t>
      </w:r>
    </w:p>
    <w:p w14:paraId="1FF72BA9" w14:textId="556A9FD9" w:rsidR="00466A68" w:rsidRPr="00F219FB" w:rsidRDefault="00466A68" w:rsidP="00DD5FDC">
      <w:pPr>
        <w:spacing w:after="0"/>
        <w:jc w:val="both"/>
        <w:rPr>
          <w:rFonts w:ascii="Barlow" w:hAnsi="Barlow"/>
          <w:sz w:val="20"/>
          <w:szCs w:val="20"/>
        </w:rPr>
      </w:pPr>
      <w:r w:rsidRPr="00F219FB">
        <w:rPr>
          <w:rFonts w:ascii="Barlow" w:hAnsi="Barlow"/>
          <w:sz w:val="20"/>
          <w:szCs w:val="20"/>
        </w:rPr>
        <w:t>Maquinaria</w:t>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00DD5FDC" w:rsidRPr="00F219FB">
        <w:rPr>
          <w:rFonts w:ascii="Barlow" w:hAnsi="Barlow"/>
          <w:sz w:val="20"/>
          <w:szCs w:val="20"/>
        </w:rPr>
        <w:tab/>
      </w:r>
      <w:r w:rsidRPr="00F219FB">
        <w:rPr>
          <w:rFonts w:ascii="Barlow" w:hAnsi="Barlow"/>
          <w:sz w:val="20"/>
          <w:szCs w:val="20"/>
        </w:rPr>
        <w:t>10%</w:t>
      </w:r>
    </w:p>
    <w:p w14:paraId="65B01577" w14:textId="6DB39300" w:rsidR="00466A68" w:rsidRPr="00F219FB" w:rsidRDefault="00DD5FDC" w:rsidP="00DD5FDC">
      <w:pPr>
        <w:spacing w:after="0"/>
        <w:jc w:val="both"/>
        <w:rPr>
          <w:rFonts w:ascii="Barlow" w:hAnsi="Barlow"/>
          <w:sz w:val="20"/>
          <w:szCs w:val="20"/>
        </w:rPr>
      </w:pPr>
      <w:r w:rsidRPr="00F219FB">
        <w:rPr>
          <w:rFonts w:ascii="Barlow" w:hAnsi="Barlow"/>
          <w:sz w:val="20"/>
          <w:szCs w:val="20"/>
        </w:rPr>
        <w:t>Equipo de transporte de cómputo</w:t>
      </w:r>
      <w:r w:rsidRPr="00F219FB">
        <w:rPr>
          <w:rFonts w:ascii="Barlow" w:hAnsi="Barlow"/>
          <w:sz w:val="20"/>
          <w:szCs w:val="20"/>
        </w:rPr>
        <w:tab/>
        <w:t>20%</w:t>
      </w:r>
    </w:p>
    <w:p w14:paraId="1D1B4E54" w14:textId="3B98B293" w:rsidR="00DD5FDC" w:rsidRPr="00F219FB" w:rsidRDefault="00DD5FDC" w:rsidP="00DD5FDC">
      <w:pPr>
        <w:spacing w:after="0"/>
        <w:jc w:val="both"/>
        <w:rPr>
          <w:rFonts w:ascii="Barlow" w:hAnsi="Barlow"/>
          <w:sz w:val="20"/>
          <w:szCs w:val="20"/>
        </w:rPr>
      </w:pPr>
    </w:p>
    <w:p w14:paraId="6C0784DF" w14:textId="1E98E348" w:rsidR="00DD5FDC" w:rsidRPr="00F219FB" w:rsidRDefault="008B6710" w:rsidP="00DD5FDC">
      <w:pPr>
        <w:spacing w:after="0"/>
        <w:jc w:val="both"/>
        <w:rPr>
          <w:rFonts w:ascii="Barlow" w:hAnsi="Barlow"/>
          <w:sz w:val="20"/>
          <w:szCs w:val="20"/>
          <w:u w:val="single"/>
        </w:rPr>
      </w:pPr>
      <w:r w:rsidRPr="00F219FB">
        <w:rPr>
          <w:rFonts w:ascii="Barlow" w:hAnsi="Barlow"/>
          <w:sz w:val="20"/>
          <w:szCs w:val="20"/>
          <w:u w:val="single"/>
        </w:rPr>
        <w:t>Beneficios a empleados (Obligaciones laborales)</w:t>
      </w:r>
    </w:p>
    <w:p w14:paraId="52B6FF8E" w14:textId="77777777" w:rsidR="00FB2412" w:rsidRPr="00F219FB" w:rsidRDefault="00FB2412" w:rsidP="000C4EF8">
      <w:pPr>
        <w:jc w:val="both"/>
        <w:rPr>
          <w:rFonts w:ascii="Barlow" w:hAnsi="Barlow"/>
          <w:sz w:val="20"/>
          <w:szCs w:val="20"/>
        </w:rPr>
      </w:pPr>
    </w:p>
    <w:p w14:paraId="3FF13F28" w14:textId="47F3AB44" w:rsidR="00F46863" w:rsidRPr="00F219FB" w:rsidRDefault="00FB2412" w:rsidP="000C4EF8">
      <w:pPr>
        <w:jc w:val="both"/>
        <w:rPr>
          <w:rFonts w:ascii="Barlow" w:hAnsi="Barlow"/>
          <w:sz w:val="20"/>
          <w:szCs w:val="20"/>
        </w:rPr>
      </w:pPr>
      <w:r w:rsidRPr="00F219FB">
        <w:rPr>
          <w:rFonts w:ascii="Barlow" w:hAnsi="Barlow"/>
          <w:sz w:val="20"/>
          <w:szCs w:val="20"/>
        </w:rPr>
        <w:t>Los estados financieros de la Institución no reconocen el monto del pasivo laboral generado por las obligaciones emanadas de las prestaciones contingentes incluidas en los Contratos Colectivos de Trabajo celebrados con la Asociación Única de Trabajadores Administrativos y Manuales, y con la Asociación del Personal Académico de la UADY,  cuyo monto, estimado en base al resultado de la Valuación Actuarial Estandarizada practicada por, Valuaciones Actuariales del Norte, S.C. al 31 de diciembre de 20</w:t>
      </w:r>
      <w:r w:rsidR="003E6DA3" w:rsidRPr="00F219FB">
        <w:rPr>
          <w:rFonts w:ascii="Barlow" w:hAnsi="Barlow"/>
          <w:sz w:val="20"/>
          <w:szCs w:val="20"/>
        </w:rPr>
        <w:t>20</w:t>
      </w:r>
      <w:r w:rsidRPr="00F219FB">
        <w:rPr>
          <w:rFonts w:ascii="Barlow" w:hAnsi="Barlow"/>
          <w:sz w:val="20"/>
          <w:szCs w:val="20"/>
        </w:rPr>
        <w:t xml:space="preserve">  es de un pasivo total en concepto de pensiones y jubilaciones de </w:t>
      </w:r>
      <w:r w:rsidR="003E6DA3" w:rsidRPr="00F219FB">
        <w:rPr>
          <w:rFonts w:ascii="Barlow" w:hAnsi="Barlow"/>
          <w:sz w:val="20"/>
          <w:szCs w:val="20"/>
        </w:rPr>
        <w:t>$34,542,571,079.08(</w:t>
      </w:r>
      <w:r w:rsidRPr="00F219FB">
        <w:rPr>
          <w:rFonts w:ascii="Barlow" w:hAnsi="Barlow"/>
          <w:sz w:val="20"/>
          <w:szCs w:val="20"/>
        </w:rPr>
        <w:t>$3</w:t>
      </w:r>
      <w:r w:rsidR="00527985" w:rsidRPr="00F219FB">
        <w:rPr>
          <w:rFonts w:ascii="Barlow" w:hAnsi="Barlow"/>
          <w:sz w:val="20"/>
          <w:szCs w:val="20"/>
        </w:rPr>
        <w:t>3,680,408,544.11</w:t>
      </w:r>
      <w:r w:rsidRPr="00F219FB">
        <w:rPr>
          <w:rFonts w:ascii="Barlow" w:hAnsi="Barlow"/>
          <w:sz w:val="20"/>
          <w:szCs w:val="20"/>
        </w:rPr>
        <w:t xml:space="preserve"> en 201</w:t>
      </w:r>
      <w:r w:rsidR="00230C55" w:rsidRPr="00F219FB">
        <w:rPr>
          <w:rFonts w:ascii="Barlow" w:hAnsi="Barlow"/>
          <w:sz w:val="20"/>
          <w:szCs w:val="20"/>
        </w:rPr>
        <w:t>9</w:t>
      </w:r>
      <w:r w:rsidRPr="00F219FB">
        <w:rPr>
          <w:rFonts w:ascii="Barlow" w:hAnsi="Barlow"/>
          <w:sz w:val="20"/>
          <w:szCs w:val="20"/>
        </w:rPr>
        <w:t xml:space="preserve"> de acuerdo a la valuación realizada por Valuaciones Actuariales del Norte, S.C.)</w:t>
      </w:r>
    </w:p>
    <w:p w14:paraId="5DAFE001" w14:textId="62E1224A" w:rsidR="007E0629" w:rsidRPr="00F219FB" w:rsidRDefault="00F46863" w:rsidP="000C4EF8">
      <w:pPr>
        <w:jc w:val="both"/>
        <w:rPr>
          <w:rFonts w:ascii="Barlow" w:hAnsi="Barlow"/>
          <w:sz w:val="20"/>
          <w:szCs w:val="20"/>
        </w:rPr>
      </w:pPr>
      <w:r w:rsidRPr="00F219FB">
        <w:rPr>
          <w:rFonts w:ascii="Barlow" w:hAnsi="Barlow"/>
          <w:sz w:val="20"/>
          <w:szCs w:val="20"/>
        </w:rPr>
        <w:t>En la búsqueda de soluciones de fondo al problema, las autoridades de la Universidad y las representaciones sindicales trabajaron sobre una propuesta integral de reforma encaminada al saneamiento financiero del sistema de pensiones y jubilaciones, mismo que tal y como se comenta, había demostrado mediante estudios actuariales su inviabilidad económica en el corto y largo plazo.</w:t>
      </w:r>
    </w:p>
    <w:p w14:paraId="028FBD04" w14:textId="49FBB261" w:rsidR="008E467F" w:rsidRDefault="00E80CDE" w:rsidP="000C4EF8">
      <w:pPr>
        <w:jc w:val="both"/>
        <w:rPr>
          <w:rFonts w:ascii="Barlow" w:hAnsi="Barlow"/>
          <w:sz w:val="20"/>
          <w:szCs w:val="20"/>
        </w:rPr>
      </w:pPr>
      <w:r w:rsidRPr="00F219FB">
        <w:rPr>
          <w:rFonts w:ascii="Barlow" w:hAnsi="Barlow"/>
          <w:sz w:val="20"/>
          <w:szCs w:val="20"/>
        </w:rPr>
        <w:t>Derivado de estas gestiones, las normas relativas al sistema de pensiones y jubilaciones de la UADY sufrieron reformas importantes que entraron en vigor a partir del 1 de enero de 2004 en lo que se refiere al contrato colectivo de trabajo del personal Académico y a partir del 1 de enero de 2008 en lo que se refiere al contrato colectivo de trabajo del personal Administrativo y Manual.</w:t>
      </w:r>
    </w:p>
    <w:p w14:paraId="57F717DE" w14:textId="77777777" w:rsidR="0075511D" w:rsidRPr="00F219FB" w:rsidRDefault="0075511D" w:rsidP="000C4EF8">
      <w:pPr>
        <w:jc w:val="both"/>
        <w:rPr>
          <w:rFonts w:ascii="Barlow" w:hAnsi="Barlow"/>
          <w:sz w:val="20"/>
          <w:szCs w:val="20"/>
        </w:rPr>
      </w:pPr>
    </w:p>
    <w:p w14:paraId="16BD7D05" w14:textId="41FFF189" w:rsidR="007F7913" w:rsidRPr="00F219FB" w:rsidRDefault="007F7913" w:rsidP="000C4EF8">
      <w:pPr>
        <w:jc w:val="both"/>
        <w:rPr>
          <w:rFonts w:ascii="Barlow" w:hAnsi="Barlow"/>
          <w:b/>
          <w:bCs/>
          <w:sz w:val="20"/>
          <w:szCs w:val="20"/>
        </w:rPr>
      </w:pPr>
      <w:r w:rsidRPr="00F219FB">
        <w:rPr>
          <w:rFonts w:ascii="Barlow" w:hAnsi="Barlow"/>
          <w:b/>
          <w:bCs/>
          <w:sz w:val="20"/>
          <w:szCs w:val="20"/>
        </w:rPr>
        <w:lastRenderedPageBreak/>
        <w:t>PERSONAL ACADEMICO</w:t>
      </w:r>
    </w:p>
    <w:p w14:paraId="12E1DF7A" w14:textId="77777777" w:rsidR="007E0629" w:rsidRPr="00F219FB" w:rsidRDefault="007E0629" w:rsidP="000C4EF8">
      <w:pPr>
        <w:jc w:val="both"/>
        <w:rPr>
          <w:rFonts w:ascii="Barlow" w:hAnsi="Barlow"/>
          <w:b/>
          <w:bCs/>
          <w:sz w:val="20"/>
          <w:szCs w:val="20"/>
        </w:rPr>
      </w:pPr>
    </w:p>
    <w:tbl>
      <w:tblPr>
        <w:tblStyle w:val="Tablaconcuadrcula"/>
        <w:tblW w:w="0" w:type="auto"/>
        <w:tblLook w:val="04A0" w:firstRow="1" w:lastRow="0" w:firstColumn="1" w:lastColumn="0" w:noHBand="0" w:noVBand="1"/>
      </w:tblPr>
      <w:tblGrid>
        <w:gridCol w:w="4332"/>
        <w:gridCol w:w="4332"/>
        <w:gridCol w:w="4332"/>
      </w:tblGrid>
      <w:tr w:rsidR="00871A33" w:rsidRPr="00F219FB" w14:paraId="4630AA39" w14:textId="77777777" w:rsidTr="00871A33">
        <w:tc>
          <w:tcPr>
            <w:tcW w:w="4332" w:type="dxa"/>
          </w:tcPr>
          <w:p w14:paraId="316DD390" w14:textId="5E44F2D0" w:rsidR="00871A33" w:rsidRPr="00F219FB" w:rsidRDefault="00871A33" w:rsidP="0047049C">
            <w:pPr>
              <w:jc w:val="center"/>
              <w:rPr>
                <w:rFonts w:ascii="Barlow" w:hAnsi="Barlow"/>
                <w:b/>
                <w:bCs/>
                <w:sz w:val="20"/>
                <w:szCs w:val="20"/>
              </w:rPr>
            </w:pPr>
            <w:r w:rsidRPr="00F219FB">
              <w:rPr>
                <w:rFonts w:ascii="Barlow" w:hAnsi="Barlow"/>
                <w:b/>
                <w:bCs/>
                <w:sz w:val="20"/>
                <w:szCs w:val="20"/>
              </w:rPr>
              <w:t>Personal actual</w:t>
            </w:r>
          </w:p>
        </w:tc>
        <w:tc>
          <w:tcPr>
            <w:tcW w:w="4332" w:type="dxa"/>
          </w:tcPr>
          <w:p w14:paraId="5D5A09B0" w14:textId="7B3F95F5" w:rsidR="00871A33" w:rsidRPr="00F219FB" w:rsidRDefault="0047049C" w:rsidP="0047049C">
            <w:pPr>
              <w:jc w:val="center"/>
              <w:rPr>
                <w:rFonts w:ascii="Barlow" w:hAnsi="Barlow"/>
                <w:b/>
                <w:bCs/>
                <w:sz w:val="20"/>
                <w:szCs w:val="20"/>
              </w:rPr>
            </w:pPr>
            <w:r w:rsidRPr="00F219FB">
              <w:rPr>
                <w:rFonts w:ascii="Barlow" w:hAnsi="Barlow"/>
                <w:b/>
                <w:bCs/>
                <w:sz w:val="20"/>
                <w:szCs w:val="20"/>
              </w:rPr>
              <w:t>Futuras generaciones</w:t>
            </w:r>
          </w:p>
        </w:tc>
        <w:tc>
          <w:tcPr>
            <w:tcW w:w="4332" w:type="dxa"/>
          </w:tcPr>
          <w:p w14:paraId="62327EA0" w14:textId="5859CFFC" w:rsidR="00871A33" w:rsidRPr="00F219FB" w:rsidRDefault="0047049C" w:rsidP="0047049C">
            <w:pPr>
              <w:jc w:val="center"/>
              <w:rPr>
                <w:rFonts w:ascii="Barlow" w:hAnsi="Barlow"/>
                <w:b/>
                <w:bCs/>
                <w:sz w:val="20"/>
                <w:szCs w:val="20"/>
              </w:rPr>
            </w:pPr>
            <w:r w:rsidRPr="00F219FB">
              <w:rPr>
                <w:rFonts w:ascii="Barlow" w:hAnsi="Barlow"/>
                <w:b/>
                <w:bCs/>
                <w:sz w:val="20"/>
                <w:szCs w:val="20"/>
              </w:rPr>
              <w:t>Personal Jubilado</w:t>
            </w:r>
          </w:p>
        </w:tc>
      </w:tr>
      <w:tr w:rsidR="00871A33" w:rsidRPr="00F219FB" w14:paraId="7CAAF17E" w14:textId="77777777" w:rsidTr="00871A33">
        <w:tc>
          <w:tcPr>
            <w:tcW w:w="4332" w:type="dxa"/>
          </w:tcPr>
          <w:p w14:paraId="53FF2E56" w14:textId="60890E25" w:rsidR="00871A33" w:rsidRPr="00F219FB" w:rsidRDefault="00AA6600" w:rsidP="00EF64F9">
            <w:pPr>
              <w:jc w:val="both"/>
              <w:rPr>
                <w:rFonts w:ascii="Barlow" w:hAnsi="Barlow"/>
                <w:sz w:val="20"/>
                <w:szCs w:val="20"/>
              </w:rPr>
            </w:pPr>
            <w:r w:rsidRPr="00F219FB">
              <w:rPr>
                <w:rFonts w:ascii="Barlow" w:hAnsi="Barlow"/>
                <w:sz w:val="20"/>
                <w:szCs w:val="20"/>
              </w:rPr>
              <w:t>Se elimina la prestación de pensionarse con 15 años de servicios, sin importar la edad.</w:t>
            </w:r>
          </w:p>
        </w:tc>
        <w:tc>
          <w:tcPr>
            <w:tcW w:w="4332" w:type="dxa"/>
          </w:tcPr>
          <w:p w14:paraId="7FA18D14" w14:textId="396D2D46" w:rsidR="00871A33" w:rsidRPr="00F219FB" w:rsidRDefault="00AA6600" w:rsidP="00EF64F9">
            <w:pPr>
              <w:jc w:val="both"/>
              <w:rPr>
                <w:rFonts w:ascii="Barlow" w:hAnsi="Barlow"/>
                <w:sz w:val="20"/>
                <w:szCs w:val="20"/>
              </w:rPr>
            </w:pPr>
            <w:r w:rsidRPr="00F219FB">
              <w:rPr>
                <w:rFonts w:ascii="Barlow" w:hAnsi="Barlow"/>
                <w:sz w:val="20"/>
                <w:szCs w:val="20"/>
              </w:rPr>
              <w:t>Se establece que como requisito para jubilarse la suma de la edad más la antigüedad deberá ser de 95 años, con un mínimo de 65 años</w:t>
            </w:r>
            <w:r w:rsidR="008402F9" w:rsidRPr="00F219FB">
              <w:rPr>
                <w:rFonts w:ascii="Barlow" w:hAnsi="Barlow"/>
                <w:sz w:val="20"/>
                <w:szCs w:val="20"/>
              </w:rPr>
              <w:t xml:space="preserve"> de edad</w:t>
            </w:r>
          </w:p>
        </w:tc>
        <w:tc>
          <w:tcPr>
            <w:tcW w:w="4332" w:type="dxa"/>
          </w:tcPr>
          <w:p w14:paraId="73AE316C" w14:textId="62C7FE3E" w:rsidR="00871A33" w:rsidRPr="00F219FB" w:rsidRDefault="00871A33" w:rsidP="00EF64F9">
            <w:pPr>
              <w:jc w:val="both"/>
              <w:rPr>
                <w:rFonts w:ascii="Barlow" w:hAnsi="Barlow"/>
                <w:sz w:val="20"/>
                <w:szCs w:val="20"/>
              </w:rPr>
            </w:pPr>
          </w:p>
        </w:tc>
      </w:tr>
      <w:tr w:rsidR="00871A33" w:rsidRPr="00F219FB" w14:paraId="23555C5C" w14:textId="77777777" w:rsidTr="00871A33">
        <w:tc>
          <w:tcPr>
            <w:tcW w:w="4332" w:type="dxa"/>
          </w:tcPr>
          <w:p w14:paraId="44FF7951" w14:textId="3DCA6077" w:rsidR="00871A33" w:rsidRPr="00F219FB" w:rsidRDefault="00EF64F9" w:rsidP="000C4EF8">
            <w:pPr>
              <w:jc w:val="both"/>
              <w:rPr>
                <w:rFonts w:ascii="Barlow" w:hAnsi="Barlow"/>
                <w:sz w:val="20"/>
                <w:szCs w:val="20"/>
              </w:rPr>
            </w:pPr>
            <w:r w:rsidRPr="00F219FB">
              <w:rPr>
                <w:rFonts w:ascii="Barlow" w:hAnsi="Barlow"/>
                <w:sz w:val="20"/>
                <w:szCs w:val="20"/>
              </w:rPr>
              <w:t>Se conserva y mantiene el fondo de jubilación con aportación bipartita de un 10% quincenal.</w:t>
            </w:r>
          </w:p>
        </w:tc>
        <w:tc>
          <w:tcPr>
            <w:tcW w:w="4332" w:type="dxa"/>
          </w:tcPr>
          <w:p w14:paraId="17DDECB9" w14:textId="7F4A2216" w:rsidR="00871A33" w:rsidRPr="00F219FB" w:rsidRDefault="00475602" w:rsidP="000C4EF8">
            <w:pPr>
              <w:jc w:val="both"/>
              <w:rPr>
                <w:rFonts w:ascii="Barlow" w:hAnsi="Barlow"/>
                <w:sz w:val="20"/>
                <w:szCs w:val="20"/>
              </w:rPr>
            </w:pPr>
            <w:r w:rsidRPr="00F219FB">
              <w:rPr>
                <w:rFonts w:ascii="Barlow" w:hAnsi="Barlow"/>
                <w:sz w:val="20"/>
                <w:szCs w:val="20"/>
              </w:rPr>
              <w:t>Se crea un nuevo sistema de pensiones y jubilaciones con beneficio definido, conformado por el salario regulador</w:t>
            </w:r>
          </w:p>
        </w:tc>
        <w:tc>
          <w:tcPr>
            <w:tcW w:w="4332" w:type="dxa"/>
          </w:tcPr>
          <w:p w14:paraId="37CF35F2" w14:textId="2D716B57" w:rsidR="00871A33" w:rsidRPr="00F219FB" w:rsidRDefault="00475602" w:rsidP="000C4EF8">
            <w:pPr>
              <w:jc w:val="both"/>
              <w:rPr>
                <w:rFonts w:ascii="Barlow" w:hAnsi="Barlow"/>
                <w:sz w:val="20"/>
                <w:szCs w:val="20"/>
              </w:rPr>
            </w:pPr>
            <w:r w:rsidRPr="00F219FB">
              <w:rPr>
                <w:rFonts w:ascii="Barlow" w:hAnsi="Barlow"/>
                <w:sz w:val="20"/>
                <w:szCs w:val="20"/>
              </w:rPr>
              <w:t>Se acuerda que todo el personal jubilado deberá aportar al fondo de jubilaciones en los mismos montos y condiciones que el personal activo.</w:t>
            </w:r>
          </w:p>
        </w:tc>
      </w:tr>
      <w:tr w:rsidR="00871A33" w:rsidRPr="00F219FB" w14:paraId="4EAB6575" w14:textId="77777777" w:rsidTr="00871A33">
        <w:tc>
          <w:tcPr>
            <w:tcW w:w="4332" w:type="dxa"/>
          </w:tcPr>
          <w:p w14:paraId="1CC4E7ED" w14:textId="02C58DDA" w:rsidR="00871A33" w:rsidRPr="00F219FB" w:rsidRDefault="003320E4" w:rsidP="000C4EF8">
            <w:pPr>
              <w:jc w:val="both"/>
              <w:rPr>
                <w:rFonts w:ascii="Barlow" w:hAnsi="Barlow"/>
                <w:sz w:val="20"/>
                <w:szCs w:val="20"/>
              </w:rPr>
            </w:pPr>
            <w:r w:rsidRPr="00F219FB">
              <w:rPr>
                <w:rFonts w:ascii="Barlow" w:hAnsi="Barlow"/>
                <w:sz w:val="20"/>
                <w:szCs w:val="20"/>
              </w:rPr>
              <w:t>Se estimula la permanencia del trabajador que ha cumplido 30 años de servicio con un estímulo como sigue: A partir de 30 años un 30% de su salario tabulado que se irá incrementando en un 2% anual hasta llegar a los 40 años de servicio. Esta prestación procederá durante el tiempo que el trabajador permanezca laborando ininterrumpidamente.</w:t>
            </w:r>
          </w:p>
        </w:tc>
        <w:tc>
          <w:tcPr>
            <w:tcW w:w="4332" w:type="dxa"/>
          </w:tcPr>
          <w:p w14:paraId="490232E8" w14:textId="6FDF9725" w:rsidR="00871A33" w:rsidRPr="00F219FB" w:rsidRDefault="00871A33" w:rsidP="000C4EF8">
            <w:pPr>
              <w:jc w:val="both"/>
              <w:rPr>
                <w:rFonts w:ascii="Barlow" w:hAnsi="Barlow"/>
                <w:sz w:val="20"/>
                <w:szCs w:val="20"/>
              </w:rPr>
            </w:pPr>
          </w:p>
        </w:tc>
        <w:tc>
          <w:tcPr>
            <w:tcW w:w="4332" w:type="dxa"/>
          </w:tcPr>
          <w:p w14:paraId="7467D6E1" w14:textId="77777777" w:rsidR="00871A33" w:rsidRPr="00F219FB" w:rsidRDefault="00871A33" w:rsidP="000C4EF8">
            <w:pPr>
              <w:jc w:val="both"/>
              <w:rPr>
                <w:rFonts w:ascii="Barlow" w:hAnsi="Barlow"/>
                <w:sz w:val="20"/>
                <w:szCs w:val="20"/>
              </w:rPr>
            </w:pPr>
          </w:p>
        </w:tc>
      </w:tr>
      <w:tr w:rsidR="00871A33" w:rsidRPr="00F219FB" w14:paraId="7676CA79" w14:textId="77777777" w:rsidTr="00871A33">
        <w:tc>
          <w:tcPr>
            <w:tcW w:w="4332" w:type="dxa"/>
          </w:tcPr>
          <w:p w14:paraId="20600CC0" w14:textId="77777777" w:rsidR="00871A33" w:rsidRPr="00F219FB" w:rsidRDefault="00871A33" w:rsidP="000C4EF8">
            <w:pPr>
              <w:jc w:val="both"/>
              <w:rPr>
                <w:rFonts w:ascii="Barlow" w:hAnsi="Barlow"/>
                <w:sz w:val="20"/>
                <w:szCs w:val="20"/>
              </w:rPr>
            </w:pPr>
          </w:p>
        </w:tc>
        <w:tc>
          <w:tcPr>
            <w:tcW w:w="4332" w:type="dxa"/>
          </w:tcPr>
          <w:p w14:paraId="1FD5F406" w14:textId="15A1FF23" w:rsidR="00871A33" w:rsidRPr="00F219FB" w:rsidRDefault="003320E4" w:rsidP="000C4EF8">
            <w:pPr>
              <w:jc w:val="both"/>
              <w:rPr>
                <w:rFonts w:ascii="Barlow" w:hAnsi="Barlow"/>
                <w:sz w:val="20"/>
                <w:szCs w:val="20"/>
              </w:rPr>
            </w:pPr>
            <w:r w:rsidRPr="00F219FB">
              <w:rPr>
                <w:rFonts w:ascii="Barlow" w:hAnsi="Barlow"/>
                <w:sz w:val="20"/>
                <w:szCs w:val="20"/>
              </w:rPr>
              <w:t>Se adecuan las prestaciones de aguinaldo, prima vacacional y prima de antigüedad</w:t>
            </w:r>
          </w:p>
        </w:tc>
        <w:tc>
          <w:tcPr>
            <w:tcW w:w="4332" w:type="dxa"/>
          </w:tcPr>
          <w:p w14:paraId="6DFF4E96" w14:textId="77777777" w:rsidR="00871A33" w:rsidRPr="00F219FB" w:rsidRDefault="00871A33" w:rsidP="000C4EF8">
            <w:pPr>
              <w:jc w:val="both"/>
              <w:rPr>
                <w:rFonts w:ascii="Barlow" w:hAnsi="Barlow"/>
                <w:sz w:val="20"/>
                <w:szCs w:val="20"/>
              </w:rPr>
            </w:pPr>
          </w:p>
        </w:tc>
      </w:tr>
    </w:tbl>
    <w:p w14:paraId="70034797" w14:textId="77ACB96F" w:rsidR="007F7913" w:rsidRPr="00F219FB" w:rsidRDefault="007F7913" w:rsidP="000C4EF8">
      <w:pPr>
        <w:jc w:val="both"/>
        <w:rPr>
          <w:rFonts w:ascii="Barlow" w:hAnsi="Barlow"/>
          <w:sz w:val="20"/>
          <w:szCs w:val="20"/>
        </w:rPr>
      </w:pPr>
    </w:p>
    <w:p w14:paraId="3852C266" w14:textId="59F88C42" w:rsidR="007E0629" w:rsidRPr="00F219FB" w:rsidRDefault="007E0629" w:rsidP="000C4EF8">
      <w:pPr>
        <w:jc w:val="both"/>
        <w:rPr>
          <w:rFonts w:ascii="Barlow" w:hAnsi="Barlow"/>
          <w:sz w:val="20"/>
          <w:szCs w:val="20"/>
        </w:rPr>
      </w:pPr>
    </w:p>
    <w:p w14:paraId="2F29AB93" w14:textId="6CA7F9F2" w:rsidR="007E0629" w:rsidRPr="00F219FB" w:rsidRDefault="007E0629" w:rsidP="000C4EF8">
      <w:pPr>
        <w:jc w:val="both"/>
        <w:rPr>
          <w:rFonts w:ascii="Barlow" w:hAnsi="Barlow"/>
          <w:sz w:val="20"/>
          <w:szCs w:val="20"/>
        </w:rPr>
      </w:pPr>
    </w:p>
    <w:p w14:paraId="2017C124" w14:textId="64CD1127" w:rsidR="007E0629" w:rsidRPr="00F219FB" w:rsidRDefault="007E0629" w:rsidP="000C4EF8">
      <w:pPr>
        <w:jc w:val="both"/>
        <w:rPr>
          <w:rFonts w:ascii="Barlow" w:hAnsi="Barlow"/>
          <w:sz w:val="20"/>
          <w:szCs w:val="20"/>
        </w:rPr>
      </w:pPr>
    </w:p>
    <w:p w14:paraId="2A17F8A2" w14:textId="5F52E332" w:rsidR="00C36AF6" w:rsidRPr="00F219FB" w:rsidRDefault="00C36AF6" w:rsidP="0060501D">
      <w:pPr>
        <w:spacing w:after="0"/>
        <w:jc w:val="both"/>
        <w:rPr>
          <w:rFonts w:ascii="Barlow" w:hAnsi="Barlow"/>
          <w:sz w:val="20"/>
          <w:szCs w:val="20"/>
        </w:rPr>
      </w:pPr>
    </w:p>
    <w:p w14:paraId="09E2DD78" w14:textId="5F570914" w:rsidR="008E467F" w:rsidRPr="00F219FB" w:rsidRDefault="008E467F" w:rsidP="0060501D">
      <w:pPr>
        <w:spacing w:after="0"/>
        <w:jc w:val="both"/>
        <w:rPr>
          <w:rFonts w:ascii="Barlow" w:hAnsi="Barlow"/>
          <w:sz w:val="20"/>
          <w:szCs w:val="20"/>
        </w:rPr>
      </w:pPr>
    </w:p>
    <w:p w14:paraId="29041EDB" w14:textId="1E208231" w:rsidR="008E467F" w:rsidRPr="00F219FB" w:rsidRDefault="008E467F" w:rsidP="0060501D">
      <w:pPr>
        <w:spacing w:after="0"/>
        <w:jc w:val="both"/>
        <w:rPr>
          <w:rFonts w:ascii="Barlow" w:hAnsi="Barlow"/>
          <w:sz w:val="20"/>
          <w:szCs w:val="20"/>
        </w:rPr>
      </w:pPr>
    </w:p>
    <w:p w14:paraId="76F7685C" w14:textId="77777777" w:rsidR="0060501D" w:rsidRPr="00F219FB" w:rsidRDefault="0060501D" w:rsidP="000C4EF8">
      <w:pPr>
        <w:jc w:val="both"/>
        <w:rPr>
          <w:rFonts w:ascii="Barlow" w:hAnsi="Barlow"/>
          <w:b/>
          <w:bCs/>
          <w:sz w:val="20"/>
          <w:szCs w:val="20"/>
        </w:rPr>
      </w:pPr>
    </w:p>
    <w:p w14:paraId="2BFEE884" w14:textId="18535EC5" w:rsidR="0060501D" w:rsidRPr="00F219FB" w:rsidRDefault="00456F10" w:rsidP="000C4EF8">
      <w:pPr>
        <w:jc w:val="both"/>
        <w:rPr>
          <w:rFonts w:ascii="Barlow" w:hAnsi="Barlow"/>
          <w:b/>
          <w:bCs/>
          <w:sz w:val="20"/>
          <w:szCs w:val="20"/>
        </w:rPr>
      </w:pPr>
      <w:r w:rsidRPr="00F219FB">
        <w:rPr>
          <w:rFonts w:ascii="Barlow" w:hAnsi="Barlow"/>
          <w:b/>
          <w:bCs/>
          <w:sz w:val="20"/>
          <w:szCs w:val="20"/>
        </w:rPr>
        <w:lastRenderedPageBreak/>
        <w:t>PERSONAL ADMINISTRATIVO</w:t>
      </w:r>
      <w:r w:rsidR="00792F0C" w:rsidRPr="00F219FB">
        <w:rPr>
          <w:rFonts w:ascii="Barlow" w:hAnsi="Barlow"/>
          <w:b/>
          <w:bCs/>
          <w:sz w:val="20"/>
          <w:szCs w:val="20"/>
        </w:rPr>
        <w:t xml:space="preserve"> Y MANUAL</w:t>
      </w:r>
    </w:p>
    <w:p w14:paraId="22915FD5" w14:textId="77777777" w:rsidR="0060501D" w:rsidRPr="00F219FB" w:rsidRDefault="0060501D" w:rsidP="000C4EF8">
      <w:pPr>
        <w:jc w:val="both"/>
        <w:rPr>
          <w:rFonts w:ascii="Barlow" w:hAnsi="Barlow"/>
          <w:b/>
          <w:bCs/>
          <w:sz w:val="20"/>
          <w:szCs w:val="20"/>
        </w:rPr>
      </w:pPr>
    </w:p>
    <w:tbl>
      <w:tblPr>
        <w:tblStyle w:val="Tablaconcuadrcula"/>
        <w:tblW w:w="0" w:type="auto"/>
        <w:tblLook w:val="04A0" w:firstRow="1" w:lastRow="0" w:firstColumn="1" w:lastColumn="0" w:noHBand="0" w:noVBand="1"/>
      </w:tblPr>
      <w:tblGrid>
        <w:gridCol w:w="4332"/>
        <w:gridCol w:w="4332"/>
        <w:gridCol w:w="4332"/>
      </w:tblGrid>
      <w:tr w:rsidR="00AB3A4A" w:rsidRPr="00F219FB" w14:paraId="11E81117" w14:textId="77777777" w:rsidTr="00456F10">
        <w:tc>
          <w:tcPr>
            <w:tcW w:w="4332" w:type="dxa"/>
          </w:tcPr>
          <w:p w14:paraId="24A58C67" w14:textId="004E7B53" w:rsidR="00AB3A4A" w:rsidRPr="00F219FB" w:rsidRDefault="00AB3A4A" w:rsidP="00AB3A4A">
            <w:pPr>
              <w:jc w:val="center"/>
              <w:rPr>
                <w:rFonts w:ascii="Barlow" w:hAnsi="Barlow"/>
                <w:sz w:val="20"/>
                <w:szCs w:val="20"/>
              </w:rPr>
            </w:pPr>
            <w:r w:rsidRPr="00F219FB">
              <w:rPr>
                <w:rFonts w:ascii="Barlow" w:hAnsi="Barlow"/>
                <w:b/>
                <w:bCs/>
                <w:sz w:val="20"/>
                <w:szCs w:val="20"/>
              </w:rPr>
              <w:t>Personal actual</w:t>
            </w:r>
          </w:p>
        </w:tc>
        <w:tc>
          <w:tcPr>
            <w:tcW w:w="4332" w:type="dxa"/>
          </w:tcPr>
          <w:p w14:paraId="7E080BA1" w14:textId="5DDDDB05" w:rsidR="00AB3A4A" w:rsidRPr="00F219FB" w:rsidRDefault="00AB3A4A" w:rsidP="00AB3A4A">
            <w:pPr>
              <w:jc w:val="center"/>
              <w:rPr>
                <w:rFonts w:ascii="Barlow" w:hAnsi="Barlow"/>
                <w:sz w:val="20"/>
                <w:szCs w:val="20"/>
              </w:rPr>
            </w:pPr>
            <w:r w:rsidRPr="00F219FB">
              <w:rPr>
                <w:rFonts w:ascii="Barlow" w:hAnsi="Barlow"/>
                <w:b/>
                <w:bCs/>
                <w:sz w:val="20"/>
                <w:szCs w:val="20"/>
              </w:rPr>
              <w:t>Futuras generaciones</w:t>
            </w:r>
          </w:p>
        </w:tc>
        <w:tc>
          <w:tcPr>
            <w:tcW w:w="4332" w:type="dxa"/>
          </w:tcPr>
          <w:p w14:paraId="15B312E1" w14:textId="23282DAE" w:rsidR="00AB3A4A" w:rsidRPr="00F219FB" w:rsidRDefault="00AB3A4A" w:rsidP="00AB3A4A">
            <w:pPr>
              <w:jc w:val="center"/>
              <w:rPr>
                <w:rFonts w:ascii="Barlow" w:hAnsi="Barlow"/>
                <w:sz w:val="20"/>
                <w:szCs w:val="20"/>
              </w:rPr>
            </w:pPr>
            <w:r w:rsidRPr="00F219FB">
              <w:rPr>
                <w:rFonts w:ascii="Barlow" w:hAnsi="Barlow"/>
                <w:b/>
                <w:bCs/>
                <w:sz w:val="20"/>
                <w:szCs w:val="20"/>
              </w:rPr>
              <w:t>Personal Jubilado</w:t>
            </w:r>
          </w:p>
        </w:tc>
      </w:tr>
      <w:tr w:rsidR="00AB3A4A" w:rsidRPr="00F219FB" w14:paraId="0FA66952" w14:textId="77777777" w:rsidTr="00456F10">
        <w:tc>
          <w:tcPr>
            <w:tcW w:w="4332" w:type="dxa"/>
          </w:tcPr>
          <w:p w14:paraId="36095675" w14:textId="77777777" w:rsidR="00AB3A4A" w:rsidRPr="00F219FB" w:rsidRDefault="00AB3A4A" w:rsidP="00AB3A4A">
            <w:pPr>
              <w:jc w:val="both"/>
              <w:rPr>
                <w:rFonts w:ascii="Barlow" w:hAnsi="Barlow"/>
                <w:sz w:val="20"/>
                <w:szCs w:val="20"/>
              </w:rPr>
            </w:pPr>
          </w:p>
        </w:tc>
        <w:tc>
          <w:tcPr>
            <w:tcW w:w="4332" w:type="dxa"/>
          </w:tcPr>
          <w:p w14:paraId="1F468B11" w14:textId="147A9432" w:rsidR="00AB3A4A" w:rsidRPr="00F219FB" w:rsidRDefault="00AB3A4A" w:rsidP="00AB3A4A">
            <w:pPr>
              <w:jc w:val="both"/>
              <w:rPr>
                <w:rFonts w:ascii="Barlow" w:hAnsi="Barlow"/>
                <w:sz w:val="20"/>
                <w:szCs w:val="20"/>
              </w:rPr>
            </w:pPr>
            <w:r w:rsidRPr="00F219FB">
              <w:rPr>
                <w:rFonts w:ascii="Barlow" w:hAnsi="Barlow"/>
                <w:sz w:val="20"/>
                <w:szCs w:val="20"/>
              </w:rPr>
              <w:t>Se establece que como requisito para jubilarse la suma de la edad más la antigüedad deberá ser de 95 años. Con mínimo 60 años de edad.</w:t>
            </w:r>
          </w:p>
        </w:tc>
        <w:tc>
          <w:tcPr>
            <w:tcW w:w="4332" w:type="dxa"/>
          </w:tcPr>
          <w:p w14:paraId="7051DD5F" w14:textId="77777777" w:rsidR="00AB3A4A" w:rsidRPr="00F219FB" w:rsidRDefault="00AB3A4A" w:rsidP="00AB3A4A">
            <w:pPr>
              <w:jc w:val="both"/>
              <w:rPr>
                <w:rFonts w:ascii="Barlow" w:hAnsi="Barlow"/>
                <w:sz w:val="20"/>
                <w:szCs w:val="20"/>
              </w:rPr>
            </w:pPr>
          </w:p>
        </w:tc>
      </w:tr>
      <w:tr w:rsidR="00AB3A4A" w:rsidRPr="00F219FB" w14:paraId="1E7596DE" w14:textId="77777777" w:rsidTr="00456F10">
        <w:tc>
          <w:tcPr>
            <w:tcW w:w="4332" w:type="dxa"/>
          </w:tcPr>
          <w:p w14:paraId="0EE4608C" w14:textId="04DB007F" w:rsidR="00AB3A4A" w:rsidRPr="00F219FB" w:rsidRDefault="00AB3A4A" w:rsidP="00AB3A4A">
            <w:pPr>
              <w:jc w:val="both"/>
              <w:rPr>
                <w:rFonts w:ascii="Barlow" w:hAnsi="Barlow"/>
                <w:sz w:val="20"/>
                <w:szCs w:val="20"/>
              </w:rPr>
            </w:pPr>
            <w:r w:rsidRPr="00F219FB">
              <w:rPr>
                <w:rFonts w:ascii="Barlow" w:hAnsi="Barlow"/>
                <w:sz w:val="20"/>
                <w:szCs w:val="20"/>
              </w:rPr>
              <w:t>Se aumenta la aportación bipartita al fondo en un 1% adicional cada año, hasta llegar un 10 % por cada parte, al término de 8 años, a partir del 2008</w:t>
            </w:r>
          </w:p>
        </w:tc>
        <w:tc>
          <w:tcPr>
            <w:tcW w:w="4332" w:type="dxa"/>
          </w:tcPr>
          <w:p w14:paraId="6A588F62" w14:textId="11B77392" w:rsidR="00AB3A4A" w:rsidRPr="00F219FB" w:rsidRDefault="00AB3A4A" w:rsidP="00AB3A4A">
            <w:pPr>
              <w:jc w:val="both"/>
              <w:rPr>
                <w:rFonts w:ascii="Barlow" w:hAnsi="Barlow"/>
                <w:sz w:val="20"/>
                <w:szCs w:val="20"/>
              </w:rPr>
            </w:pPr>
            <w:r w:rsidRPr="00F219FB">
              <w:rPr>
                <w:rFonts w:ascii="Barlow" w:hAnsi="Barlow"/>
                <w:sz w:val="20"/>
                <w:szCs w:val="20"/>
              </w:rPr>
              <w:t>Se crea un nuevo sistema de pensiones y jubilaciones con beneficio definido, conformado por el salario regulador</w:t>
            </w:r>
          </w:p>
        </w:tc>
        <w:tc>
          <w:tcPr>
            <w:tcW w:w="4332" w:type="dxa"/>
          </w:tcPr>
          <w:p w14:paraId="6281891A" w14:textId="3FC3D0C6" w:rsidR="00AB3A4A" w:rsidRPr="00F219FB" w:rsidRDefault="00AB3A4A" w:rsidP="00AB3A4A">
            <w:pPr>
              <w:jc w:val="both"/>
              <w:rPr>
                <w:rFonts w:ascii="Barlow" w:hAnsi="Barlow"/>
                <w:sz w:val="20"/>
                <w:szCs w:val="20"/>
              </w:rPr>
            </w:pPr>
            <w:r w:rsidRPr="00F219FB">
              <w:rPr>
                <w:rFonts w:ascii="Barlow" w:hAnsi="Barlow"/>
                <w:sz w:val="20"/>
                <w:szCs w:val="20"/>
              </w:rPr>
              <w:t>Se acuerda que todo el personal jubilado deberá aportar al fondo de jubilaciones en los mismos montos y condiciones que el personal activo</w:t>
            </w:r>
          </w:p>
        </w:tc>
      </w:tr>
      <w:tr w:rsidR="00AB3A4A" w:rsidRPr="00F219FB" w14:paraId="37EF50CF" w14:textId="77777777" w:rsidTr="00456F10">
        <w:tc>
          <w:tcPr>
            <w:tcW w:w="4332" w:type="dxa"/>
          </w:tcPr>
          <w:p w14:paraId="2029961F" w14:textId="6300A411" w:rsidR="00AB3A4A" w:rsidRPr="00F219FB" w:rsidRDefault="00AB3A4A" w:rsidP="00AB3A4A">
            <w:pPr>
              <w:jc w:val="both"/>
              <w:rPr>
                <w:rFonts w:ascii="Barlow" w:hAnsi="Barlow"/>
                <w:sz w:val="20"/>
                <w:szCs w:val="20"/>
              </w:rPr>
            </w:pPr>
            <w:r w:rsidRPr="00F219FB">
              <w:rPr>
                <w:rFonts w:ascii="Barlow" w:hAnsi="Barlow"/>
                <w:sz w:val="20"/>
                <w:szCs w:val="20"/>
              </w:rPr>
              <w:t>Se estimula la permanencia del trabajador que ha cumplido 30 años de servicio con un estímulo como sigue:</w:t>
            </w:r>
          </w:p>
        </w:tc>
        <w:tc>
          <w:tcPr>
            <w:tcW w:w="4332" w:type="dxa"/>
          </w:tcPr>
          <w:p w14:paraId="7670E412" w14:textId="77777777" w:rsidR="00AB3A4A" w:rsidRPr="00F219FB" w:rsidRDefault="00AB3A4A" w:rsidP="00AB3A4A">
            <w:pPr>
              <w:jc w:val="both"/>
              <w:rPr>
                <w:rFonts w:ascii="Barlow" w:hAnsi="Barlow"/>
                <w:sz w:val="20"/>
                <w:szCs w:val="20"/>
              </w:rPr>
            </w:pPr>
          </w:p>
        </w:tc>
        <w:tc>
          <w:tcPr>
            <w:tcW w:w="4332" w:type="dxa"/>
          </w:tcPr>
          <w:p w14:paraId="63EA8B4F" w14:textId="77777777" w:rsidR="00AB3A4A" w:rsidRPr="00F219FB" w:rsidRDefault="00AB3A4A" w:rsidP="00AB3A4A">
            <w:pPr>
              <w:jc w:val="both"/>
              <w:rPr>
                <w:rFonts w:ascii="Barlow" w:hAnsi="Barlow"/>
                <w:sz w:val="20"/>
                <w:szCs w:val="20"/>
              </w:rPr>
            </w:pPr>
          </w:p>
        </w:tc>
      </w:tr>
      <w:tr w:rsidR="00AB3A4A" w:rsidRPr="00F219FB" w14:paraId="2BF30C11" w14:textId="77777777" w:rsidTr="00456F10">
        <w:tc>
          <w:tcPr>
            <w:tcW w:w="4332" w:type="dxa"/>
          </w:tcPr>
          <w:p w14:paraId="72FBD962" w14:textId="53EA6A66" w:rsidR="00AB3A4A" w:rsidRPr="00F219FB" w:rsidRDefault="00AB3A4A" w:rsidP="00AB3A4A">
            <w:pPr>
              <w:jc w:val="both"/>
              <w:rPr>
                <w:rFonts w:ascii="Barlow" w:hAnsi="Barlow"/>
                <w:sz w:val="20"/>
                <w:szCs w:val="20"/>
              </w:rPr>
            </w:pPr>
            <w:r w:rsidRPr="00F219FB">
              <w:rPr>
                <w:rFonts w:ascii="Barlow" w:hAnsi="Barlow"/>
                <w:sz w:val="20"/>
                <w:szCs w:val="20"/>
              </w:rPr>
              <w:t>A partir de 30 años un 30% de su salario tabulado que se irá incrementando en un 2% anual hasta llegar a los 40 años de servicio.</w:t>
            </w:r>
          </w:p>
        </w:tc>
        <w:tc>
          <w:tcPr>
            <w:tcW w:w="4332" w:type="dxa"/>
          </w:tcPr>
          <w:p w14:paraId="42CF69AE" w14:textId="77777777" w:rsidR="00AB3A4A" w:rsidRPr="00F219FB" w:rsidRDefault="00AB3A4A" w:rsidP="00AB3A4A">
            <w:pPr>
              <w:jc w:val="both"/>
              <w:rPr>
                <w:rFonts w:ascii="Barlow" w:hAnsi="Barlow"/>
                <w:sz w:val="20"/>
                <w:szCs w:val="20"/>
              </w:rPr>
            </w:pPr>
          </w:p>
        </w:tc>
        <w:tc>
          <w:tcPr>
            <w:tcW w:w="4332" w:type="dxa"/>
          </w:tcPr>
          <w:p w14:paraId="2A161366" w14:textId="77777777" w:rsidR="00AB3A4A" w:rsidRPr="00F219FB" w:rsidRDefault="00AB3A4A" w:rsidP="00AB3A4A">
            <w:pPr>
              <w:jc w:val="both"/>
              <w:rPr>
                <w:rFonts w:ascii="Barlow" w:hAnsi="Barlow"/>
                <w:sz w:val="20"/>
                <w:szCs w:val="20"/>
              </w:rPr>
            </w:pPr>
          </w:p>
        </w:tc>
      </w:tr>
      <w:tr w:rsidR="00AB3A4A" w:rsidRPr="00F219FB" w14:paraId="3212EB5B" w14:textId="77777777" w:rsidTr="00456F10">
        <w:tc>
          <w:tcPr>
            <w:tcW w:w="4332" w:type="dxa"/>
          </w:tcPr>
          <w:p w14:paraId="2622C41D" w14:textId="2D793A8F" w:rsidR="00AB3A4A" w:rsidRPr="00F219FB" w:rsidRDefault="00AB3A4A" w:rsidP="00AB3A4A">
            <w:pPr>
              <w:jc w:val="both"/>
              <w:rPr>
                <w:rFonts w:ascii="Barlow" w:hAnsi="Barlow"/>
                <w:sz w:val="20"/>
                <w:szCs w:val="20"/>
              </w:rPr>
            </w:pPr>
            <w:r w:rsidRPr="00F219FB">
              <w:rPr>
                <w:rFonts w:ascii="Barlow" w:hAnsi="Barlow"/>
                <w:sz w:val="20"/>
                <w:szCs w:val="20"/>
              </w:rPr>
              <w:t>Esta prestación procederá durante el tiempo que el trabajador permanezca laborando ininterrumpidamente</w:t>
            </w:r>
          </w:p>
        </w:tc>
        <w:tc>
          <w:tcPr>
            <w:tcW w:w="4332" w:type="dxa"/>
          </w:tcPr>
          <w:p w14:paraId="1ECA6182" w14:textId="77777777" w:rsidR="00AB3A4A" w:rsidRPr="00F219FB" w:rsidRDefault="00AB3A4A" w:rsidP="00AB3A4A">
            <w:pPr>
              <w:jc w:val="both"/>
              <w:rPr>
                <w:rFonts w:ascii="Barlow" w:hAnsi="Barlow"/>
                <w:sz w:val="20"/>
                <w:szCs w:val="20"/>
              </w:rPr>
            </w:pPr>
          </w:p>
        </w:tc>
        <w:tc>
          <w:tcPr>
            <w:tcW w:w="4332" w:type="dxa"/>
          </w:tcPr>
          <w:p w14:paraId="550B6AF4" w14:textId="77777777" w:rsidR="00AB3A4A" w:rsidRPr="00F219FB" w:rsidRDefault="00AB3A4A" w:rsidP="00AB3A4A">
            <w:pPr>
              <w:jc w:val="both"/>
              <w:rPr>
                <w:rFonts w:ascii="Barlow" w:hAnsi="Barlow"/>
                <w:sz w:val="20"/>
                <w:szCs w:val="20"/>
              </w:rPr>
            </w:pPr>
          </w:p>
        </w:tc>
      </w:tr>
      <w:tr w:rsidR="00AB3A4A" w:rsidRPr="00F219FB" w14:paraId="10603DA9" w14:textId="77777777" w:rsidTr="00456F10">
        <w:tc>
          <w:tcPr>
            <w:tcW w:w="4332" w:type="dxa"/>
          </w:tcPr>
          <w:p w14:paraId="1ADBDE4C" w14:textId="77777777" w:rsidR="00AB3A4A" w:rsidRPr="00F219FB" w:rsidRDefault="00AB3A4A" w:rsidP="00AB3A4A">
            <w:pPr>
              <w:jc w:val="both"/>
              <w:rPr>
                <w:rFonts w:ascii="Barlow" w:hAnsi="Barlow"/>
                <w:sz w:val="20"/>
                <w:szCs w:val="20"/>
              </w:rPr>
            </w:pPr>
          </w:p>
        </w:tc>
        <w:tc>
          <w:tcPr>
            <w:tcW w:w="4332" w:type="dxa"/>
          </w:tcPr>
          <w:p w14:paraId="7FEBD416" w14:textId="55796B4B" w:rsidR="00AB3A4A" w:rsidRPr="00F219FB" w:rsidRDefault="00AB3A4A" w:rsidP="00AB3A4A">
            <w:pPr>
              <w:jc w:val="both"/>
              <w:rPr>
                <w:rFonts w:ascii="Barlow" w:hAnsi="Barlow"/>
                <w:sz w:val="20"/>
                <w:szCs w:val="20"/>
              </w:rPr>
            </w:pPr>
            <w:r w:rsidRPr="00F219FB">
              <w:rPr>
                <w:rFonts w:ascii="Barlow" w:hAnsi="Barlow"/>
                <w:sz w:val="20"/>
                <w:szCs w:val="20"/>
              </w:rPr>
              <w:t>Se adecuan las prestaciones de aguinaldo, prima vacacional y prima de antigüedad</w:t>
            </w:r>
          </w:p>
        </w:tc>
        <w:tc>
          <w:tcPr>
            <w:tcW w:w="4332" w:type="dxa"/>
          </w:tcPr>
          <w:p w14:paraId="15343EF7" w14:textId="77777777" w:rsidR="00AB3A4A" w:rsidRPr="00F219FB" w:rsidRDefault="00AB3A4A" w:rsidP="00AB3A4A">
            <w:pPr>
              <w:jc w:val="both"/>
              <w:rPr>
                <w:rFonts w:ascii="Barlow" w:hAnsi="Barlow"/>
                <w:sz w:val="20"/>
                <w:szCs w:val="20"/>
              </w:rPr>
            </w:pPr>
          </w:p>
        </w:tc>
      </w:tr>
    </w:tbl>
    <w:p w14:paraId="1CB2A54A" w14:textId="77777777" w:rsidR="00E80CDE" w:rsidRPr="00F219FB" w:rsidRDefault="00E80CDE" w:rsidP="000C4EF8">
      <w:pPr>
        <w:jc w:val="both"/>
        <w:rPr>
          <w:rFonts w:ascii="Barlow" w:hAnsi="Barlow"/>
          <w:sz w:val="20"/>
          <w:szCs w:val="20"/>
        </w:rPr>
      </w:pPr>
    </w:p>
    <w:p w14:paraId="0895D990" w14:textId="77777777" w:rsidR="0060501D" w:rsidRPr="00F219FB" w:rsidRDefault="0060501D" w:rsidP="000C4EF8">
      <w:pPr>
        <w:jc w:val="both"/>
        <w:rPr>
          <w:rFonts w:ascii="Barlow" w:hAnsi="Barlow"/>
          <w:sz w:val="20"/>
          <w:szCs w:val="20"/>
        </w:rPr>
      </w:pPr>
    </w:p>
    <w:p w14:paraId="55D3E2B9" w14:textId="77777777" w:rsidR="0060501D" w:rsidRPr="00F219FB" w:rsidRDefault="0060501D" w:rsidP="000C4EF8">
      <w:pPr>
        <w:jc w:val="both"/>
        <w:rPr>
          <w:rFonts w:ascii="Barlow" w:hAnsi="Barlow"/>
          <w:sz w:val="20"/>
          <w:szCs w:val="20"/>
        </w:rPr>
      </w:pPr>
    </w:p>
    <w:p w14:paraId="7C866A6C" w14:textId="6BCB630C" w:rsidR="008E467F" w:rsidRPr="00F219FB" w:rsidRDefault="008E467F" w:rsidP="000C4EF8">
      <w:pPr>
        <w:jc w:val="both"/>
        <w:rPr>
          <w:rFonts w:ascii="Barlow" w:hAnsi="Barlow"/>
          <w:sz w:val="20"/>
          <w:szCs w:val="20"/>
        </w:rPr>
      </w:pPr>
      <w:bookmarkStart w:id="24" w:name="_GoBack"/>
      <w:bookmarkEnd w:id="24"/>
    </w:p>
    <w:p w14:paraId="4EBED5AA" w14:textId="77777777" w:rsidR="00356804" w:rsidRPr="00F219FB" w:rsidRDefault="00356804" w:rsidP="000C4EF8">
      <w:pPr>
        <w:jc w:val="both"/>
        <w:rPr>
          <w:rFonts w:ascii="Barlow" w:hAnsi="Barlow"/>
          <w:sz w:val="20"/>
          <w:szCs w:val="20"/>
        </w:rPr>
      </w:pPr>
    </w:p>
    <w:p w14:paraId="3E0C8DDD" w14:textId="236D224C" w:rsidR="00E80CDE" w:rsidRPr="00F219FB" w:rsidRDefault="006D4F01" w:rsidP="000C4EF8">
      <w:pPr>
        <w:jc w:val="both"/>
        <w:rPr>
          <w:rFonts w:ascii="Barlow" w:hAnsi="Barlow"/>
          <w:sz w:val="20"/>
          <w:szCs w:val="20"/>
        </w:rPr>
      </w:pPr>
      <w:r w:rsidRPr="00F219FB">
        <w:rPr>
          <w:rFonts w:ascii="Barlow" w:hAnsi="Barlow"/>
          <w:sz w:val="20"/>
          <w:szCs w:val="20"/>
        </w:rPr>
        <w:lastRenderedPageBreak/>
        <w:t>Con el propósito de cuantificar el impacto financiero inherente a la reforma se presenta un resumen de los resultados de la última valuación actuarial estandarizada realizada, practicada al 31 de diciembre del 20</w:t>
      </w:r>
      <w:r w:rsidR="00410C19" w:rsidRPr="00F219FB">
        <w:rPr>
          <w:rFonts w:ascii="Barlow" w:hAnsi="Barlow"/>
          <w:sz w:val="20"/>
          <w:szCs w:val="20"/>
        </w:rPr>
        <w:t>20</w:t>
      </w:r>
      <w:r w:rsidRPr="00F219FB">
        <w:rPr>
          <w:rFonts w:ascii="Barlow" w:hAnsi="Barlow"/>
          <w:sz w:val="20"/>
          <w:szCs w:val="20"/>
        </w:rPr>
        <w:t xml:space="preserve"> y 201</w:t>
      </w:r>
      <w:r w:rsidR="00410C19" w:rsidRPr="00F219FB">
        <w:rPr>
          <w:rFonts w:ascii="Barlow" w:hAnsi="Barlow"/>
          <w:sz w:val="20"/>
          <w:szCs w:val="20"/>
        </w:rPr>
        <w:t>9</w:t>
      </w:r>
      <w:r w:rsidRPr="00F219FB">
        <w:rPr>
          <w:rFonts w:ascii="Barlow" w:hAnsi="Barlow"/>
          <w:sz w:val="20"/>
          <w:szCs w:val="20"/>
        </w:rPr>
        <w:t>, expresado en miles de pesos, con una tasa del 2% y 3% como supuestos, en donde se incluye el monto del pasivo por concepto de pensiones por jubilación, invalidez y viudez, el saldo del Fondo existente y el déficit determinado.</w:t>
      </w:r>
    </w:p>
    <w:bookmarkStart w:id="25" w:name="_MON_1652036810"/>
    <w:bookmarkEnd w:id="25"/>
    <w:p w14:paraId="0ECC14FF" w14:textId="59D4ED85" w:rsidR="004B1EA6" w:rsidRPr="00F219FB" w:rsidRDefault="00282604" w:rsidP="000C4EF8">
      <w:pPr>
        <w:jc w:val="both"/>
        <w:rPr>
          <w:rFonts w:ascii="Barlow" w:hAnsi="Barlow"/>
          <w:sz w:val="20"/>
          <w:szCs w:val="20"/>
        </w:rPr>
      </w:pPr>
      <w:r w:rsidRPr="00F219FB">
        <w:rPr>
          <w:rFonts w:ascii="Barlow" w:hAnsi="Barlow"/>
          <w:sz w:val="20"/>
          <w:szCs w:val="20"/>
        </w:rPr>
        <w:object w:dxaOrig="6732" w:dyaOrig="2921" w14:anchorId="0AC182DE">
          <v:shape id="_x0000_i1047" type="#_x0000_t75" style="width:336pt;height:146.25pt" o:ole="">
            <v:imagedata r:id="rId55" o:title=""/>
          </v:shape>
          <o:OLEObject Type="Embed" ProgID="Excel.Sheet.12" ShapeID="_x0000_i1047" DrawAspect="Content" ObjectID="_1712565103" r:id="rId56"/>
        </w:object>
      </w:r>
    </w:p>
    <w:p w14:paraId="53A60404" w14:textId="580280A0" w:rsidR="0060501D" w:rsidRPr="00F219FB" w:rsidRDefault="00A53196" w:rsidP="000C4EF8">
      <w:pPr>
        <w:jc w:val="both"/>
        <w:rPr>
          <w:rFonts w:ascii="Barlow" w:hAnsi="Barlow"/>
          <w:b/>
          <w:bCs/>
          <w:sz w:val="20"/>
          <w:szCs w:val="20"/>
        </w:rPr>
      </w:pPr>
      <w:r w:rsidRPr="00F219FB">
        <w:rPr>
          <w:rFonts w:ascii="Barlow" w:hAnsi="Barlow"/>
          <w:b/>
          <w:bCs/>
          <w:sz w:val="20"/>
          <w:szCs w:val="20"/>
        </w:rPr>
        <w:t>9. Fideicomisos, mandatos y análogos</w:t>
      </w:r>
    </w:p>
    <w:p w14:paraId="2C10173A" w14:textId="50D03C9A" w:rsidR="00BC109A" w:rsidRPr="00F219FB" w:rsidRDefault="00DF4BC6" w:rsidP="000C4EF8">
      <w:pPr>
        <w:jc w:val="both"/>
        <w:rPr>
          <w:rFonts w:ascii="Barlow" w:hAnsi="Barlow"/>
          <w:sz w:val="20"/>
          <w:szCs w:val="20"/>
        </w:rPr>
      </w:pPr>
      <w:r w:rsidRPr="00F219FB">
        <w:rPr>
          <w:rFonts w:ascii="Barlow" w:hAnsi="Barlow"/>
          <w:sz w:val="20"/>
          <w:szCs w:val="20"/>
        </w:rPr>
        <w:t>No aplica</w:t>
      </w:r>
    </w:p>
    <w:p w14:paraId="21D6A53F" w14:textId="7DDDFB7B" w:rsidR="00A36FE5" w:rsidRPr="00F219FB" w:rsidRDefault="00A87ED5" w:rsidP="000C4EF8">
      <w:pPr>
        <w:jc w:val="both"/>
        <w:rPr>
          <w:rFonts w:ascii="Barlow" w:hAnsi="Barlow"/>
          <w:b/>
          <w:bCs/>
          <w:sz w:val="20"/>
          <w:szCs w:val="20"/>
        </w:rPr>
      </w:pPr>
      <w:r w:rsidRPr="00F219FB">
        <w:rPr>
          <w:rFonts w:ascii="Barlow" w:hAnsi="Barlow"/>
          <w:b/>
          <w:bCs/>
          <w:sz w:val="20"/>
          <w:szCs w:val="20"/>
        </w:rPr>
        <w:t>10. Reporte de la recaudación</w:t>
      </w:r>
    </w:p>
    <w:p w14:paraId="5BFC6480" w14:textId="24E22635" w:rsidR="00D135CA" w:rsidRPr="00F219FB" w:rsidRDefault="00A87ED5" w:rsidP="00A87ED5">
      <w:pPr>
        <w:jc w:val="both"/>
        <w:rPr>
          <w:rFonts w:ascii="Barlow" w:hAnsi="Barlow"/>
          <w:sz w:val="20"/>
          <w:szCs w:val="20"/>
        </w:rPr>
      </w:pPr>
      <w:r w:rsidRPr="00F219FB">
        <w:rPr>
          <w:rFonts w:ascii="Barlow" w:hAnsi="Barlow"/>
          <w:sz w:val="20"/>
          <w:szCs w:val="20"/>
        </w:rPr>
        <w:t>No aplica</w:t>
      </w:r>
    </w:p>
    <w:p w14:paraId="5A0DA9D1" w14:textId="719E2B9F" w:rsidR="00A87ED5" w:rsidRPr="00F219FB" w:rsidRDefault="00A87ED5" w:rsidP="00A87ED5">
      <w:pPr>
        <w:jc w:val="both"/>
        <w:rPr>
          <w:rFonts w:ascii="Barlow" w:hAnsi="Barlow"/>
          <w:b/>
          <w:bCs/>
          <w:sz w:val="20"/>
          <w:szCs w:val="20"/>
        </w:rPr>
      </w:pPr>
      <w:r w:rsidRPr="00F219FB">
        <w:rPr>
          <w:rFonts w:ascii="Barlow" w:hAnsi="Barlow"/>
          <w:b/>
          <w:bCs/>
          <w:sz w:val="20"/>
          <w:szCs w:val="20"/>
        </w:rPr>
        <w:t xml:space="preserve">11. </w:t>
      </w:r>
      <w:r w:rsidR="00CC58A5" w:rsidRPr="00F219FB">
        <w:rPr>
          <w:rFonts w:ascii="Barlow" w:hAnsi="Barlow"/>
          <w:b/>
          <w:bCs/>
          <w:sz w:val="20"/>
          <w:szCs w:val="20"/>
        </w:rPr>
        <w:t>Información sobre la deuda y reporte analítico de la deuda</w:t>
      </w:r>
    </w:p>
    <w:p w14:paraId="662416A6" w14:textId="543C39FB" w:rsidR="00D135CA" w:rsidRPr="00F219FB" w:rsidRDefault="00A87ED5" w:rsidP="00A87ED5">
      <w:pPr>
        <w:jc w:val="both"/>
        <w:rPr>
          <w:rFonts w:ascii="Barlow" w:hAnsi="Barlow"/>
          <w:sz w:val="20"/>
          <w:szCs w:val="20"/>
        </w:rPr>
      </w:pPr>
      <w:r w:rsidRPr="00F219FB">
        <w:rPr>
          <w:rFonts w:ascii="Barlow" w:hAnsi="Barlow"/>
          <w:sz w:val="20"/>
          <w:szCs w:val="20"/>
        </w:rPr>
        <w:t>No aplica</w:t>
      </w:r>
    </w:p>
    <w:p w14:paraId="6CAE8300" w14:textId="7CA87882" w:rsidR="00A87ED5" w:rsidRPr="00F219FB" w:rsidRDefault="00A87ED5" w:rsidP="00A87ED5">
      <w:pPr>
        <w:jc w:val="both"/>
        <w:rPr>
          <w:rFonts w:ascii="Barlow" w:hAnsi="Barlow"/>
          <w:b/>
          <w:bCs/>
          <w:sz w:val="20"/>
          <w:szCs w:val="20"/>
        </w:rPr>
      </w:pPr>
      <w:r w:rsidRPr="00F219FB">
        <w:rPr>
          <w:rFonts w:ascii="Barlow" w:hAnsi="Barlow"/>
          <w:b/>
          <w:bCs/>
          <w:sz w:val="20"/>
          <w:szCs w:val="20"/>
        </w:rPr>
        <w:t xml:space="preserve">12. </w:t>
      </w:r>
      <w:r w:rsidR="00CC58A5" w:rsidRPr="00F219FB">
        <w:rPr>
          <w:rFonts w:ascii="Barlow" w:hAnsi="Barlow"/>
          <w:b/>
          <w:bCs/>
          <w:sz w:val="20"/>
          <w:szCs w:val="20"/>
        </w:rPr>
        <w:t>Calificaciones otorgadas</w:t>
      </w:r>
    </w:p>
    <w:p w14:paraId="556B8D48" w14:textId="58A71CF5" w:rsidR="00D135CA" w:rsidRPr="00F219FB" w:rsidRDefault="00A87ED5" w:rsidP="002B3B91">
      <w:pPr>
        <w:jc w:val="both"/>
        <w:rPr>
          <w:rFonts w:ascii="Barlow" w:hAnsi="Barlow"/>
          <w:sz w:val="20"/>
          <w:szCs w:val="20"/>
        </w:rPr>
      </w:pPr>
      <w:r w:rsidRPr="00F219FB">
        <w:rPr>
          <w:rFonts w:ascii="Barlow" w:hAnsi="Barlow"/>
          <w:sz w:val="20"/>
          <w:szCs w:val="20"/>
        </w:rPr>
        <w:t>No aplica</w:t>
      </w:r>
    </w:p>
    <w:p w14:paraId="717E0D53" w14:textId="1185CF3A" w:rsidR="002B3B91" w:rsidRPr="00F219FB" w:rsidRDefault="002B3B91" w:rsidP="002B3B91">
      <w:pPr>
        <w:jc w:val="both"/>
        <w:rPr>
          <w:rFonts w:ascii="Barlow" w:hAnsi="Barlow"/>
          <w:b/>
          <w:bCs/>
          <w:sz w:val="20"/>
          <w:szCs w:val="20"/>
        </w:rPr>
      </w:pPr>
      <w:r w:rsidRPr="00F219FB">
        <w:rPr>
          <w:rFonts w:ascii="Barlow" w:hAnsi="Barlow"/>
          <w:b/>
          <w:bCs/>
          <w:sz w:val="20"/>
          <w:szCs w:val="20"/>
        </w:rPr>
        <w:t>13. Procesos de mejora</w:t>
      </w:r>
    </w:p>
    <w:p w14:paraId="1FF63AC7" w14:textId="2EF736C9" w:rsidR="00D135CA" w:rsidRPr="00F219FB" w:rsidRDefault="004E3C36" w:rsidP="002B3B91">
      <w:pPr>
        <w:jc w:val="both"/>
        <w:rPr>
          <w:rFonts w:ascii="Barlow" w:hAnsi="Barlow"/>
          <w:sz w:val="20"/>
          <w:szCs w:val="20"/>
        </w:rPr>
      </w:pPr>
      <w:r w:rsidRPr="00F219FB">
        <w:rPr>
          <w:rFonts w:ascii="Barlow" w:hAnsi="Barlow"/>
          <w:sz w:val="20"/>
          <w:szCs w:val="20"/>
        </w:rPr>
        <w:lastRenderedPageBreak/>
        <w:t xml:space="preserve">La Universidad Autónoma de Yucatán (UADY) juega un papel preponderante en la educación superior en el Estado. Y es </w:t>
      </w:r>
      <w:r w:rsidR="00BD5324" w:rsidRPr="00F219FB">
        <w:rPr>
          <w:rFonts w:ascii="Barlow" w:hAnsi="Barlow"/>
          <w:sz w:val="20"/>
          <w:szCs w:val="20"/>
        </w:rPr>
        <w:t>por lo que</w:t>
      </w:r>
      <w:r w:rsidRPr="00F219FB">
        <w:rPr>
          <w:rFonts w:ascii="Barlow" w:hAnsi="Barlow"/>
          <w:sz w:val="20"/>
          <w:szCs w:val="20"/>
        </w:rPr>
        <w:t xml:space="preserve"> quiere trascender socialmente, dejar huella, ser crítica con opinión y tomada en cuenta para la construcción de una mejor sociedad. Por ende, respondiendo a las demandas de la comunidad universitaria y de la sociedad, se implementa un Sistema de Gestión de la Calidad, entendido éste como el conjunto de procedimientos o procesos que se implantan en una institución, para su mejora.</w:t>
      </w:r>
    </w:p>
    <w:p w14:paraId="6BA803E9" w14:textId="1A17D940" w:rsidR="00D43917" w:rsidRPr="00F219FB" w:rsidRDefault="0090400A" w:rsidP="002B3B91">
      <w:pPr>
        <w:jc w:val="both"/>
        <w:rPr>
          <w:rFonts w:ascii="Barlow" w:hAnsi="Barlow"/>
          <w:sz w:val="20"/>
          <w:szCs w:val="20"/>
        </w:rPr>
      </w:pPr>
      <w:r w:rsidRPr="00F219FB">
        <w:rPr>
          <w:rFonts w:ascii="Barlow" w:hAnsi="Barlow"/>
          <w:sz w:val="20"/>
          <w:szCs w:val="20"/>
        </w:rPr>
        <w:t>Actualmente la Universidad cuenta con el certificado en ISO 9001-2008 de los siguientes procesos:</w:t>
      </w:r>
    </w:p>
    <w:p w14:paraId="4B4348B7" w14:textId="77777777" w:rsidR="0090400A" w:rsidRPr="00F219FB" w:rsidRDefault="0090400A" w:rsidP="00CA65EA">
      <w:pPr>
        <w:pStyle w:val="Prrafodelista"/>
        <w:numPr>
          <w:ilvl w:val="0"/>
          <w:numId w:val="10"/>
        </w:numPr>
        <w:spacing w:after="0"/>
        <w:jc w:val="both"/>
        <w:rPr>
          <w:rFonts w:ascii="Barlow" w:hAnsi="Barlow"/>
          <w:sz w:val="20"/>
          <w:szCs w:val="20"/>
        </w:rPr>
      </w:pPr>
      <w:r w:rsidRPr="00F219FB">
        <w:rPr>
          <w:rFonts w:ascii="Barlow" w:hAnsi="Barlow"/>
          <w:sz w:val="20"/>
          <w:szCs w:val="20"/>
        </w:rPr>
        <w:t>Selección de aspirantes</w:t>
      </w:r>
      <w:r w:rsidRPr="00F219FB">
        <w:rPr>
          <w:rFonts w:ascii="Barlow" w:hAnsi="Barlow"/>
          <w:sz w:val="20"/>
          <w:szCs w:val="20"/>
        </w:rPr>
        <w:tab/>
      </w:r>
      <w:r w:rsidRPr="00F219FB">
        <w:rPr>
          <w:rFonts w:ascii="Barlow" w:hAnsi="Barlow"/>
          <w:sz w:val="20"/>
          <w:szCs w:val="20"/>
        </w:rPr>
        <w:tab/>
      </w:r>
    </w:p>
    <w:p w14:paraId="6F496121" w14:textId="77777777" w:rsidR="0090400A" w:rsidRPr="00F219FB" w:rsidRDefault="0090400A" w:rsidP="00CA65EA">
      <w:pPr>
        <w:pStyle w:val="Prrafodelista"/>
        <w:numPr>
          <w:ilvl w:val="0"/>
          <w:numId w:val="10"/>
        </w:numPr>
        <w:spacing w:after="0"/>
        <w:jc w:val="both"/>
        <w:rPr>
          <w:rFonts w:ascii="Barlow" w:hAnsi="Barlow"/>
          <w:sz w:val="20"/>
          <w:szCs w:val="20"/>
        </w:rPr>
      </w:pPr>
      <w:r w:rsidRPr="00F219FB">
        <w:rPr>
          <w:rFonts w:ascii="Barlow" w:hAnsi="Barlow"/>
          <w:sz w:val="20"/>
          <w:szCs w:val="20"/>
        </w:rPr>
        <w:t>Diseño y provisión de servicios de tecnologías de la información y comunicaciones</w:t>
      </w:r>
      <w:r w:rsidRPr="00F219FB">
        <w:rPr>
          <w:rFonts w:ascii="Barlow" w:hAnsi="Barlow"/>
          <w:sz w:val="20"/>
          <w:szCs w:val="20"/>
        </w:rPr>
        <w:tab/>
      </w:r>
      <w:r w:rsidRPr="00F219FB">
        <w:rPr>
          <w:rFonts w:ascii="Barlow" w:hAnsi="Barlow"/>
          <w:sz w:val="20"/>
          <w:szCs w:val="20"/>
        </w:rPr>
        <w:tab/>
      </w:r>
    </w:p>
    <w:p w14:paraId="6D2033AF" w14:textId="77777777" w:rsidR="0090400A" w:rsidRPr="00F219FB" w:rsidRDefault="0090400A" w:rsidP="00CA65EA">
      <w:pPr>
        <w:pStyle w:val="Prrafodelista"/>
        <w:numPr>
          <w:ilvl w:val="0"/>
          <w:numId w:val="10"/>
        </w:numPr>
        <w:spacing w:after="0"/>
        <w:jc w:val="both"/>
        <w:rPr>
          <w:rFonts w:ascii="Barlow" w:hAnsi="Barlow"/>
          <w:sz w:val="20"/>
          <w:szCs w:val="20"/>
        </w:rPr>
      </w:pPr>
      <w:r w:rsidRPr="00F219FB">
        <w:rPr>
          <w:rFonts w:ascii="Barlow" w:hAnsi="Barlow"/>
          <w:sz w:val="20"/>
          <w:szCs w:val="20"/>
        </w:rPr>
        <w:t>Provisión de servicios bibliotecarios</w:t>
      </w:r>
      <w:r w:rsidRPr="00F219FB">
        <w:rPr>
          <w:rFonts w:ascii="Barlow" w:hAnsi="Barlow"/>
          <w:sz w:val="20"/>
          <w:szCs w:val="20"/>
        </w:rPr>
        <w:tab/>
      </w:r>
      <w:r w:rsidRPr="00F219FB">
        <w:rPr>
          <w:rFonts w:ascii="Barlow" w:hAnsi="Barlow"/>
          <w:sz w:val="20"/>
          <w:szCs w:val="20"/>
        </w:rPr>
        <w:tab/>
      </w:r>
    </w:p>
    <w:p w14:paraId="076BB4CB" w14:textId="77777777" w:rsidR="0090400A" w:rsidRPr="00F219FB" w:rsidRDefault="0090400A" w:rsidP="00CA65EA">
      <w:pPr>
        <w:pStyle w:val="Prrafodelista"/>
        <w:numPr>
          <w:ilvl w:val="0"/>
          <w:numId w:val="10"/>
        </w:numPr>
        <w:spacing w:after="0"/>
        <w:jc w:val="both"/>
        <w:rPr>
          <w:rFonts w:ascii="Barlow" w:hAnsi="Barlow"/>
          <w:sz w:val="20"/>
          <w:szCs w:val="20"/>
        </w:rPr>
      </w:pPr>
      <w:r w:rsidRPr="00F219FB">
        <w:rPr>
          <w:rFonts w:ascii="Barlow" w:hAnsi="Barlow"/>
          <w:sz w:val="20"/>
          <w:szCs w:val="20"/>
        </w:rPr>
        <w:t>Provisión de servicios financieros, materiales y humanos</w:t>
      </w:r>
      <w:r w:rsidRPr="00F219FB">
        <w:rPr>
          <w:rFonts w:ascii="Barlow" w:hAnsi="Barlow"/>
          <w:sz w:val="20"/>
          <w:szCs w:val="20"/>
        </w:rPr>
        <w:tab/>
      </w:r>
      <w:r w:rsidRPr="00F219FB">
        <w:rPr>
          <w:rFonts w:ascii="Barlow" w:hAnsi="Barlow"/>
          <w:sz w:val="20"/>
          <w:szCs w:val="20"/>
        </w:rPr>
        <w:tab/>
      </w:r>
    </w:p>
    <w:p w14:paraId="4A0378BB" w14:textId="77777777" w:rsidR="0090400A" w:rsidRPr="00F219FB" w:rsidRDefault="0090400A" w:rsidP="00CA65EA">
      <w:pPr>
        <w:pStyle w:val="Prrafodelista"/>
        <w:numPr>
          <w:ilvl w:val="0"/>
          <w:numId w:val="10"/>
        </w:numPr>
        <w:spacing w:after="0"/>
        <w:jc w:val="both"/>
        <w:rPr>
          <w:rFonts w:ascii="Barlow" w:hAnsi="Barlow"/>
          <w:sz w:val="20"/>
          <w:szCs w:val="20"/>
        </w:rPr>
      </w:pPr>
      <w:r w:rsidRPr="00F219FB">
        <w:rPr>
          <w:rFonts w:ascii="Barlow" w:hAnsi="Barlow"/>
          <w:sz w:val="20"/>
          <w:szCs w:val="20"/>
        </w:rPr>
        <w:t>Provisión de servicios de salud</w:t>
      </w:r>
      <w:r w:rsidRPr="00F219FB">
        <w:rPr>
          <w:rFonts w:ascii="Barlow" w:hAnsi="Barlow"/>
          <w:sz w:val="20"/>
          <w:szCs w:val="20"/>
        </w:rPr>
        <w:tab/>
      </w:r>
      <w:r w:rsidRPr="00F219FB">
        <w:rPr>
          <w:rFonts w:ascii="Barlow" w:hAnsi="Barlow"/>
          <w:sz w:val="20"/>
          <w:szCs w:val="20"/>
        </w:rPr>
        <w:tab/>
      </w:r>
    </w:p>
    <w:p w14:paraId="023B857D" w14:textId="6D2D7588" w:rsidR="0090400A" w:rsidRPr="00F219FB" w:rsidRDefault="0090400A" w:rsidP="00CA65EA">
      <w:pPr>
        <w:pStyle w:val="Prrafodelista"/>
        <w:numPr>
          <w:ilvl w:val="0"/>
          <w:numId w:val="10"/>
        </w:numPr>
        <w:spacing w:after="0"/>
        <w:jc w:val="both"/>
        <w:rPr>
          <w:rFonts w:ascii="Barlow" w:hAnsi="Barlow"/>
          <w:sz w:val="20"/>
          <w:szCs w:val="20"/>
        </w:rPr>
      </w:pPr>
      <w:r w:rsidRPr="00F219FB">
        <w:rPr>
          <w:rFonts w:ascii="Barlow" w:hAnsi="Barlow"/>
          <w:sz w:val="20"/>
          <w:szCs w:val="20"/>
        </w:rPr>
        <w:t>Administración del sistema de gestión de la calidad</w:t>
      </w:r>
      <w:r w:rsidRPr="00F219FB">
        <w:rPr>
          <w:rFonts w:ascii="Barlow" w:hAnsi="Barlow"/>
          <w:sz w:val="20"/>
          <w:szCs w:val="20"/>
        </w:rPr>
        <w:tab/>
      </w:r>
      <w:r w:rsidRPr="00F219FB">
        <w:rPr>
          <w:rFonts w:ascii="Barlow" w:hAnsi="Barlow"/>
          <w:sz w:val="20"/>
          <w:szCs w:val="20"/>
        </w:rPr>
        <w:tab/>
      </w:r>
    </w:p>
    <w:p w14:paraId="06B2FAE3" w14:textId="77777777" w:rsidR="00CA65EA" w:rsidRPr="00F219FB" w:rsidRDefault="0090400A" w:rsidP="00CA65EA">
      <w:pPr>
        <w:pStyle w:val="Prrafodelista"/>
        <w:numPr>
          <w:ilvl w:val="0"/>
          <w:numId w:val="10"/>
        </w:numPr>
        <w:spacing w:after="0"/>
        <w:jc w:val="both"/>
        <w:rPr>
          <w:rFonts w:ascii="Barlow" w:hAnsi="Barlow"/>
          <w:sz w:val="20"/>
          <w:szCs w:val="20"/>
        </w:rPr>
      </w:pPr>
      <w:r w:rsidRPr="00F219FB">
        <w:rPr>
          <w:rFonts w:ascii="Barlow" w:hAnsi="Barlow"/>
          <w:sz w:val="20"/>
          <w:szCs w:val="20"/>
        </w:rPr>
        <w:t>Provisión y gestión de servicios escolares y servicio social</w:t>
      </w:r>
      <w:r w:rsidRPr="00F219FB">
        <w:rPr>
          <w:rFonts w:ascii="Barlow" w:hAnsi="Barlow"/>
          <w:sz w:val="20"/>
          <w:szCs w:val="20"/>
        </w:rPr>
        <w:tab/>
      </w:r>
    </w:p>
    <w:p w14:paraId="1CF6797D" w14:textId="481B908F" w:rsidR="00A87ED5" w:rsidRPr="00F219FB" w:rsidRDefault="00A87ED5" w:rsidP="00FF2819">
      <w:pPr>
        <w:spacing w:after="0"/>
        <w:jc w:val="both"/>
        <w:rPr>
          <w:rFonts w:ascii="Barlow" w:hAnsi="Barlow"/>
          <w:sz w:val="20"/>
          <w:szCs w:val="20"/>
        </w:rPr>
      </w:pPr>
    </w:p>
    <w:p w14:paraId="55F374F0" w14:textId="77777777" w:rsidR="00CA65EA" w:rsidRPr="00F219FB" w:rsidRDefault="00CA65EA" w:rsidP="00CA65EA">
      <w:pPr>
        <w:spacing w:after="0"/>
        <w:jc w:val="both"/>
        <w:rPr>
          <w:rFonts w:ascii="Barlow" w:hAnsi="Barlow"/>
          <w:b/>
          <w:bCs/>
          <w:sz w:val="20"/>
          <w:szCs w:val="20"/>
        </w:rPr>
      </w:pPr>
      <w:r w:rsidRPr="00F219FB">
        <w:rPr>
          <w:rFonts w:ascii="Barlow" w:hAnsi="Barlow"/>
          <w:b/>
          <w:bCs/>
          <w:sz w:val="20"/>
          <w:szCs w:val="20"/>
        </w:rPr>
        <w:t>14. Información por segmentos</w:t>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p>
    <w:p w14:paraId="0430D327" w14:textId="644B1EAA" w:rsidR="00D135CA" w:rsidRPr="00F219FB" w:rsidRDefault="00CA65EA" w:rsidP="00CA65EA">
      <w:pPr>
        <w:spacing w:after="0"/>
        <w:jc w:val="both"/>
        <w:rPr>
          <w:rFonts w:ascii="Barlow" w:hAnsi="Barlow"/>
          <w:sz w:val="20"/>
          <w:szCs w:val="20"/>
        </w:rPr>
      </w:pPr>
      <w:r w:rsidRPr="00F219FB">
        <w:rPr>
          <w:rFonts w:ascii="Barlow" w:hAnsi="Barlow"/>
          <w:sz w:val="20"/>
          <w:szCs w:val="20"/>
        </w:rPr>
        <w:t xml:space="preserve">No aplica </w:t>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02995CB0" w14:textId="57FF9CD7" w:rsidR="00CA65EA" w:rsidRPr="00F219FB" w:rsidRDefault="00CA65EA" w:rsidP="00CA65EA">
      <w:pPr>
        <w:spacing w:after="0"/>
        <w:jc w:val="both"/>
        <w:rPr>
          <w:rFonts w:ascii="Barlow" w:hAnsi="Barlow"/>
          <w:sz w:val="20"/>
          <w:szCs w:val="20"/>
        </w:rPr>
      </w:pP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50858B40" w14:textId="77777777" w:rsidR="00CA65EA" w:rsidRPr="00F219FB" w:rsidRDefault="00CA65EA" w:rsidP="00CA65EA">
      <w:pPr>
        <w:spacing w:after="0"/>
        <w:jc w:val="both"/>
        <w:rPr>
          <w:rFonts w:ascii="Barlow" w:hAnsi="Barlow"/>
          <w:b/>
          <w:bCs/>
          <w:sz w:val="20"/>
          <w:szCs w:val="20"/>
        </w:rPr>
      </w:pPr>
      <w:r w:rsidRPr="00F219FB">
        <w:rPr>
          <w:rFonts w:ascii="Barlow" w:hAnsi="Barlow"/>
          <w:b/>
          <w:bCs/>
          <w:sz w:val="20"/>
          <w:szCs w:val="20"/>
        </w:rPr>
        <w:t>15. Eventos posteriores al cierre</w:t>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p>
    <w:p w14:paraId="75BA68F0" w14:textId="21ADD116" w:rsidR="00D135CA" w:rsidRPr="00F219FB" w:rsidRDefault="00CA65EA" w:rsidP="00CA65EA">
      <w:pPr>
        <w:spacing w:after="0"/>
        <w:jc w:val="both"/>
        <w:rPr>
          <w:rFonts w:ascii="Barlow" w:hAnsi="Barlow"/>
          <w:sz w:val="20"/>
          <w:szCs w:val="20"/>
        </w:rPr>
      </w:pPr>
      <w:r w:rsidRPr="00F219FB">
        <w:rPr>
          <w:rFonts w:ascii="Barlow" w:hAnsi="Barlow"/>
          <w:sz w:val="20"/>
          <w:szCs w:val="20"/>
        </w:rPr>
        <w:t xml:space="preserve">No aplica </w:t>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4F424AD4" w14:textId="602139FC" w:rsidR="00CA65EA" w:rsidRPr="00F219FB" w:rsidRDefault="00CA65EA" w:rsidP="00CA65EA">
      <w:pPr>
        <w:spacing w:after="0"/>
        <w:jc w:val="both"/>
        <w:rPr>
          <w:rFonts w:ascii="Barlow" w:hAnsi="Barlow"/>
          <w:sz w:val="20"/>
          <w:szCs w:val="20"/>
        </w:rPr>
      </w:pP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3D3D8101" w14:textId="77777777" w:rsidR="00CA65EA" w:rsidRPr="00F219FB" w:rsidRDefault="00CA65EA" w:rsidP="00CA65EA">
      <w:pPr>
        <w:spacing w:after="0"/>
        <w:jc w:val="both"/>
        <w:rPr>
          <w:rFonts w:ascii="Barlow" w:hAnsi="Barlow"/>
          <w:b/>
          <w:bCs/>
          <w:sz w:val="20"/>
          <w:szCs w:val="20"/>
        </w:rPr>
      </w:pPr>
      <w:r w:rsidRPr="00F219FB">
        <w:rPr>
          <w:rFonts w:ascii="Barlow" w:hAnsi="Barlow"/>
          <w:b/>
          <w:bCs/>
          <w:sz w:val="20"/>
          <w:szCs w:val="20"/>
        </w:rPr>
        <w:t>16. Partes relacionadas</w:t>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p>
    <w:p w14:paraId="7B8AE2F8" w14:textId="77777777" w:rsidR="00CA65EA" w:rsidRPr="00F219FB" w:rsidRDefault="00CA65EA" w:rsidP="00CA65EA">
      <w:pPr>
        <w:spacing w:after="0"/>
        <w:jc w:val="both"/>
        <w:rPr>
          <w:rFonts w:ascii="Barlow" w:hAnsi="Barlow"/>
          <w:sz w:val="20"/>
          <w:szCs w:val="20"/>
        </w:rPr>
      </w:pPr>
      <w:r w:rsidRPr="00F219FB">
        <w:rPr>
          <w:rFonts w:ascii="Barlow" w:hAnsi="Barlow"/>
          <w:sz w:val="20"/>
          <w:szCs w:val="20"/>
        </w:rPr>
        <w:t xml:space="preserve">No aplica </w:t>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1A323B9B" w14:textId="0B58AAB7" w:rsidR="00CA65EA" w:rsidRPr="00F219FB" w:rsidRDefault="00CA65EA" w:rsidP="00CA65EA">
      <w:pPr>
        <w:spacing w:after="0"/>
        <w:jc w:val="both"/>
        <w:rPr>
          <w:rFonts w:ascii="Barlow" w:hAnsi="Barlow"/>
          <w:sz w:val="20"/>
          <w:szCs w:val="20"/>
        </w:rPr>
      </w:pP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1425785C" w14:textId="77777777" w:rsidR="00CA65EA" w:rsidRPr="00F219FB" w:rsidRDefault="00CA65EA" w:rsidP="00CA65EA">
      <w:pPr>
        <w:spacing w:after="0"/>
        <w:jc w:val="both"/>
        <w:rPr>
          <w:rFonts w:ascii="Barlow" w:hAnsi="Barlow"/>
          <w:b/>
          <w:bCs/>
          <w:sz w:val="20"/>
          <w:szCs w:val="20"/>
        </w:rPr>
      </w:pPr>
      <w:r w:rsidRPr="00F219FB">
        <w:rPr>
          <w:rFonts w:ascii="Barlow" w:hAnsi="Barlow"/>
          <w:b/>
          <w:bCs/>
          <w:sz w:val="20"/>
          <w:szCs w:val="20"/>
        </w:rPr>
        <w:t>17. Responsabilidad sobre la presentación razonable de la información contable</w:t>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r w:rsidRPr="00F219FB">
        <w:rPr>
          <w:rFonts w:ascii="Barlow" w:hAnsi="Barlow"/>
          <w:b/>
          <w:bCs/>
          <w:sz w:val="20"/>
          <w:szCs w:val="20"/>
        </w:rPr>
        <w:tab/>
      </w:r>
    </w:p>
    <w:p w14:paraId="7C872D19" w14:textId="77777777" w:rsidR="00CA65EA" w:rsidRPr="00F219FB" w:rsidRDefault="00CA65EA" w:rsidP="00CA65EA">
      <w:pPr>
        <w:spacing w:after="0"/>
        <w:jc w:val="both"/>
        <w:rPr>
          <w:rFonts w:ascii="Barlow" w:hAnsi="Barlow"/>
          <w:sz w:val="20"/>
          <w:szCs w:val="20"/>
        </w:rPr>
      </w:pP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r w:rsidRPr="00F219FB">
        <w:rPr>
          <w:rFonts w:ascii="Barlow" w:hAnsi="Barlow"/>
          <w:sz w:val="20"/>
          <w:szCs w:val="20"/>
        </w:rPr>
        <w:tab/>
      </w:r>
    </w:p>
    <w:p w14:paraId="7AC5E702" w14:textId="77777777" w:rsidR="00F219FB" w:rsidRPr="00F219FB" w:rsidRDefault="00F219FB" w:rsidP="00F219FB">
      <w:pPr>
        <w:rPr>
          <w:rFonts w:ascii="Barlow" w:hAnsi="Barlow"/>
          <w:sz w:val="20"/>
          <w:szCs w:val="20"/>
        </w:rPr>
      </w:pPr>
      <w:r w:rsidRPr="00F219FB">
        <w:rPr>
          <w:rFonts w:ascii="Barlow" w:hAnsi="Barlow" w:cs="Arial"/>
          <w:sz w:val="20"/>
          <w:szCs w:val="20"/>
        </w:rPr>
        <w:t>Bajo protesta de decir verdad declaramos que los Estados Financieros y sus Notas son razonablemente correctos y son responsabilidad del emisor.</w:t>
      </w:r>
      <w:r w:rsidRPr="00F219FB">
        <w:rPr>
          <w:rFonts w:ascii="Barlow" w:hAnsi="Barlow"/>
          <w:sz w:val="20"/>
          <w:szCs w:val="20"/>
        </w:rPr>
        <w:t xml:space="preserve"> </w:t>
      </w:r>
    </w:p>
    <w:sectPr w:rsidR="00F219FB" w:rsidRPr="00F219FB" w:rsidSect="00F219FB">
      <w:pgSz w:w="15840" w:h="12240" w:orient="landscape"/>
      <w:pgMar w:top="2835" w:right="1134" w:bottom="1701" w:left="1134"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93095" w14:textId="77777777" w:rsidR="0081346A" w:rsidRDefault="0081346A" w:rsidP="00311F53">
      <w:pPr>
        <w:spacing w:after="0" w:line="240" w:lineRule="auto"/>
      </w:pPr>
      <w:r>
        <w:separator/>
      </w:r>
    </w:p>
  </w:endnote>
  <w:endnote w:type="continuationSeparator" w:id="0">
    <w:p w14:paraId="0EB9186D" w14:textId="77777777" w:rsidR="0081346A" w:rsidRDefault="0081346A" w:rsidP="00311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DF356" w14:textId="77777777" w:rsidR="0081346A" w:rsidRDefault="0081346A" w:rsidP="00311F53">
      <w:pPr>
        <w:spacing w:after="0" w:line="240" w:lineRule="auto"/>
      </w:pPr>
      <w:r>
        <w:separator/>
      </w:r>
    </w:p>
  </w:footnote>
  <w:footnote w:type="continuationSeparator" w:id="0">
    <w:p w14:paraId="1515577A" w14:textId="77777777" w:rsidR="0081346A" w:rsidRDefault="0081346A" w:rsidP="00311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3011"/>
    <w:multiLevelType w:val="hybridMultilevel"/>
    <w:tmpl w:val="815898EA"/>
    <w:lvl w:ilvl="0" w:tplc="2D4C16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414E96"/>
    <w:multiLevelType w:val="hybridMultilevel"/>
    <w:tmpl w:val="41ACCA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BC06C3"/>
    <w:multiLevelType w:val="hybridMultilevel"/>
    <w:tmpl w:val="8C9A64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086E06"/>
    <w:multiLevelType w:val="hybridMultilevel"/>
    <w:tmpl w:val="2B104C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A90647"/>
    <w:multiLevelType w:val="hybridMultilevel"/>
    <w:tmpl w:val="815898EA"/>
    <w:lvl w:ilvl="0" w:tplc="2D4C16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321E6F"/>
    <w:multiLevelType w:val="hybridMultilevel"/>
    <w:tmpl w:val="C77ED9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B228D0"/>
    <w:multiLevelType w:val="hybridMultilevel"/>
    <w:tmpl w:val="D76AAE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894F3B"/>
    <w:multiLevelType w:val="hybridMultilevel"/>
    <w:tmpl w:val="815898EA"/>
    <w:lvl w:ilvl="0" w:tplc="2D4C16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1604DB"/>
    <w:multiLevelType w:val="hybridMultilevel"/>
    <w:tmpl w:val="F904BA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4F52CC5"/>
    <w:multiLevelType w:val="hybridMultilevel"/>
    <w:tmpl w:val="815898EA"/>
    <w:lvl w:ilvl="0" w:tplc="2D4C16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4"/>
  </w:num>
  <w:num w:numId="5">
    <w:abstractNumId w:val="0"/>
  </w:num>
  <w:num w:numId="6">
    <w:abstractNumId w:val="3"/>
  </w:num>
  <w:num w:numId="7">
    <w:abstractNumId w:val="5"/>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E54"/>
    <w:rsid w:val="00002294"/>
    <w:rsid w:val="00002E04"/>
    <w:rsid w:val="00003DE1"/>
    <w:rsid w:val="00004184"/>
    <w:rsid w:val="000049A1"/>
    <w:rsid w:val="00006B74"/>
    <w:rsid w:val="000100E9"/>
    <w:rsid w:val="00011679"/>
    <w:rsid w:val="00012120"/>
    <w:rsid w:val="000135F9"/>
    <w:rsid w:val="00014EF9"/>
    <w:rsid w:val="0001784A"/>
    <w:rsid w:val="000240F8"/>
    <w:rsid w:val="0002477F"/>
    <w:rsid w:val="000251A4"/>
    <w:rsid w:val="00025A07"/>
    <w:rsid w:val="00026214"/>
    <w:rsid w:val="0002746A"/>
    <w:rsid w:val="00027931"/>
    <w:rsid w:val="0003095C"/>
    <w:rsid w:val="00030C11"/>
    <w:rsid w:val="0003107B"/>
    <w:rsid w:val="000323CF"/>
    <w:rsid w:val="000327A8"/>
    <w:rsid w:val="00032969"/>
    <w:rsid w:val="00034BC2"/>
    <w:rsid w:val="00035A6D"/>
    <w:rsid w:val="00035DFE"/>
    <w:rsid w:val="00041C79"/>
    <w:rsid w:val="00041D6B"/>
    <w:rsid w:val="00043C8E"/>
    <w:rsid w:val="00044DDB"/>
    <w:rsid w:val="00046548"/>
    <w:rsid w:val="00047D8C"/>
    <w:rsid w:val="00050F43"/>
    <w:rsid w:val="00054B2F"/>
    <w:rsid w:val="00057B22"/>
    <w:rsid w:val="00057FE6"/>
    <w:rsid w:val="00060745"/>
    <w:rsid w:val="00060C64"/>
    <w:rsid w:val="00061C84"/>
    <w:rsid w:val="00062F11"/>
    <w:rsid w:val="000643A5"/>
    <w:rsid w:val="00065DDC"/>
    <w:rsid w:val="000664D7"/>
    <w:rsid w:val="00066ACA"/>
    <w:rsid w:val="00066E6A"/>
    <w:rsid w:val="00066EDC"/>
    <w:rsid w:val="00072029"/>
    <w:rsid w:val="0007267D"/>
    <w:rsid w:val="00072786"/>
    <w:rsid w:val="00072B0E"/>
    <w:rsid w:val="00073238"/>
    <w:rsid w:val="0007622D"/>
    <w:rsid w:val="00076EAF"/>
    <w:rsid w:val="00080233"/>
    <w:rsid w:val="000812B4"/>
    <w:rsid w:val="0008201D"/>
    <w:rsid w:val="00083FA2"/>
    <w:rsid w:val="00085E3E"/>
    <w:rsid w:val="00086455"/>
    <w:rsid w:val="00087D95"/>
    <w:rsid w:val="00090F97"/>
    <w:rsid w:val="00091651"/>
    <w:rsid w:val="00091A8B"/>
    <w:rsid w:val="0009326F"/>
    <w:rsid w:val="00094A81"/>
    <w:rsid w:val="00094FF1"/>
    <w:rsid w:val="00096E1C"/>
    <w:rsid w:val="000975CA"/>
    <w:rsid w:val="000A04A4"/>
    <w:rsid w:val="000A0C3C"/>
    <w:rsid w:val="000A107A"/>
    <w:rsid w:val="000A3BC9"/>
    <w:rsid w:val="000A49CB"/>
    <w:rsid w:val="000A5301"/>
    <w:rsid w:val="000A5FB5"/>
    <w:rsid w:val="000A6126"/>
    <w:rsid w:val="000A6764"/>
    <w:rsid w:val="000B01F4"/>
    <w:rsid w:val="000B06CB"/>
    <w:rsid w:val="000B0FC0"/>
    <w:rsid w:val="000B194B"/>
    <w:rsid w:val="000B4968"/>
    <w:rsid w:val="000B53D2"/>
    <w:rsid w:val="000B55AF"/>
    <w:rsid w:val="000B70CD"/>
    <w:rsid w:val="000C3074"/>
    <w:rsid w:val="000C3C6A"/>
    <w:rsid w:val="000C3C85"/>
    <w:rsid w:val="000C4A47"/>
    <w:rsid w:val="000C4EF8"/>
    <w:rsid w:val="000C5A60"/>
    <w:rsid w:val="000C5FCC"/>
    <w:rsid w:val="000C64C5"/>
    <w:rsid w:val="000D01D6"/>
    <w:rsid w:val="000D03D2"/>
    <w:rsid w:val="000D079A"/>
    <w:rsid w:val="000D33A5"/>
    <w:rsid w:val="000D42AB"/>
    <w:rsid w:val="000D5AA4"/>
    <w:rsid w:val="000D5F09"/>
    <w:rsid w:val="000D751C"/>
    <w:rsid w:val="000E0174"/>
    <w:rsid w:val="000E109D"/>
    <w:rsid w:val="000E243E"/>
    <w:rsid w:val="000E2A6A"/>
    <w:rsid w:val="000E50FA"/>
    <w:rsid w:val="000E57CF"/>
    <w:rsid w:val="000E6583"/>
    <w:rsid w:val="000E7A0E"/>
    <w:rsid w:val="000F2696"/>
    <w:rsid w:val="000F376E"/>
    <w:rsid w:val="000F70A8"/>
    <w:rsid w:val="0010010F"/>
    <w:rsid w:val="00100DED"/>
    <w:rsid w:val="001011F6"/>
    <w:rsid w:val="00102942"/>
    <w:rsid w:val="0010488D"/>
    <w:rsid w:val="00105181"/>
    <w:rsid w:val="0010558B"/>
    <w:rsid w:val="00105E73"/>
    <w:rsid w:val="00110BFB"/>
    <w:rsid w:val="00112DF9"/>
    <w:rsid w:val="00114AD2"/>
    <w:rsid w:val="001155DD"/>
    <w:rsid w:val="00115CC0"/>
    <w:rsid w:val="001164E7"/>
    <w:rsid w:val="00121B3E"/>
    <w:rsid w:val="001231C1"/>
    <w:rsid w:val="00123C14"/>
    <w:rsid w:val="00124520"/>
    <w:rsid w:val="001245D9"/>
    <w:rsid w:val="00127427"/>
    <w:rsid w:val="00131310"/>
    <w:rsid w:val="00132326"/>
    <w:rsid w:val="0013440A"/>
    <w:rsid w:val="00134973"/>
    <w:rsid w:val="001355FF"/>
    <w:rsid w:val="00136037"/>
    <w:rsid w:val="00142F0F"/>
    <w:rsid w:val="001435B9"/>
    <w:rsid w:val="001447B8"/>
    <w:rsid w:val="0014673D"/>
    <w:rsid w:val="001478FF"/>
    <w:rsid w:val="00147DBD"/>
    <w:rsid w:val="001501AD"/>
    <w:rsid w:val="00150B94"/>
    <w:rsid w:val="00150DF1"/>
    <w:rsid w:val="00151178"/>
    <w:rsid w:val="00153F39"/>
    <w:rsid w:val="00157E69"/>
    <w:rsid w:val="0016136D"/>
    <w:rsid w:val="001621AC"/>
    <w:rsid w:val="001636DF"/>
    <w:rsid w:val="00163EAC"/>
    <w:rsid w:val="0016696B"/>
    <w:rsid w:val="0017293C"/>
    <w:rsid w:val="00172E90"/>
    <w:rsid w:val="00173353"/>
    <w:rsid w:val="001733E8"/>
    <w:rsid w:val="001759F9"/>
    <w:rsid w:val="00176041"/>
    <w:rsid w:val="00176F8B"/>
    <w:rsid w:val="00180CDD"/>
    <w:rsid w:val="00181E25"/>
    <w:rsid w:val="00182365"/>
    <w:rsid w:val="0018321F"/>
    <w:rsid w:val="00185930"/>
    <w:rsid w:val="00190DD3"/>
    <w:rsid w:val="00191051"/>
    <w:rsid w:val="00192028"/>
    <w:rsid w:val="001931B3"/>
    <w:rsid w:val="00193CC8"/>
    <w:rsid w:val="001941C5"/>
    <w:rsid w:val="00194596"/>
    <w:rsid w:val="00195269"/>
    <w:rsid w:val="001970F6"/>
    <w:rsid w:val="00197198"/>
    <w:rsid w:val="00197B11"/>
    <w:rsid w:val="001A1ADB"/>
    <w:rsid w:val="001A1AE9"/>
    <w:rsid w:val="001A260E"/>
    <w:rsid w:val="001A3EBE"/>
    <w:rsid w:val="001A4333"/>
    <w:rsid w:val="001A5195"/>
    <w:rsid w:val="001A7589"/>
    <w:rsid w:val="001B42B7"/>
    <w:rsid w:val="001B4430"/>
    <w:rsid w:val="001B542F"/>
    <w:rsid w:val="001B5A7E"/>
    <w:rsid w:val="001B65AF"/>
    <w:rsid w:val="001B6719"/>
    <w:rsid w:val="001B67AE"/>
    <w:rsid w:val="001B7812"/>
    <w:rsid w:val="001B7A94"/>
    <w:rsid w:val="001C141A"/>
    <w:rsid w:val="001C3D95"/>
    <w:rsid w:val="001C60E0"/>
    <w:rsid w:val="001C6A24"/>
    <w:rsid w:val="001D03CE"/>
    <w:rsid w:val="001D2692"/>
    <w:rsid w:val="001D42D2"/>
    <w:rsid w:val="001D49CC"/>
    <w:rsid w:val="001D5B2A"/>
    <w:rsid w:val="001D5ECD"/>
    <w:rsid w:val="001E047A"/>
    <w:rsid w:val="001E1CC5"/>
    <w:rsid w:val="001E1E2A"/>
    <w:rsid w:val="001E490E"/>
    <w:rsid w:val="001E49CE"/>
    <w:rsid w:val="001E4C89"/>
    <w:rsid w:val="001E644F"/>
    <w:rsid w:val="001E698F"/>
    <w:rsid w:val="001F0B9A"/>
    <w:rsid w:val="001F11F2"/>
    <w:rsid w:val="001F37D9"/>
    <w:rsid w:val="001F4893"/>
    <w:rsid w:val="001F4E6C"/>
    <w:rsid w:val="001F7511"/>
    <w:rsid w:val="001F7A84"/>
    <w:rsid w:val="0020010F"/>
    <w:rsid w:val="0020096E"/>
    <w:rsid w:val="0020254A"/>
    <w:rsid w:val="00202F5F"/>
    <w:rsid w:val="00204798"/>
    <w:rsid w:val="002050A7"/>
    <w:rsid w:val="002066A9"/>
    <w:rsid w:val="00206ACC"/>
    <w:rsid w:val="00207A98"/>
    <w:rsid w:val="00212C00"/>
    <w:rsid w:val="00212E93"/>
    <w:rsid w:val="0021423D"/>
    <w:rsid w:val="00215B79"/>
    <w:rsid w:val="002160C8"/>
    <w:rsid w:val="00217252"/>
    <w:rsid w:val="002173D4"/>
    <w:rsid w:val="002257C6"/>
    <w:rsid w:val="00226B06"/>
    <w:rsid w:val="002276BD"/>
    <w:rsid w:val="002301E2"/>
    <w:rsid w:val="00230C55"/>
    <w:rsid w:val="00231AA0"/>
    <w:rsid w:val="00232064"/>
    <w:rsid w:val="00233477"/>
    <w:rsid w:val="002341D3"/>
    <w:rsid w:val="00235AE1"/>
    <w:rsid w:val="00236468"/>
    <w:rsid w:val="0024024D"/>
    <w:rsid w:val="00240AB2"/>
    <w:rsid w:val="00241C41"/>
    <w:rsid w:val="00241E80"/>
    <w:rsid w:val="0024332E"/>
    <w:rsid w:val="002438E3"/>
    <w:rsid w:val="002450B6"/>
    <w:rsid w:val="00245764"/>
    <w:rsid w:val="00246422"/>
    <w:rsid w:val="00246455"/>
    <w:rsid w:val="00250835"/>
    <w:rsid w:val="0025191B"/>
    <w:rsid w:val="002537E7"/>
    <w:rsid w:val="00253C82"/>
    <w:rsid w:val="00254BE9"/>
    <w:rsid w:val="002552E7"/>
    <w:rsid w:val="00257295"/>
    <w:rsid w:val="002578A1"/>
    <w:rsid w:val="00264C31"/>
    <w:rsid w:val="0026615C"/>
    <w:rsid w:val="0026629F"/>
    <w:rsid w:val="00266B4E"/>
    <w:rsid w:val="00267186"/>
    <w:rsid w:val="002671D9"/>
    <w:rsid w:val="00270948"/>
    <w:rsid w:val="00270A0A"/>
    <w:rsid w:val="00274FB3"/>
    <w:rsid w:val="00275814"/>
    <w:rsid w:val="00275DC8"/>
    <w:rsid w:val="00276FEA"/>
    <w:rsid w:val="00277003"/>
    <w:rsid w:val="00282604"/>
    <w:rsid w:val="00282C7C"/>
    <w:rsid w:val="00283346"/>
    <w:rsid w:val="00284594"/>
    <w:rsid w:val="002849A7"/>
    <w:rsid w:val="002849E4"/>
    <w:rsid w:val="00284F84"/>
    <w:rsid w:val="00285D82"/>
    <w:rsid w:val="00286BDE"/>
    <w:rsid w:val="00292190"/>
    <w:rsid w:val="00293918"/>
    <w:rsid w:val="00293D7F"/>
    <w:rsid w:val="00294D2F"/>
    <w:rsid w:val="00294DC5"/>
    <w:rsid w:val="00295F11"/>
    <w:rsid w:val="002969F2"/>
    <w:rsid w:val="00296B8C"/>
    <w:rsid w:val="0029744C"/>
    <w:rsid w:val="002A0ADA"/>
    <w:rsid w:val="002A0B13"/>
    <w:rsid w:val="002A337F"/>
    <w:rsid w:val="002A37D6"/>
    <w:rsid w:val="002A3E67"/>
    <w:rsid w:val="002A4008"/>
    <w:rsid w:val="002A58B1"/>
    <w:rsid w:val="002A59CE"/>
    <w:rsid w:val="002B09A3"/>
    <w:rsid w:val="002B0C1A"/>
    <w:rsid w:val="002B12B6"/>
    <w:rsid w:val="002B25D5"/>
    <w:rsid w:val="002B33BF"/>
    <w:rsid w:val="002B36EC"/>
    <w:rsid w:val="002B399E"/>
    <w:rsid w:val="002B3B91"/>
    <w:rsid w:val="002B5851"/>
    <w:rsid w:val="002B6ACD"/>
    <w:rsid w:val="002C0B39"/>
    <w:rsid w:val="002C0B79"/>
    <w:rsid w:val="002C18DA"/>
    <w:rsid w:val="002C4D75"/>
    <w:rsid w:val="002C63F5"/>
    <w:rsid w:val="002C7276"/>
    <w:rsid w:val="002C7A68"/>
    <w:rsid w:val="002D14A3"/>
    <w:rsid w:val="002D28D8"/>
    <w:rsid w:val="002D5591"/>
    <w:rsid w:val="002D7621"/>
    <w:rsid w:val="002E0F36"/>
    <w:rsid w:val="002E1675"/>
    <w:rsid w:val="002E1E51"/>
    <w:rsid w:val="002E1F8D"/>
    <w:rsid w:val="002E4322"/>
    <w:rsid w:val="002E5330"/>
    <w:rsid w:val="002E61D5"/>
    <w:rsid w:val="002E6879"/>
    <w:rsid w:val="002E717B"/>
    <w:rsid w:val="002E7429"/>
    <w:rsid w:val="002F060F"/>
    <w:rsid w:val="002F1E6E"/>
    <w:rsid w:val="002F2CC3"/>
    <w:rsid w:val="002F324F"/>
    <w:rsid w:val="002F359D"/>
    <w:rsid w:val="002F3AF2"/>
    <w:rsid w:val="002F63F1"/>
    <w:rsid w:val="002F6C60"/>
    <w:rsid w:val="00300DEE"/>
    <w:rsid w:val="003013C5"/>
    <w:rsid w:val="003017E5"/>
    <w:rsid w:val="00301A40"/>
    <w:rsid w:val="00303B79"/>
    <w:rsid w:val="003044BD"/>
    <w:rsid w:val="003049D4"/>
    <w:rsid w:val="00306A07"/>
    <w:rsid w:val="00306D63"/>
    <w:rsid w:val="003103F5"/>
    <w:rsid w:val="00310E5D"/>
    <w:rsid w:val="003116E9"/>
    <w:rsid w:val="00311F53"/>
    <w:rsid w:val="00312417"/>
    <w:rsid w:val="00313ECD"/>
    <w:rsid w:val="003146E6"/>
    <w:rsid w:val="0031571B"/>
    <w:rsid w:val="003173EE"/>
    <w:rsid w:val="003175C3"/>
    <w:rsid w:val="00317C45"/>
    <w:rsid w:val="00317D57"/>
    <w:rsid w:val="00320083"/>
    <w:rsid w:val="0032030C"/>
    <w:rsid w:val="00321264"/>
    <w:rsid w:val="0032302E"/>
    <w:rsid w:val="0032328D"/>
    <w:rsid w:val="003239F3"/>
    <w:rsid w:val="0032590F"/>
    <w:rsid w:val="00326EC7"/>
    <w:rsid w:val="00327AA5"/>
    <w:rsid w:val="003300E3"/>
    <w:rsid w:val="00331CE2"/>
    <w:rsid w:val="003320E4"/>
    <w:rsid w:val="003331DF"/>
    <w:rsid w:val="00333821"/>
    <w:rsid w:val="00333A4A"/>
    <w:rsid w:val="00335123"/>
    <w:rsid w:val="003408FF"/>
    <w:rsid w:val="00341538"/>
    <w:rsid w:val="00341554"/>
    <w:rsid w:val="003421F1"/>
    <w:rsid w:val="003433E2"/>
    <w:rsid w:val="00345F6F"/>
    <w:rsid w:val="00346A37"/>
    <w:rsid w:val="0034717A"/>
    <w:rsid w:val="00347C2C"/>
    <w:rsid w:val="00347C66"/>
    <w:rsid w:val="00350707"/>
    <w:rsid w:val="00350841"/>
    <w:rsid w:val="00350CF3"/>
    <w:rsid w:val="00353A52"/>
    <w:rsid w:val="00353A5F"/>
    <w:rsid w:val="00353DCA"/>
    <w:rsid w:val="0035595E"/>
    <w:rsid w:val="00355A68"/>
    <w:rsid w:val="00355DC8"/>
    <w:rsid w:val="00356804"/>
    <w:rsid w:val="00356ACC"/>
    <w:rsid w:val="003602CE"/>
    <w:rsid w:val="003603F5"/>
    <w:rsid w:val="00360577"/>
    <w:rsid w:val="0036113C"/>
    <w:rsid w:val="00361C00"/>
    <w:rsid w:val="00362890"/>
    <w:rsid w:val="00362B88"/>
    <w:rsid w:val="00363331"/>
    <w:rsid w:val="00366298"/>
    <w:rsid w:val="003700E2"/>
    <w:rsid w:val="00372F6D"/>
    <w:rsid w:val="00373A28"/>
    <w:rsid w:val="003751A5"/>
    <w:rsid w:val="003752B2"/>
    <w:rsid w:val="0038108F"/>
    <w:rsid w:val="00381CF6"/>
    <w:rsid w:val="0038309D"/>
    <w:rsid w:val="00386A0E"/>
    <w:rsid w:val="00386FBA"/>
    <w:rsid w:val="00387873"/>
    <w:rsid w:val="003901E1"/>
    <w:rsid w:val="00391895"/>
    <w:rsid w:val="00393A6A"/>
    <w:rsid w:val="003950EA"/>
    <w:rsid w:val="00395BA0"/>
    <w:rsid w:val="00396F4B"/>
    <w:rsid w:val="003A04E6"/>
    <w:rsid w:val="003A1B79"/>
    <w:rsid w:val="003A4C3B"/>
    <w:rsid w:val="003A5C27"/>
    <w:rsid w:val="003A5ED3"/>
    <w:rsid w:val="003A70D5"/>
    <w:rsid w:val="003A7E6F"/>
    <w:rsid w:val="003B011D"/>
    <w:rsid w:val="003B05AA"/>
    <w:rsid w:val="003B112C"/>
    <w:rsid w:val="003B13A6"/>
    <w:rsid w:val="003B16D7"/>
    <w:rsid w:val="003B24CA"/>
    <w:rsid w:val="003B2A3E"/>
    <w:rsid w:val="003B4707"/>
    <w:rsid w:val="003C6D9F"/>
    <w:rsid w:val="003D0C8D"/>
    <w:rsid w:val="003D14DD"/>
    <w:rsid w:val="003E1001"/>
    <w:rsid w:val="003E1CB4"/>
    <w:rsid w:val="003E48C1"/>
    <w:rsid w:val="003E5A8D"/>
    <w:rsid w:val="003E6DA3"/>
    <w:rsid w:val="003F0D94"/>
    <w:rsid w:val="003F0FB6"/>
    <w:rsid w:val="003F33E1"/>
    <w:rsid w:val="003F4296"/>
    <w:rsid w:val="003F565A"/>
    <w:rsid w:val="003F6BE9"/>
    <w:rsid w:val="003F6E10"/>
    <w:rsid w:val="00400AE0"/>
    <w:rsid w:val="00402C30"/>
    <w:rsid w:val="00402C3E"/>
    <w:rsid w:val="0040430F"/>
    <w:rsid w:val="0040573D"/>
    <w:rsid w:val="004070E5"/>
    <w:rsid w:val="00410C19"/>
    <w:rsid w:val="00411EA7"/>
    <w:rsid w:val="00413A41"/>
    <w:rsid w:val="00414118"/>
    <w:rsid w:val="004142D1"/>
    <w:rsid w:val="004159C5"/>
    <w:rsid w:val="004238AF"/>
    <w:rsid w:val="00423DEE"/>
    <w:rsid w:val="00424290"/>
    <w:rsid w:val="004244A6"/>
    <w:rsid w:val="00424BED"/>
    <w:rsid w:val="004252DF"/>
    <w:rsid w:val="00425C57"/>
    <w:rsid w:val="00427970"/>
    <w:rsid w:val="0043042E"/>
    <w:rsid w:val="00430DC7"/>
    <w:rsid w:val="004331F3"/>
    <w:rsid w:val="0043394B"/>
    <w:rsid w:val="004346AB"/>
    <w:rsid w:val="004349D0"/>
    <w:rsid w:val="0043516F"/>
    <w:rsid w:val="004377A5"/>
    <w:rsid w:val="00441B91"/>
    <w:rsid w:val="00441E73"/>
    <w:rsid w:val="0044384D"/>
    <w:rsid w:val="00443B23"/>
    <w:rsid w:val="0045165F"/>
    <w:rsid w:val="00452498"/>
    <w:rsid w:val="0045374B"/>
    <w:rsid w:val="00455131"/>
    <w:rsid w:val="00455708"/>
    <w:rsid w:val="00456F10"/>
    <w:rsid w:val="00457C59"/>
    <w:rsid w:val="00460AF2"/>
    <w:rsid w:val="00461908"/>
    <w:rsid w:val="00462E1E"/>
    <w:rsid w:val="0046489B"/>
    <w:rsid w:val="004655BE"/>
    <w:rsid w:val="00465669"/>
    <w:rsid w:val="00465CC5"/>
    <w:rsid w:val="00466A68"/>
    <w:rsid w:val="00467147"/>
    <w:rsid w:val="00470239"/>
    <w:rsid w:val="004702BA"/>
    <w:rsid w:val="0047049C"/>
    <w:rsid w:val="00471735"/>
    <w:rsid w:val="00471979"/>
    <w:rsid w:val="00471D23"/>
    <w:rsid w:val="00471E63"/>
    <w:rsid w:val="00471F75"/>
    <w:rsid w:val="004745F9"/>
    <w:rsid w:val="00475602"/>
    <w:rsid w:val="00477877"/>
    <w:rsid w:val="00477D4F"/>
    <w:rsid w:val="00480B06"/>
    <w:rsid w:val="00481B55"/>
    <w:rsid w:val="00483B29"/>
    <w:rsid w:val="00486708"/>
    <w:rsid w:val="004876EE"/>
    <w:rsid w:val="004902A9"/>
    <w:rsid w:val="004909A3"/>
    <w:rsid w:val="00492B8D"/>
    <w:rsid w:val="00492F1C"/>
    <w:rsid w:val="004930A1"/>
    <w:rsid w:val="0049384F"/>
    <w:rsid w:val="0049686B"/>
    <w:rsid w:val="004A1315"/>
    <w:rsid w:val="004A4B71"/>
    <w:rsid w:val="004A506E"/>
    <w:rsid w:val="004A575F"/>
    <w:rsid w:val="004A689B"/>
    <w:rsid w:val="004B1EA6"/>
    <w:rsid w:val="004B300B"/>
    <w:rsid w:val="004B3044"/>
    <w:rsid w:val="004B388E"/>
    <w:rsid w:val="004B45DD"/>
    <w:rsid w:val="004B53C7"/>
    <w:rsid w:val="004B5E55"/>
    <w:rsid w:val="004B659A"/>
    <w:rsid w:val="004B7089"/>
    <w:rsid w:val="004C0D86"/>
    <w:rsid w:val="004C1B6C"/>
    <w:rsid w:val="004C2A54"/>
    <w:rsid w:val="004C4D1A"/>
    <w:rsid w:val="004C4F08"/>
    <w:rsid w:val="004C506F"/>
    <w:rsid w:val="004C5D0A"/>
    <w:rsid w:val="004C5DFA"/>
    <w:rsid w:val="004C6C5F"/>
    <w:rsid w:val="004C7EA4"/>
    <w:rsid w:val="004D05DD"/>
    <w:rsid w:val="004D1477"/>
    <w:rsid w:val="004D1CBD"/>
    <w:rsid w:val="004D1EC2"/>
    <w:rsid w:val="004D243D"/>
    <w:rsid w:val="004D261F"/>
    <w:rsid w:val="004D3B95"/>
    <w:rsid w:val="004D3D86"/>
    <w:rsid w:val="004D4A39"/>
    <w:rsid w:val="004D4E82"/>
    <w:rsid w:val="004D586B"/>
    <w:rsid w:val="004D58BA"/>
    <w:rsid w:val="004D6344"/>
    <w:rsid w:val="004D6714"/>
    <w:rsid w:val="004D67EC"/>
    <w:rsid w:val="004D6A92"/>
    <w:rsid w:val="004E3398"/>
    <w:rsid w:val="004E3C36"/>
    <w:rsid w:val="004E3D98"/>
    <w:rsid w:val="004E41E1"/>
    <w:rsid w:val="004E7690"/>
    <w:rsid w:val="004F0A95"/>
    <w:rsid w:val="004F35C3"/>
    <w:rsid w:val="004F5E06"/>
    <w:rsid w:val="004F61D1"/>
    <w:rsid w:val="00501A12"/>
    <w:rsid w:val="005037CE"/>
    <w:rsid w:val="00503B37"/>
    <w:rsid w:val="0050424A"/>
    <w:rsid w:val="00504A7B"/>
    <w:rsid w:val="00504DB7"/>
    <w:rsid w:val="00505341"/>
    <w:rsid w:val="00505D94"/>
    <w:rsid w:val="00506835"/>
    <w:rsid w:val="00507D5A"/>
    <w:rsid w:val="005103B6"/>
    <w:rsid w:val="0051159F"/>
    <w:rsid w:val="00512407"/>
    <w:rsid w:val="00512633"/>
    <w:rsid w:val="00513F2C"/>
    <w:rsid w:val="00514E74"/>
    <w:rsid w:val="00516470"/>
    <w:rsid w:val="005202C0"/>
    <w:rsid w:val="0052118B"/>
    <w:rsid w:val="005216AB"/>
    <w:rsid w:val="00521C54"/>
    <w:rsid w:val="005230DD"/>
    <w:rsid w:val="00524B22"/>
    <w:rsid w:val="00524E67"/>
    <w:rsid w:val="00525B4E"/>
    <w:rsid w:val="00527653"/>
    <w:rsid w:val="005277AA"/>
    <w:rsid w:val="00527985"/>
    <w:rsid w:val="005279ED"/>
    <w:rsid w:val="005309C6"/>
    <w:rsid w:val="005312B8"/>
    <w:rsid w:val="0053187C"/>
    <w:rsid w:val="00533779"/>
    <w:rsid w:val="00533DDC"/>
    <w:rsid w:val="00534445"/>
    <w:rsid w:val="005346F5"/>
    <w:rsid w:val="00536935"/>
    <w:rsid w:val="005374BF"/>
    <w:rsid w:val="00537714"/>
    <w:rsid w:val="00540872"/>
    <w:rsid w:val="00541A4D"/>
    <w:rsid w:val="005459D3"/>
    <w:rsid w:val="00550D4A"/>
    <w:rsid w:val="00550F43"/>
    <w:rsid w:val="00552E56"/>
    <w:rsid w:val="00554EF6"/>
    <w:rsid w:val="005551B0"/>
    <w:rsid w:val="00555C33"/>
    <w:rsid w:val="00555DF5"/>
    <w:rsid w:val="005561C4"/>
    <w:rsid w:val="0055776A"/>
    <w:rsid w:val="005578FE"/>
    <w:rsid w:val="00560895"/>
    <w:rsid w:val="00560B2A"/>
    <w:rsid w:val="00561135"/>
    <w:rsid w:val="00563C81"/>
    <w:rsid w:val="00563FA5"/>
    <w:rsid w:val="00565588"/>
    <w:rsid w:val="00565C70"/>
    <w:rsid w:val="00573777"/>
    <w:rsid w:val="005746BD"/>
    <w:rsid w:val="005772EC"/>
    <w:rsid w:val="0058158E"/>
    <w:rsid w:val="005841E8"/>
    <w:rsid w:val="005860B6"/>
    <w:rsid w:val="005868A9"/>
    <w:rsid w:val="00592B89"/>
    <w:rsid w:val="00593602"/>
    <w:rsid w:val="00594218"/>
    <w:rsid w:val="005943CF"/>
    <w:rsid w:val="00594A6B"/>
    <w:rsid w:val="005A3949"/>
    <w:rsid w:val="005A67FD"/>
    <w:rsid w:val="005A7E58"/>
    <w:rsid w:val="005B2309"/>
    <w:rsid w:val="005B25A6"/>
    <w:rsid w:val="005B26D8"/>
    <w:rsid w:val="005B3D44"/>
    <w:rsid w:val="005B69AA"/>
    <w:rsid w:val="005C1299"/>
    <w:rsid w:val="005C133B"/>
    <w:rsid w:val="005C30A3"/>
    <w:rsid w:val="005C33B9"/>
    <w:rsid w:val="005C39DF"/>
    <w:rsid w:val="005C3A94"/>
    <w:rsid w:val="005C55A8"/>
    <w:rsid w:val="005D2F91"/>
    <w:rsid w:val="005D493C"/>
    <w:rsid w:val="005D49A1"/>
    <w:rsid w:val="005D4E54"/>
    <w:rsid w:val="005E0446"/>
    <w:rsid w:val="005E204F"/>
    <w:rsid w:val="005E4637"/>
    <w:rsid w:val="005E48BE"/>
    <w:rsid w:val="005E5387"/>
    <w:rsid w:val="005E5A9D"/>
    <w:rsid w:val="005E68C1"/>
    <w:rsid w:val="005E7508"/>
    <w:rsid w:val="005E76E5"/>
    <w:rsid w:val="005E78C2"/>
    <w:rsid w:val="005F06E3"/>
    <w:rsid w:val="005F1BFA"/>
    <w:rsid w:val="005F2F2D"/>
    <w:rsid w:val="005F4848"/>
    <w:rsid w:val="005F4A34"/>
    <w:rsid w:val="005F4CB6"/>
    <w:rsid w:val="005F5B28"/>
    <w:rsid w:val="005F5CAF"/>
    <w:rsid w:val="00604860"/>
    <w:rsid w:val="0060501D"/>
    <w:rsid w:val="0060778D"/>
    <w:rsid w:val="0061146E"/>
    <w:rsid w:val="00614178"/>
    <w:rsid w:val="0061420D"/>
    <w:rsid w:val="00615367"/>
    <w:rsid w:val="00615DF9"/>
    <w:rsid w:val="00616767"/>
    <w:rsid w:val="00620180"/>
    <w:rsid w:val="006202B4"/>
    <w:rsid w:val="00620AC5"/>
    <w:rsid w:val="006212EF"/>
    <w:rsid w:val="00622883"/>
    <w:rsid w:val="00623183"/>
    <w:rsid w:val="006232F2"/>
    <w:rsid w:val="00623826"/>
    <w:rsid w:val="00627AC3"/>
    <w:rsid w:val="00630A76"/>
    <w:rsid w:val="006314A1"/>
    <w:rsid w:val="00636D19"/>
    <w:rsid w:val="00640503"/>
    <w:rsid w:val="00641A1C"/>
    <w:rsid w:val="0064235F"/>
    <w:rsid w:val="00642C6A"/>
    <w:rsid w:val="00644B0D"/>
    <w:rsid w:val="00646A74"/>
    <w:rsid w:val="00646EE0"/>
    <w:rsid w:val="00651450"/>
    <w:rsid w:val="00657475"/>
    <w:rsid w:val="00660012"/>
    <w:rsid w:val="00660CB0"/>
    <w:rsid w:val="00661500"/>
    <w:rsid w:val="00662E7D"/>
    <w:rsid w:val="00663693"/>
    <w:rsid w:val="006639FE"/>
    <w:rsid w:val="00664E1B"/>
    <w:rsid w:val="006652D2"/>
    <w:rsid w:val="006678BF"/>
    <w:rsid w:val="006712ED"/>
    <w:rsid w:val="006718F9"/>
    <w:rsid w:val="00672115"/>
    <w:rsid w:val="00674494"/>
    <w:rsid w:val="00674B56"/>
    <w:rsid w:val="0067627F"/>
    <w:rsid w:val="00676D82"/>
    <w:rsid w:val="00676FDF"/>
    <w:rsid w:val="00680240"/>
    <w:rsid w:val="00680E72"/>
    <w:rsid w:val="0068791D"/>
    <w:rsid w:val="006879A8"/>
    <w:rsid w:val="00690192"/>
    <w:rsid w:val="00690C20"/>
    <w:rsid w:val="00690F03"/>
    <w:rsid w:val="00692A24"/>
    <w:rsid w:val="006A2144"/>
    <w:rsid w:val="006A414D"/>
    <w:rsid w:val="006A58BA"/>
    <w:rsid w:val="006A6E21"/>
    <w:rsid w:val="006A79B0"/>
    <w:rsid w:val="006B412E"/>
    <w:rsid w:val="006B534B"/>
    <w:rsid w:val="006B5551"/>
    <w:rsid w:val="006B591C"/>
    <w:rsid w:val="006B6C84"/>
    <w:rsid w:val="006C036F"/>
    <w:rsid w:val="006C14D9"/>
    <w:rsid w:val="006C1B2A"/>
    <w:rsid w:val="006C20F6"/>
    <w:rsid w:val="006C5044"/>
    <w:rsid w:val="006C50FB"/>
    <w:rsid w:val="006C6FA2"/>
    <w:rsid w:val="006C761C"/>
    <w:rsid w:val="006D0250"/>
    <w:rsid w:val="006D081D"/>
    <w:rsid w:val="006D0D49"/>
    <w:rsid w:val="006D17D6"/>
    <w:rsid w:val="006D4F01"/>
    <w:rsid w:val="006D7689"/>
    <w:rsid w:val="006D7A29"/>
    <w:rsid w:val="006E0809"/>
    <w:rsid w:val="006E20FF"/>
    <w:rsid w:val="006E252B"/>
    <w:rsid w:val="006E2C05"/>
    <w:rsid w:val="006E2F6F"/>
    <w:rsid w:val="006E39A2"/>
    <w:rsid w:val="006E45EF"/>
    <w:rsid w:val="006E480A"/>
    <w:rsid w:val="006E5092"/>
    <w:rsid w:val="006E5696"/>
    <w:rsid w:val="006E794F"/>
    <w:rsid w:val="006F09B0"/>
    <w:rsid w:val="006F0A29"/>
    <w:rsid w:val="006F224C"/>
    <w:rsid w:val="006F2724"/>
    <w:rsid w:val="006F3DD7"/>
    <w:rsid w:val="006F4843"/>
    <w:rsid w:val="006F500D"/>
    <w:rsid w:val="006F54FE"/>
    <w:rsid w:val="006F5502"/>
    <w:rsid w:val="006F75DA"/>
    <w:rsid w:val="00702B2A"/>
    <w:rsid w:val="00705678"/>
    <w:rsid w:val="00711333"/>
    <w:rsid w:val="00712CCF"/>
    <w:rsid w:val="00713839"/>
    <w:rsid w:val="00713F61"/>
    <w:rsid w:val="00714EAB"/>
    <w:rsid w:val="0071544C"/>
    <w:rsid w:val="00715516"/>
    <w:rsid w:val="00715603"/>
    <w:rsid w:val="00715B93"/>
    <w:rsid w:val="007170A1"/>
    <w:rsid w:val="007202BB"/>
    <w:rsid w:val="007203C9"/>
    <w:rsid w:val="00722CDC"/>
    <w:rsid w:val="00722D61"/>
    <w:rsid w:val="00726376"/>
    <w:rsid w:val="00726CB6"/>
    <w:rsid w:val="00726F41"/>
    <w:rsid w:val="007301DD"/>
    <w:rsid w:val="00731DA2"/>
    <w:rsid w:val="00731E83"/>
    <w:rsid w:val="00735A43"/>
    <w:rsid w:val="0073682E"/>
    <w:rsid w:val="00736940"/>
    <w:rsid w:val="00736AAA"/>
    <w:rsid w:val="00737274"/>
    <w:rsid w:val="0073761F"/>
    <w:rsid w:val="00737830"/>
    <w:rsid w:val="0074060A"/>
    <w:rsid w:val="007412C2"/>
    <w:rsid w:val="00741CB6"/>
    <w:rsid w:val="00744230"/>
    <w:rsid w:val="00744A54"/>
    <w:rsid w:val="00750A24"/>
    <w:rsid w:val="00750C4B"/>
    <w:rsid w:val="007510D7"/>
    <w:rsid w:val="007520B5"/>
    <w:rsid w:val="00753526"/>
    <w:rsid w:val="0075511D"/>
    <w:rsid w:val="0075667B"/>
    <w:rsid w:val="007603CC"/>
    <w:rsid w:val="00761DDA"/>
    <w:rsid w:val="00761F20"/>
    <w:rsid w:val="007620C0"/>
    <w:rsid w:val="00763945"/>
    <w:rsid w:val="007641C3"/>
    <w:rsid w:val="00764271"/>
    <w:rsid w:val="00764A32"/>
    <w:rsid w:val="00765CA5"/>
    <w:rsid w:val="00765F6F"/>
    <w:rsid w:val="00767A5C"/>
    <w:rsid w:val="00770EB6"/>
    <w:rsid w:val="0077129B"/>
    <w:rsid w:val="007723B3"/>
    <w:rsid w:val="00775AD1"/>
    <w:rsid w:val="00775CFE"/>
    <w:rsid w:val="0077670F"/>
    <w:rsid w:val="00776812"/>
    <w:rsid w:val="00777217"/>
    <w:rsid w:val="00777783"/>
    <w:rsid w:val="00777973"/>
    <w:rsid w:val="007779C4"/>
    <w:rsid w:val="00777DBD"/>
    <w:rsid w:val="00780731"/>
    <w:rsid w:val="007814F5"/>
    <w:rsid w:val="0078190C"/>
    <w:rsid w:val="00782E71"/>
    <w:rsid w:val="00783C5B"/>
    <w:rsid w:val="00783F60"/>
    <w:rsid w:val="00784340"/>
    <w:rsid w:val="007849E8"/>
    <w:rsid w:val="00785A14"/>
    <w:rsid w:val="007870EB"/>
    <w:rsid w:val="007879D7"/>
    <w:rsid w:val="0079063A"/>
    <w:rsid w:val="00791234"/>
    <w:rsid w:val="007922CC"/>
    <w:rsid w:val="00792F0C"/>
    <w:rsid w:val="00795AA7"/>
    <w:rsid w:val="00796E77"/>
    <w:rsid w:val="00797BFB"/>
    <w:rsid w:val="007A1F49"/>
    <w:rsid w:val="007A2E7F"/>
    <w:rsid w:val="007A4EC2"/>
    <w:rsid w:val="007A7A89"/>
    <w:rsid w:val="007A7EC1"/>
    <w:rsid w:val="007B081E"/>
    <w:rsid w:val="007B1913"/>
    <w:rsid w:val="007B1DB3"/>
    <w:rsid w:val="007B2B95"/>
    <w:rsid w:val="007B3015"/>
    <w:rsid w:val="007B4539"/>
    <w:rsid w:val="007B6624"/>
    <w:rsid w:val="007B72D4"/>
    <w:rsid w:val="007C1838"/>
    <w:rsid w:val="007C185E"/>
    <w:rsid w:val="007C2085"/>
    <w:rsid w:val="007C2A0E"/>
    <w:rsid w:val="007C38E9"/>
    <w:rsid w:val="007C5764"/>
    <w:rsid w:val="007C5F41"/>
    <w:rsid w:val="007C765A"/>
    <w:rsid w:val="007C79A3"/>
    <w:rsid w:val="007D035D"/>
    <w:rsid w:val="007D0A8C"/>
    <w:rsid w:val="007D16F9"/>
    <w:rsid w:val="007D3C4E"/>
    <w:rsid w:val="007D3CE6"/>
    <w:rsid w:val="007D400D"/>
    <w:rsid w:val="007D42CB"/>
    <w:rsid w:val="007D4BFD"/>
    <w:rsid w:val="007D50B4"/>
    <w:rsid w:val="007D5FE5"/>
    <w:rsid w:val="007D6DA6"/>
    <w:rsid w:val="007E0629"/>
    <w:rsid w:val="007E348F"/>
    <w:rsid w:val="007E4797"/>
    <w:rsid w:val="007E4852"/>
    <w:rsid w:val="007E558B"/>
    <w:rsid w:val="007E5B33"/>
    <w:rsid w:val="007F022C"/>
    <w:rsid w:val="007F0568"/>
    <w:rsid w:val="007F188C"/>
    <w:rsid w:val="007F37E2"/>
    <w:rsid w:val="007F4950"/>
    <w:rsid w:val="007F6849"/>
    <w:rsid w:val="007F7913"/>
    <w:rsid w:val="00800E46"/>
    <w:rsid w:val="008019A8"/>
    <w:rsid w:val="00804363"/>
    <w:rsid w:val="00805F55"/>
    <w:rsid w:val="00813131"/>
    <w:rsid w:val="0081346A"/>
    <w:rsid w:val="0081388B"/>
    <w:rsid w:val="00813A71"/>
    <w:rsid w:val="00813B01"/>
    <w:rsid w:val="0081466C"/>
    <w:rsid w:val="00815E6D"/>
    <w:rsid w:val="00816253"/>
    <w:rsid w:val="00823D4E"/>
    <w:rsid w:val="00823EBF"/>
    <w:rsid w:val="008273A6"/>
    <w:rsid w:val="0082760A"/>
    <w:rsid w:val="00832FED"/>
    <w:rsid w:val="00833D6B"/>
    <w:rsid w:val="008358E7"/>
    <w:rsid w:val="00835F6D"/>
    <w:rsid w:val="00836993"/>
    <w:rsid w:val="008402F9"/>
    <w:rsid w:val="008408E4"/>
    <w:rsid w:val="008418A4"/>
    <w:rsid w:val="00841FF7"/>
    <w:rsid w:val="00842A08"/>
    <w:rsid w:val="008444D8"/>
    <w:rsid w:val="00844F58"/>
    <w:rsid w:val="0084511A"/>
    <w:rsid w:val="00847AE2"/>
    <w:rsid w:val="00847B10"/>
    <w:rsid w:val="00851330"/>
    <w:rsid w:val="008516FF"/>
    <w:rsid w:val="0085288C"/>
    <w:rsid w:val="00853A35"/>
    <w:rsid w:val="00854A79"/>
    <w:rsid w:val="00856C57"/>
    <w:rsid w:val="00856EF8"/>
    <w:rsid w:val="00857909"/>
    <w:rsid w:val="008605DB"/>
    <w:rsid w:val="00860711"/>
    <w:rsid w:val="00860FCE"/>
    <w:rsid w:val="008617DD"/>
    <w:rsid w:val="008621B2"/>
    <w:rsid w:val="00862B47"/>
    <w:rsid w:val="00863090"/>
    <w:rsid w:val="00864477"/>
    <w:rsid w:val="0086702E"/>
    <w:rsid w:val="00867168"/>
    <w:rsid w:val="00867CD3"/>
    <w:rsid w:val="00871A33"/>
    <w:rsid w:val="00872006"/>
    <w:rsid w:val="008765F4"/>
    <w:rsid w:val="0088123E"/>
    <w:rsid w:val="0088535D"/>
    <w:rsid w:val="008870E3"/>
    <w:rsid w:val="00890944"/>
    <w:rsid w:val="0089171C"/>
    <w:rsid w:val="008932F9"/>
    <w:rsid w:val="008935AD"/>
    <w:rsid w:val="00893849"/>
    <w:rsid w:val="00894B38"/>
    <w:rsid w:val="008950B6"/>
    <w:rsid w:val="008969DB"/>
    <w:rsid w:val="00896AC6"/>
    <w:rsid w:val="00896BF7"/>
    <w:rsid w:val="008A0026"/>
    <w:rsid w:val="008A0572"/>
    <w:rsid w:val="008A0CB2"/>
    <w:rsid w:val="008A1994"/>
    <w:rsid w:val="008A2A21"/>
    <w:rsid w:val="008A5F9F"/>
    <w:rsid w:val="008B0297"/>
    <w:rsid w:val="008B0A25"/>
    <w:rsid w:val="008B1BD8"/>
    <w:rsid w:val="008B47C5"/>
    <w:rsid w:val="008B48AD"/>
    <w:rsid w:val="008B4B0D"/>
    <w:rsid w:val="008B5634"/>
    <w:rsid w:val="008B6710"/>
    <w:rsid w:val="008B6AA7"/>
    <w:rsid w:val="008B7CBE"/>
    <w:rsid w:val="008C0886"/>
    <w:rsid w:val="008C1A4C"/>
    <w:rsid w:val="008C38F7"/>
    <w:rsid w:val="008C656A"/>
    <w:rsid w:val="008C7481"/>
    <w:rsid w:val="008D2067"/>
    <w:rsid w:val="008D2F91"/>
    <w:rsid w:val="008D3B7B"/>
    <w:rsid w:val="008D45BB"/>
    <w:rsid w:val="008D4C9F"/>
    <w:rsid w:val="008D4CB9"/>
    <w:rsid w:val="008D54F5"/>
    <w:rsid w:val="008D63AE"/>
    <w:rsid w:val="008E0C2B"/>
    <w:rsid w:val="008E223A"/>
    <w:rsid w:val="008E3C9F"/>
    <w:rsid w:val="008E4062"/>
    <w:rsid w:val="008E467F"/>
    <w:rsid w:val="008E5A8F"/>
    <w:rsid w:val="008E7B23"/>
    <w:rsid w:val="008F008D"/>
    <w:rsid w:val="0090400A"/>
    <w:rsid w:val="00904C73"/>
    <w:rsid w:val="009053D8"/>
    <w:rsid w:val="009059EE"/>
    <w:rsid w:val="00906298"/>
    <w:rsid w:val="00906958"/>
    <w:rsid w:val="009073C1"/>
    <w:rsid w:val="00915DD3"/>
    <w:rsid w:val="00915E60"/>
    <w:rsid w:val="00917E17"/>
    <w:rsid w:val="00917FB3"/>
    <w:rsid w:val="00921033"/>
    <w:rsid w:val="00921EA5"/>
    <w:rsid w:val="009230B4"/>
    <w:rsid w:val="009231F4"/>
    <w:rsid w:val="00924651"/>
    <w:rsid w:val="00924748"/>
    <w:rsid w:val="009261E2"/>
    <w:rsid w:val="009270BA"/>
    <w:rsid w:val="00927629"/>
    <w:rsid w:val="00927D52"/>
    <w:rsid w:val="009305E9"/>
    <w:rsid w:val="0093185E"/>
    <w:rsid w:val="00931887"/>
    <w:rsid w:val="00931D4F"/>
    <w:rsid w:val="00932C13"/>
    <w:rsid w:val="00936631"/>
    <w:rsid w:val="00937237"/>
    <w:rsid w:val="00937631"/>
    <w:rsid w:val="00941A10"/>
    <w:rsid w:val="00942A91"/>
    <w:rsid w:val="009445FF"/>
    <w:rsid w:val="00946D97"/>
    <w:rsid w:val="00947496"/>
    <w:rsid w:val="009500BB"/>
    <w:rsid w:val="00950BFD"/>
    <w:rsid w:val="009537A2"/>
    <w:rsid w:val="009550A0"/>
    <w:rsid w:val="0095661D"/>
    <w:rsid w:val="00957A6C"/>
    <w:rsid w:val="0096008A"/>
    <w:rsid w:val="00961740"/>
    <w:rsid w:val="00961ACF"/>
    <w:rsid w:val="009632FB"/>
    <w:rsid w:val="009634A2"/>
    <w:rsid w:val="00964135"/>
    <w:rsid w:val="00967928"/>
    <w:rsid w:val="00967BAE"/>
    <w:rsid w:val="0097079D"/>
    <w:rsid w:val="009708E8"/>
    <w:rsid w:val="00972152"/>
    <w:rsid w:val="00972E41"/>
    <w:rsid w:val="00973392"/>
    <w:rsid w:val="0097553D"/>
    <w:rsid w:val="00977CB6"/>
    <w:rsid w:val="00981C36"/>
    <w:rsid w:val="00981CF2"/>
    <w:rsid w:val="0098241A"/>
    <w:rsid w:val="00983911"/>
    <w:rsid w:val="00983DEA"/>
    <w:rsid w:val="0098496A"/>
    <w:rsid w:val="009905E0"/>
    <w:rsid w:val="0099107F"/>
    <w:rsid w:val="00991531"/>
    <w:rsid w:val="00994183"/>
    <w:rsid w:val="00994FE9"/>
    <w:rsid w:val="00995B6D"/>
    <w:rsid w:val="0099690A"/>
    <w:rsid w:val="0099700F"/>
    <w:rsid w:val="00997663"/>
    <w:rsid w:val="009A1E17"/>
    <w:rsid w:val="009A2097"/>
    <w:rsid w:val="009A2E0D"/>
    <w:rsid w:val="009A370F"/>
    <w:rsid w:val="009A4AD5"/>
    <w:rsid w:val="009B1F15"/>
    <w:rsid w:val="009B429C"/>
    <w:rsid w:val="009B53C1"/>
    <w:rsid w:val="009C129E"/>
    <w:rsid w:val="009C3142"/>
    <w:rsid w:val="009C424F"/>
    <w:rsid w:val="009C671B"/>
    <w:rsid w:val="009C74DE"/>
    <w:rsid w:val="009C771C"/>
    <w:rsid w:val="009C7F23"/>
    <w:rsid w:val="009C7FC6"/>
    <w:rsid w:val="009D03DD"/>
    <w:rsid w:val="009D402C"/>
    <w:rsid w:val="009D5158"/>
    <w:rsid w:val="009D5322"/>
    <w:rsid w:val="009E03FE"/>
    <w:rsid w:val="009E2A92"/>
    <w:rsid w:val="009E3815"/>
    <w:rsid w:val="009E39D1"/>
    <w:rsid w:val="009E39E2"/>
    <w:rsid w:val="009E3CC9"/>
    <w:rsid w:val="009E4D9B"/>
    <w:rsid w:val="009E57DE"/>
    <w:rsid w:val="009F020D"/>
    <w:rsid w:val="009F0D51"/>
    <w:rsid w:val="009F3361"/>
    <w:rsid w:val="009F556B"/>
    <w:rsid w:val="009F5AF6"/>
    <w:rsid w:val="00A01903"/>
    <w:rsid w:val="00A01B41"/>
    <w:rsid w:val="00A02092"/>
    <w:rsid w:val="00A03FBF"/>
    <w:rsid w:val="00A04AA5"/>
    <w:rsid w:val="00A055E8"/>
    <w:rsid w:val="00A0644A"/>
    <w:rsid w:val="00A06CE6"/>
    <w:rsid w:val="00A11A36"/>
    <w:rsid w:val="00A138A7"/>
    <w:rsid w:val="00A13F77"/>
    <w:rsid w:val="00A20351"/>
    <w:rsid w:val="00A221A2"/>
    <w:rsid w:val="00A232FA"/>
    <w:rsid w:val="00A233E9"/>
    <w:rsid w:val="00A24916"/>
    <w:rsid w:val="00A24BED"/>
    <w:rsid w:val="00A25672"/>
    <w:rsid w:val="00A264D7"/>
    <w:rsid w:val="00A2673B"/>
    <w:rsid w:val="00A279BB"/>
    <w:rsid w:val="00A30BCD"/>
    <w:rsid w:val="00A32A9C"/>
    <w:rsid w:val="00A33D1C"/>
    <w:rsid w:val="00A34247"/>
    <w:rsid w:val="00A35029"/>
    <w:rsid w:val="00A35CF9"/>
    <w:rsid w:val="00A360E4"/>
    <w:rsid w:val="00A368CA"/>
    <w:rsid w:val="00A36FE5"/>
    <w:rsid w:val="00A3777E"/>
    <w:rsid w:val="00A41C63"/>
    <w:rsid w:val="00A41E29"/>
    <w:rsid w:val="00A4487B"/>
    <w:rsid w:val="00A45AC7"/>
    <w:rsid w:val="00A45C6B"/>
    <w:rsid w:val="00A46B47"/>
    <w:rsid w:val="00A473AA"/>
    <w:rsid w:val="00A47F81"/>
    <w:rsid w:val="00A47F93"/>
    <w:rsid w:val="00A503C4"/>
    <w:rsid w:val="00A53196"/>
    <w:rsid w:val="00A531D8"/>
    <w:rsid w:val="00A5381B"/>
    <w:rsid w:val="00A549B7"/>
    <w:rsid w:val="00A550BC"/>
    <w:rsid w:val="00A5611C"/>
    <w:rsid w:val="00A566D5"/>
    <w:rsid w:val="00A573C7"/>
    <w:rsid w:val="00A57815"/>
    <w:rsid w:val="00A60B50"/>
    <w:rsid w:val="00A616C5"/>
    <w:rsid w:val="00A62384"/>
    <w:rsid w:val="00A65F23"/>
    <w:rsid w:val="00A665B7"/>
    <w:rsid w:val="00A665C0"/>
    <w:rsid w:val="00A70141"/>
    <w:rsid w:val="00A70A6F"/>
    <w:rsid w:val="00A72C32"/>
    <w:rsid w:val="00A73536"/>
    <w:rsid w:val="00A7379E"/>
    <w:rsid w:val="00A82D53"/>
    <w:rsid w:val="00A83B14"/>
    <w:rsid w:val="00A83D06"/>
    <w:rsid w:val="00A83F48"/>
    <w:rsid w:val="00A844C1"/>
    <w:rsid w:val="00A85483"/>
    <w:rsid w:val="00A87ED5"/>
    <w:rsid w:val="00A91C08"/>
    <w:rsid w:val="00A93242"/>
    <w:rsid w:val="00A93898"/>
    <w:rsid w:val="00A9425D"/>
    <w:rsid w:val="00A94A49"/>
    <w:rsid w:val="00A954A4"/>
    <w:rsid w:val="00A960D1"/>
    <w:rsid w:val="00A964CC"/>
    <w:rsid w:val="00A97C91"/>
    <w:rsid w:val="00AA0C29"/>
    <w:rsid w:val="00AA0EB3"/>
    <w:rsid w:val="00AA0EC0"/>
    <w:rsid w:val="00AA11E7"/>
    <w:rsid w:val="00AA2E2D"/>
    <w:rsid w:val="00AA3488"/>
    <w:rsid w:val="00AA34AD"/>
    <w:rsid w:val="00AA3A1A"/>
    <w:rsid w:val="00AA46DA"/>
    <w:rsid w:val="00AA53AB"/>
    <w:rsid w:val="00AA6600"/>
    <w:rsid w:val="00AA69AE"/>
    <w:rsid w:val="00AA6FAB"/>
    <w:rsid w:val="00AB1DA1"/>
    <w:rsid w:val="00AB1E50"/>
    <w:rsid w:val="00AB3595"/>
    <w:rsid w:val="00AB3A4A"/>
    <w:rsid w:val="00AB4A34"/>
    <w:rsid w:val="00AB71A7"/>
    <w:rsid w:val="00AB742C"/>
    <w:rsid w:val="00AB755B"/>
    <w:rsid w:val="00AC2A18"/>
    <w:rsid w:val="00AC4601"/>
    <w:rsid w:val="00AC468F"/>
    <w:rsid w:val="00AC4BE3"/>
    <w:rsid w:val="00AC528A"/>
    <w:rsid w:val="00AC6203"/>
    <w:rsid w:val="00AC63F9"/>
    <w:rsid w:val="00AC68E8"/>
    <w:rsid w:val="00AC7B18"/>
    <w:rsid w:val="00AC7D0A"/>
    <w:rsid w:val="00AD104A"/>
    <w:rsid w:val="00AD4889"/>
    <w:rsid w:val="00AD64D9"/>
    <w:rsid w:val="00AE0273"/>
    <w:rsid w:val="00AE24B2"/>
    <w:rsid w:val="00AE405C"/>
    <w:rsid w:val="00AE563A"/>
    <w:rsid w:val="00AE5D4E"/>
    <w:rsid w:val="00AF109E"/>
    <w:rsid w:val="00AF18E0"/>
    <w:rsid w:val="00AF2EB8"/>
    <w:rsid w:val="00AF4870"/>
    <w:rsid w:val="00AF4D48"/>
    <w:rsid w:val="00B001DE"/>
    <w:rsid w:val="00B0024A"/>
    <w:rsid w:val="00B005B1"/>
    <w:rsid w:val="00B021E5"/>
    <w:rsid w:val="00B02F50"/>
    <w:rsid w:val="00B04D9F"/>
    <w:rsid w:val="00B05447"/>
    <w:rsid w:val="00B06632"/>
    <w:rsid w:val="00B069CC"/>
    <w:rsid w:val="00B106D6"/>
    <w:rsid w:val="00B125BF"/>
    <w:rsid w:val="00B128C1"/>
    <w:rsid w:val="00B1343B"/>
    <w:rsid w:val="00B13AD1"/>
    <w:rsid w:val="00B13D5E"/>
    <w:rsid w:val="00B146B6"/>
    <w:rsid w:val="00B17712"/>
    <w:rsid w:val="00B20AA5"/>
    <w:rsid w:val="00B216B6"/>
    <w:rsid w:val="00B21FA8"/>
    <w:rsid w:val="00B22159"/>
    <w:rsid w:val="00B22D26"/>
    <w:rsid w:val="00B24908"/>
    <w:rsid w:val="00B251E7"/>
    <w:rsid w:val="00B25B7D"/>
    <w:rsid w:val="00B3074F"/>
    <w:rsid w:val="00B314C2"/>
    <w:rsid w:val="00B3196E"/>
    <w:rsid w:val="00B33C86"/>
    <w:rsid w:val="00B35B18"/>
    <w:rsid w:val="00B37944"/>
    <w:rsid w:val="00B408BE"/>
    <w:rsid w:val="00B40E27"/>
    <w:rsid w:val="00B41941"/>
    <w:rsid w:val="00B42E96"/>
    <w:rsid w:val="00B45099"/>
    <w:rsid w:val="00B5228B"/>
    <w:rsid w:val="00B5298A"/>
    <w:rsid w:val="00B539C5"/>
    <w:rsid w:val="00B548BB"/>
    <w:rsid w:val="00B55A01"/>
    <w:rsid w:val="00B57AD6"/>
    <w:rsid w:val="00B57D66"/>
    <w:rsid w:val="00B607FE"/>
    <w:rsid w:val="00B61742"/>
    <w:rsid w:val="00B62364"/>
    <w:rsid w:val="00B62492"/>
    <w:rsid w:val="00B62549"/>
    <w:rsid w:val="00B62B19"/>
    <w:rsid w:val="00B62E66"/>
    <w:rsid w:val="00B62EDF"/>
    <w:rsid w:val="00B65750"/>
    <w:rsid w:val="00B66055"/>
    <w:rsid w:val="00B67468"/>
    <w:rsid w:val="00B7074B"/>
    <w:rsid w:val="00B71282"/>
    <w:rsid w:val="00B71AE3"/>
    <w:rsid w:val="00B72226"/>
    <w:rsid w:val="00B72568"/>
    <w:rsid w:val="00B72CED"/>
    <w:rsid w:val="00B738AC"/>
    <w:rsid w:val="00B73B83"/>
    <w:rsid w:val="00B75470"/>
    <w:rsid w:val="00B77F09"/>
    <w:rsid w:val="00B813E5"/>
    <w:rsid w:val="00B81EFA"/>
    <w:rsid w:val="00B82DDB"/>
    <w:rsid w:val="00B83046"/>
    <w:rsid w:val="00B83722"/>
    <w:rsid w:val="00B87134"/>
    <w:rsid w:val="00B8781D"/>
    <w:rsid w:val="00B87F29"/>
    <w:rsid w:val="00B903BA"/>
    <w:rsid w:val="00B920C5"/>
    <w:rsid w:val="00B93107"/>
    <w:rsid w:val="00B93BC5"/>
    <w:rsid w:val="00B956E7"/>
    <w:rsid w:val="00B95E8D"/>
    <w:rsid w:val="00B96B75"/>
    <w:rsid w:val="00B974E0"/>
    <w:rsid w:val="00BA05DF"/>
    <w:rsid w:val="00BA17AB"/>
    <w:rsid w:val="00BA3869"/>
    <w:rsid w:val="00BA6204"/>
    <w:rsid w:val="00BA6797"/>
    <w:rsid w:val="00BA6BED"/>
    <w:rsid w:val="00BA74A2"/>
    <w:rsid w:val="00BA7D0E"/>
    <w:rsid w:val="00BB3FE4"/>
    <w:rsid w:val="00BB6F96"/>
    <w:rsid w:val="00BB7982"/>
    <w:rsid w:val="00BB7A6B"/>
    <w:rsid w:val="00BC05CA"/>
    <w:rsid w:val="00BC07A6"/>
    <w:rsid w:val="00BC109A"/>
    <w:rsid w:val="00BC13D0"/>
    <w:rsid w:val="00BC1963"/>
    <w:rsid w:val="00BC218D"/>
    <w:rsid w:val="00BC21C5"/>
    <w:rsid w:val="00BC2AF7"/>
    <w:rsid w:val="00BC57C1"/>
    <w:rsid w:val="00BC630B"/>
    <w:rsid w:val="00BC770D"/>
    <w:rsid w:val="00BD06F3"/>
    <w:rsid w:val="00BD1191"/>
    <w:rsid w:val="00BD2A38"/>
    <w:rsid w:val="00BD46CA"/>
    <w:rsid w:val="00BD50E3"/>
    <w:rsid w:val="00BD5324"/>
    <w:rsid w:val="00BD73F1"/>
    <w:rsid w:val="00BE3C64"/>
    <w:rsid w:val="00BE3DDA"/>
    <w:rsid w:val="00BE4B19"/>
    <w:rsid w:val="00BF1A7A"/>
    <w:rsid w:val="00BF1BDF"/>
    <w:rsid w:val="00BF3261"/>
    <w:rsid w:val="00BF3496"/>
    <w:rsid w:val="00BF426C"/>
    <w:rsid w:val="00BF4897"/>
    <w:rsid w:val="00BF52BD"/>
    <w:rsid w:val="00BF5399"/>
    <w:rsid w:val="00BF62C3"/>
    <w:rsid w:val="00BF68E3"/>
    <w:rsid w:val="00C01123"/>
    <w:rsid w:val="00C01435"/>
    <w:rsid w:val="00C03006"/>
    <w:rsid w:val="00C03BDA"/>
    <w:rsid w:val="00C049A2"/>
    <w:rsid w:val="00C0556C"/>
    <w:rsid w:val="00C05B56"/>
    <w:rsid w:val="00C06C66"/>
    <w:rsid w:val="00C1027E"/>
    <w:rsid w:val="00C11689"/>
    <w:rsid w:val="00C12218"/>
    <w:rsid w:val="00C1511B"/>
    <w:rsid w:val="00C15BF4"/>
    <w:rsid w:val="00C1697C"/>
    <w:rsid w:val="00C21476"/>
    <w:rsid w:val="00C21A5C"/>
    <w:rsid w:val="00C222C8"/>
    <w:rsid w:val="00C2325A"/>
    <w:rsid w:val="00C233B0"/>
    <w:rsid w:val="00C252F5"/>
    <w:rsid w:val="00C278B8"/>
    <w:rsid w:val="00C300A3"/>
    <w:rsid w:val="00C307CB"/>
    <w:rsid w:val="00C32598"/>
    <w:rsid w:val="00C32A34"/>
    <w:rsid w:val="00C33749"/>
    <w:rsid w:val="00C34B11"/>
    <w:rsid w:val="00C35161"/>
    <w:rsid w:val="00C359EE"/>
    <w:rsid w:val="00C35C39"/>
    <w:rsid w:val="00C36AF6"/>
    <w:rsid w:val="00C37D26"/>
    <w:rsid w:val="00C40468"/>
    <w:rsid w:val="00C408A6"/>
    <w:rsid w:val="00C40AB5"/>
    <w:rsid w:val="00C40AF5"/>
    <w:rsid w:val="00C40E4B"/>
    <w:rsid w:val="00C41EAB"/>
    <w:rsid w:val="00C41FA2"/>
    <w:rsid w:val="00C45D3B"/>
    <w:rsid w:val="00C512AC"/>
    <w:rsid w:val="00C51B86"/>
    <w:rsid w:val="00C51FDD"/>
    <w:rsid w:val="00C5501D"/>
    <w:rsid w:val="00C55E01"/>
    <w:rsid w:val="00C566BB"/>
    <w:rsid w:val="00C610BF"/>
    <w:rsid w:val="00C617F2"/>
    <w:rsid w:val="00C62014"/>
    <w:rsid w:val="00C64209"/>
    <w:rsid w:val="00C66F80"/>
    <w:rsid w:val="00C670F0"/>
    <w:rsid w:val="00C6778F"/>
    <w:rsid w:val="00C67C91"/>
    <w:rsid w:val="00C71042"/>
    <w:rsid w:val="00C725B5"/>
    <w:rsid w:val="00C761D0"/>
    <w:rsid w:val="00C76A07"/>
    <w:rsid w:val="00C76AB7"/>
    <w:rsid w:val="00C81684"/>
    <w:rsid w:val="00C840D6"/>
    <w:rsid w:val="00C8662F"/>
    <w:rsid w:val="00C875DB"/>
    <w:rsid w:val="00C878CC"/>
    <w:rsid w:val="00C90B3E"/>
    <w:rsid w:val="00C90BEC"/>
    <w:rsid w:val="00C91E7F"/>
    <w:rsid w:val="00C92BC2"/>
    <w:rsid w:val="00C955A2"/>
    <w:rsid w:val="00C9627D"/>
    <w:rsid w:val="00C96A4C"/>
    <w:rsid w:val="00C979AD"/>
    <w:rsid w:val="00CA08E5"/>
    <w:rsid w:val="00CA097A"/>
    <w:rsid w:val="00CA1BC7"/>
    <w:rsid w:val="00CA275A"/>
    <w:rsid w:val="00CA37EB"/>
    <w:rsid w:val="00CA3871"/>
    <w:rsid w:val="00CA38B3"/>
    <w:rsid w:val="00CA4C63"/>
    <w:rsid w:val="00CA65EA"/>
    <w:rsid w:val="00CA6681"/>
    <w:rsid w:val="00CA7011"/>
    <w:rsid w:val="00CA7595"/>
    <w:rsid w:val="00CB0D4B"/>
    <w:rsid w:val="00CB184F"/>
    <w:rsid w:val="00CB22B1"/>
    <w:rsid w:val="00CB3A78"/>
    <w:rsid w:val="00CB3BD2"/>
    <w:rsid w:val="00CB50AA"/>
    <w:rsid w:val="00CB7B46"/>
    <w:rsid w:val="00CC2BC5"/>
    <w:rsid w:val="00CC3A57"/>
    <w:rsid w:val="00CC58A5"/>
    <w:rsid w:val="00CC58E0"/>
    <w:rsid w:val="00CC7592"/>
    <w:rsid w:val="00CD0C08"/>
    <w:rsid w:val="00CD297D"/>
    <w:rsid w:val="00CD3982"/>
    <w:rsid w:val="00CD5043"/>
    <w:rsid w:val="00CE0A15"/>
    <w:rsid w:val="00CE43BF"/>
    <w:rsid w:val="00CE475F"/>
    <w:rsid w:val="00CE4FE6"/>
    <w:rsid w:val="00CE7BF4"/>
    <w:rsid w:val="00CF0624"/>
    <w:rsid w:val="00CF1632"/>
    <w:rsid w:val="00CF24EA"/>
    <w:rsid w:val="00CF3D11"/>
    <w:rsid w:val="00CF4CF4"/>
    <w:rsid w:val="00D006FD"/>
    <w:rsid w:val="00D00DC9"/>
    <w:rsid w:val="00D024C6"/>
    <w:rsid w:val="00D05130"/>
    <w:rsid w:val="00D055EC"/>
    <w:rsid w:val="00D05E12"/>
    <w:rsid w:val="00D10D85"/>
    <w:rsid w:val="00D10E6A"/>
    <w:rsid w:val="00D11625"/>
    <w:rsid w:val="00D11664"/>
    <w:rsid w:val="00D120D9"/>
    <w:rsid w:val="00D123EF"/>
    <w:rsid w:val="00D12951"/>
    <w:rsid w:val="00D12C29"/>
    <w:rsid w:val="00D135CA"/>
    <w:rsid w:val="00D138B0"/>
    <w:rsid w:val="00D142FB"/>
    <w:rsid w:val="00D15561"/>
    <w:rsid w:val="00D231B0"/>
    <w:rsid w:val="00D254A3"/>
    <w:rsid w:val="00D27CA9"/>
    <w:rsid w:val="00D301DD"/>
    <w:rsid w:val="00D325C8"/>
    <w:rsid w:val="00D326F0"/>
    <w:rsid w:val="00D34472"/>
    <w:rsid w:val="00D345C3"/>
    <w:rsid w:val="00D4001D"/>
    <w:rsid w:val="00D4181C"/>
    <w:rsid w:val="00D424C7"/>
    <w:rsid w:val="00D42860"/>
    <w:rsid w:val="00D431DB"/>
    <w:rsid w:val="00D43917"/>
    <w:rsid w:val="00D51F85"/>
    <w:rsid w:val="00D52375"/>
    <w:rsid w:val="00D52AC8"/>
    <w:rsid w:val="00D52E60"/>
    <w:rsid w:val="00D53BB6"/>
    <w:rsid w:val="00D554C7"/>
    <w:rsid w:val="00D55B69"/>
    <w:rsid w:val="00D56640"/>
    <w:rsid w:val="00D57AE1"/>
    <w:rsid w:val="00D606B2"/>
    <w:rsid w:val="00D60F82"/>
    <w:rsid w:val="00D615C7"/>
    <w:rsid w:val="00D6181B"/>
    <w:rsid w:val="00D61F70"/>
    <w:rsid w:val="00D6255A"/>
    <w:rsid w:val="00D643A6"/>
    <w:rsid w:val="00D6444B"/>
    <w:rsid w:val="00D657EA"/>
    <w:rsid w:val="00D65ECC"/>
    <w:rsid w:val="00D665FE"/>
    <w:rsid w:val="00D67CBD"/>
    <w:rsid w:val="00D70DCC"/>
    <w:rsid w:val="00D72974"/>
    <w:rsid w:val="00D736C8"/>
    <w:rsid w:val="00D76335"/>
    <w:rsid w:val="00D77320"/>
    <w:rsid w:val="00D77651"/>
    <w:rsid w:val="00D778F2"/>
    <w:rsid w:val="00D77E37"/>
    <w:rsid w:val="00D801B4"/>
    <w:rsid w:val="00D82672"/>
    <w:rsid w:val="00D826C6"/>
    <w:rsid w:val="00D828A5"/>
    <w:rsid w:val="00D86BC9"/>
    <w:rsid w:val="00D90D81"/>
    <w:rsid w:val="00D9406A"/>
    <w:rsid w:val="00D940F2"/>
    <w:rsid w:val="00D945D7"/>
    <w:rsid w:val="00D9538D"/>
    <w:rsid w:val="00D9607F"/>
    <w:rsid w:val="00D96739"/>
    <w:rsid w:val="00DA0DA6"/>
    <w:rsid w:val="00DA2261"/>
    <w:rsid w:val="00DA2751"/>
    <w:rsid w:val="00DA30CE"/>
    <w:rsid w:val="00DA41AB"/>
    <w:rsid w:val="00DA5DF3"/>
    <w:rsid w:val="00DA6479"/>
    <w:rsid w:val="00DA6900"/>
    <w:rsid w:val="00DA7DD7"/>
    <w:rsid w:val="00DB0967"/>
    <w:rsid w:val="00DB2391"/>
    <w:rsid w:val="00DB2655"/>
    <w:rsid w:val="00DB2754"/>
    <w:rsid w:val="00DB3269"/>
    <w:rsid w:val="00DB5127"/>
    <w:rsid w:val="00DB5129"/>
    <w:rsid w:val="00DB5851"/>
    <w:rsid w:val="00DC0248"/>
    <w:rsid w:val="00DC08C8"/>
    <w:rsid w:val="00DC1334"/>
    <w:rsid w:val="00DC2A0B"/>
    <w:rsid w:val="00DC38DD"/>
    <w:rsid w:val="00DC3BF8"/>
    <w:rsid w:val="00DC58E8"/>
    <w:rsid w:val="00DC620E"/>
    <w:rsid w:val="00DC65E4"/>
    <w:rsid w:val="00DD0D9B"/>
    <w:rsid w:val="00DD11DA"/>
    <w:rsid w:val="00DD14CE"/>
    <w:rsid w:val="00DD18C7"/>
    <w:rsid w:val="00DD2914"/>
    <w:rsid w:val="00DD32FC"/>
    <w:rsid w:val="00DD3510"/>
    <w:rsid w:val="00DD4555"/>
    <w:rsid w:val="00DD5274"/>
    <w:rsid w:val="00DD5FDC"/>
    <w:rsid w:val="00DD6185"/>
    <w:rsid w:val="00DD6E79"/>
    <w:rsid w:val="00DD6F65"/>
    <w:rsid w:val="00DD704B"/>
    <w:rsid w:val="00DD70A3"/>
    <w:rsid w:val="00DE3908"/>
    <w:rsid w:val="00DE3C90"/>
    <w:rsid w:val="00DE490A"/>
    <w:rsid w:val="00DE49E7"/>
    <w:rsid w:val="00DE5713"/>
    <w:rsid w:val="00DE5AD1"/>
    <w:rsid w:val="00DE6676"/>
    <w:rsid w:val="00DE67F6"/>
    <w:rsid w:val="00DF42B7"/>
    <w:rsid w:val="00DF4BC6"/>
    <w:rsid w:val="00DF5D5B"/>
    <w:rsid w:val="00DF627D"/>
    <w:rsid w:val="00DF72B0"/>
    <w:rsid w:val="00E016E6"/>
    <w:rsid w:val="00E01B7F"/>
    <w:rsid w:val="00E03937"/>
    <w:rsid w:val="00E0412D"/>
    <w:rsid w:val="00E054A1"/>
    <w:rsid w:val="00E059E6"/>
    <w:rsid w:val="00E06200"/>
    <w:rsid w:val="00E07167"/>
    <w:rsid w:val="00E07477"/>
    <w:rsid w:val="00E07D01"/>
    <w:rsid w:val="00E1284D"/>
    <w:rsid w:val="00E1315E"/>
    <w:rsid w:val="00E137BF"/>
    <w:rsid w:val="00E150BE"/>
    <w:rsid w:val="00E15755"/>
    <w:rsid w:val="00E16D27"/>
    <w:rsid w:val="00E16EA4"/>
    <w:rsid w:val="00E206E4"/>
    <w:rsid w:val="00E20CCE"/>
    <w:rsid w:val="00E20EE8"/>
    <w:rsid w:val="00E2432D"/>
    <w:rsid w:val="00E31E49"/>
    <w:rsid w:val="00E34CA5"/>
    <w:rsid w:val="00E37C49"/>
    <w:rsid w:val="00E37CE1"/>
    <w:rsid w:val="00E40B36"/>
    <w:rsid w:val="00E41C69"/>
    <w:rsid w:val="00E460D8"/>
    <w:rsid w:val="00E47E2B"/>
    <w:rsid w:val="00E51D0E"/>
    <w:rsid w:val="00E54843"/>
    <w:rsid w:val="00E54A08"/>
    <w:rsid w:val="00E63362"/>
    <w:rsid w:val="00E63F21"/>
    <w:rsid w:val="00E6567E"/>
    <w:rsid w:val="00E656DA"/>
    <w:rsid w:val="00E65FA8"/>
    <w:rsid w:val="00E70937"/>
    <w:rsid w:val="00E72F02"/>
    <w:rsid w:val="00E806B2"/>
    <w:rsid w:val="00E80CDE"/>
    <w:rsid w:val="00E835B7"/>
    <w:rsid w:val="00E847A2"/>
    <w:rsid w:val="00E84CF2"/>
    <w:rsid w:val="00E866C5"/>
    <w:rsid w:val="00E868AD"/>
    <w:rsid w:val="00E86AF2"/>
    <w:rsid w:val="00E86F7D"/>
    <w:rsid w:val="00E905C1"/>
    <w:rsid w:val="00E9365D"/>
    <w:rsid w:val="00E93AEE"/>
    <w:rsid w:val="00E95572"/>
    <w:rsid w:val="00E97798"/>
    <w:rsid w:val="00EA39DE"/>
    <w:rsid w:val="00EA41D6"/>
    <w:rsid w:val="00EA5F07"/>
    <w:rsid w:val="00EA7C98"/>
    <w:rsid w:val="00EA7F79"/>
    <w:rsid w:val="00EB00DD"/>
    <w:rsid w:val="00EB2E48"/>
    <w:rsid w:val="00EB3DDD"/>
    <w:rsid w:val="00EB4876"/>
    <w:rsid w:val="00EB4FFF"/>
    <w:rsid w:val="00EB6AB0"/>
    <w:rsid w:val="00EC3E8D"/>
    <w:rsid w:val="00EC4CF4"/>
    <w:rsid w:val="00EC50EA"/>
    <w:rsid w:val="00EC697D"/>
    <w:rsid w:val="00EC7368"/>
    <w:rsid w:val="00ED04F6"/>
    <w:rsid w:val="00ED1296"/>
    <w:rsid w:val="00ED25BE"/>
    <w:rsid w:val="00ED28FC"/>
    <w:rsid w:val="00ED5125"/>
    <w:rsid w:val="00ED585D"/>
    <w:rsid w:val="00ED5B9F"/>
    <w:rsid w:val="00ED7783"/>
    <w:rsid w:val="00EE1327"/>
    <w:rsid w:val="00EE57AE"/>
    <w:rsid w:val="00EE5E79"/>
    <w:rsid w:val="00EE6347"/>
    <w:rsid w:val="00EE68EB"/>
    <w:rsid w:val="00EE7015"/>
    <w:rsid w:val="00EE714E"/>
    <w:rsid w:val="00EF018F"/>
    <w:rsid w:val="00EF1D66"/>
    <w:rsid w:val="00EF4DB5"/>
    <w:rsid w:val="00EF5A69"/>
    <w:rsid w:val="00EF64F9"/>
    <w:rsid w:val="00EF6900"/>
    <w:rsid w:val="00EF7DB9"/>
    <w:rsid w:val="00F00C19"/>
    <w:rsid w:val="00F01C08"/>
    <w:rsid w:val="00F03C2B"/>
    <w:rsid w:val="00F04A01"/>
    <w:rsid w:val="00F04A8F"/>
    <w:rsid w:val="00F05B03"/>
    <w:rsid w:val="00F06506"/>
    <w:rsid w:val="00F06703"/>
    <w:rsid w:val="00F06B60"/>
    <w:rsid w:val="00F10448"/>
    <w:rsid w:val="00F10A97"/>
    <w:rsid w:val="00F12B71"/>
    <w:rsid w:val="00F131F6"/>
    <w:rsid w:val="00F14547"/>
    <w:rsid w:val="00F20D71"/>
    <w:rsid w:val="00F21273"/>
    <w:rsid w:val="00F2162F"/>
    <w:rsid w:val="00F21880"/>
    <w:rsid w:val="00F219FB"/>
    <w:rsid w:val="00F2309D"/>
    <w:rsid w:val="00F255AC"/>
    <w:rsid w:val="00F25BD9"/>
    <w:rsid w:val="00F26EC1"/>
    <w:rsid w:val="00F304F0"/>
    <w:rsid w:val="00F3067A"/>
    <w:rsid w:val="00F30EC3"/>
    <w:rsid w:val="00F31690"/>
    <w:rsid w:val="00F31CF1"/>
    <w:rsid w:val="00F32535"/>
    <w:rsid w:val="00F334CA"/>
    <w:rsid w:val="00F33B4B"/>
    <w:rsid w:val="00F3448A"/>
    <w:rsid w:val="00F34AD3"/>
    <w:rsid w:val="00F378A7"/>
    <w:rsid w:val="00F41248"/>
    <w:rsid w:val="00F4154D"/>
    <w:rsid w:val="00F41797"/>
    <w:rsid w:val="00F42EA3"/>
    <w:rsid w:val="00F437F3"/>
    <w:rsid w:val="00F4382D"/>
    <w:rsid w:val="00F44C4C"/>
    <w:rsid w:val="00F44F8F"/>
    <w:rsid w:val="00F46863"/>
    <w:rsid w:val="00F505BF"/>
    <w:rsid w:val="00F51776"/>
    <w:rsid w:val="00F518A7"/>
    <w:rsid w:val="00F51A44"/>
    <w:rsid w:val="00F533D0"/>
    <w:rsid w:val="00F5459D"/>
    <w:rsid w:val="00F55927"/>
    <w:rsid w:val="00F55D43"/>
    <w:rsid w:val="00F55DD8"/>
    <w:rsid w:val="00F56D18"/>
    <w:rsid w:val="00F56FB1"/>
    <w:rsid w:val="00F6083F"/>
    <w:rsid w:val="00F61D6F"/>
    <w:rsid w:val="00F625D8"/>
    <w:rsid w:val="00F63266"/>
    <w:rsid w:val="00F652D5"/>
    <w:rsid w:val="00F66709"/>
    <w:rsid w:val="00F70F0D"/>
    <w:rsid w:val="00F72072"/>
    <w:rsid w:val="00F72CF3"/>
    <w:rsid w:val="00F75E6F"/>
    <w:rsid w:val="00F75F4E"/>
    <w:rsid w:val="00F77F60"/>
    <w:rsid w:val="00F80D95"/>
    <w:rsid w:val="00F812C6"/>
    <w:rsid w:val="00F813F0"/>
    <w:rsid w:val="00F81500"/>
    <w:rsid w:val="00F817D0"/>
    <w:rsid w:val="00F83075"/>
    <w:rsid w:val="00F8522E"/>
    <w:rsid w:val="00F86180"/>
    <w:rsid w:val="00F86555"/>
    <w:rsid w:val="00F86626"/>
    <w:rsid w:val="00F91111"/>
    <w:rsid w:val="00F92016"/>
    <w:rsid w:val="00F92A73"/>
    <w:rsid w:val="00F93A2B"/>
    <w:rsid w:val="00F95FF1"/>
    <w:rsid w:val="00F96934"/>
    <w:rsid w:val="00F97EBB"/>
    <w:rsid w:val="00FA3316"/>
    <w:rsid w:val="00FA6335"/>
    <w:rsid w:val="00FA7DFD"/>
    <w:rsid w:val="00FB0A5D"/>
    <w:rsid w:val="00FB1252"/>
    <w:rsid w:val="00FB2412"/>
    <w:rsid w:val="00FB472A"/>
    <w:rsid w:val="00FB5175"/>
    <w:rsid w:val="00FB7007"/>
    <w:rsid w:val="00FB774A"/>
    <w:rsid w:val="00FC2FB0"/>
    <w:rsid w:val="00FC3301"/>
    <w:rsid w:val="00FC3A2D"/>
    <w:rsid w:val="00FC4E30"/>
    <w:rsid w:val="00FC58F2"/>
    <w:rsid w:val="00FC7832"/>
    <w:rsid w:val="00FD12E8"/>
    <w:rsid w:val="00FD14EF"/>
    <w:rsid w:val="00FD2271"/>
    <w:rsid w:val="00FD403E"/>
    <w:rsid w:val="00FD4F1C"/>
    <w:rsid w:val="00FD519E"/>
    <w:rsid w:val="00FD5ECE"/>
    <w:rsid w:val="00FD67F4"/>
    <w:rsid w:val="00FD7FED"/>
    <w:rsid w:val="00FE0EBF"/>
    <w:rsid w:val="00FE26C8"/>
    <w:rsid w:val="00FE2998"/>
    <w:rsid w:val="00FE2DC1"/>
    <w:rsid w:val="00FE2F38"/>
    <w:rsid w:val="00FE3363"/>
    <w:rsid w:val="00FE3680"/>
    <w:rsid w:val="00FE4591"/>
    <w:rsid w:val="00FE5642"/>
    <w:rsid w:val="00FE581D"/>
    <w:rsid w:val="00FE7754"/>
    <w:rsid w:val="00FE799C"/>
    <w:rsid w:val="00FE7BF4"/>
    <w:rsid w:val="00FF0808"/>
    <w:rsid w:val="00FF17AC"/>
    <w:rsid w:val="00FF1BCF"/>
    <w:rsid w:val="00FF22A7"/>
    <w:rsid w:val="00FF2819"/>
    <w:rsid w:val="00FF5093"/>
    <w:rsid w:val="00FF66D1"/>
    <w:rsid w:val="00FF6775"/>
    <w:rsid w:val="00FF6A33"/>
    <w:rsid w:val="00FF7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A5543"/>
  <w15:chartTrackingRefBased/>
  <w15:docId w15:val="{400595D0-8BDD-4431-9990-3A92CAF4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4E54"/>
    <w:pPr>
      <w:ind w:left="720"/>
      <w:contextualSpacing/>
    </w:pPr>
  </w:style>
  <w:style w:type="paragraph" w:styleId="Encabezado">
    <w:name w:val="header"/>
    <w:basedOn w:val="Normal"/>
    <w:link w:val="EncabezadoCar"/>
    <w:uiPriority w:val="99"/>
    <w:unhideWhenUsed/>
    <w:rsid w:val="00311F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1F53"/>
  </w:style>
  <w:style w:type="paragraph" w:styleId="Piedepgina">
    <w:name w:val="footer"/>
    <w:basedOn w:val="Normal"/>
    <w:link w:val="PiedepginaCar"/>
    <w:uiPriority w:val="99"/>
    <w:unhideWhenUsed/>
    <w:rsid w:val="00311F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1F53"/>
  </w:style>
  <w:style w:type="table" w:styleId="Tablaconcuadrcula">
    <w:name w:val="Table Grid"/>
    <w:basedOn w:val="Tablanormal"/>
    <w:uiPriority w:val="39"/>
    <w:rsid w:val="00871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E054A1"/>
    <w:rPr>
      <w:rFonts w:ascii="Arial" w:hAnsi="Arial" w:cs="Arial"/>
      <w:sz w:val="18"/>
      <w:lang w:val="es-ES" w:eastAsia="es-ES"/>
    </w:rPr>
  </w:style>
  <w:style w:type="paragraph" w:customStyle="1" w:styleId="Texto">
    <w:name w:val="Texto"/>
    <w:basedOn w:val="Normal"/>
    <w:link w:val="TextoCar"/>
    <w:qFormat/>
    <w:rsid w:val="00E054A1"/>
    <w:pPr>
      <w:spacing w:after="101" w:line="216" w:lineRule="exact"/>
      <w:ind w:firstLine="288"/>
      <w:jc w:val="both"/>
    </w:pPr>
    <w:rPr>
      <w:rFonts w:ascii="Arial" w:hAnsi="Arial" w:cs="Arial"/>
      <w:sz w:val="18"/>
      <w:lang w:val="es-ES" w:eastAsia="es-ES"/>
    </w:rPr>
  </w:style>
  <w:style w:type="character" w:customStyle="1" w:styleId="ROMANOSCar">
    <w:name w:val="ROMANOS Car"/>
    <w:link w:val="ROMANOS"/>
    <w:locked/>
    <w:rsid w:val="00E054A1"/>
    <w:rPr>
      <w:rFonts w:ascii="Arial" w:hAnsi="Arial" w:cs="Arial"/>
      <w:sz w:val="18"/>
      <w:szCs w:val="18"/>
      <w:lang w:val="es-ES" w:eastAsia="es-ES"/>
    </w:rPr>
  </w:style>
  <w:style w:type="paragraph" w:customStyle="1" w:styleId="ROMANOS">
    <w:name w:val="ROMANOS"/>
    <w:basedOn w:val="Normal"/>
    <w:link w:val="ROMANOSCar"/>
    <w:rsid w:val="00E054A1"/>
    <w:pPr>
      <w:tabs>
        <w:tab w:val="left" w:pos="720"/>
      </w:tabs>
      <w:spacing w:after="101" w:line="216" w:lineRule="exact"/>
      <w:ind w:left="720" w:hanging="432"/>
      <w:jc w:val="both"/>
    </w:pPr>
    <w:rPr>
      <w:rFonts w:ascii="Arial" w:hAnsi="Arial" w:cs="Arial"/>
      <w:sz w:val="18"/>
      <w:szCs w:val="18"/>
      <w:lang w:val="es-ES" w:eastAsia="es-ES"/>
    </w:rPr>
  </w:style>
  <w:style w:type="paragraph" w:styleId="Textodeglobo">
    <w:name w:val="Balloon Text"/>
    <w:basedOn w:val="Normal"/>
    <w:link w:val="TextodegloboCar"/>
    <w:uiPriority w:val="99"/>
    <w:semiHidden/>
    <w:unhideWhenUsed/>
    <w:rsid w:val="00F415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5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0629">
      <w:bodyDiv w:val="1"/>
      <w:marLeft w:val="0"/>
      <w:marRight w:val="0"/>
      <w:marTop w:val="0"/>
      <w:marBottom w:val="0"/>
      <w:divBdr>
        <w:top w:val="none" w:sz="0" w:space="0" w:color="auto"/>
        <w:left w:val="none" w:sz="0" w:space="0" w:color="auto"/>
        <w:bottom w:val="none" w:sz="0" w:space="0" w:color="auto"/>
        <w:right w:val="none" w:sz="0" w:space="0" w:color="auto"/>
      </w:divBdr>
    </w:div>
    <w:div w:id="202834211">
      <w:bodyDiv w:val="1"/>
      <w:marLeft w:val="0"/>
      <w:marRight w:val="0"/>
      <w:marTop w:val="0"/>
      <w:marBottom w:val="0"/>
      <w:divBdr>
        <w:top w:val="none" w:sz="0" w:space="0" w:color="auto"/>
        <w:left w:val="none" w:sz="0" w:space="0" w:color="auto"/>
        <w:bottom w:val="none" w:sz="0" w:space="0" w:color="auto"/>
        <w:right w:val="none" w:sz="0" w:space="0" w:color="auto"/>
      </w:divBdr>
    </w:div>
    <w:div w:id="218250082">
      <w:bodyDiv w:val="1"/>
      <w:marLeft w:val="0"/>
      <w:marRight w:val="0"/>
      <w:marTop w:val="0"/>
      <w:marBottom w:val="0"/>
      <w:divBdr>
        <w:top w:val="none" w:sz="0" w:space="0" w:color="auto"/>
        <w:left w:val="none" w:sz="0" w:space="0" w:color="auto"/>
        <w:bottom w:val="none" w:sz="0" w:space="0" w:color="auto"/>
        <w:right w:val="none" w:sz="0" w:space="0" w:color="auto"/>
      </w:divBdr>
    </w:div>
    <w:div w:id="399789810">
      <w:bodyDiv w:val="1"/>
      <w:marLeft w:val="0"/>
      <w:marRight w:val="0"/>
      <w:marTop w:val="0"/>
      <w:marBottom w:val="0"/>
      <w:divBdr>
        <w:top w:val="none" w:sz="0" w:space="0" w:color="auto"/>
        <w:left w:val="none" w:sz="0" w:space="0" w:color="auto"/>
        <w:bottom w:val="none" w:sz="0" w:space="0" w:color="auto"/>
        <w:right w:val="none" w:sz="0" w:space="0" w:color="auto"/>
      </w:divBdr>
    </w:div>
    <w:div w:id="466168961">
      <w:bodyDiv w:val="1"/>
      <w:marLeft w:val="0"/>
      <w:marRight w:val="0"/>
      <w:marTop w:val="0"/>
      <w:marBottom w:val="0"/>
      <w:divBdr>
        <w:top w:val="none" w:sz="0" w:space="0" w:color="auto"/>
        <w:left w:val="none" w:sz="0" w:space="0" w:color="auto"/>
        <w:bottom w:val="none" w:sz="0" w:space="0" w:color="auto"/>
        <w:right w:val="none" w:sz="0" w:space="0" w:color="auto"/>
      </w:divBdr>
    </w:div>
    <w:div w:id="504325845">
      <w:bodyDiv w:val="1"/>
      <w:marLeft w:val="0"/>
      <w:marRight w:val="0"/>
      <w:marTop w:val="0"/>
      <w:marBottom w:val="0"/>
      <w:divBdr>
        <w:top w:val="none" w:sz="0" w:space="0" w:color="auto"/>
        <w:left w:val="none" w:sz="0" w:space="0" w:color="auto"/>
        <w:bottom w:val="none" w:sz="0" w:space="0" w:color="auto"/>
        <w:right w:val="none" w:sz="0" w:space="0" w:color="auto"/>
      </w:divBdr>
    </w:div>
    <w:div w:id="804852519">
      <w:bodyDiv w:val="1"/>
      <w:marLeft w:val="0"/>
      <w:marRight w:val="0"/>
      <w:marTop w:val="0"/>
      <w:marBottom w:val="0"/>
      <w:divBdr>
        <w:top w:val="none" w:sz="0" w:space="0" w:color="auto"/>
        <w:left w:val="none" w:sz="0" w:space="0" w:color="auto"/>
        <w:bottom w:val="none" w:sz="0" w:space="0" w:color="auto"/>
        <w:right w:val="none" w:sz="0" w:space="0" w:color="auto"/>
      </w:divBdr>
    </w:div>
    <w:div w:id="1063718558">
      <w:bodyDiv w:val="1"/>
      <w:marLeft w:val="0"/>
      <w:marRight w:val="0"/>
      <w:marTop w:val="0"/>
      <w:marBottom w:val="0"/>
      <w:divBdr>
        <w:top w:val="none" w:sz="0" w:space="0" w:color="auto"/>
        <w:left w:val="none" w:sz="0" w:space="0" w:color="auto"/>
        <w:bottom w:val="none" w:sz="0" w:space="0" w:color="auto"/>
        <w:right w:val="none" w:sz="0" w:space="0" w:color="auto"/>
      </w:divBdr>
    </w:div>
    <w:div w:id="1187675610">
      <w:bodyDiv w:val="1"/>
      <w:marLeft w:val="0"/>
      <w:marRight w:val="0"/>
      <w:marTop w:val="0"/>
      <w:marBottom w:val="0"/>
      <w:divBdr>
        <w:top w:val="none" w:sz="0" w:space="0" w:color="auto"/>
        <w:left w:val="none" w:sz="0" w:space="0" w:color="auto"/>
        <w:bottom w:val="none" w:sz="0" w:space="0" w:color="auto"/>
        <w:right w:val="none" w:sz="0" w:space="0" w:color="auto"/>
      </w:divBdr>
    </w:div>
    <w:div w:id="1400981737">
      <w:bodyDiv w:val="1"/>
      <w:marLeft w:val="0"/>
      <w:marRight w:val="0"/>
      <w:marTop w:val="0"/>
      <w:marBottom w:val="0"/>
      <w:divBdr>
        <w:top w:val="none" w:sz="0" w:space="0" w:color="auto"/>
        <w:left w:val="none" w:sz="0" w:space="0" w:color="auto"/>
        <w:bottom w:val="none" w:sz="0" w:space="0" w:color="auto"/>
        <w:right w:val="none" w:sz="0" w:space="0" w:color="auto"/>
      </w:divBdr>
    </w:div>
    <w:div w:id="1414930133">
      <w:bodyDiv w:val="1"/>
      <w:marLeft w:val="0"/>
      <w:marRight w:val="0"/>
      <w:marTop w:val="0"/>
      <w:marBottom w:val="0"/>
      <w:divBdr>
        <w:top w:val="none" w:sz="0" w:space="0" w:color="auto"/>
        <w:left w:val="none" w:sz="0" w:space="0" w:color="auto"/>
        <w:bottom w:val="none" w:sz="0" w:space="0" w:color="auto"/>
        <w:right w:val="none" w:sz="0" w:space="0" w:color="auto"/>
      </w:divBdr>
    </w:div>
    <w:div w:id="1454404229">
      <w:bodyDiv w:val="1"/>
      <w:marLeft w:val="0"/>
      <w:marRight w:val="0"/>
      <w:marTop w:val="0"/>
      <w:marBottom w:val="0"/>
      <w:divBdr>
        <w:top w:val="none" w:sz="0" w:space="0" w:color="auto"/>
        <w:left w:val="none" w:sz="0" w:space="0" w:color="auto"/>
        <w:bottom w:val="none" w:sz="0" w:space="0" w:color="auto"/>
        <w:right w:val="none" w:sz="0" w:space="0" w:color="auto"/>
      </w:divBdr>
    </w:div>
    <w:div w:id="1460763107">
      <w:bodyDiv w:val="1"/>
      <w:marLeft w:val="0"/>
      <w:marRight w:val="0"/>
      <w:marTop w:val="0"/>
      <w:marBottom w:val="0"/>
      <w:divBdr>
        <w:top w:val="none" w:sz="0" w:space="0" w:color="auto"/>
        <w:left w:val="none" w:sz="0" w:space="0" w:color="auto"/>
        <w:bottom w:val="none" w:sz="0" w:space="0" w:color="auto"/>
        <w:right w:val="none" w:sz="0" w:space="0" w:color="auto"/>
      </w:divBdr>
    </w:div>
    <w:div w:id="1503622940">
      <w:bodyDiv w:val="1"/>
      <w:marLeft w:val="0"/>
      <w:marRight w:val="0"/>
      <w:marTop w:val="0"/>
      <w:marBottom w:val="0"/>
      <w:divBdr>
        <w:top w:val="none" w:sz="0" w:space="0" w:color="auto"/>
        <w:left w:val="none" w:sz="0" w:space="0" w:color="auto"/>
        <w:bottom w:val="none" w:sz="0" w:space="0" w:color="auto"/>
        <w:right w:val="none" w:sz="0" w:space="0" w:color="auto"/>
      </w:divBdr>
    </w:div>
    <w:div w:id="1592394953">
      <w:bodyDiv w:val="1"/>
      <w:marLeft w:val="0"/>
      <w:marRight w:val="0"/>
      <w:marTop w:val="0"/>
      <w:marBottom w:val="0"/>
      <w:divBdr>
        <w:top w:val="none" w:sz="0" w:space="0" w:color="auto"/>
        <w:left w:val="none" w:sz="0" w:space="0" w:color="auto"/>
        <w:bottom w:val="none" w:sz="0" w:space="0" w:color="auto"/>
        <w:right w:val="none" w:sz="0" w:space="0" w:color="auto"/>
      </w:divBdr>
    </w:div>
    <w:div w:id="1603108605">
      <w:bodyDiv w:val="1"/>
      <w:marLeft w:val="0"/>
      <w:marRight w:val="0"/>
      <w:marTop w:val="0"/>
      <w:marBottom w:val="0"/>
      <w:divBdr>
        <w:top w:val="none" w:sz="0" w:space="0" w:color="auto"/>
        <w:left w:val="none" w:sz="0" w:space="0" w:color="auto"/>
        <w:bottom w:val="none" w:sz="0" w:space="0" w:color="auto"/>
        <w:right w:val="none" w:sz="0" w:space="0" w:color="auto"/>
      </w:divBdr>
    </w:div>
    <w:div w:id="1663003192">
      <w:bodyDiv w:val="1"/>
      <w:marLeft w:val="0"/>
      <w:marRight w:val="0"/>
      <w:marTop w:val="0"/>
      <w:marBottom w:val="0"/>
      <w:divBdr>
        <w:top w:val="none" w:sz="0" w:space="0" w:color="auto"/>
        <w:left w:val="none" w:sz="0" w:space="0" w:color="auto"/>
        <w:bottom w:val="none" w:sz="0" w:space="0" w:color="auto"/>
        <w:right w:val="none" w:sz="0" w:space="0" w:color="auto"/>
      </w:divBdr>
    </w:div>
    <w:div w:id="169117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Hoja_de_c_lculo_de_Microsoft_Excel3.xlsx"/><Relationship Id="rId26" Type="http://schemas.openxmlformats.org/officeDocument/2006/relationships/package" Target="embeddings/Hoja_de_c_lculo_de_Microsoft_Excel7.xlsx"/><Relationship Id="rId39" Type="http://schemas.openxmlformats.org/officeDocument/2006/relationships/image" Target="media/image15.emf"/><Relationship Id="rId21" Type="http://schemas.openxmlformats.org/officeDocument/2006/relationships/image" Target="media/image6.emf"/><Relationship Id="rId34" Type="http://schemas.openxmlformats.org/officeDocument/2006/relationships/package" Target="embeddings/Hoja_de_c_lculo_de_Microsoft_Excel11.xlsx"/><Relationship Id="rId42" Type="http://schemas.openxmlformats.org/officeDocument/2006/relationships/package" Target="embeddings/Hoja_de_c_lculo_de_Microsoft_Excel15.xlsx"/><Relationship Id="rId47" Type="http://schemas.openxmlformats.org/officeDocument/2006/relationships/image" Target="media/image19.emf"/><Relationship Id="rId50" Type="http://schemas.openxmlformats.org/officeDocument/2006/relationships/package" Target="embeddings/Hoja_de_c_lculo_de_Microsoft_Excel19.xlsx"/><Relationship Id="rId55" Type="http://schemas.openxmlformats.org/officeDocument/2006/relationships/image" Target="media/image23.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Hoja_de_c_lculo_de_Microsoft_Excel2.xlsx"/><Relationship Id="rId29" Type="http://schemas.openxmlformats.org/officeDocument/2006/relationships/image" Target="media/image10.emf"/><Relationship Id="rId11" Type="http://schemas.openxmlformats.org/officeDocument/2006/relationships/image" Target="media/image1.emf"/><Relationship Id="rId24" Type="http://schemas.openxmlformats.org/officeDocument/2006/relationships/package" Target="embeddings/Hoja_de_c_lculo_de_Microsoft_Excel6.xlsx"/><Relationship Id="rId32" Type="http://schemas.openxmlformats.org/officeDocument/2006/relationships/package" Target="embeddings/Hoja_de_c_lculo_de_Microsoft_Excel10.xlsx"/><Relationship Id="rId37" Type="http://schemas.openxmlformats.org/officeDocument/2006/relationships/image" Target="media/image14.emf"/><Relationship Id="rId40" Type="http://schemas.openxmlformats.org/officeDocument/2006/relationships/package" Target="embeddings/Hoja_de_c_lculo_de_Microsoft_Excel14.xlsx"/><Relationship Id="rId45" Type="http://schemas.openxmlformats.org/officeDocument/2006/relationships/image" Target="media/image18.emf"/><Relationship Id="rId53" Type="http://schemas.openxmlformats.org/officeDocument/2006/relationships/image" Target="media/image22.emf"/><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Hoja_de_c_lculo_de_Microsoft_Excel1.xlsx"/><Relationship Id="rId22" Type="http://schemas.openxmlformats.org/officeDocument/2006/relationships/package" Target="embeddings/Hoja_de_c_lculo_de_Microsoft_Excel5.xlsx"/><Relationship Id="rId27" Type="http://schemas.openxmlformats.org/officeDocument/2006/relationships/image" Target="media/image9.emf"/><Relationship Id="rId30" Type="http://schemas.openxmlformats.org/officeDocument/2006/relationships/package" Target="embeddings/Hoja_de_c_lculo_de_Microsoft_Excel9.xlsx"/><Relationship Id="rId35" Type="http://schemas.openxmlformats.org/officeDocument/2006/relationships/image" Target="media/image13.emf"/><Relationship Id="rId43" Type="http://schemas.openxmlformats.org/officeDocument/2006/relationships/image" Target="media/image17.emf"/><Relationship Id="rId48" Type="http://schemas.openxmlformats.org/officeDocument/2006/relationships/package" Target="embeddings/Hoja_de_c_lculo_de_Microsoft_Excel18.xlsx"/><Relationship Id="rId56" Type="http://schemas.openxmlformats.org/officeDocument/2006/relationships/package" Target="embeddings/Hoja_de_c_lculo_de_Microsoft_Excel22.xlsx"/><Relationship Id="rId8" Type="http://schemas.openxmlformats.org/officeDocument/2006/relationships/webSettings" Target="webSettings.xml"/><Relationship Id="rId51" Type="http://schemas.openxmlformats.org/officeDocument/2006/relationships/image" Target="media/image21.emf"/><Relationship Id="rId3" Type="http://schemas.openxmlformats.org/officeDocument/2006/relationships/customXml" Target="../customXml/item3.xml"/><Relationship Id="rId12" Type="http://schemas.openxmlformats.org/officeDocument/2006/relationships/package" Target="embeddings/Hoja_de_c_lculo_de_Microsoft_Excel.xls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package" Target="embeddings/Hoja_de_c_lculo_de_Microsoft_Excel13.xlsx"/><Relationship Id="rId46" Type="http://schemas.openxmlformats.org/officeDocument/2006/relationships/package" Target="embeddings/Hoja_de_c_lculo_de_Microsoft_Excel17.xlsx"/><Relationship Id="rId20" Type="http://schemas.openxmlformats.org/officeDocument/2006/relationships/package" Target="embeddings/Hoja_de_c_lculo_de_Microsoft_Excel4.xlsx"/><Relationship Id="rId41" Type="http://schemas.openxmlformats.org/officeDocument/2006/relationships/image" Target="media/image16.emf"/><Relationship Id="rId54" Type="http://schemas.openxmlformats.org/officeDocument/2006/relationships/package" Target="embeddings/Hoja_de_c_lculo_de_Microsoft_Excel21.xlsx"/><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Hoja_de_c_lculo_de_Microsoft_Excel8.xlsx"/><Relationship Id="rId36" Type="http://schemas.openxmlformats.org/officeDocument/2006/relationships/package" Target="embeddings/Hoja_de_c_lculo_de_Microsoft_Excel12.xlsx"/><Relationship Id="rId49" Type="http://schemas.openxmlformats.org/officeDocument/2006/relationships/image" Target="media/image20.emf"/><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image" Target="media/image11.emf"/><Relationship Id="rId44" Type="http://schemas.openxmlformats.org/officeDocument/2006/relationships/package" Target="embeddings/Hoja_de_c_lculo_de_Microsoft_Excel16.xlsx"/><Relationship Id="rId52" Type="http://schemas.openxmlformats.org/officeDocument/2006/relationships/package" Target="embeddings/Hoja_de_c_lculo_de_Microsoft_Excel20.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CAEE22DDB8044B5B2B62E1F050274" ma:contentTypeVersion="14" ma:contentTypeDescription="Create a new document." ma:contentTypeScope="" ma:versionID="bf7cf62a131215c38ca4b2bee7101317">
  <xsd:schema xmlns:xsd="http://www.w3.org/2001/XMLSchema" xmlns:xs="http://www.w3.org/2001/XMLSchema" xmlns:p="http://schemas.microsoft.com/office/2006/metadata/properties" xmlns:ns1="http://schemas.microsoft.com/sharepoint/v3" xmlns:ns3="701610e5-453c-47eb-a170-2a56d3362a70" xmlns:ns4="5d9e3575-cd04-4412-9ac6-d3d8513a0170" targetNamespace="http://schemas.microsoft.com/office/2006/metadata/properties" ma:root="true" ma:fieldsID="daecfc120c4725407ea1872e6f84e4e4" ns1:_="" ns3:_="" ns4:_="">
    <xsd:import namespace="http://schemas.microsoft.com/sharepoint/v3"/>
    <xsd:import namespace="701610e5-453c-47eb-a170-2a56d3362a70"/>
    <xsd:import namespace="5d9e3575-cd04-4412-9ac6-d3d8513a01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1610e5-453c-47eb-a170-2a56d3362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e3575-cd04-4412-9ac6-d3d8513a017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3273C-1678-4755-987D-2A4D3DA4716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A3D25B0-C370-41E1-AEA0-1642D3952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1610e5-453c-47eb-a170-2a56d3362a70"/>
    <ds:schemaRef ds:uri="5d9e3575-cd04-4412-9ac6-d3d8513a0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00D0F-4DFA-41AE-9EB4-80A913309863}">
  <ds:schemaRefs>
    <ds:schemaRef ds:uri="http://schemas.microsoft.com/sharepoint/v3/contenttype/forms"/>
  </ds:schemaRefs>
</ds:datastoreItem>
</file>

<file path=customXml/itemProps4.xml><?xml version="1.0" encoding="utf-8"?>
<ds:datastoreItem xmlns:ds="http://schemas.openxmlformats.org/officeDocument/2006/customXml" ds:itemID="{5469B659-7959-4538-AB9E-4131B3486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3084</Words>
  <Characters>16966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Soberanis Domínguez</dc:creator>
  <cp:keywords/>
  <dc:description/>
  <cp:lastModifiedBy>Jennifer Estefany Millan Flores</cp:lastModifiedBy>
  <cp:revision>2</cp:revision>
  <cp:lastPrinted>2020-11-09T20:32:00Z</cp:lastPrinted>
  <dcterms:created xsi:type="dcterms:W3CDTF">2022-04-27T16:45:00Z</dcterms:created>
  <dcterms:modified xsi:type="dcterms:W3CDTF">2022-04-27T16:45:00Z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0x010100865CAEE22DDB8044B5B2B62E1F050274</vt:lpwstr>
  </property>
</Properties>
</file>