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3A" w:rsidRDefault="00650B3A" w:rsidP="00CF2C3D">
      <w:pPr>
        <w:spacing w:before="120" w:after="120"/>
        <w:jc w:val="center"/>
        <w:rPr>
          <w:rFonts w:ascii="Barlow" w:hAnsi="Barlow"/>
          <w:b/>
          <w:sz w:val="20"/>
          <w:szCs w:val="20"/>
        </w:rPr>
      </w:pPr>
    </w:p>
    <w:p w:rsidR="00650B3A" w:rsidRPr="00650B3A" w:rsidRDefault="00650B3A" w:rsidP="00650B3A">
      <w:pPr>
        <w:pStyle w:val="Prrafodelista"/>
        <w:ind w:left="1800"/>
        <w:jc w:val="center"/>
        <w:rPr>
          <w:rFonts w:ascii="Barlow" w:hAnsi="Barlow" w:cs="Arial"/>
          <w:b/>
          <w:sz w:val="20"/>
          <w:szCs w:val="20"/>
          <w:lang w:val="es-MX" w:eastAsia="en-US"/>
        </w:rPr>
      </w:pPr>
      <w:r w:rsidRPr="00650B3A">
        <w:rPr>
          <w:rFonts w:ascii="Barlow" w:hAnsi="Barlow" w:cs="Arial"/>
          <w:b/>
          <w:sz w:val="20"/>
          <w:szCs w:val="20"/>
        </w:rPr>
        <w:t>Indicadores de Resultados</w:t>
      </w:r>
    </w:p>
    <w:p w:rsidR="00650B3A" w:rsidRPr="00650B3A" w:rsidRDefault="00650B3A" w:rsidP="00650B3A">
      <w:pPr>
        <w:pStyle w:val="Prrafodelista"/>
        <w:ind w:left="1800"/>
        <w:jc w:val="center"/>
        <w:rPr>
          <w:rFonts w:ascii="Barlow" w:hAnsi="Barlow" w:cs="Arial"/>
          <w:b/>
          <w:sz w:val="20"/>
          <w:szCs w:val="20"/>
        </w:rPr>
      </w:pPr>
      <w:r>
        <w:rPr>
          <w:rFonts w:ascii="Barlow" w:hAnsi="Barlow" w:cs="Arial"/>
          <w:b/>
          <w:sz w:val="20"/>
          <w:szCs w:val="20"/>
        </w:rPr>
        <w:t>Al 31 de marzo de 2022</w:t>
      </w:r>
    </w:p>
    <w:p w:rsidR="00650B3A" w:rsidRPr="00650B3A" w:rsidRDefault="00650B3A" w:rsidP="00650B3A">
      <w:pPr>
        <w:pStyle w:val="Prrafodelista"/>
        <w:ind w:left="1800"/>
        <w:jc w:val="center"/>
        <w:rPr>
          <w:rFonts w:ascii="Barlow" w:hAnsi="Barlow" w:cs="Arial"/>
          <w:b/>
          <w:sz w:val="20"/>
          <w:szCs w:val="20"/>
        </w:rPr>
      </w:pPr>
      <w:r w:rsidRPr="00650B3A">
        <w:rPr>
          <w:rFonts w:ascii="Barlow" w:hAnsi="Barlow" w:cs="Arial"/>
          <w:b/>
          <w:sz w:val="20"/>
          <w:szCs w:val="20"/>
        </w:rPr>
        <w:t>(Cifras en Pesos)</w:t>
      </w:r>
    </w:p>
    <w:p w:rsidR="00650B3A" w:rsidRDefault="00650B3A" w:rsidP="00650B3A">
      <w:pPr>
        <w:rPr>
          <w:rFonts w:ascii="Barlow" w:hAnsi="Barlow" w:cs="Arial"/>
          <w:b/>
          <w:sz w:val="20"/>
          <w:szCs w:val="20"/>
        </w:rPr>
      </w:pPr>
    </w:p>
    <w:p w:rsidR="00650B3A" w:rsidRDefault="00650B3A" w:rsidP="00650B3A">
      <w:pPr>
        <w:rPr>
          <w:rFonts w:ascii="Barlow" w:hAnsi="Barlow" w:cs="Arial"/>
          <w:b/>
          <w:sz w:val="20"/>
          <w:szCs w:val="20"/>
        </w:rPr>
      </w:pPr>
    </w:p>
    <w:p w:rsidR="00650B3A" w:rsidRPr="00650B3A" w:rsidRDefault="00650B3A" w:rsidP="00650B3A">
      <w:pPr>
        <w:rPr>
          <w:rFonts w:ascii="Barlow" w:hAnsi="Barlow" w:cs="Arial"/>
          <w:b/>
          <w:sz w:val="20"/>
          <w:szCs w:val="20"/>
        </w:rPr>
      </w:pPr>
      <w:r w:rsidRPr="00650B3A">
        <w:rPr>
          <w:rFonts w:ascii="Barlow" w:hAnsi="Barlow" w:cs="Arial"/>
          <w:b/>
          <w:sz w:val="20"/>
          <w:szCs w:val="20"/>
        </w:rPr>
        <w:t>Ente Público:  UNIVERSIDAD TECNOLÓGICA METROPOLITANA</w:t>
      </w:r>
    </w:p>
    <w:p w:rsidR="00650B3A" w:rsidRDefault="00650B3A" w:rsidP="00650B3A">
      <w:pPr>
        <w:pStyle w:val="Prrafodelista"/>
        <w:spacing w:before="120" w:after="120"/>
        <w:ind w:left="0"/>
        <w:contextualSpacing w:val="0"/>
        <w:rPr>
          <w:rFonts w:ascii="Barlow" w:hAnsi="Barlow"/>
          <w:b/>
          <w:sz w:val="20"/>
          <w:szCs w:val="20"/>
        </w:rPr>
      </w:pPr>
    </w:p>
    <w:p w:rsidR="00CF2C3D" w:rsidRPr="00650B3A" w:rsidRDefault="00CF2C3D" w:rsidP="00CF2C3D">
      <w:pPr>
        <w:pStyle w:val="Prrafodelista"/>
        <w:numPr>
          <w:ilvl w:val="0"/>
          <w:numId w:val="1"/>
        </w:numPr>
        <w:spacing w:before="120" w:after="120"/>
        <w:ind w:left="0" w:firstLine="0"/>
        <w:contextualSpacing w:val="0"/>
        <w:jc w:val="center"/>
        <w:rPr>
          <w:rFonts w:ascii="Barlow" w:hAnsi="Barlow"/>
          <w:b/>
          <w:sz w:val="20"/>
          <w:szCs w:val="20"/>
        </w:rPr>
      </w:pPr>
      <w:r w:rsidRPr="00650B3A">
        <w:rPr>
          <w:rFonts w:ascii="Barlow" w:hAnsi="Barlow"/>
          <w:b/>
          <w:sz w:val="20"/>
          <w:szCs w:val="20"/>
        </w:rPr>
        <w:t>EXAMEN DE RESULTADOS.</w:t>
      </w:r>
    </w:p>
    <w:p w:rsidR="00CF2C3D" w:rsidRPr="00650B3A" w:rsidRDefault="00CF2C3D" w:rsidP="00CF2C3D">
      <w:pPr>
        <w:ind w:left="3"/>
        <w:jc w:val="both"/>
        <w:rPr>
          <w:rFonts w:ascii="Barlow" w:hAnsi="Barlow" w:cs="Arial"/>
          <w:sz w:val="20"/>
          <w:szCs w:val="20"/>
        </w:rPr>
      </w:pPr>
      <w:r w:rsidRPr="00650B3A">
        <w:rPr>
          <w:rFonts w:ascii="Barlow" w:hAnsi="Barlow" w:cs="Arial"/>
          <w:sz w:val="20"/>
          <w:szCs w:val="20"/>
        </w:rPr>
        <w:t>Se presentan los resultados alcanzados, en el período que se informa, conforme a los programas presupuestarios.</w:t>
      </w:r>
    </w:p>
    <w:p w:rsidR="00CF2C3D" w:rsidRPr="00650B3A" w:rsidRDefault="00CF2C3D" w:rsidP="00CF2C3D">
      <w:pPr>
        <w:spacing w:before="120" w:after="120"/>
        <w:rPr>
          <w:rFonts w:ascii="Barlow" w:hAnsi="Barlow" w:cs="Arial"/>
          <w:b/>
          <w:sz w:val="20"/>
          <w:szCs w:val="20"/>
        </w:rPr>
      </w:pPr>
      <w:r w:rsidRPr="00650B3A">
        <w:rPr>
          <w:rFonts w:ascii="Barlow" w:hAnsi="Barlow" w:cs="Arial"/>
          <w:b/>
          <w:sz w:val="20"/>
          <w:szCs w:val="20"/>
          <w:lang w:eastAsia="es-MX"/>
        </w:rPr>
        <w:t>Eficiencia Terminal de la Universidad Tecnológica Metropolitana</w:t>
      </w:r>
    </w:p>
    <w:tbl>
      <w:tblPr>
        <w:tblStyle w:val="Tablaconcuadrcula"/>
        <w:tblW w:w="11076" w:type="dxa"/>
        <w:jc w:val="center"/>
        <w:tblLayout w:type="fixed"/>
        <w:tblLook w:val="04A0" w:firstRow="1" w:lastRow="0" w:firstColumn="1" w:lastColumn="0" w:noHBand="0" w:noVBand="1"/>
      </w:tblPr>
      <w:tblGrid>
        <w:gridCol w:w="1751"/>
        <w:gridCol w:w="1387"/>
        <w:gridCol w:w="2544"/>
        <w:gridCol w:w="1171"/>
        <w:gridCol w:w="1313"/>
        <w:gridCol w:w="1067"/>
        <w:gridCol w:w="1843"/>
      </w:tblGrid>
      <w:tr w:rsidR="00F955ED" w:rsidRPr="00650B3A" w:rsidTr="00650B3A">
        <w:trPr>
          <w:trHeight w:val="255"/>
          <w:jc w:val="center"/>
        </w:trPr>
        <w:tc>
          <w:tcPr>
            <w:tcW w:w="1751"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Objetivo institucional</w:t>
            </w:r>
          </w:p>
        </w:tc>
        <w:tc>
          <w:tcPr>
            <w:tcW w:w="1387"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Nombre del indicador</w:t>
            </w:r>
          </w:p>
        </w:tc>
        <w:tc>
          <w:tcPr>
            <w:tcW w:w="2544"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Definición del indicador:</w:t>
            </w:r>
          </w:p>
        </w:tc>
        <w:tc>
          <w:tcPr>
            <w:tcW w:w="1171"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Frecuencia de medición</w:t>
            </w:r>
          </w:p>
        </w:tc>
        <w:tc>
          <w:tcPr>
            <w:tcW w:w="1313"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Metas programadas</w:t>
            </w:r>
          </w:p>
        </w:tc>
        <w:tc>
          <w:tcPr>
            <w:tcW w:w="1067"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Avance de metas</w:t>
            </w:r>
          </w:p>
        </w:tc>
        <w:tc>
          <w:tcPr>
            <w:tcW w:w="1843" w:type="dxa"/>
            <w:vAlign w:val="center"/>
          </w:tcPr>
          <w:p w:rsidR="00F955ED" w:rsidRPr="00650B3A" w:rsidRDefault="00F955ED" w:rsidP="00F955ED">
            <w:pPr>
              <w:jc w:val="center"/>
              <w:rPr>
                <w:rFonts w:ascii="Barlow" w:hAnsi="Barlow" w:cs="Arial"/>
                <w:color w:val="000000"/>
                <w:sz w:val="20"/>
                <w:szCs w:val="20"/>
                <w:lang w:eastAsia="es-MX"/>
              </w:rPr>
            </w:pPr>
            <w:r w:rsidRPr="00650B3A">
              <w:rPr>
                <w:rFonts w:ascii="Barlow" w:hAnsi="Barlow" w:cs="Arial"/>
                <w:color w:val="000000"/>
                <w:sz w:val="20"/>
                <w:szCs w:val="20"/>
                <w:lang w:eastAsia="es-MX"/>
              </w:rPr>
              <w:t>Firma</w:t>
            </w:r>
          </w:p>
        </w:tc>
      </w:tr>
      <w:tr w:rsidR="00F955ED" w:rsidRPr="00650B3A" w:rsidTr="00650B3A">
        <w:trPr>
          <w:trHeight w:val="2455"/>
          <w:jc w:val="center"/>
        </w:trPr>
        <w:tc>
          <w:tcPr>
            <w:tcW w:w="1751" w:type="dxa"/>
            <w:vAlign w:val="center"/>
            <w:hideMark/>
          </w:tcPr>
          <w:p w:rsidR="00F955ED" w:rsidRPr="00650B3A" w:rsidRDefault="00F955ED" w:rsidP="00CB31CD">
            <w:pPr>
              <w:rPr>
                <w:rFonts w:ascii="Barlow" w:hAnsi="Barlow" w:cs="Arial"/>
                <w:sz w:val="20"/>
                <w:szCs w:val="20"/>
                <w:lang w:eastAsia="es-MX"/>
              </w:rPr>
            </w:pPr>
            <w:r w:rsidRPr="00650B3A">
              <w:rPr>
                <w:rFonts w:ascii="Barlow" w:hAnsi="Barlow" w:cs="Arial"/>
                <w:sz w:val="20"/>
                <w:szCs w:val="20"/>
                <w:lang w:eastAsia="es-MX"/>
              </w:rPr>
              <w:t>Los alumnos matriculados en la Universidad Tecnológica Metropolitana cursan y concluyen sus estudios hasta la obtención del título.</w:t>
            </w:r>
          </w:p>
        </w:tc>
        <w:tc>
          <w:tcPr>
            <w:tcW w:w="1387"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Porcentaje de eficiencia terminal</w:t>
            </w:r>
          </w:p>
        </w:tc>
        <w:tc>
          <w:tcPr>
            <w:tcW w:w="2544"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Mide la proporción de los estudiantes que completaron sus estudios profesionales (egresados) de Técnico Superior Universitario (TSU) 2 años, de Licencia Profesional (LP) 1 año o Licenciatura (LI) 1 año, 8 meses de una cohorte generacional, con respecto a los alumnos inscritos de la misma cohorte.</w:t>
            </w:r>
          </w:p>
        </w:tc>
        <w:tc>
          <w:tcPr>
            <w:tcW w:w="1171"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Anual</w:t>
            </w:r>
          </w:p>
        </w:tc>
        <w:tc>
          <w:tcPr>
            <w:tcW w:w="1313"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65</w:t>
            </w:r>
          </w:p>
        </w:tc>
        <w:tc>
          <w:tcPr>
            <w:tcW w:w="1067" w:type="dxa"/>
            <w:vAlign w:val="center"/>
          </w:tcPr>
          <w:p w:rsidR="00F955ED" w:rsidRPr="00650B3A" w:rsidRDefault="00F955ED" w:rsidP="00CB31CD">
            <w:pPr>
              <w:jc w:val="center"/>
              <w:rPr>
                <w:rFonts w:ascii="Barlow" w:hAnsi="Barlow" w:cs="Arial"/>
                <w:sz w:val="20"/>
                <w:szCs w:val="20"/>
                <w:lang w:eastAsia="es-MX"/>
              </w:rPr>
            </w:pPr>
            <w:r w:rsidRPr="00650B3A">
              <w:rPr>
                <w:rFonts w:ascii="Barlow" w:hAnsi="Barlow" w:cs="Arial"/>
                <w:sz w:val="20"/>
                <w:szCs w:val="20"/>
                <w:lang w:eastAsia="es-MX"/>
              </w:rPr>
              <w:t>NA</w:t>
            </w:r>
          </w:p>
        </w:tc>
        <w:tc>
          <w:tcPr>
            <w:tcW w:w="1843" w:type="dxa"/>
            <w:shd w:val="clear" w:color="auto" w:fill="auto"/>
            <w:vAlign w:val="center"/>
          </w:tcPr>
          <w:p w:rsidR="00830518" w:rsidRPr="00650B3A" w:rsidRDefault="00830518" w:rsidP="00830518">
            <w:pPr>
              <w:rPr>
                <w:rFonts w:ascii="Barlow" w:hAnsi="Barlow" w:cs="Arial"/>
                <w:sz w:val="20"/>
                <w:szCs w:val="20"/>
                <w:lang w:eastAsia="es-MX"/>
              </w:rPr>
            </w:pPr>
          </w:p>
        </w:tc>
      </w:tr>
      <w:tr w:rsidR="00F955ED" w:rsidRPr="00650B3A" w:rsidTr="00650B3A">
        <w:trPr>
          <w:trHeight w:val="1107"/>
          <w:jc w:val="center"/>
        </w:trPr>
        <w:tc>
          <w:tcPr>
            <w:tcW w:w="1751" w:type="dxa"/>
            <w:vAlign w:val="center"/>
            <w:hideMark/>
          </w:tcPr>
          <w:p w:rsidR="00F955ED" w:rsidRPr="00650B3A" w:rsidRDefault="00F955ED" w:rsidP="00CB31CD">
            <w:pPr>
              <w:rPr>
                <w:rFonts w:ascii="Barlow" w:hAnsi="Barlow" w:cs="Arial"/>
                <w:sz w:val="20"/>
                <w:szCs w:val="20"/>
                <w:lang w:eastAsia="es-MX"/>
              </w:rPr>
            </w:pPr>
            <w:r w:rsidRPr="00650B3A">
              <w:rPr>
                <w:rFonts w:ascii="Barlow" w:hAnsi="Barlow" w:cs="Arial"/>
                <w:sz w:val="20"/>
                <w:szCs w:val="20"/>
                <w:lang w:eastAsia="es-MX"/>
              </w:rPr>
              <w:lastRenderedPageBreak/>
              <w:t>Apoyos económicos otorgados.</w:t>
            </w:r>
          </w:p>
        </w:tc>
        <w:tc>
          <w:tcPr>
            <w:tcW w:w="1387"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Porcentaje de apoyos económicos entregados</w:t>
            </w:r>
          </w:p>
        </w:tc>
        <w:tc>
          <w:tcPr>
            <w:tcW w:w="2544"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Se refiere a la proporción de apoyos económicos (becas de manutención) gestionados y entregados a las matrícula inscrita en la Universidad Tecnológica Metropolitana</w:t>
            </w:r>
          </w:p>
        </w:tc>
        <w:tc>
          <w:tcPr>
            <w:tcW w:w="1171"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Anual</w:t>
            </w:r>
          </w:p>
        </w:tc>
        <w:tc>
          <w:tcPr>
            <w:tcW w:w="1313"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75</w:t>
            </w:r>
          </w:p>
        </w:tc>
        <w:tc>
          <w:tcPr>
            <w:tcW w:w="1067" w:type="dxa"/>
            <w:vAlign w:val="center"/>
          </w:tcPr>
          <w:p w:rsidR="00F955ED" w:rsidRPr="00650B3A" w:rsidRDefault="00B007A8" w:rsidP="00CB31CD">
            <w:pPr>
              <w:jc w:val="center"/>
              <w:rPr>
                <w:rFonts w:ascii="Barlow" w:hAnsi="Barlow" w:cs="Arial"/>
                <w:sz w:val="20"/>
                <w:szCs w:val="20"/>
                <w:lang w:eastAsia="es-MX"/>
              </w:rPr>
            </w:pPr>
            <w:r w:rsidRPr="00650B3A">
              <w:rPr>
                <w:rFonts w:ascii="Barlow" w:hAnsi="Barlow" w:cs="Arial"/>
                <w:sz w:val="20"/>
                <w:szCs w:val="20"/>
                <w:lang w:eastAsia="es-MX"/>
              </w:rPr>
              <w:t>NA</w:t>
            </w:r>
          </w:p>
        </w:tc>
        <w:tc>
          <w:tcPr>
            <w:tcW w:w="1843" w:type="dxa"/>
            <w:shd w:val="clear" w:color="auto" w:fill="auto"/>
            <w:vAlign w:val="center"/>
          </w:tcPr>
          <w:p w:rsidR="00F955ED" w:rsidRPr="00650B3A" w:rsidRDefault="00F955ED" w:rsidP="00830518">
            <w:pPr>
              <w:rPr>
                <w:rFonts w:ascii="Barlow" w:hAnsi="Barlow" w:cs="Arial"/>
                <w:sz w:val="20"/>
                <w:szCs w:val="20"/>
                <w:lang w:eastAsia="es-MX"/>
              </w:rPr>
            </w:pPr>
          </w:p>
        </w:tc>
      </w:tr>
      <w:tr w:rsidR="00F955ED" w:rsidRPr="00650B3A" w:rsidTr="00650B3A">
        <w:trPr>
          <w:trHeight w:val="2174"/>
          <w:jc w:val="center"/>
        </w:trPr>
        <w:tc>
          <w:tcPr>
            <w:tcW w:w="1751" w:type="dxa"/>
            <w:vAlign w:val="center"/>
            <w:hideMark/>
          </w:tcPr>
          <w:p w:rsidR="00F955ED" w:rsidRPr="00650B3A" w:rsidRDefault="00F955ED" w:rsidP="00CB31CD">
            <w:pPr>
              <w:rPr>
                <w:rFonts w:ascii="Barlow" w:hAnsi="Barlow" w:cs="Arial"/>
                <w:sz w:val="20"/>
                <w:szCs w:val="20"/>
                <w:lang w:eastAsia="es-MX"/>
              </w:rPr>
            </w:pPr>
            <w:r w:rsidRPr="00650B3A">
              <w:rPr>
                <w:rFonts w:ascii="Barlow" w:hAnsi="Barlow" w:cs="Arial"/>
                <w:sz w:val="20"/>
                <w:szCs w:val="20"/>
                <w:lang w:eastAsia="es-MX"/>
              </w:rPr>
              <w:t>Servicios de tutoría proporcionado</w:t>
            </w:r>
          </w:p>
        </w:tc>
        <w:tc>
          <w:tcPr>
            <w:tcW w:w="1387"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Porcentaje de alumnos satisfechos con el servicio de tutorías</w:t>
            </w:r>
          </w:p>
        </w:tc>
        <w:tc>
          <w:tcPr>
            <w:tcW w:w="2544"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Se refiere a la proporción de alumnos satisfechos con el servicio de tutorías. Entendiéndose por tutoría el tiempo dedicado por el profesor a ejercer la orientación y consejo a los alumnos que estudian una asignatura</w:t>
            </w:r>
          </w:p>
        </w:tc>
        <w:tc>
          <w:tcPr>
            <w:tcW w:w="1171"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313"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79</w:t>
            </w:r>
          </w:p>
        </w:tc>
        <w:tc>
          <w:tcPr>
            <w:tcW w:w="1067" w:type="dxa"/>
            <w:vAlign w:val="center"/>
          </w:tcPr>
          <w:p w:rsidR="00F955ED" w:rsidRPr="00650B3A" w:rsidRDefault="007F7109" w:rsidP="00CB31CD">
            <w:pPr>
              <w:jc w:val="center"/>
              <w:rPr>
                <w:rFonts w:ascii="Barlow" w:hAnsi="Barlow" w:cs="Arial"/>
                <w:sz w:val="20"/>
                <w:szCs w:val="20"/>
                <w:lang w:eastAsia="es-MX"/>
              </w:rPr>
            </w:pPr>
            <w:r w:rsidRPr="00650B3A">
              <w:rPr>
                <w:rFonts w:ascii="Barlow" w:hAnsi="Barlow" w:cs="Arial"/>
                <w:sz w:val="20"/>
                <w:szCs w:val="20"/>
                <w:lang w:eastAsia="es-MX"/>
              </w:rPr>
              <w:t>85</w:t>
            </w:r>
          </w:p>
        </w:tc>
        <w:tc>
          <w:tcPr>
            <w:tcW w:w="1843" w:type="dxa"/>
            <w:shd w:val="clear" w:color="auto" w:fill="auto"/>
            <w:vAlign w:val="center"/>
          </w:tcPr>
          <w:p w:rsidR="00830518" w:rsidRPr="00650B3A" w:rsidRDefault="00830518" w:rsidP="00830518">
            <w:pPr>
              <w:rPr>
                <w:rFonts w:ascii="Barlow" w:hAnsi="Barlow" w:cs="Arial"/>
                <w:sz w:val="20"/>
                <w:szCs w:val="20"/>
                <w:lang w:eastAsia="es-MX"/>
              </w:rPr>
            </w:pPr>
          </w:p>
        </w:tc>
      </w:tr>
      <w:tr w:rsidR="00F955ED" w:rsidRPr="00650B3A" w:rsidTr="00650B3A">
        <w:trPr>
          <w:trHeight w:val="1272"/>
          <w:jc w:val="center"/>
        </w:trPr>
        <w:tc>
          <w:tcPr>
            <w:tcW w:w="1751" w:type="dxa"/>
            <w:vAlign w:val="center"/>
            <w:hideMark/>
          </w:tcPr>
          <w:p w:rsidR="00F955ED" w:rsidRPr="00650B3A" w:rsidRDefault="00F955ED" w:rsidP="00CB31CD">
            <w:pPr>
              <w:rPr>
                <w:rFonts w:ascii="Barlow" w:hAnsi="Barlow" w:cs="Arial"/>
                <w:sz w:val="20"/>
                <w:szCs w:val="20"/>
                <w:lang w:eastAsia="es-MX"/>
              </w:rPr>
            </w:pPr>
            <w:r w:rsidRPr="00650B3A">
              <w:rPr>
                <w:rFonts w:ascii="Barlow" w:hAnsi="Barlow" w:cs="Arial"/>
                <w:sz w:val="20"/>
                <w:szCs w:val="20"/>
                <w:lang w:eastAsia="es-MX"/>
              </w:rPr>
              <w:t>Servicios de atención psicopedagógica proporcionados.</w:t>
            </w:r>
          </w:p>
        </w:tc>
        <w:tc>
          <w:tcPr>
            <w:tcW w:w="1387"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Porcentaje de alumnos que reciben atención psicopedagógica</w:t>
            </w:r>
          </w:p>
        </w:tc>
        <w:tc>
          <w:tcPr>
            <w:tcW w:w="2544"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Se refiere a la proporción de estudiantes atendidos pedagógicamente o psicológicamente en la Universidad Tecnológica Metropolitana</w:t>
            </w:r>
          </w:p>
        </w:tc>
        <w:tc>
          <w:tcPr>
            <w:tcW w:w="1171"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313"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1067" w:type="dxa"/>
            <w:vAlign w:val="center"/>
            <w:hideMark/>
          </w:tcPr>
          <w:p w:rsidR="00F955ED" w:rsidRPr="00650B3A" w:rsidRDefault="00B007A8" w:rsidP="00CB31CD">
            <w:pPr>
              <w:jc w:val="center"/>
              <w:rPr>
                <w:rFonts w:ascii="Barlow" w:hAnsi="Barlow" w:cs="Arial"/>
                <w:sz w:val="20"/>
                <w:szCs w:val="20"/>
                <w:lang w:eastAsia="es-MX"/>
              </w:rPr>
            </w:pPr>
            <w:r w:rsidRPr="00650B3A">
              <w:rPr>
                <w:rFonts w:ascii="Barlow" w:hAnsi="Barlow" w:cs="Arial"/>
                <w:sz w:val="20"/>
                <w:szCs w:val="20"/>
                <w:lang w:eastAsia="es-MX"/>
              </w:rPr>
              <w:t>100</w:t>
            </w:r>
          </w:p>
        </w:tc>
        <w:tc>
          <w:tcPr>
            <w:tcW w:w="1843" w:type="dxa"/>
            <w:shd w:val="clear" w:color="auto" w:fill="auto"/>
            <w:vAlign w:val="center"/>
          </w:tcPr>
          <w:p w:rsidR="00830518" w:rsidRPr="00650B3A" w:rsidRDefault="00830518" w:rsidP="00830518">
            <w:pPr>
              <w:rPr>
                <w:rFonts w:ascii="Barlow" w:hAnsi="Barlow" w:cs="Arial"/>
                <w:sz w:val="20"/>
                <w:szCs w:val="20"/>
                <w:lang w:eastAsia="es-MX"/>
              </w:rPr>
            </w:pPr>
          </w:p>
        </w:tc>
      </w:tr>
      <w:tr w:rsidR="00F955ED" w:rsidRPr="00650B3A" w:rsidTr="00650B3A">
        <w:trPr>
          <w:trHeight w:val="1607"/>
          <w:jc w:val="center"/>
        </w:trPr>
        <w:tc>
          <w:tcPr>
            <w:tcW w:w="1751" w:type="dxa"/>
            <w:vAlign w:val="center"/>
            <w:hideMark/>
          </w:tcPr>
          <w:p w:rsidR="00F955ED" w:rsidRPr="00650B3A" w:rsidRDefault="00F955ED" w:rsidP="00CB31CD">
            <w:pPr>
              <w:rPr>
                <w:rFonts w:ascii="Barlow" w:hAnsi="Barlow" w:cs="Arial"/>
                <w:sz w:val="20"/>
                <w:szCs w:val="20"/>
                <w:lang w:eastAsia="es-MX"/>
              </w:rPr>
            </w:pPr>
            <w:r w:rsidRPr="00650B3A">
              <w:rPr>
                <w:rFonts w:ascii="Barlow" w:hAnsi="Barlow" w:cs="Arial"/>
                <w:sz w:val="20"/>
                <w:szCs w:val="20"/>
                <w:lang w:eastAsia="es-MX"/>
              </w:rPr>
              <w:t>Actividades extraescolares realizadas.</w:t>
            </w:r>
          </w:p>
        </w:tc>
        <w:tc>
          <w:tcPr>
            <w:tcW w:w="1387"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Porcentaje de alumnos que participan en programas de idiomas, deportivos o culturales.</w:t>
            </w:r>
          </w:p>
        </w:tc>
        <w:tc>
          <w:tcPr>
            <w:tcW w:w="2544"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Se refiere a la proporción de alumnos que participan en los programas de idiomas, deportivos o culturales en la Universidad Tecnológica Metropolitana</w:t>
            </w:r>
          </w:p>
        </w:tc>
        <w:tc>
          <w:tcPr>
            <w:tcW w:w="1171"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313"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20</w:t>
            </w:r>
          </w:p>
        </w:tc>
        <w:tc>
          <w:tcPr>
            <w:tcW w:w="1067" w:type="dxa"/>
            <w:vAlign w:val="center"/>
            <w:hideMark/>
          </w:tcPr>
          <w:p w:rsidR="00F955ED" w:rsidRPr="00650B3A" w:rsidRDefault="00B007A8" w:rsidP="00CB31CD">
            <w:pPr>
              <w:jc w:val="center"/>
              <w:rPr>
                <w:rFonts w:ascii="Barlow" w:hAnsi="Barlow" w:cs="Arial"/>
                <w:sz w:val="20"/>
                <w:szCs w:val="20"/>
                <w:lang w:eastAsia="es-MX"/>
              </w:rPr>
            </w:pPr>
            <w:r w:rsidRPr="00650B3A">
              <w:rPr>
                <w:rFonts w:ascii="Barlow" w:hAnsi="Barlow" w:cs="Arial"/>
                <w:sz w:val="20"/>
                <w:szCs w:val="20"/>
                <w:lang w:eastAsia="es-MX"/>
              </w:rPr>
              <w:t>9</w:t>
            </w:r>
          </w:p>
        </w:tc>
        <w:tc>
          <w:tcPr>
            <w:tcW w:w="1843" w:type="dxa"/>
            <w:shd w:val="clear" w:color="auto" w:fill="auto"/>
            <w:vAlign w:val="center"/>
          </w:tcPr>
          <w:p w:rsidR="00830518" w:rsidRPr="00650B3A" w:rsidRDefault="00830518" w:rsidP="00830518">
            <w:pPr>
              <w:rPr>
                <w:rFonts w:ascii="Barlow" w:hAnsi="Barlow" w:cs="Arial"/>
                <w:sz w:val="20"/>
                <w:szCs w:val="20"/>
                <w:lang w:eastAsia="es-MX"/>
              </w:rPr>
            </w:pPr>
          </w:p>
        </w:tc>
      </w:tr>
      <w:tr w:rsidR="00F955ED" w:rsidRPr="00650B3A" w:rsidTr="00650B3A">
        <w:trPr>
          <w:trHeight w:val="3387"/>
          <w:jc w:val="center"/>
        </w:trPr>
        <w:tc>
          <w:tcPr>
            <w:tcW w:w="1751" w:type="dxa"/>
            <w:vAlign w:val="center"/>
            <w:hideMark/>
          </w:tcPr>
          <w:p w:rsidR="00F955ED" w:rsidRPr="00650B3A" w:rsidRDefault="00F955ED" w:rsidP="00CB31CD">
            <w:pPr>
              <w:rPr>
                <w:rFonts w:ascii="Barlow" w:hAnsi="Barlow" w:cs="Arial"/>
                <w:sz w:val="20"/>
                <w:szCs w:val="20"/>
                <w:lang w:eastAsia="es-MX"/>
              </w:rPr>
            </w:pPr>
            <w:r w:rsidRPr="00650B3A">
              <w:rPr>
                <w:rFonts w:ascii="Barlow" w:hAnsi="Barlow" w:cs="Arial"/>
                <w:sz w:val="20"/>
                <w:szCs w:val="20"/>
                <w:lang w:eastAsia="es-MX"/>
              </w:rPr>
              <w:lastRenderedPageBreak/>
              <w:t>Programas educativos pertinentes y de calidad impartidos.</w:t>
            </w:r>
          </w:p>
        </w:tc>
        <w:tc>
          <w:tcPr>
            <w:tcW w:w="1387"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Porcentaje de programas reconocidos por su calidad</w:t>
            </w:r>
          </w:p>
        </w:tc>
        <w:tc>
          <w:tcPr>
            <w:tcW w:w="2544"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Se refiere a la proporción de programas educativos impartidos (cuatrimestralmente), reconocidos por su calidad por organismos externos. Entendiéndose por programas educativos, los programas que imparte la Universidad Tecnológica Metropolitana para la obtención del grado académico de Técnico Superior Universitario, Licenciatura o Ingeniería, con respecto a la totalidad de los programas educativos</w:t>
            </w:r>
          </w:p>
        </w:tc>
        <w:tc>
          <w:tcPr>
            <w:tcW w:w="1171"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Anual</w:t>
            </w:r>
          </w:p>
        </w:tc>
        <w:tc>
          <w:tcPr>
            <w:tcW w:w="1313"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56</w:t>
            </w:r>
          </w:p>
        </w:tc>
        <w:tc>
          <w:tcPr>
            <w:tcW w:w="1067" w:type="dxa"/>
            <w:vAlign w:val="center"/>
            <w:hideMark/>
          </w:tcPr>
          <w:p w:rsidR="00F955ED" w:rsidRPr="00650B3A" w:rsidRDefault="008526F2" w:rsidP="002A34E3">
            <w:pPr>
              <w:jc w:val="center"/>
              <w:rPr>
                <w:rFonts w:ascii="Barlow" w:hAnsi="Barlow" w:cs="Arial"/>
                <w:sz w:val="20"/>
                <w:szCs w:val="20"/>
                <w:lang w:eastAsia="es-MX"/>
              </w:rPr>
            </w:pPr>
            <w:r w:rsidRPr="00650B3A">
              <w:rPr>
                <w:rFonts w:ascii="Barlow" w:hAnsi="Barlow" w:cs="Arial"/>
                <w:sz w:val="20"/>
                <w:szCs w:val="20"/>
                <w:lang w:eastAsia="es-MX"/>
              </w:rPr>
              <w:t>44</w:t>
            </w:r>
          </w:p>
        </w:tc>
        <w:tc>
          <w:tcPr>
            <w:tcW w:w="1843" w:type="dxa"/>
            <w:shd w:val="clear" w:color="auto" w:fill="auto"/>
            <w:vAlign w:val="center"/>
          </w:tcPr>
          <w:p w:rsidR="00830518" w:rsidRPr="00650B3A" w:rsidRDefault="00830518" w:rsidP="00830518">
            <w:pPr>
              <w:rPr>
                <w:rFonts w:ascii="Barlow" w:hAnsi="Barlow" w:cs="Arial"/>
                <w:sz w:val="20"/>
                <w:szCs w:val="20"/>
                <w:lang w:eastAsia="es-MX"/>
              </w:rPr>
            </w:pPr>
          </w:p>
        </w:tc>
      </w:tr>
    </w:tbl>
    <w:p w:rsidR="00CF2C3D" w:rsidRPr="00650B3A" w:rsidRDefault="00CF2C3D" w:rsidP="00CF2C3D">
      <w:pPr>
        <w:rPr>
          <w:rFonts w:ascii="Barlow" w:hAnsi="Barlow" w:cs="Arial"/>
          <w:b/>
          <w:sz w:val="20"/>
          <w:szCs w:val="20"/>
          <w:lang w:eastAsia="es-MX"/>
        </w:rPr>
      </w:pPr>
    </w:p>
    <w:p w:rsidR="00CF2C3D" w:rsidRPr="00650B3A" w:rsidRDefault="00CF2C3D" w:rsidP="00CF2C3D">
      <w:pPr>
        <w:spacing w:before="120" w:after="120"/>
        <w:rPr>
          <w:rFonts w:ascii="Barlow" w:hAnsi="Barlow" w:cs="Arial"/>
          <w:b/>
          <w:sz w:val="20"/>
          <w:szCs w:val="20"/>
          <w:lang w:eastAsia="es-MX"/>
        </w:rPr>
      </w:pPr>
      <w:r w:rsidRPr="00650B3A">
        <w:rPr>
          <w:rFonts w:ascii="Barlow" w:hAnsi="Barlow" w:cs="Arial"/>
          <w:b/>
          <w:sz w:val="20"/>
          <w:szCs w:val="20"/>
          <w:lang w:eastAsia="es-MX"/>
        </w:rPr>
        <w:t>Ciencia, Tecnología e Innovación de la Universidad Tecnológica Metropolitana</w:t>
      </w:r>
    </w:p>
    <w:p w:rsidR="00F955ED" w:rsidRPr="00650B3A" w:rsidRDefault="00F955ED" w:rsidP="00CF2C3D">
      <w:pPr>
        <w:spacing w:before="120" w:after="120"/>
        <w:rPr>
          <w:rFonts w:ascii="Barlow" w:hAnsi="Barlow" w:cs="Arial"/>
          <w:b/>
          <w:sz w:val="20"/>
          <w:szCs w:val="20"/>
        </w:rPr>
      </w:pPr>
    </w:p>
    <w:tbl>
      <w:tblPr>
        <w:tblStyle w:val="Tablaconcuadrcula"/>
        <w:tblW w:w="11117" w:type="dxa"/>
        <w:jc w:val="center"/>
        <w:tblLayout w:type="fixed"/>
        <w:tblLook w:val="04A0" w:firstRow="1" w:lastRow="0" w:firstColumn="1" w:lastColumn="0" w:noHBand="0" w:noVBand="1"/>
      </w:tblPr>
      <w:tblGrid>
        <w:gridCol w:w="1696"/>
        <w:gridCol w:w="1418"/>
        <w:gridCol w:w="2551"/>
        <w:gridCol w:w="1134"/>
        <w:gridCol w:w="1418"/>
        <w:gridCol w:w="992"/>
        <w:gridCol w:w="1908"/>
      </w:tblGrid>
      <w:tr w:rsidR="00F955ED" w:rsidRPr="00650B3A" w:rsidTr="00B007A8">
        <w:trPr>
          <w:trHeight w:val="255"/>
          <w:jc w:val="center"/>
        </w:trPr>
        <w:tc>
          <w:tcPr>
            <w:tcW w:w="1696"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Objetivo institucional</w:t>
            </w:r>
          </w:p>
        </w:tc>
        <w:tc>
          <w:tcPr>
            <w:tcW w:w="1418"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Nombre del indicador</w:t>
            </w:r>
          </w:p>
        </w:tc>
        <w:tc>
          <w:tcPr>
            <w:tcW w:w="2551"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Definición del indicador:</w:t>
            </w:r>
          </w:p>
        </w:tc>
        <w:tc>
          <w:tcPr>
            <w:tcW w:w="1134"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Frecuencia de medición</w:t>
            </w:r>
          </w:p>
        </w:tc>
        <w:tc>
          <w:tcPr>
            <w:tcW w:w="1418"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Metas programadas</w:t>
            </w:r>
          </w:p>
        </w:tc>
        <w:tc>
          <w:tcPr>
            <w:tcW w:w="992"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Avance de metas</w:t>
            </w:r>
          </w:p>
        </w:tc>
        <w:tc>
          <w:tcPr>
            <w:tcW w:w="1908" w:type="dxa"/>
            <w:vAlign w:val="center"/>
          </w:tcPr>
          <w:p w:rsidR="00F955ED" w:rsidRPr="00650B3A" w:rsidRDefault="00F955ED" w:rsidP="00F955ED">
            <w:pPr>
              <w:jc w:val="center"/>
              <w:rPr>
                <w:rFonts w:ascii="Barlow" w:hAnsi="Barlow" w:cs="Arial"/>
                <w:color w:val="000000"/>
                <w:sz w:val="20"/>
                <w:szCs w:val="20"/>
                <w:lang w:eastAsia="es-MX"/>
              </w:rPr>
            </w:pPr>
            <w:r w:rsidRPr="00650B3A">
              <w:rPr>
                <w:rFonts w:ascii="Barlow" w:hAnsi="Barlow" w:cs="Arial"/>
                <w:color w:val="000000"/>
                <w:sz w:val="20"/>
                <w:szCs w:val="20"/>
                <w:lang w:eastAsia="es-MX"/>
              </w:rPr>
              <w:t>Firma</w:t>
            </w:r>
          </w:p>
        </w:tc>
      </w:tr>
      <w:tr w:rsidR="00B007A8" w:rsidRPr="00650B3A" w:rsidTr="00B007A8">
        <w:trPr>
          <w:trHeight w:val="2269"/>
          <w:jc w:val="center"/>
        </w:trPr>
        <w:tc>
          <w:tcPr>
            <w:tcW w:w="1696"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lastRenderedPageBreak/>
              <w:t>Los sectores productivos, públicos, privados y sociales cuentan con servicios de capacitación, asistencia y transferencia tecnológica.</w:t>
            </w:r>
          </w:p>
        </w:tc>
        <w:tc>
          <w:tcPr>
            <w:tcW w:w="1418"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t>Porcentaje de servicios ofrecidos</w:t>
            </w:r>
          </w:p>
        </w:tc>
        <w:tc>
          <w:tcPr>
            <w:tcW w:w="2551"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Mide la proporción de servicios de capacitación, asistencia, transferencia tecnológica e incubación de negocios en la Universidad Tecnológica Metropolitana</w:t>
            </w:r>
          </w:p>
        </w:tc>
        <w:tc>
          <w:tcPr>
            <w:tcW w:w="1134"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418"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992" w:type="dxa"/>
            <w:vAlign w:val="center"/>
          </w:tcPr>
          <w:p w:rsidR="00B007A8" w:rsidRPr="00650B3A" w:rsidRDefault="00B007A8" w:rsidP="00B007A8">
            <w:pPr>
              <w:jc w:val="center"/>
              <w:rPr>
                <w:rFonts w:ascii="Barlow" w:hAnsi="Barlow" w:cs="Arial"/>
                <w:sz w:val="20"/>
                <w:szCs w:val="20"/>
                <w:lang w:eastAsia="es-MX"/>
              </w:rPr>
            </w:pPr>
            <w:r w:rsidRPr="00650B3A">
              <w:rPr>
                <w:rFonts w:ascii="Barlow" w:hAnsi="Barlow" w:cs="Arial"/>
                <w:sz w:val="20"/>
                <w:szCs w:val="20"/>
                <w:lang w:eastAsia="es-MX"/>
              </w:rPr>
              <w:t>25</w:t>
            </w:r>
          </w:p>
        </w:tc>
        <w:tc>
          <w:tcPr>
            <w:tcW w:w="1908" w:type="dxa"/>
            <w:shd w:val="clear" w:color="auto" w:fill="auto"/>
            <w:vAlign w:val="center"/>
          </w:tcPr>
          <w:p w:rsidR="00B007A8" w:rsidRPr="00650B3A" w:rsidRDefault="00B007A8" w:rsidP="00B007A8">
            <w:pPr>
              <w:rPr>
                <w:rFonts w:ascii="Barlow" w:hAnsi="Barlow" w:cs="Arial"/>
                <w:sz w:val="20"/>
                <w:szCs w:val="20"/>
                <w:lang w:eastAsia="es-MX"/>
              </w:rPr>
            </w:pPr>
          </w:p>
        </w:tc>
      </w:tr>
      <w:tr w:rsidR="00B007A8" w:rsidRPr="00650B3A" w:rsidTr="00B007A8">
        <w:trPr>
          <w:trHeight w:val="1264"/>
          <w:jc w:val="center"/>
        </w:trPr>
        <w:tc>
          <w:tcPr>
            <w:tcW w:w="1696"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t>Investigación para la innovación proporcionada.</w:t>
            </w:r>
          </w:p>
        </w:tc>
        <w:tc>
          <w:tcPr>
            <w:tcW w:w="1418"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Porcentaje de proyectos de investigación para el desarrollo tecnológico e innovación.</w:t>
            </w:r>
          </w:p>
        </w:tc>
        <w:tc>
          <w:tcPr>
            <w:tcW w:w="2551"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Mide la proporción de proyectos de investigación para el desarrollo tecnológico e innovación que se realizan en la Universidad Tecnológica Metropolitana</w:t>
            </w:r>
          </w:p>
        </w:tc>
        <w:tc>
          <w:tcPr>
            <w:tcW w:w="1134"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418"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992" w:type="dxa"/>
            <w:vAlign w:val="center"/>
          </w:tcPr>
          <w:p w:rsidR="00B007A8" w:rsidRPr="00650B3A" w:rsidRDefault="00B007A8" w:rsidP="00B007A8">
            <w:pPr>
              <w:jc w:val="center"/>
              <w:rPr>
                <w:rFonts w:ascii="Barlow" w:hAnsi="Barlow" w:cs="Arial"/>
                <w:sz w:val="20"/>
                <w:szCs w:val="20"/>
                <w:lang w:eastAsia="es-MX"/>
              </w:rPr>
            </w:pPr>
            <w:r w:rsidRPr="00650B3A">
              <w:rPr>
                <w:rFonts w:ascii="Barlow" w:hAnsi="Barlow" w:cs="Arial"/>
                <w:sz w:val="20"/>
                <w:szCs w:val="20"/>
                <w:lang w:eastAsia="es-MX"/>
              </w:rPr>
              <w:t>25</w:t>
            </w:r>
          </w:p>
        </w:tc>
        <w:tc>
          <w:tcPr>
            <w:tcW w:w="1908" w:type="dxa"/>
            <w:shd w:val="clear" w:color="auto" w:fill="auto"/>
            <w:vAlign w:val="center"/>
          </w:tcPr>
          <w:p w:rsidR="00B007A8" w:rsidRPr="00650B3A" w:rsidRDefault="00B007A8" w:rsidP="00B007A8">
            <w:pPr>
              <w:rPr>
                <w:rFonts w:ascii="Barlow" w:hAnsi="Barlow" w:cs="Arial"/>
                <w:sz w:val="20"/>
                <w:szCs w:val="20"/>
                <w:lang w:eastAsia="es-MX"/>
              </w:rPr>
            </w:pPr>
          </w:p>
        </w:tc>
      </w:tr>
      <w:tr w:rsidR="00B007A8" w:rsidRPr="00650B3A" w:rsidTr="00B007A8">
        <w:trPr>
          <w:trHeight w:val="2240"/>
          <w:jc w:val="center"/>
        </w:trPr>
        <w:tc>
          <w:tcPr>
            <w:tcW w:w="1696"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t>Capacitación para el trabajo impartida.</w:t>
            </w:r>
          </w:p>
        </w:tc>
        <w:tc>
          <w:tcPr>
            <w:tcW w:w="1418"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 xml:space="preserve">Porcentaje de cursos de educación continua ofrecidos </w:t>
            </w:r>
          </w:p>
        </w:tc>
        <w:tc>
          <w:tcPr>
            <w:tcW w:w="2551"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t>Mide la proporción de cursos para la profesionalización, certificación y actualización disciplinaria ofrecidos con respecto a la totalidad de los cursos solicitados</w:t>
            </w:r>
            <w:r w:rsidRPr="00650B3A">
              <w:rPr>
                <w:rFonts w:ascii="Barlow" w:hAnsi="Barlow" w:cs="Arial"/>
                <w:sz w:val="20"/>
                <w:szCs w:val="20"/>
                <w:lang w:eastAsia="es-MX"/>
              </w:rPr>
              <w:br/>
              <w:t>por del sector productivo, público y social.</w:t>
            </w:r>
          </w:p>
        </w:tc>
        <w:tc>
          <w:tcPr>
            <w:tcW w:w="1134"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418"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992" w:type="dxa"/>
            <w:vAlign w:val="center"/>
          </w:tcPr>
          <w:p w:rsidR="00B007A8" w:rsidRPr="00650B3A" w:rsidRDefault="00B007A8" w:rsidP="00B007A8">
            <w:pPr>
              <w:jc w:val="center"/>
              <w:rPr>
                <w:rFonts w:ascii="Barlow" w:hAnsi="Barlow" w:cs="Arial"/>
                <w:sz w:val="20"/>
                <w:szCs w:val="20"/>
                <w:lang w:eastAsia="es-MX"/>
              </w:rPr>
            </w:pPr>
            <w:r w:rsidRPr="00650B3A">
              <w:rPr>
                <w:rFonts w:ascii="Barlow" w:hAnsi="Barlow" w:cs="Arial"/>
                <w:sz w:val="20"/>
                <w:szCs w:val="20"/>
                <w:lang w:eastAsia="es-MX"/>
              </w:rPr>
              <w:t>25</w:t>
            </w:r>
          </w:p>
        </w:tc>
        <w:tc>
          <w:tcPr>
            <w:tcW w:w="1908" w:type="dxa"/>
            <w:shd w:val="clear" w:color="auto" w:fill="auto"/>
            <w:vAlign w:val="center"/>
          </w:tcPr>
          <w:p w:rsidR="00B007A8" w:rsidRPr="00650B3A" w:rsidRDefault="00B007A8" w:rsidP="00B007A8">
            <w:pPr>
              <w:rPr>
                <w:rFonts w:ascii="Barlow" w:hAnsi="Barlow"/>
                <w:sz w:val="20"/>
                <w:szCs w:val="20"/>
              </w:rPr>
            </w:pPr>
          </w:p>
        </w:tc>
      </w:tr>
      <w:tr w:rsidR="00B007A8" w:rsidRPr="00650B3A" w:rsidTr="00B007A8">
        <w:trPr>
          <w:trHeight w:val="1131"/>
          <w:jc w:val="center"/>
        </w:trPr>
        <w:tc>
          <w:tcPr>
            <w:tcW w:w="1696"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lastRenderedPageBreak/>
              <w:t>Certificación de competencias otorgada.</w:t>
            </w:r>
          </w:p>
        </w:tc>
        <w:tc>
          <w:tcPr>
            <w:tcW w:w="1418"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Porcentaje de certificaciones gestionadas</w:t>
            </w:r>
          </w:p>
        </w:tc>
        <w:tc>
          <w:tcPr>
            <w:tcW w:w="2551"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Mide la proporción de certificaciones en competencias laborales gestionadas por la UTM.</w:t>
            </w:r>
          </w:p>
        </w:tc>
        <w:tc>
          <w:tcPr>
            <w:tcW w:w="1134"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418"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992" w:type="dxa"/>
            <w:vAlign w:val="center"/>
          </w:tcPr>
          <w:p w:rsidR="00B007A8" w:rsidRPr="00650B3A" w:rsidRDefault="00B007A8" w:rsidP="00B007A8">
            <w:pPr>
              <w:jc w:val="center"/>
              <w:rPr>
                <w:rFonts w:ascii="Barlow" w:hAnsi="Barlow" w:cs="Arial"/>
                <w:sz w:val="20"/>
                <w:szCs w:val="20"/>
                <w:lang w:eastAsia="es-MX"/>
              </w:rPr>
            </w:pPr>
            <w:r w:rsidRPr="00650B3A">
              <w:rPr>
                <w:rFonts w:ascii="Barlow" w:hAnsi="Barlow" w:cs="Arial"/>
                <w:sz w:val="20"/>
                <w:szCs w:val="20"/>
                <w:lang w:eastAsia="es-MX"/>
              </w:rPr>
              <w:t>25</w:t>
            </w:r>
          </w:p>
        </w:tc>
        <w:tc>
          <w:tcPr>
            <w:tcW w:w="1908" w:type="dxa"/>
            <w:shd w:val="clear" w:color="auto" w:fill="auto"/>
            <w:vAlign w:val="center"/>
          </w:tcPr>
          <w:p w:rsidR="00B007A8" w:rsidRPr="00650B3A" w:rsidRDefault="00B007A8" w:rsidP="00B007A8">
            <w:pPr>
              <w:rPr>
                <w:rFonts w:ascii="Barlow" w:hAnsi="Barlow"/>
                <w:sz w:val="20"/>
                <w:szCs w:val="20"/>
              </w:rPr>
            </w:pPr>
          </w:p>
        </w:tc>
      </w:tr>
      <w:tr w:rsidR="00F955ED" w:rsidRPr="00650B3A" w:rsidTr="00B007A8">
        <w:trPr>
          <w:trHeight w:val="1130"/>
          <w:jc w:val="center"/>
        </w:trPr>
        <w:tc>
          <w:tcPr>
            <w:tcW w:w="1696" w:type="dxa"/>
            <w:vAlign w:val="center"/>
            <w:hideMark/>
          </w:tcPr>
          <w:p w:rsidR="00F955ED" w:rsidRPr="00650B3A" w:rsidRDefault="00F955ED" w:rsidP="00CB31CD">
            <w:pPr>
              <w:rPr>
                <w:rFonts w:ascii="Barlow" w:hAnsi="Barlow" w:cs="Arial"/>
                <w:sz w:val="20"/>
                <w:szCs w:val="20"/>
                <w:lang w:eastAsia="es-MX"/>
              </w:rPr>
            </w:pPr>
            <w:r w:rsidRPr="00650B3A">
              <w:rPr>
                <w:rFonts w:ascii="Barlow" w:hAnsi="Barlow" w:cs="Arial"/>
                <w:sz w:val="20"/>
                <w:szCs w:val="20"/>
                <w:lang w:eastAsia="es-MX"/>
              </w:rPr>
              <w:t>Servicios de incubación y aceleración de negocios ofrecidos.</w:t>
            </w:r>
          </w:p>
        </w:tc>
        <w:tc>
          <w:tcPr>
            <w:tcW w:w="1418"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Porcentaje de proyectos que terminan proceso.</w:t>
            </w:r>
          </w:p>
        </w:tc>
        <w:tc>
          <w:tcPr>
            <w:tcW w:w="2551"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Mide la proporción de procesos de incubación o aceleración de negocios que culminan exitosamente.</w:t>
            </w:r>
          </w:p>
        </w:tc>
        <w:tc>
          <w:tcPr>
            <w:tcW w:w="1134"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418"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992" w:type="dxa"/>
            <w:vAlign w:val="center"/>
          </w:tcPr>
          <w:p w:rsidR="00F955ED" w:rsidRPr="00650B3A" w:rsidRDefault="00B007A8" w:rsidP="00CB31CD">
            <w:pPr>
              <w:jc w:val="center"/>
              <w:rPr>
                <w:rFonts w:ascii="Barlow" w:hAnsi="Barlow" w:cs="Arial"/>
                <w:sz w:val="20"/>
                <w:szCs w:val="20"/>
                <w:lang w:eastAsia="es-MX"/>
              </w:rPr>
            </w:pPr>
            <w:r w:rsidRPr="00650B3A">
              <w:rPr>
                <w:rFonts w:ascii="Barlow" w:hAnsi="Barlow" w:cs="Arial"/>
                <w:sz w:val="20"/>
                <w:szCs w:val="20"/>
                <w:lang w:eastAsia="es-MX"/>
              </w:rPr>
              <w:t>25</w:t>
            </w:r>
          </w:p>
        </w:tc>
        <w:tc>
          <w:tcPr>
            <w:tcW w:w="1908" w:type="dxa"/>
            <w:shd w:val="clear" w:color="auto" w:fill="auto"/>
            <w:vAlign w:val="center"/>
          </w:tcPr>
          <w:p w:rsidR="00F955ED" w:rsidRPr="00650B3A" w:rsidRDefault="00F955ED" w:rsidP="00830518">
            <w:pPr>
              <w:rPr>
                <w:rFonts w:ascii="Barlow" w:hAnsi="Barlow" w:cs="Arial"/>
                <w:sz w:val="20"/>
                <w:szCs w:val="20"/>
                <w:lang w:eastAsia="es-MX"/>
              </w:rPr>
            </w:pPr>
          </w:p>
        </w:tc>
      </w:tr>
    </w:tbl>
    <w:p w:rsidR="00D258D2" w:rsidRPr="00650B3A" w:rsidRDefault="00D258D2" w:rsidP="00CF2C3D">
      <w:pPr>
        <w:spacing w:before="120" w:after="120"/>
        <w:rPr>
          <w:rFonts w:ascii="Barlow" w:hAnsi="Barlow" w:cs="Arial"/>
          <w:b/>
          <w:sz w:val="20"/>
          <w:szCs w:val="20"/>
          <w:lang w:eastAsia="es-MX"/>
        </w:rPr>
      </w:pPr>
    </w:p>
    <w:p w:rsidR="00CF2C3D" w:rsidRPr="00650B3A" w:rsidRDefault="00CF2C3D" w:rsidP="00CF2C3D">
      <w:pPr>
        <w:spacing w:before="120" w:after="120"/>
        <w:rPr>
          <w:rFonts w:ascii="Barlow" w:hAnsi="Barlow" w:cs="Arial"/>
          <w:b/>
          <w:sz w:val="20"/>
          <w:szCs w:val="20"/>
        </w:rPr>
      </w:pPr>
      <w:r w:rsidRPr="00650B3A">
        <w:rPr>
          <w:rFonts w:ascii="Barlow" w:hAnsi="Barlow" w:cs="Arial"/>
          <w:b/>
          <w:sz w:val="20"/>
          <w:szCs w:val="20"/>
          <w:lang w:eastAsia="es-MX"/>
        </w:rPr>
        <w:t>Calidad de los Procesos Administrativos de la Universidad Tecnológica Metropolitana</w:t>
      </w:r>
    </w:p>
    <w:tbl>
      <w:tblPr>
        <w:tblStyle w:val="Tablaconcuadrcula"/>
        <w:tblW w:w="10910" w:type="dxa"/>
        <w:jc w:val="center"/>
        <w:tblLayout w:type="fixed"/>
        <w:tblLook w:val="04A0" w:firstRow="1" w:lastRow="0" w:firstColumn="1" w:lastColumn="0" w:noHBand="0" w:noVBand="1"/>
      </w:tblPr>
      <w:tblGrid>
        <w:gridCol w:w="1555"/>
        <w:gridCol w:w="1417"/>
        <w:gridCol w:w="2552"/>
        <w:gridCol w:w="1134"/>
        <w:gridCol w:w="1417"/>
        <w:gridCol w:w="992"/>
        <w:gridCol w:w="1843"/>
      </w:tblGrid>
      <w:tr w:rsidR="00F955ED" w:rsidRPr="00650B3A" w:rsidTr="00830518">
        <w:trPr>
          <w:trHeight w:val="255"/>
          <w:jc w:val="center"/>
        </w:trPr>
        <w:tc>
          <w:tcPr>
            <w:tcW w:w="1555"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Objetivo institucional</w:t>
            </w:r>
          </w:p>
        </w:tc>
        <w:tc>
          <w:tcPr>
            <w:tcW w:w="1417"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Nombre del indicador</w:t>
            </w:r>
          </w:p>
        </w:tc>
        <w:tc>
          <w:tcPr>
            <w:tcW w:w="2552"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Definición del indicador:</w:t>
            </w:r>
          </w:p>
        </w:tc>
        <w:tc>
          <w:tcPr>
            <w:tcW w:w="1134"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Frecuencia de medición</w:t>
            </w:r>
          </w:p>
        </w:tc>
        <w:tc>
          <w:tcPr>
            <w:tcW w:w="1417"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Metas programadas</w:t>
            </w:r>
          </w:p>
        </w:tc>
        <w:tc>
          <w:tcPr>
            <w:tcW w:w="992" w:type="dxa"/>
            <w:noWrap/>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Avance de metas</w:t>
            </w:r>
          </w:p>
        </w:tc>
        <w:tc>
          <w:tcPr>
            <w:tcW w:w="1843" w:type="dxa"/>
            <w:vAlign w:val="center"/>
          </w:tcPr>
          <w:p w:rsidR="00F955ED" w:rsidRPr="00650B3A" w:rsidRDefault="00F955ED" w:rsidP="00F955ED">
            <w:pPr>
              <w:jc w:val="center"/>
              <w:rPr>
                <w:rFonts w:ascii="Barlow" w:hAnsi="Barlow" w:cs="Arial"/>
                <w:color w:val="000000"/>
                <w:sz w:val="20"/>
                <w:szCs w:val="20"/>
                <w:lang w:eastAsia="es-MX"/>
              </w:rPr>
            </w:pPr>
            <w:r w:rsidRPr="00650B3A">
              <w:rPr>
                <w:rFonts w:ascii="Barlow" w:hAnsi="Barlow" w:cs="Arial"/>
                <w:color w:val="000000"/>
                <w:sz w:val="20"/>
                <w:szCs w:val="20"/>
                <w:lang w:eastAsia="es-MX"/>
              </w:rPr>
              <w:t>Firma</w:t>
            </w:r>
          </w:p>
        </w:tc>
      </w:tr>
      <w:tr w:rsidR="00F955ED" w:rsidRPr="00650B3A" w:rsidTr="00B007A8">
        <w:trPr>
          <w:trHeight w:val="1702"/>
          <w:jc w:val="center"/>
        </w:trPr>
        <w:tc>
          <w:tcPr>
            <w:tcW w:w="1555" w:type="dxa"/>
            <w:vAlign w:val="center"/>
            <w:hideMark/>
          </w:tcPr>
          <w:p w:rsidR="00F955ED" w:rsidRPr="00650B3A" w:rsidRDefault="00F955ED" w:rsidP="00CB31CD">
            <w:pPr>
              <w:rPr>
                <w:rFonts w:ascii="Barlow" w:hAnsi="Barlow" w:cs="Arial"/>
                <w:sz w:val="20"/>
                <w:szCs w:val="20"/>
                <w:lang w:eastAsia="es-MX"/>
              </w:rPr>
            </w:pPr>
            <w:r w:rsidRPr="00650B3A">
              <w:rPr>
                <w:rFonts w:ascii="Barlow" w:hAnsi="Barlow" w:cs="Arial"/>
                <w:sz w:val="20"/>
                <w:szCs w:val="20"/>
                <w:lang w:eastAsia="es-MX"/>
              </w:rPr>
              <w:t>La Universidad Tecnológica Metropolitana cuenta con una administración eficiente de sus recursos y capital humano.</w:t>
            </w:r>
          </w:p>
        </w:tc>
        <w:tc>
          <w:tcPr>
            <w:tcW w:w="1417"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Porcentaje de procesos calificados como eficaces</w:t>
            </w:r>
          </w:p>
        </w:tc>
        <w:tc>
          <w:tcPr>
            <w:tcW w:w="2552" w:type="dxa"/>
            <w:vAlign w:val="center"/>
            <w:hideMark/>
          </w:tcPr>
          <w:p w:rsidR="00F955ED" w:rsidRPr="00650B3A" w:rsidRDefault="00F955ED" w:rsidP="00CB31CD">
            <w:pPr>
              <w:rPr>
                <w:rFonts w:ascii="Barlow" w:hAnsi="Barlow" w:cs="Arial"/>
                <w:color w:val="000000"/>
                <w:sz w:val="20"/>
                <w:szCs w:val="20"/>
                <w:lang w:eastAsia="es-MX"/>
              </w:rPr>
            </w:pPr>
            <w:r w:rsidRPr="00650B3A">
              <w:rPr>
                <w:rFonts w:ascii="Barlow" w:hAnsi="Barlow" w:cs="Arial"/>
                <w:color w:val="000000"/>
                <w:sz w:val="20"/>
                <w:szCs w:val="20"/>
                <w:lang w:eastAsia="es-MX"/>
              </w:rPr>
              <w:t>Se refiere a la proporción de procesos administrativos que hayan cumplido al cien por ciento con las actividades planeadas, con respecto a la totalidad de procesos.</w:t>
            </w:r>
          </w:p>
        </w:tc>
        <w:tc>
          <w:tcPr>
            <w:tcW w:w="1134"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Anual</w:t>
            </w:r>
          </w:p>
        </w:tc>
        <w:tc>
          <w:tcPr>
            <w:tcW w:w="1417" w:type="dxa"/>
            <w:vAlign w:val="center"/>
            <w:hideMark/>
          </w:tcPr>
          <w:p w:rsidR="00F955ED" w:rsidRPr="00650B3A" w:rsidRDefault="00F955ED" w:rsidP="00CB31CD">
            <w:pPr>
              <w:jc w:val="center"/>
              <w:rPr>
                <w:rFonts w:ascii="Barlow" w:hAnsi="Barlow" w:cs="Arial"/>
                <w:color w:val="000000"/>
                <w:sz w:val="20"/>
                <w:szCs w:val="20"/>
                <w:lang w:eastAsia="es-MX"/>
              </w:rPr>
            </w:pPr>
            <w:r w:rsidRPr="00650B3A">
              <w:rPr>
                <w:rFonts w:ascii="Barlow" w:hAnsi="Barlow" w:cs="Arial"/>
                <w:color w:val="000000"/>
                <w:sz w:val="20"/>
                <w:szCs w:val="20"/>
                <w:lang w:eastAsia="es-MX"/>
              </w:rPr>
              <w:t>90%</w:t>
            </w:r>
          </w:p>
        </w:tc>
        <w:tc>
          <w:tcPr>
            <w:tcW w:w="992" w:type="dxa"/>
            <w:vAlign w:val="center"/>
          </w:tcPr>
          <w:p w:rsidR="00F955ED" w:rsidRPr="00650B3A" w:rsidRDefault="00F955ED" w:rsidP="00CB31CD">
            <w:pPr>
              <w:jc w:val="center"/>
              <w:rPr>
                <w:rFonts w:ascii="Barlow" w:hAnsi="Barlow" w:cs="Arial"/>
                <w:sz w:val="20"/>
                <w:szCs w:val="20"/>
                <w:lang w:eastAsia="es-MX"/>
              </w:rPr>
            </w:pPr>
            <w:r w:rsidRPr="00650B3A">
              <w:rPr>
                <w:rFonts w:ascii="Barlow" w:hAnsi="Barlow" w:cs="Arial"/>
                <w:sz w:val="20"/>
                <w:szCs w:val="20"/>
                <w:lang w:eastAsia="es-MX"/>
              </w:rPr>
              <w:t>NA</w:t>
            </w:r>
          </w:p>
        </w:tc>
        <w:tc>
          <w:tcPr>
            <w:tcW w:w="1843" w:type="dxa"/>
            <w:shd w:val="clear" w:color="auto" w:fill="auto"/>
          </w:tcPr>
          <w:p w:rsidR="00F955ED" w:rsidRPr="00650B3A" w:rsidRDefault="00F955ED" w:rsidP="00CB31CD">
            <w:pPr>
              <w:jc w:val="center"/>
              <w:rPr>
                <w:rFonts w:ascii="Barlow" w:hAnsi="Barlow" w:cs="Arial"/>
                <w:sz w:val="20"/>
                <w:szCs w:val="20"/>
                <w:lang w:eastAsia="es-MX"/>
              </w:rPr>
            </w:pPr>
          </w:p>
        </w:tc>
      </w:tr>
      <w:tr w:rsidR="00B007A8" w:rsidRPr="00650B3A" w:rsidTr="00B007A8">
        <w:trPr>
          <w:trHeight w:val="998"/>
          <w:jc w:val="center"/>
        </w:trPr>
        <w:tc>
          <w:tcPr>
            <w:tcW w:w="1555"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t>Recursos humanos administrados.</w:t>
            </w:r>
          </w:p>
        </w:tc>
        <w:tc>
          <w:tcPr>
            <w:tcW w:w="1417"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 xml:space="preserve">Porcentaje de presupuesto ejercido por concepto de </w:t>
            </w:r>
            <w:r w:rsidRPr="00650B3A">
              <w:rPr>
                <w:rFonts w:ascii="Barlow" w:hAnsi="Barlow" w:cs="Arial"/>
                <w:color w:val="000000"/>
                <w:sz w:val="20"/>
                <w:szCs w:val="20"/>
                <w:lang w:eastAsia="es-MX"/>
              </w:rPr>
              <w:lastRenderedPageBreak/>
              <w:t>recursos humanos</w:t>
            </w:r>
          </w:p>
        </w:tc>
        <w:tc>
          <w:tcPr>
            <w:tcW w:w="2552"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lastRenderedPageBreak/>
              <w:t xml:space="preserve">Mide la proporción del presupuesto ejercido en la administración de recursos humanos por conceptos de sueldos y prestaciones con respecto </w:t>
            </w:r>
            <w:r w:rsidRPr="00650B3A">
              <w:rPr>
                <w:rFonts w:ascii="Barlow" w:hAnsi="Barlow" w:cs="Arial"/>
                <w:color w:val="000000"/>
                <w:sz w:val="20"/>
                <w:szCs w:val="20"/>
                <w:lang w:eastAsia="es-MX"/>
              </w:rPr>
              <w:lastRenderedPageBreak/>
              <w:t>al total de presupuesto ejercido.</w:t>
            </w:r>
          </w:p>
        </w:tc>
        <w:tc>
          <w:tcPr>
            <w:tcW w:w="1134"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lastRenderedPageBreak/>
              <w:t>Semestral</w:t>
            </w:r>
          </w:p>
        </w:tc>
        <w:tc>
          <w:tcPr>
            <w:tcW w:w="1417"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992" w:type="dxa"/>
            <w:vAlign w:val="center"/>
          </w:tcPr>
          <w:p w:rsidR="00B007A8" w:rsidRPr="00650B3A" w:rsidRDefault="00B007A8" w:rsidP="00B007A8">
            <w:pPr>
              <w:jc w:val="center"/>
              <w:rPr>
                <w:rFonts w:ascii="Barlow" w:hAnsi="Barlow"/>
                <w:sz w:val="20"/>
                <w:szCs w:val="20"/>
              </w:rPr>
            </w:pPr>
            <w:r w:rsidRPr="00650B3A">
              <w:rPr>
                <w:rFonts w:ascii="Barlow" w:hAnsi="Barlow" w:cs="Arial"/>
                <w:sz w:val="20"/>
                <w:szCs w:val="20"/>
                <w:lang w:eastAsia="es-MX"/>
              </w:rPr>
              <w:t>NA</w:t>
            </w:r>
          </w:p>
        </w:tc>
        <w:tc>
          <w:tcPr>
            <w:tcW w:w="1843" w:type="dxa"/>
            <w:shd w:val="clear" w:color="auto" w:fill="auto"/>
            <w:vAlign w:val="center"/>
          </w:tcPr>
          <w:p w:rsidR="00B007A8" w:rsidRPr="00650B3A" w:rsidRDefault="00B007A8" w:rsidP="00B007A8">
            <w:pPr>
              <w:rPr>
                <w:rFonts w:ascii="Barlow" w:hAnsi="Barlow"/>
                <w:sz w:val="20"/>
                <w:szCs w:val="20"/>
              </w:rPr>
            </w:pPr>
          </w:p>
        </w:tc>
      </w:tr>
      <w:tr w:rsidR="00B007A8" w:rsidRPr="00650B3A" w:rsidTr="00B007A8">
        <w:trPr>
          <w:trHeight w:val="1036"/>
          <w:jc w:val="center"/>
        </w:trPr>
        <w:tc>
          <w:tcPr>
            <w:tcW w:w="1555"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lastRenderedPageBreak/>
              <w:t>Recursos financieros administrados.</w:t>
            </w:r>
          </w:p>
        </w:tc>
        <w:tc>
          <w:tcPr>
            <w:tcW w:w="1417"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Porcentaje de presupuesto ejercido por concepto de recursos financieros</w:t>
            </w:r>
          </w:p>
        </w:tc>
        <w:tc>
          <w:tcPr>
            <w:tcW w:w="2552"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Mide la proporción de recursos financieros utilizados para atender las necesidades de maestros, estudiantes y personal administrativo en la formación de profesionales con respecto a la totalidad del presupuesto autorizado.</w:t>
            </w:r>
          </w:p>
        </w:tc>
        <w:tc>
          <w:tcPr>
            <w:tcW w:w="1134"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417"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992" w:type="dxa"/>
            <w:vAlign w:val="center"/>
          </w:tcPr>
          <w:p w:rsidR="00B007A8" w:rsidRPr="00650B3A" w:rsidRDefault="00B007A8" w:rsidP="00B007A8">
            <w:pPr>
              <w:jc w:val="center"/>
              <w:rPr>
                <w:rFonts w:ascii="Barlow" w:hAnsi="Barlow"/>
                <w:sz w:val="20"/>
                <w:szCs w:val="20"/>
              </w:rPr>
            </w:pPr>
            <w:r w:rsidRPr="00650B3A">
              <w:rPr>
                <w:rFonts w:ascii="Barlow" w:hAnsi="Barlow" w:cs="Arial"/>
                <w:sz w:val="20"/>
                <w:szCs w:val="20"/>
                <w:lang w:eastAsia="es-MX"/>
              </w:rPr>
              <w:t>NA</w:t>
            </w:r>
          </w:p>
        </w:tc>
        <w:tc>
          <w:tcPr>
            <w:tcW w:w="1843" w:type="dxa"/>
            <w:shd w:val="clear" w:color="auto" w:fill="auto"/>
            <w:vAlign w:val="center"/>
          </w:tcPr>
          <w:p w:rsidR="00B007A8" w:rsidRPr="00650B3A" w:rsidRDefault="00B007A8" w:rsidP="00B007A8">
            <w:pPr>
              <w:rPr>
                <w:rFonts w:ascii="Barlow" w:hAnsi="Barlow"/>
                <w:sz w:val="20"/>
                <w:szCs w:val="20"/>
              </w:rPr>
            </w:pPr>
          </w:p>
        </w:tc>
      </w:tr>
      <w:tr w:rsidR="00B007A8" w:rsidRPr="00650B3A" w:rsidTr="00B007A8">
        <w:trPr>
          <w:trHeight w:val="1309"/>
          <w:jc w:val="center"/>
        </w:trPr>
        <w:tc>
          <w:tcPr>
            <w:tcW w:w="1555" w:type="dxa"/>
            <w:vAlign w:val="center"/>
            <w:hideMark/>
          </w:tcPr>
          <w:p w:rsidR="00B007A8" w:rsidRPr="00650B3A" w:rsidRDefault="00B007A8" w:rsidP="00B007A8">
            <w:pPr>
              <w:rPr>
                <w:rFonts w:ascii="Barlow" w:hAnsi="Barlow" w:cs="Arial"/>
                <w:sz w:val="20"/>
                <w:szCs w:val="20"/>
                <w:lang w:eastAsia="es-MX"/>
              </w:rPr>
            </w:pPr>
            <w:r w:rsidRPr="00650B3A">
              <w:rPr>
                <w:rFonts w:ascii="Barlow" w:hAnsi="Barlow" w:cs="Arial"/>
                <w:sz w:val="20"/>
                <w:szCs w:val="20"/>
                <w:lang w:eastAsia="es-MX"/>
              </w:rPr>
              <w:t>Recursos materiales suministrados.</w:t>
            </w:r>
          </w:p>
        </w:tc>
        <w:tc>
          <w:tcPr>
            <w:tcW w:w="1417"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Porcentaje de presupuesto ejercido por concepto de recursos materiales</w:t>
            </w:r>
          </w:p>
        </w:tc>
        <w:tc>
          <w:tcPr>
            <w:tcW w:w="2552" w:type="dxa"/>
            <w:vAlign w:val="center"/>
            <w:hideMark/>
          </w:tcPr>
          <w:p w:rsidR="00B007A8" w:rsidRPr="00650B3A" w:rsidRDefault="00B007A8" w:rsidP="00B007A8">
            <w:pPr>
              <w:rPr>
                <w:rFonts w:ascii="Barlow" w:hAnsi="Barlow" w:cs="Arial"/>
                <w:color w:val="000000"/>
                <w:sz w:val="20"/>
                <w:szCs w:val="20"/>
                <w:lang w:eastAsia="es-MX"/>
              </w:rPr>
            </w:pPr>
            <w:r w:rsidRPr="00650B3A">
              <w:rPr>
                <w:rFonts w:ascii="Barlow" w:hAnsi="Barlow" w:cs="Arial"/>
                <w:color w:val="000000"/>
                <w:sz w:val="20"/>
                <w:szCs w:val="20"/>
                <w:lang w:eastAsia="es-MX"/>
              </w:rPr>
              <w:t>Mide la proporción del presupuesto ejercido en la administración de recursos materiales  (papelería y consumibles), para atender las necesidades de maestros, estudiantes y personal administrativo en la formación de profesionales con respecto a la totalidad del presupuesto autorizado.</w:t>
            </w:r>
          </w:p>
        </w:tc>
        <w:tc>
          <w:tcPr>
            <w:tcW w:w="1134"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Semestral</w:t>
            </w:r>
          </w:p>
        </w:tc>
        <w:tc>
          <w:tcPr>
            <w:tcW w:w="1417" w:type="dxa"/>
            <w:vAlign w:val="center"/>
            <w:hideMark/>
          </w:tcPr>
          <w:p w:rsidR="00B007A8" w:rsidRPr="00650B3A" w:rsidRDefault="00B007A8" w:rsidP="00B007A8">
            <w:pPr>
              <w:jc w:val="center"/>
              <w:rPr>
                <w:rFonts w:ascii="Barlow" w:hAnsi="Barlow" w:cs="Arial"/>
                <w:color w:val="000000"/>
                <w:sz w:val="20"/>
                <w:szCs w:val="20"/>
                <w:lang w:eastAsia="es-MX"/>
              </w:rPr>
            </w:pPr>
            <w:r w:rsidRPr="00650B3A">
              <w:rPr>
                <w:rFonts w:ascii="Barlow" w:hAnsi="Barlow" w:cs="Arial"/>
                <w:color w:val="000000"/>
                <w:sz w:val="20"/>
                <w:szCs w:val="20"/>
                <w:lang w:eastAsia="es-MX"/>
              </w:rPr>
              <w:t>100</w:t>
            </w:r>
          </w:p>
        </w:tc>
        <w:tc>
          <w:tcPr>
            <w:tcW w:w="992" w:type="dxa"/>
            <w:vAlign w:val="center"/>
            <w:hideMark/>
          </w:tcPr>
          <w:p w:rsidR="00B007A8" w:rsidRPr="00650B3A" w:rsidRDefault="00B007A8" w:rsidP="00B007A8">
            <w:pPr>
              <w:jc w:val="center"/>
              <w:rPr>
                <w:rFonts w:ascii="Barlow" w:hAnsi="Barlow"/>
                <w:sz w:val="20"/>
                <w:szCs w:val="20"/>
              </w:rPr>
            </w:pPr>
            <w:r w:rsidRPr="00650B3A">
              <w:rPr>
                <w:rFonts w:ascii="Barlow" w:hAnsi="Barlow" w:cs="Arial"/>
                <w:sz w:val="20"/>
                <w:szCs w:val="20"/>
                <w:lang w:eastAsia="es-MX"/>
              </w:rPr>
              <w:t>NA</w:t>
            </w:r>
          </w:p>
        </w:tc>
        <w:tc>
          <w:tcPr>
            <w:tcW w:w="1843" w:type="dxa"/>
            <w:shd w:val="clear" w:color="auto" w:fill="auto"/>
            <w:vAlign w:val="center"/>
          </w:tcPr>
          <w:p w:rsidR="00B007A8" w:rsidRPr="00650B3A" w:rsidRDefault="00B007A8" w:rsidP="00B007A8">
            <w:pPr>
              <w:rPr>
                <w:rFonts w:ascii="Barlow" w:hAnsi="Barlow"/>
                <w:sz w:val="20"/>
                <w:szCs w:val="20"/>
              </w:rPr>
            </w:pPr>
          </w:p>
        </w:tc>
      </w:tr>
    </w:tbl>
    <w:p w:rsidR="00650B3A" w:rsidRDefault="00650B3A" w:rsidP="00650B3A">
      <w:pPr>
        <w:rPr>
          <w:rFonts w:ascii="Barlow" w:hAnsi="Barlow" w:cs="Arial"/>
          <w:sz w:val="20"/>
          <w:szCs w:val="20"/>
          <w:lang w:val="es-MX" w:eastAsia="en-US"/>
        </w:rPr>
      </w:pPr>
      <w:r>
        <w:rPr>
          <w:rFonts w:ascii="Barlow" w:hAnsi="Barlow" w:cs="Arial"/>
          <w:sz w:val="20"/>
          <w:szCs w:val="20"/>
        </w:rPr>
        <w:t>Bajo protesta de decir verdad declaramos que los Estados Financieros y sus Notas son razonablemente correctos y son responsabilidad del emisor.</w:t>
      </w:r>
    </w:p>
    <w:p w:rsidR="00CF2C3D" w:rsidRPr="00650B3A" w:rsidRDefault="00CF2C3D" w:rsidP="00CF2C3D">
      <w:pPr>
        <w:rPr>
          <w:rFonts w:ascii="Barlow" w:hAnsi="Barlow" w:cs="Arial"/>
          <w:b/>
          <w:sz w:val="20"/>
          <w:szCs w:val="20"/>
        </w:rPr>
      </w:pPr>
      <w:bookmarkStart w:id="0" w:name="_GoBack"/>
      <w:bookmarkEnd w:id="0"/>
    </w:p>
    <w:sectPr w:rsidR="00CF2C3D" w:rsidRPr="00650B3A" w:rsidSect="00650B3A">
      <w:pgSz w:w="15840" w:h="12240" w:orient="landscape" w:code="1"/>
      <w:pgMar w:top="2835" w:right="1134" w:bottom="1701"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E4DA6"/>
    <w:multiLevelType w:val="hybridMultilevel"/>
    <w:tmpl w:val="512EAA18"/>
    <w:lvl w:ilvl="0" w:tplc="253CBC2A">
      <w:start w:val="1"/>
      <w:numFmt w:val="upperRoman"/>
      <w:lvlText w:val="%1."/>
      <w:lvlJc w:val="left"/>
      <w:pPr>
        <w:ind w:left="1800" w:hanging="720"/>
      </w:pPr>
      <w:rPr>
        <w:rFonts w:hint="default"/>
      </w:rPr>
    </w:lvl>
    <w:lvl w:ilvl="1" w:tplc="7048E4E2">
      <w:start w:val="1"/>
      <w:numFmt w:val="lowerLetter"/>
      <w:lvlText w:val="III. %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3D"/>
    <w:rsid w:val="000275AD"/>
    <w:rsid w:val="0005387F"/>
    <w:rsid w:val="002A34E3"/>
    <w:rsid w:val="003C7DC9"/>
    <w:rsid w:val="004A73F1"/>
    <w:rsid w:val="004C415C"/>
    <w:rsid w:val="00650B3A"/>
    <w:rsid w:val="006A248E"/>
    <w:rsid w:val="00793B16"/>
    <w:rsid w:val="007F7109"/>
    <w:rsid w:val="00830518"/>
    <w:rsid w:val="00846FD0"/>
    <w:rsid w:val="008526F2"/>
    <w:rsid w:val="00854A8E"/>
    <w:rsid w:val="00AA5225"/>
    <w:rsid w:val="00B007A8"/>
    <w:rsid w:val="00B30E7C"/>
    <w:rsid w:val="00C03610"/>
    <w:rsid w:val="00C32342"/>
    <w:rsid w:val="00CF2C3D"/>
    <w:rsid w:val="00D258D2"/>
    <w:rsid w:val="00F955ED"/>
    <w:rsid w:val="00FB4D8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EF3D"/>
  <w15:docId w15:val="{553A1B89-AAB0-4930-94C6-3A2EAFD7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C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30E7C"/>
    <w:pPr>
      <w:spacing w:after="0" w:line="240" w:lineRule="auto"/>
    </w:pPr>
    <w:rPr>
      <w:rFonts w:ascii="Rockwell" w:eastAsia="Times New Roman" w:hAnsi="Rockwell" w:cs="Times New Roman"/>
      <w:lang w:val="es-ES"/>
    </w:rPr>
  </w:style>
  <w:style w:type="character" w:customStyle="1" w:styleId="SinespaciadoCar">
    <w:name w:val="Sin espaciado Car"/>
    <w:basedOn w:val="Fuentedeprrafopredeter"/>
    <w:link w:val="Sinespaciado"/>
    <w:uiPriority w:val="1"/>
    <w:rsid w:val="00B30E7C"/>
    <w:rPr>
      <w:rFonts w:ascii="Rockwell" w:eastAsia="Times New Roman" w:hAnsi="Rockwell" w:cs="Times New Roman"/>
      <w:lang w:val="es-ES"/>
    </w:rPr>
  </w:style>
  <w:style w:type="paragraph" w:styleId="Prrafodelista">
    <w:name w:val="List Paragraph"/>
    <w:basedOn w:val="Normal"/>
    <w:link w:val="PrrafodelistaCar"/>
    <w:qFormat/>
    <w:rsid w:val="00B30E7C"/>
    <w:pPr>
      <w:ind w:left="720"/>
      <w:contextualSpacing/>
    </w:pPr>
  </w:style>
  <w:style w:type="table" w:styleId="Tablaconcuadrcula">
    <w:name w:val="Table Grid"/>
    <w:basedOn w:val="Tablanormal"/>
    <w:rsid w:val="00CF2C3D"/>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locked/>
    <w:rsid w:val="00CF2C3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3BE6-35F0-47DD-92C9-E41558FF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916</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Walkiria Ricalde</dc:creator>
  <cp:lastModifiedBy>Sharon Yanelli Lara Medrano</cp:lastModifiedBy>
  <cp:revision>2</cp:revision>
  <cp:lastPrinted>2022-03-31T22:23:00Z</cp:lastPrinted>
  <dcterms:created xsi:type="dcterms:W3CDTF">2022-04-27T20:05:00Z</dcterms:created>
  <dcterms:modified xsi:type="dcterms:W3CDTF">2022-04-27T20:05:00Z</dcterms:modified>
</cp:coreProperties>
</file>