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06EDF" w14:textId="77777777" w:rsidR="00DC37D6" w:rsidRDefault="00DC37D6" w:rsidP="00DC37D6">
      <w:pPr>
        <w:spacing w:line="360" w:lineRule="auto"/>
        <w:jc w:val="center"/>
        <w:rPr>
          <w:rFonts w:ascii="Barlow" w:hAnsi="Barlow" w:cs="Arial"/>
          <w:b/>
          <w:sz w:val="20"/>
          <w:szCs w:val="20"/>
        </w:rPr>
      </w:pPr>
      <w:bookmarkStart w:id="0" w:name="m18"/>
      <w:bookmarkEnd w:id="0"/>
      <w:r>
        <w:rPr>
          <w:rFonts w:ascii="Barlow" w:hAnsi="Barlow" w:cs="Arial"/>
          <w:b/>
          <w:sz w:val="20"/>
          <w:szCs w:val="20"/>
        </w:rPr>
        <w:t>Notas a los Estados Financieros</w:t>
      </w:r>
    </w:p>
    <w:p w14:paraId="2ACA45F1" w14:textId="3072702C" w:rsidR="00DC37D6" w:rsidRDefault="00DC37D6" w:rsidP="00DC37D6">
      <w:pPr>
        <w:spacing w:line="360" w:lineRule="auto"/>
        <w:jc w:val="center"/>
        <w:rPr>
          <w:rFonts w:ascii="Barlow" w:hAnsi="Barlow" w:cs="Arial"/>
          <w:b/>
          <w:sz w:val="20"/>
          <w:szCs w:val="20"/>
        </w:rPr>
      </w:pPr>
      <w:r>
        <w:rPr>
          <w:rFonts w:ascii="Barlow" w:hAnsi="Barlow" w:cs="Arial"/>
          <w:b/>
          <w:sz w:val="20"/>
          <w:szCs w:val="20"/>
        </w:rPr>
        <w:t>Al 31 de marzo de 2022</w:t>
      </w:r>
    </w:p>
    <w:p w14:paraId="2CE9FBBA" w14:textId="77777777" w:rsidR="00DC37D6" w:rsidRDefault="00DC37D6" w:rsidP="00DC37D6">
      <w:pPr>
        <w:autoSpaceDE w:val="0"/>
        <w:autoSpaceDN w:val="0"/>
        <w:adjustRightInd w:val="0"/>
        <w:spacing w:line="360" w:lineRule="auto"/>
        <w:jc w:val="center"/>
        <w:rPr>
          <w:rFonts w:ascii="Barlow" w:hAnsi="Barlow" w:cs="Arial"/>
          <w:b/>
          <w:sz w:val="20"/>
          <w:szCs w:val="20"/>
        </w:rPr>
      </w:pPr>
      <w:r>
        <w:rPr>
          <w:rFonts w:ascii="Barlow" w:hAnsi="Barlow" w:cs="Arial"/>
          <w:b/>
          <w:sz w:val="20"/>
          <w:szCs w:val="20"/>
        </w:rPr>
        <w:t>(Cifras en Pesos)</w:t>
      </w:r>
    </w:p>
    <w:p w14:paraId="276AEBDC" w14:textId="77777777" w:rsidR="00DC37D6" w:rsidRDefault="00DC37D6" w:rsidP="00DC37D6">
      <w:pPr>
        <w:autoSpaceDE w:val="0"/>
        <w:autoSpaceDN w:val="0"/>
        <w:adjustRightInd w:val="0"/>
        <w:spacing w:line="360" w:lineRule="auto"/>
        <w:jc w:val="center"/>
        <w:rPr>
          <w:rFonts w:ascii="Barlow" w:hAnsi="Barlow" w:cs="Arial"/>
          <w:b/>
          <w:sz w:val="20"/>
          <w:szCs w:val="20"/>
        </w:rPr>
      </w:pPr>
    </w:p>
    <w:p w14:paraId="4BE70FDE" w14:textId="77777777" w:rsidR="00DC37D6" w:rsidRDefault="00DC37D6" w:rsidP="00DC37D6">
      <w:pPr>
        <w:autoSpaceDE w:val="0"/>
        <w:autoSpaceDN w:val="0"/>
        <w:adjustRightInd w:val="0"/>
        <w:spacing w:line="360" w:lineRule="auto"/>
        <w:rPr>
          <w:rFonts w:ascii="Barlow" w:hAnsi="Barlow" w:cs="Arial"/>
          <w:sz w:val="20"/>
          <w:szCs w:val="20"/>
        </w:rPr>
      </w:pPr>
      <w:r>
        <w:rPr>
          <w:rFonts w:ascii="Barlow" w:hAnsi="Barlow" w:cs="Arial"/>
          <w:b/>
          <w:sz w:val="20"/>
          <w:szCs w:val="20"/>
        </w:rPr>
        <w:t>Ente Público:  SECRETARÍA EJECUTIVA DEL SISTEMA ESTATAL ANTICORRUPCIÓN</w:t>
      </w:r>
    </w:p>
    <w:p w14:paraId="1B2CA45E" w14:textId="77777777" w:rsidR="00E016CB" w:rsidRPr="007E4900" w:rsidRDefault="00E016CB" w:rsidP="00E016CB">
      <w:pPr>
        <w:autoSpaceDE w:val="0"/>
        <w:autoSpaceDN w:val="0"/>
        <w:adjustRightInd w:val="0"/>
        <w:spacing w:line="360" w:lineRule="auto"/>
        <w:jc w:val="center"/>
        <w:rPr>
          <w:rFonts w:ascii="Arial" w:hAnsi="Arial" w:cs="Arial"/>
          <w:sz w:val="22"/>
          <w:szCs w:val="22"/>
        </w:rPr>
      </w:pPr>
    </w:p>
    <w:p w14:paraId="06B955C1" w14:textId="1E804FA1" w:rsidR="002C3190" w:rsidRPr="00DC37D6" w:rsidRDefault="00C4137E" w:rsidP="00C4137E">
      <w:pPr>
        <w:autoSpaceDE w:val="0"/>
        <w:autoSpaceDN w:val="0"/>
        <w:adjustRightInd w:val="0"/>
        <w:spacing w:line="360" w:lineRule="auto"/>
        <w:jc w:val="both"/>
        <w:rPr>
          <w:rFonts w:ascii="Barlow" w:hAnsi="Barlow" w:cs="Arial"/>
          <w:b/>
          <w:sz w:val="20"/>
          <w:szCs w:val="20"/>
        </w:rPr>
      </w:pPr>
      <w:r w:rsidRPr="00DC37D6">
        <w:rPr>
          <w:rFonts w:ascii="Barlow" w:hAnsi="Barlow" w:cs="Arial"/>
          <w:sz w:val="20"/>
          <w:szCs w:val="20"/>
        </w:rPr>
        <w:t xml:space="preserve">Con el </w:t>
      </w:r>
      <w:r w:rsidR="00291770" w:rsidRPr="00DC37D6">
        <w:rPr>
          <w:rFonts w:ascii="Barlow" w:hAnsi="Barlow" w:cs="Arial"/>
          <w:sz w:val="20"/>
          <w:szCs w:val="20"/>
        </w:rPr>
        <w:t>propósito</w:t>
      </w:r>
      <w:r w:rsidRPr="00DC37D6">
        <w:rPr>
          <w:rFonts w:ascii="Barlow" w:hAnsi="Barlow" w:cs="Arial"/>
          <w:sz w:val="20"/>
          <w:szCs w:val="20"/>
        </w:rPr>
        <w:t xml:space="preserve"> de dar cumplimiento a los </w:t>
      </w:r>
      <w:r w:rsidR="00291770" w:rsidRPr="00DC37D6">
        <w:rPr>
          <w:rFonts w:ascii="Barlow" w:hAnsi="Barlow" w:cs="Arial"/>
          <w:sz w:val="20"/>
          <w:szCs w:val="20"/>
        </w:rPr>
        <w:t>artículos</w:t>
      </w:r>
      <w:r w:rsidR="005A2D1D" w:rsidRPr="00DC37D6">
        <w:rPr>
          <w:rFonts w:ascii="Barlow" w:hAnsi="Barlow" w:cs="Arial"/>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Pr="00DC37D6">
        <w:rPr>
          <w:rFonts w:ascii="Barlow" w:hAnsi="Barlow" w:cs="Arial"/>
          <w:sz w:val="20"/>
          <w:szCs w:val="20"/>
        </w:rPr>
        <w:t xml:space="preserve">, </w:t>
      </w:r>
      <w:r w:rsidR="002E0E91" w:rsidRPr="00DC37D6">
        <w:rPr>
          <w:rFonts w:ascii="Barlow" w:hAnsi="Barlow" w:cs="Arial"/>
          <w:sz w:val="20"/>
          <w:szCs w:val="20"/>
        </w:rPr>
        <w:t>La Secretaría Ejecutiva del Sistema Estatal Anticorrupción de Yucatán</w:t>
      </w:r>
      <w:r w:rsidRPr="00DC37D6">
        <w:rPr>
          <w:rFonts w:ascii="Barlow" w:hAnsi="Barlow" w:cs="Arial"/>
          <w:sz w:val="20"/>
          <w:szCs w:val="20"/>
        </w:rPr>
        <w:t xml:space="preserve">, ha preparado los Estados Financieros incluyendo las operaciones efectuadas al </w:t>
      </w:r>
      <w:r w:rsidR="00E71BE7" w:rsidRPr="00DC37D6">
        <w:rPr>
          <w:rFonts w:ascii="Barlow" w:hAnsi="Barlow" w:cs="Arial"/>
          <w:b/>
          <w:sz w:val="20"/>
          <w:szCs w:val="20"/>
        </w:rPr>
        <w:t>31</w:t>
      </w:r>
      <w:r w:rsidR="00E52A74" w:rsidRPr="00DC37D6">
        <w:rPr>
          <w:rFonts w:ascii="Barlow" w:hAnsi="Barlow" w:cs="Arial"/>
          <w:b/>
          <w:sz w:val="20"/>
          <w:szCs w:val="20"/>
        </w:rPr>
        <w:t xml:space="preserve"> </w:t>
      </w:r>
      <w:r w:rsidRPr="00DC37D6">
        <w:rPr>
          <w:rFonts w:ascii="Barlow" w:hAnsi="Barlow" w:cs="Arial"/>
          <w:b/>
          <w:sz w:val="20"/>
          <w:szCs w:val="20"/>
        </w:rPr>
        <w:t>de</w:t>
      </w:r>
      <w:r w:rsidR="00D024EA" w:rsidRPr="00DC37D6">
        <w:rPr>
          <w:rFonts w:ascii="Barlow" w:hAnsi="Barlow" w:cs="Arial"/>
          <w:b/>
          <w:sz w:val="20"/>
          <w:szCs w:val="20"/>
        </w:rPr>
        <w:t xml:space="preserve"> </w:t>
      </w:r>
      <w:r w:rsidR="00E71BE7" w:rsidRPr="00DC37D6">
        <w:rPr>
          <w:rFonts w:ascii="Barlow" w:hAnsi="Barlow" w:cs="Arial"/>
          <w:b/>
          <w:sz w:val="20"/>
          <w:szCs w:val="20"/>
        </w:rPr>
        <w:t>marzo</w:t>
      </w:r>
      <w:r w:rsidR="00CD262B" w:rsidRPr="00DC37D6">
        <w:rPr>
          <w:rFonts w:ascii="Barlow" w:hAnsi="Barlow" w:cs="Arial"/>
          <w:b/>
          <w:sz w:val="20"/>
          <w:szCs w:val="20"/>
        </w:rPr>
        <w:t xml:space="preserve"> </w:t>
      </w:r>
      <w:r w:rsidR="00882476" w:rsidRPr="00DC37D6">
        <w:rPr>
          <w:rFonts w:ascii="Barlow" w:hAnsi="Barlow" w:cs="Arial"/>
          <w:b/>
          <w:sz w:val="20"/>
          <w:szCs w:val="20"/>
        </w:rPr>
        <w:t>de 202</w:t>
      </w:r>
      <w:r w:rsidR="005D2D38" w:rsidRPr="00DC37D6">
        <w:rPr>
          <w:rFonts w:ascii="Barlow" w:hAnsi="Barlow" w:cs="Arial"/>
          <w:b/>
          <w:sz w:val="20"/>
          <w:szCs w:val="20"/>
        </w:rPr>
        <w:t>2</w:t>
      </w:r>
      <w:r w:rsidRPr="00DC37D6">
        <w:rPr>
          <w:rFonts w:ascii="Barlow" w:hAnsi="Barlow" w:cs="Arial"/>
          <w:b/>
          <w:sz w:val="20"/>
          <w:szCs w:val="20"/>
        </w:rPr>
        <w:t>.</w:t>
      </w:r>
    </w:p>
    <w:p w14:paraId="2B77084D" w14:textId="77777777" w:rsidR="007E4900" w:rsidRPr="00DC37D6" w:rsidRDefault="007E4900" w:rsidP="00C4137E">
      <w:pPr>
        <w:autoSpaceDE w:val="0"/>
        <w:autoSpaceDN w:val="0"/>
        <w:adjustRightInd w:val="0"/>
        <w:spacing w:line="360" w:lineRule="auto"/>
        <w:jc w:val="both"/>
        <w:rPr>
          <w:rFonts w:ascii="Barlow" w:hAnsi="Barlow" w:cs="Arial"/>
          <w:b/>
          <w:sz w:val="20"/>
          <w:szCs w:val="20"/>
        </w:rPr>
      </w:pPr>
    </w:p>
    <w:p w14:paraId="1740C54F" w14:textId="414B4390" w:rsidR="002C3190" w:rsidRPr="00DC37D6" w:rsidRDefault="008273DF" w:rsidP="00571E9E">
      <w:pPr>
        <w:pStyle w:val="Prrafodelista"/>
        <w:numPr>
          <w:ilvl w:val="0"/>
          <w:numId w:val="22"/>
        </w:numPr>
        <w:autoSpaceDE w:val="0"/>
        <w:autoSpaceDN w:val="0"/>
        <w:adjustRightInd w:val="0"/>
        <w:spacing w:line="360" w:lineRule="auto"/>
        <w:jc w:val="center"/>
        <w:rPr>
          <w:rFonts w:ascii="Barlow" w:hAnsi="Barlow" w:cs="Arial"/>
          <w:b/>
          <w:sz w:val="20"/>
          <w:szCs w:val="20"/>
        </w:rPr>
      </w:pPr>
      <w:r w:rsidRPr="00DC37D6">
        <w:rPr>
          <w:rFonts w:ascii="Barlow" w:hAnsi="Barlow" w:cs="Arial"/>
          <w:b/>
          <w:sz w:val="20"/>
          <w:szCs w:val="20"/>
        </w:rPr>
        <w:t xml:space="preserve">NOTAS DE </w:t>
      </w:r>
      <w:r w:rsidR="0046515A" w:rsidRPr="00DC37D6">
        <w:rPr>
          <w:rFonts w:ascii="Barlow" w:hAnsi="Barlow" w:cs="Arial"/>
          <w:b/>
          <w:sz w:val="20"/>
          <w:szCs w:val="20"/>
        </w:rPr>
        <w:t>DESGLOSE</w:t>
      </w:r>
    </w:p>
    <w:p w14:paraId="7F6BCFCA" w14:textId="77777777" w:rsidR="00A42A6A" w:rsidRPr="00DC37D6" w:rsidRDefault="00A42A6A" w:rsidP="00A42A6A">
      <w:pPr>
        <w:pStyle w:val="Prrafodelista"/>
        <w:autoSpaceDE w:val="0"/>
        <w:autoSpaceDN w:val="0"/>
        <w:adjustRightInd w:val="0"/>
        <w:spacing w:line="360" w:lineRule="auto"/>
        <w:ind w:left="1440"/>
        <w:rPr>
          <w:rFonts w:ascii="Barlow" w:hAnsi="Barlow" w:cs="Arial"/>
          <w:b/>
          <w:sz w:val="20"/>
          <w:szCs w:val="20"/>
        </w:rPr>
      </w:pPr>
    </w:p>
    <w:p w14:paraId="5FA2DD8C" w14:textId="32ABE1B5" w:rsidR="00BB5114" w:rsidRPr="00DC37D6" w:rsidRDefault="00455288" w:rsidP="00C4137E">
      <w:pPr>
        <w:autoSpaceDE w:val="0"/>
        <w:autoSpaceDN w:val="0"/>
        <w:adjustRightInd w:val="0"/>
        <w:spacing w:line="360" w:lineRule="auto"/>
        <w:jc w:val="both"/>
        <w:rPr>
          <w:rFonts w:ascii="Barlow" w:hAnsi="Barlow" w:cs="Arial"/>
          <w:b/>
          <w:sz w:val="20"/>
          <w:szCs w:val="20"/>
        </w:rPr>
      </w:pPr>
      <w:r w:rsidRPr="00DC37D6">
        <w:rPr>
          <w:rFonts w:ascii="Barlow" w:hAnsi="Barlow" w:cs="Arial"/>
          <w:b/>
          <w:sz w:val="20"/>
          <w:szCs w:val="20"/>
        </w:rPr>
        <w:t>I</w:t>
      </w:r>
      <w:r w:rsidR="008273DF" w:rsidRPr="00DC37D6">
        <w:rPr>
          <w:rFonts w:ascii="Barlow" w:hAnsi="Barlow" w:cs="Arial"/>
          <w:b/>
          <w:sz w:val="20"/>
          <w:szCs w:val="20"/>
        </w:rPr>
        <w:t>) NOTAS AL ESTADO DE SITUACIÓN FINANCIERA</w:t>
      </w:r>
    </w:p>
    <w:p w14:paraId="72820FFA" w14:textId="5BB81D5C" w:rsidR="002C3190" w:rsidRPr="00DC37D6" w:rsidRDefault="001C734A" w:rsidP="00C4137E">
      <w:pPr>
        <w:autoSpaceDE w:val="0"/>
        <w:autoSpaceDN w:val="0"/>
        <w:adjustRightInd w:val="0"/>
        <w:spacing w:line="360" w:lineRule="auto"/>
        <w:jc w:val="both"/>
        <w:rPr>
          <w:rFonts w:ascii="Barlow" w:hAnsi="Barlow" w:cs="Arial"/>
          <w:b/>
          <w:sz w:val="20"/>
          <w:szCs w:val="20"/>
        </w:rPr>
      </w:pPr>
      <w:r w:rsidRPr="00DC37D6">
        <w:rPr>
          <w:rFonts w:ascii="Barlow" w:hAnsi="Barlow" w:cs="Arial"/>
          <w:b/>
          <w:sz w:val="20"/>
          <w:szCs w:val="20"/>
        </w:rPr>
        <w:t>ACTIVO</w:t>
      </w:r>
    </w:p>
    <w:p w14:paraId="5CD02118" w14:textId="061A2CC3" w:rsidR="008273DF" w:rsidRPr="00DC37D6" w:rsidRDefault="008273DF" w:rsidP="00C4137E">
      <w:pPr>
        <w:autoSpaceDE w:val="0"/>
        <w:autoSpaceDN w:val="0"/>
        <w:adjustRightInd w:val="0"/>
        <w:spacing w:line="360" w:lineRule="auto"/>
        <w:jc w:val="both"/>
        <w:rPr>
          <w:rFonts w:ascii="Barlow" w:hAnsi="Barlow" w:cs="Arial"/>
          <w:b/>
          <w:sz w:val="20"/>
          <w:szCs w:val="20"/>
        </w:rPr>
      </w:pPr>
      <w:r w:rsidRPr="00DC37D6">
        <w:rPr>
          <w:rFonts w:ascii="Barlow" w:hAnsi="Barlow" w:cs="Arial"/>
          <w:b/>
          <w:sz w:val="20"/>
          <w:szCs w:val="20"/>
        </w:rPr>
        <w:t>Efectivo y Equivalentes</w:t>
      </w:r>
    </w:p>
    <w:p w14:paraId="3533F3B5" w14:textId="77777777" w:rsidR="00BB5114" w:rsidRPr="00DC37D6" w:rsidRDefault="00BB5114" w:rsidP="00C4137E">
      <w:pPr>
        <w:autoSpaceDE w:val="0"/>
        <w:autoSpaceDN w:val="0"/>
        <w:adjustRightInd w:val="0"/>
        <w:spacing w:line="360" w:lineRule="auto"/>
        <w:jc w:val="both"/>
        <w:rPr>
          <w:rFonts w:ascii="Barlow" w:hAnsi="Barlow" w:cs="Arial"/>
          <w:b/>
          <w:sz w:val="20"/>
          <w:szCs w:val="20"/>
        </w:rPr>
      </w:pPr>
    </w:p>
    <w:p w14:paraId="0B916E59" w14:textId="58F1156A" w:rsidR="00197E26" w:rsidRPr="00DC37D6" w:rsidRDefault="008273DF" w:rsidP="00C4137E">
      <w:p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 xml:space="preserve">1.- La cuenta de bancos </w:t>
      </w:r>
      <w:r w:rsidR="007670F3" w:rsidRPr="00DC37D6">
        <w:rPr>
          <w:rFonts w:ascii="Barlow" w:hAnsi="Barlow" w:cs="Arial"/>
          <w:sz w:val="20"/>
          <w:szCs w:val="20"/>
        </w:rPr>
        <w:t xml:space="preserve">consiste principalmente en depósitos bancarios por los conceptos de ingresos con los que cuenta la </w:t>
      </w:r>
      <w:r w:rsidR="00CF5FDE" w:rsidRPr="00DC37D6">
        <w:rPr>
          <w:rFonts w:ascii="Barlow" w:hAnsi="Barlow" w:cs="Arial"/>
          <w:sz w:val="20"/>
          <w:szCs w:val="20"/>
        </w:rPr>
        <w:t>Secretaría</w:t>
      </w:r>
      <w:r w:rsidR="00BB5114" w:rsidRPr="00DC37D6">
        <w:rPr>
          <w:rFonts w:ascii="Barlow" w:hAnsi="Barlow" w:cs="Arial"/>
          <w:sz w:val="20"/>
          <w:szCs w:val="20"/>
        </w:rPr>
        <w:t xml:space="preserve"> en este caso son Productos y Transferencias, asignaciones y subsidios</w:t>
      </w:r>
      <w:r w:rsidR="00503584" w:rsidRPr="00DC37D6">
        <w:rPr>
          <w:rFonts w:ascii="Barlow" w:hAnsi="Barlow" w:cs="Arial"/>
          <w:sz w:val="20"/>
          <w:szCs w:val="20"/>
        </w:rPr>
        <w:t>.</w:t>
      </w:r>
    </w:p>
    <w:p w14:paraId="6A97CD31" w14:textId="77777777" w:rsidR="006873D7" w:rsidRPr="00DC37D6" w:rsidRDefault="006873D7" w:rsidP="00C4137E">
      <w:pPr>
        <w:autoSpaceDE w:val="0"/>
        <w:autoSpaceDN w:val="0"/>
        <w:adjustRightInd w:val="0"/>
        <w:spacing w:line="360" w:lineRule="auto"/>
        <w:jc w:val="both"/>
        <w:rPr>
          <w:rFonts w:ascii="Barlow" w:hAnsi="Barlow" w:cs="Arial"/>
          <w:sz w:val="20"/>
          <w:szCs w:val="20"/>
        </w:rPr>
      </w:pPr>
    </w:p>
    <w:p w14:paraId="3D91F839" w14:textId="207D9996" w:rsidR="00226D0C" w:rsidRPr="00DC37D6" w:rsidRDefault="00A42C29" w:rsidP="004F72F9">
      <w:pPr>
        <w:pStyle w:val="Prrafodelista"/>
        <w:numPr>
          <w:ilvl w:val="0"/>
          <w:numId w:val="20"/>
        </w:numPr>
        <w:autoSpaceDE w:val="0"/>
        <w:autoSpaceDN w:val="0"/>
        <w:adjustRightInd w:val="0"/>
        <w:spacing w:line="360" w:lineRule="auto"/>
        <w:jc w:val="both"/>
        <w:rPr>
          <w:rFonts w:ascii="Barlow" w:hAnsi="Barlow" w:cs="Arial"/>
          <w:sz w:val="20"/>
          <w:szCs w:val="20"/>
        </w:rPr>
      </w:pPr>
      <w:bookmarkStart w:id="1" w:name="m1"/>
      <w:bookmarkEnd w:id="1"/>
      <w:r w:rsidRPr="00DC37D6">
        <w:rPr>
          <w:rFonts w:ascii="Barlow" w:hAnsi="Barlow" w:cs="Arial"/>
          <w:sz w:val="20"/>
          <w:szCs w:val="20"/>
        </w:rPr>
        <w:lastRenderedPageBreak/>
        <w:t xml:space="preserve">Esta </w:t>
      </w:r>
      <w:r w:rsidR="00E1471D" w:rsidRPr="00DC37D6">
        <w:rPr>
          <w:rFonts w:ascii="Barlow" w:hAnsi="Barlow" w:cs="Arial"/>
          <w:sz w:val="20"/>
          <w:szCs w:val="20"/>
        </w:rPr>
        <w:t>Secretaría</w:t>
      </w:r>
      <w:r w:rsidRPr="00DC37D6">
        <w:rPr>
          <w:rFonts w:ascii="Barlow" w:hAnsi="Barlow" w:cs="Arial"/>
          <w:sz w:val="20"/>
          <w:szCs w:val="20"/>
        </w:rPr>
        <w:t xml:space="preserve"> Ejecutiva recibe por parte de la Secretaría de Administración y </w:t>
      </w:r>
      <w:r w:rsidR="009634A7" w:rsidRPr="00DC37D6">
        <w:rPr>
          <w:rFonts w:ascii="Barlow" w:hAnsi="Barlow" w:cs="Arial"/>
          <w:sz w:val="20"/>
          <w:szCs w:val="20"/>
        </w:rPr>
        <w:t>Finanzas (</w:t>
      </w:r>
      <w:r w:rsidRPr="00DC37D6">
        <w:rPr>
          <w:rFonts w:ascii="Barlow" w:hAnsi="Barlow" w:cs="Arial"/>
          <w:sz w:val="20"/>
          <w:szCs w:val="20"/>
        </w:rPr>
        <w:t xml:space="preserve">SAF) </w:t>
      </w:r>
      <w:r w:rsidR="00E1471D" w:rsidRPr="00DC37D6">
        <w:rPr>
          <w:rFonts w:ascii="Barlow" w:hAnsi="Barlow" w:cs="Arial"/>
          <w:sz w:val="20"/>
          <w:szCs w:val="20"/>
        </w:rPr>
        <w:t>el oficio número SAF-</w:t>
      </w:r>
      <w:r w:rsidR="005D2D38" w:rsidRPr="00DC37D6">
        <w:rPr>
          <w:rFonts w:ascii="Barlow" w:hAnsi="Barlow" w:cs="Arial"/>
          <w:sz w:val="20"/>
          <w:szCs w:val="20"/>
        </w:rPr>
        <w:t>DGE</w:t>
      </w:r>
      <w:r w:rsidR="00E1471D" w:rsidRPr="00DC37D6">
        <w:rPr>
          <w:rFonts w:ascii="Barlow" w:hAnsi="Barlow" w:cs="Arial"/>
          <w:sz w:val="20"/>
          <w:szCs w:val="20"/>
        </w:rPr>
        <w:t>-</w:t>
      </w:r>
      <w:r w:rsidR="005D2D38" w:rsidRPr="00DC37D6">
        <w:rPr>
          <w:rFonts w:ascii="Barlow" w:hAnsi="Barlow" w:cs="Arial"/>
          <w:sz w:val="20"/>
          <w:szCs w:val="20"/>
        </w:rPr>
        <w:t>2245</w:t>
      </w:r>
      <w:r w:rsidR="00E1471D" w:rsidRPr="00DC37D6">
        <w:rPr>
          <w:rFonts w:ascii="Barlow" w:hAnsi="Barlow" w:cs="Arial"/>
          <w:sz w:val="20"/>
          <w:szCs w:val="20"/>
        </w:rPr>
        <w:t>/</w:t>
      </w:r>
      <w:r w:rsidR="00CD5C13" w:rsidRPr="00DC37D6">
        <w:rPr>
          <w:rFonts w:ascii="Barlow" w:hAnsi="Barlow" w:cs="Arial"/>
          <w:sz w:val="20"/>
          <w:szCs w:val="20"/>
        </w:rPr>
        <w:t>202</w:t>
      </w:r>
      <w:r w:rsidR="007D4310" w:rsidRPr="00DC37D6">
        <w:rPr>
          <w:rFonts w:ascii="Barlow" w:hAnsi="Barlow" w:cs="Arial"/>
          <w:sz w:val="20"/>
          <w:szCs w:val="20"/>
        </w:rPr>
        <w:t>1</w:t>
      </w:r>
      <w:r w:rsidR="00E1471D" w:rsidRPr="00DC37D6">
        <w:rPr>
          <w:rFonts w:ascii="Barlow" w:hAnsi="Barlow" w:cs="Arial"/>
          <w:sz w:val="20"/>
          <w:szCs w:val="20"/>
        </w:rPr>
        <w:t>, en el cual solicita la apertura de las cuentas bancarias específicas</w:t>
      </w:r>
      <w:r w:rsidR="007D4310" w:rsidRPr="00DC37D6">
        <w:rPr>
          <w:rFonts w:ascii="Barlow" w:hAnsi="Barlow" w:cs="Arial"/>
          <w:sz w:val="20"/>
          <w:szCs w:val="20"/>
        </w:rPr>
        <w:t xml:space="preserve"> con rendimientos,</w:t>
      </w:r>
      <w:r w:rsidR="00E1471D" w:rsidRPr="00DC37D6">
        <w:rPr>
          <w:rFonts w:ascii="Barlow" w:hAnsi="Barlow" w:cs="Arial"/>
          <w:sz w:val="20"/>
          <w:szCs w:val="20"/>
        </w:rPr>
        <w:t xml:space="preserve"> para </w:t>
      </w:r>
      <w:r w:rsidR="007D4310" w:rsidRPr="00DC37D6">
        <w:rPr>
          <w:rFonts w:ascii="Barlow" w:hAnsi="Barlow" w:cs="Arial"/>
          <w:sz w:val="20"/>
          <w:szCs w:val="20"/>
        </w:rPr>
        <w:t xml:space="preserve">el manejo </w:t>
      </w:r>
      <w:r w:rsidR="00E1471D" w:rsidRPr="00DC37D6">
        <w:rPr>
          <w:rFonts w:ascii="Barlow" w:hAnsi="Barlow" w:cs="Arial"/>
          <w:sz w:val="20"/>
          <w:szCs w:val="20"/>
        </w:rPr>
        <w:t xml:space="preserve">de </w:t>
      </w:r>
      <w:r w:rsidR="007D4310" w:rsidRPr="00DC37D6">
        <w:rPr>
          <w:rFonts w:ascii="Barlow" w:hAnsi="Barlow" w:cs="Arial"/>
          <w:sz w:val="20"/>
          <w:szCs w:val="20"/>
        </w:rPr>
        <w:t>R</w:t>
      </w:r>
      <w:r w:rsidR="00E1471D" w:rsidRPr="00DC37D6">
        <w:rPr>
          <w:rFonts w:ascii="Barlow" w:hAnsi="Barlow" w:cs="Arial"/>
          <w:sz w:val="20"/>
          <w:szCs w:val="20"/>
        </w:rPr>
        <w:t>ecursos</w:t>
      </w:r>
      <w:r w:rsidR="007D4310" w:rsidRPr="00DC37D6">
        <w:rPr>
          <w:rFonts w:ascii="Barlow" w:hAnsi="Barlow" w:cs="Arial"/>
          <w:sz w:val="20"/>
          <w:szCs w:val="20"/>
        </w:rPr>
        <w:t xml:space="preserve"> Financieros 2022, como son</w:t>
      </w:r>
      <w:r w:rsidR="00E1471D" w:rsidRPr="00DC37D6">
        <w:rPr>
          <w:rFonts w:ascii="Barlow" w:hAnsi="Barlow" w:cs="Arial"/>
          <w:sz w:val="20"/>
          <w:szCs w:val="20"/>
        </w:rPr>
        <w:t xml:space="preserve"> </w:t>
      </w:r>
      <w:r w:rsidR="00364146" w:rsidRPr="00DC37D6">
        <w:rPr>
          <w:rFonts w:ascii="Barlow" w:hAnsi="Barlow" w:cs="Arial"/>
          <w:sz w:val="20"/>
          <w:szCs w:val="20"/>
        </w:rPr>
        <w:t>P</w:t>
      </w:r>
      <w:r w:rsidR="00E1471D" w:rsidRPr="00DC37D6">
        <w:rPr>
          <w:rFonts w:ascii="Barlow" w:hAnsi="Barlow" w:cs="Arial"/>
          <w:sz w:val="20"/>
          <w:szCs w:val="20"/>
        </w:rPr>
        <w:t xml:space="preserve">articipaciones </w:t>
      </w:r>
      <w:r w:rsidR="00364146" w:rsidRPr="00DC37D6">
        <w:rPr>
          <w:rFonts w:ascii="Barlow" w:hAnsi="Barlow" w:cs="Arial"/>
          <w:sz w:val="20"/>
          <w:szCs w:val="20"/>
        </w:rPr>
        <w:t>F</w:t>
      </w:r>
      <w:r w:rsidR="00E1471D" w:rsidRPr="00DC37D6">
        <w:rPr>
          <w:rFonts w:ascii="Barlow" w:hAnsi="Barlow" w:cs="Arial"/>
          <w:sz w:val="20"/>
          <w:szCs w:val="20"/>
        </w:rPr>
        <w:t>ederales 202</w:t>
      </w:r>
      <w:r w:rsidR="007D4310" w:rsidRPr="00DC37D6">
        <w:rPr>
          <w:rFonts w:ascii="Barlow" w:hAnsi="Barlow" w:cs="Arial"/>
          <w:sz w:val="20"/>
          <w:szCs w:val="20"/>
        </w:rPr>
        <w:t>2</w:t>
      </w:r>
      <w:r w:rsidR="00E1471D" w:rsidRPr="00DC37D6">
        <w:rPr>
          <w:rFonts w:ascii="Barlow" w:hAnsi="Barlow" w:cs="Arial"/>
          <w:sz w:val="20"/>
          <w:szCs w:val="20"/>
        </w:rPr>
        <w:t xml:space="preserve"> (BANORTE)</w:t>
      </w:r>
      <w:r w:rsidR="00364146" w:rsidRPr="00DC37D6">
        <w:rPr>
          <w:rFonts w:ascii="Barlow" w:hAnsi="Barlow" w:cs="Arial"/>
          <w:sz w:val="20"/>
          <w:szCs w:val="20"/>
        </w:rPr>
        <w:t xml:space="preserve"> </w:t>
      </w:r>
      <w:r w:rsidR="00E1471D" w:rsidRPr="00DC37D6">
        <w:rPr>
          <w:rFonts w:ascii="Barlow" w:hAnsi="Barlow" w:cs="Arial"/>
          <w:sz w:val="20"/>
          <w:szCs w:val="20"/>
        </w:rPr>
        <w:t>y Recursos Propios 202</w:t>
      </w:r>
      <w:r w:rsidR="007D4310" w:rsidRPr="00DC37D6">
        <w:rPr>
          <w:rFonts w:ascii="Barlow" w:hAnsi="Barlow" w:cs="Arial"/>
          <w:sz w:val="20"/>
          <w:szCs w:val="20"/>
        </w:rPr>
        <w:t>2</w:t>
      </w:r>
      <w:r w:rsidR="00E1471D" w:rsidRPr="00DC37D6">
        <w:rPr>
          <w:rFonts w:ascii="Barlow" w:hAnsi="Barlow" w:cs="Arial"/>
          <w:sz w:val="20"/>
          <w:szCs w:val="20"/>
        </w:rPr>
        <w:t xml:space="preserve"> (B</w:t>
      </w:r>
      <w:r w:rsidRPr="00DC37D6">
        <w:rPr>
          <w:rFonts w:ascii="Barlow" w:hAnsi="Barlow" w:cs="Arial"/>
          <w:sz w:val="20"/>
          <w:szCs w:val="20"/>
        </w:rPr>
        <w:t>ANORTE</w:t>
      </w:r>
      <w:r w:rsidR="00E1471D" w:rsidRPr="00DC37D6">
        <w:rPr>
          <w:rFonts w:ascii="Barlow" w:hAnsi="Barlow" w:cs="Arial"/>
          <w:sz w:val="20"/>
          <w:szCs w:val="20"/>
        </w:rPr>
        <w:t>)</w:t>
      </w:r>
      <w:r w:rsidR="009A3AAB" w:rsidRPr="00DC37D6">
        <w:rPr>
          <w:rFonts w:ascii="Barlow" w:hAnsi="Barlow" w:cs="Arial"/>
          <w:sz w:val="20"/>
          <w:szCs w:val="20"/>
        </w:rPr>
        <w:t>.</w:t>
      </w:r>
    </w:p>
    <w:p w14:paraId="50EFC43A" w14:textId="77777777" w:rsidR="000359B8" w:rsidRPr="00DC37D6" w:rsidRDefault="000359B8" w:rsidP="00226D0C">
      <w:pPr>
        <w:pStyle w:val="Prrafodelista"/>
        <w:autoSpaceDE w:val="0"/>
        <w:autoSpaceDN w:val="0"/>
        <w:adjustRightInd w:val="0"/>
        <w:spacing w:line="360" w:lineRule="auto"/>
        <w:jc w:val="both"/>
        <w:rPr>
          <w:rFonts w:ascii="Barlow" w:hAnsi="Barlow" w:cs="Arial"/>
          <w:sz w:val="20"/>
          <w:szCs w:val="20"/>
        </w:rPr>
      </w:pPr>
    </w:p>
    <w:p w14:paraId="30CFD9F1" w14:textId="506C3D58" w:rsidR="00131FFC" w:rsidRPr="00DC37D6" w:rsidRDefault="00131FFC" w:rsidP="00131FFC">
      <w:pPr>
        <w:pStyle w:val="Prrafodelista"/>
        <w:numPr>
          <w:ilvl w:val="0"/>
          <w:numId w:val="20"/>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La cuenta de bancos se integra por los saldos de las siguientes cuentas:</w:t>
      </w:r>
    </w:p>
    <w:p w14:paraId="4213FCCD" w14:textId="77777777" w:rsidR="00226D0C" w:rsidRPr="00DC37D6" w:rsidRDefault="00226D0C" w:rsidP="00226D0C">
      <w:pPr>
        <w:pStyle w:val="Prrafodelista"/>
        <w:rPr>
          <w:rFonts w:ascii="Barlow" w:hAnsi="Barlow" w:cs="Arial"/>
          <w:sz w:val="20"/>
          <w:szCs w:val="20"/>
        </w:rPr>
      </w:pPr>
    </w:p>
    <w:tbl>
      <w:tblPr>
        <w:tblStyle w:val="Tablaconcuadrcula"/>
        <w:tblW w:w="0" w:type="auto"/>
        <w:jc w:val="center"/>
        <w:tblLook w:val="04A0" w:firstRow="1" w:lastRow="0" w:firstColumn="1" w:lastColumn="0" w:noHBand="0" w:noVBand="1"/>
      </w:tblPr>
      <w:tblGrid>
        <w:gridCol w:w="1249"/>
        <w:gridCol w:w="4215"/>
        <w:gridCol w:w="1927"/>
      </w:tblGrid>
      <w:tr w:rsidR="00131FFC" w:rsidRPr="00DC37D6" w14:paraId="540BA6A5" w14:textId="77777777" w:rsidTr="00195F8A">
        <w:trPr>
          <w:trHeight w:val="470"/>
          <w:jc w:val="center"/>
        </w:trPr>
        <w:tc>
          <w:tcPr>
            <w:tcW w:w="1249" w:type="dxa"/>
            <w:shd w:val="clear" w:color="auto" w:fill="9BBB59" w:themeFill="accent3"/>
            <w:hideMark/>
          </w:tcPr>
          <w:p w14:paraId="5C367BFE" w14:textId="77777777" w:rsidR="00131FFC" w:rsidRPr="00DC37D6" w:rsidRDefault="00131FFC" w:rsidP="002C3190">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No. CUENTA</w:t>
            </w:r>
          </w:p>
        </w:tc>
        <w:tc>
          <w:tcPr>
            <w:tcW w:w="4215" w:type="dxa"/>
            <w:shd w:val="clear" w:color="auto" w:fill="9BBB59" w:themeFill="accent3"/>
            <w:hideMark/>
          </w:tcPr>
          <w:p w14:paraId="313F9DE9" w14:textId="77777777" w:rsidR="00131FFC" w:rsidRPr="00DC37D6" w:rsidRDefault="00131FFC" w:rsidP="002C3190">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INSTITUCIÓN BANCARIA</w:t>
            </w:r>
          </w:p>
        </w:tc>
        <w:tc>
          <w:tcPr>
            <w:tcW w:w="1927" w:type="dxa"/>
            <w:shd w:val="clear" w:color="auto" w:fill="9BBB59" w:themeFill="accent3"/>
            <w:hideMark/>
          </w:tcPr>
          <w:p w14:paraId="7099B6ED" w14:textId="051000F7" w:rsidR="00131FFC" w:rsidRPr="00DC37D6" w:rsidRDefault="00131FFC" w:rsidP="00E71BE7">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 xml:space="preserve">SALDO AL </w:t>
            </w:r>
            <w:r w:rsidR="00E71BE7" w:rsidRPr="00DC37D6">
              <w:rPr>
                <w:rFonts w:ascii="Barlow" w:hAnsi="Barlow" w:cs="Arial"/>
                <w:b/>
                <w:bCs/>
                <w:sz w:val="20"/>
                <w:szCs w:val="20"/>
              </w:rPr>
              <w:t>31</w:t>
            </w:r>
            <w:r w:rsidR="00F03007" w:rsidRPr="00DC37D6">
              <w:rPr>
                <w:rFonts w:ascii="Barlow" w:hAnsi="Barlow" w:cs="Arial"/>
                <w:b/>
                <w:bCs/>
                <w:sz w:val="20"/>
                <w:szCs w:val="20"/>
              </w:rPr>
              <w:t>/</w:t>
            </w:r>
            <w:r w:rsidR="00E71BE7" w:rsidRPr="00DC37D6">
              <w:rPr>
                <w:rFonts w:ascii="Barlow" w:hAnsi="Barlow" w:cs="Arial"/>
                <w:b/>
                <w:bCs/>
                <w:sz w:val="20"/>
                <w:szCs w:val="20"/>
              </w:rPr>
              <w:t>MARZ</w:t>
            </w:r>
            <w:r w:rsidR="007D4310" w:rsidRPr="00DC37D6">
              <w:rPr>
                <w:rFonts w:ascii="Barlow" w:hAnsi="Barlow" w:cs="Arial"/>
                <w:b/>
                <w:bCs/>
                <w:sz w:val="20"/>
                <w:szCs w:val="20"/>
              </w:rPr>
              <w:t>O</w:t>
            </w:r>
            <w:r w:rsidR="00F03007" w:rsidRPr="00DC37D6">
              <w:rPr>
                <w:rFonts w:ascii="Barlow" w:hAnsi="Barlow" w:cs="Arial"/>
                <w:b/>
                <w:bCs/>
                <w:sz w:val="20"/>
                <w:szCs w:val="20"/>
              </w:rPr>
              <w:t>/</w:t>
            </w:r>
            <w:r w:rsidRPr="00DC37D6">
              <w:rPr>
                <w:rFonts w:ascii="Barlow" w:hAnsi="Barlow" w:cs="Arial"/>
                <w:b/>
                <w:bCs/>
                <w:sz w:val="20"/>
                <w:szCs w:val="20"/>
              </w:rPr>
              <w:t>202</w:t>
            </w:r>
            <w:r w:rsidR="007D4310" w:rsidRPr="00DC37D6">
              <w:rPr>
                <w:rFonts w:ascii="Barlow" w:hAnsi="Barlow" w:cs="Arial"/>
                <w:b/>
                <w:bCs/>
                <w:sz w:val="20"/>
                <w:szCs w:val="20"/>
              </w:rPr>
              <w:t>2</w:t>
            </w:r>
          </w:p>
        </w:tc>
      </w:tr>
      <w:tr w:rsidR="00131FFC" w:rsidRPr="00DC37D6" w14:paraId="17FDE63E" w14:textId="77777777" w:rsidTr="00195F8A">
        <w:trPr>
          <w:trHeight w:val="330"/>
          <w:jc w:val="center"/>
        </w:trPr>
        <w:tc>
          <w:tcPr>
            <w:tcW w:w="1249" w:type="dxa"/>
            <w:noWrap/>
            <w:hideMark/>
          </w:tcPr>
          <w:p w14:paraId="5E04EE38" w14:textId="77777777" w:rsidR="00131FFC" w:rsidRPr="00DC37D6" w:rsidRDefault="00131FFC" w:rsidP="002C3190">
            <w:pPr>
              <w:autoSpaceDE w:val="0"/>
              <w:autoSpaceDN w:val="0"/>
              <w:adjustRightInd w:val="0"/>
              <w:spacing w:line="360" w:lineRule="auto"/>
              <w:jc w:val="center"/>
              <w:rPr>
                <w:rFonts w:ascii="Barlow" w:hAnsi="Barlow" w:cs="Arial"/>
                <w:sz w:val="20"/>
                <w:szCs w:val="20"/>
              </w:rPr>
            </w:pPr>
            <w:r w:rsidRPr="00DC37D6">
              <w:rPr>
                <w:rFonts w:ascii="Barlow" w:hAnsi="Barlow" w:cs="Arial"/>
                <w:sz w:val="20"/>
                <w:szCs w:val="20"/>
              </w:rPr>
              <w:t>1024249310</w:t>
            </w:r>
          </w:p>
        </w:tc>
        <w:tc>
          <w:tcPr>
            <w:tcW w:w="4215" w:type="dxa"/>
            <w:noWrap/>
            <w:hideMark/>
          </w:tcPr>
          <w:p w14:paraId="7E33B1DB" w14:textId="77777777" w:rsidR="00131FFC" w:rsidRPr="00DC37D6" w:rsidRDefault="00131FFC" w:rsidP="002C3190">
            <w:p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Banorte, S.A.</w:t>
            </w:r>
          </w:p>
        </w:tc>
        <w:tc>
          <w:tcPr>
            <w:tcW w:w="1927" w:type="dxa"/>
            <w:noWrap/>
            <w:hideMark/>
          </w:tcPr>
          <w:p w14:paraId="203B24C2" w14:textId="47E69580" w:rsidR="00131FFC" w:rsidRPr="00DC37D6" w:rsidRDefault="00E46710" w:rsidP="00E71BE7">
            <w:pPr>
              <w:jc w:val="right"/>
              <w:rPr>
                <w:rFonts w:ascii="Barlow" w:hAnsi="Barlow" w:cs="Arial"/>
                <w:sz w:val="20"/>
                <w:szCs w:val="20"/>
              </w:rPr>
            </w:pPr>
            <w:r w:rsidRPr="00DC37D6">
              <w:rPr>
                <w:rFonts w:ascii="Barlow" w:hAnsi="Barlow" w:cs="Arial"/>
                <w:sz w:val="20"/>
                <w:szCs w:val="20"/>
              </w:rPr>
              <w:t>$</w:t>
            </w:r>
            <w:r w:rsidR="00BB30C2" w:rsidRPr="00DC37D6">
              <w:rPr>
                <w:rFonts w:ascii="Barlow" w:hAnsi="Barlow" w:cs="Arial"/>
                <w:sz w:val="20"/>
                <w:szCs w:val="20"/>
              </w:rPr>
              <w:t>1</w:t>
            </w:r>
            <w:r w:rsidR="00E71BE7" w:rsidRPr="00DC37D6">
              <w:rPr>
                <w:rFonts w:ascii="Barlow" w:hAnsi="Barlow" w:cs="Arial"/>
                <w:sz w:val="20"/>
                <w:szCs w:val="20"/>
              </w:rPr>
              <w:t>53</w:t>
            </w:r>
            <w:r w:rsidR="003013E8" w:rsidRPr="00DC37D6">
              <w:rPr>
                <w:rFonts w:ascii="Barlow" w:hAnsi="Barlow" w:cs="Arial"/>
                <w:sz w:val="20"/>
                <w:szCs w:val="20"/>
              </w:rPr>
              <w:t>,</w:t>
            </w:r>
            <w:r w:rsidR="00E71BE7" w:rsidRPr="00DC37D6">
              <w:rPr>
                <w:rFonts w:ascii="Barlow" w:hAnsi="Barlow" w:cs="Arial"/>
                <w:sz w:val="20"/>
                <w:szCs w:val="20"/>
              </w:rPr>
              <w:t>469</w:t>
            </w:r>
            <w:r w:rsidR="003013E8" w:rsidRPr="00DC37D6">
              <w:rPr>
                <w:rFonts w:ascii="Barlow" w:hAnsi="Barlow" w:cs="Arial"/>
                <w:sz w:val="20"/>
                <w:szCs w:val="20"/>
              </w:rPr>
              <w:t>.</w:t>
            </w:r>
            <w:r w:rsidR="00E71BE7" w:rsidRPr="00DC37D6">
              <w:rPr>
                <w:rFonts w:ascii="Barlow" w:hAnsi="Barlow" w:cs="Arial"/>
                <w:sz w:val="20"/>
                <w:szCs w:val="20"/>
              </w:rPr>
              <w:t>66</w:t>
            </w:r>
          </w:p>
        </w:tc>
      </w:tr>
      <w:tr w:rsidR="00131FFC" w:rsidRPr="00DC37D6" w14:paraId="30CE7A6C" w14:textId="77777777" w:rsidTr="00195F8A">
        <w:trPr>
          <w:trHeight w:val="330"/>
          <w:jc w:val="center"/>
        </w:trPr>
        <w:tc>
          <w:tcPr>
            <w:tcW w:w="1249" w:type="dxa"/>
            <w:noWrap/>
            <w:hideMark/>
          </w:tcPr>
          <w:p w14:paraId="0276A21B" w14:textId="77777777" w:rsidR="00131FFC" w:rsidRPr="00DC37D6" w:rsidRDefault="00131FFC" w:rsidP="002C3190">
            <w:pPr>
              <w:autoSpaceDE w:val="0"/>
              <w:autoSpaceDN w:val="0"/>
              <w:adjustRightInd w:val="0"/>
              <w:spacing w:line="360" w:lineRule="auto"/>
              <w:jc w:val="center"/>
              <w:rPr>
                <w:rFonts w:ascii="Barlow" w:hAnsi="Barlow" w:cs="Arial"/>
                <w:sz w:val="20"/>
                <w:szCs w:val="20"/>
              </w:rPr>
            </w:pPr>
            <w:r w:rsidRPr="00DC37D6">
              <w:rPr>
                <w:rFonts w:ascii="Barlow" w:hAnsi="Barlow" w:cs="Arial"/>
                <w:sz w:val="20"/>
                <w:szCs w:val="20"/>
              </w:rPr>
              <w:t>1024249301</w:t>
            </w:r>
          </w:p>
        </w:tc>
        <w:tc>
          <w:tcPr>
            <w:tcW w:w="4215" w:type="dxa"/>
            <w:noWrap/>
            <w:hideMark/>
          </w:tcPr>
          <w:p w14:paraId="1C35A786" w14:textId="77777777" w:rsidR="00131FFC" w:rsidRPr="00DC37D6" w:rsidRDefault="00131FFC" w:rsidP="002C3190">
            <w:p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Banorte, S.A.</w:t>
            </w:r>
          </w:p>
        </w:tc>
        <w:tc>
          <w:tcPr>
            <w:tcW w:w="1927" w:type="dxa"/>
            <w:noWrap/>
            <w:hideMark/>
          </w:tcPr>
          <w:p w14:paraId="51687E9F" w14:textId="208CEA52" w:rsidR="00131FFC" w:rsidRPr="00DC37D6" w:rsidRDefault="00E46710" w:rsidP="00E71BE7">
            <w:pPr>
              <w:jc w:val="right"/>
              <w:rPr>
                <w:rFonts w:ascii="Barlow" w:hAnsi="Barlow" w:cs="Arial"/>
                <w:sz w:val="20"/>
                <w:szCs w:val="20"/>
              </w:rPr>
            </w:pPr>
            <w:r w:rsidRPr="00DC37D6">
              <w:rPr>
                <w:rFonts w:ascii="Barlow" w:hAnsi="Barlow" w:cs="Arial"/>
                <w:sz w:val="20"/>
                <w:szCs w:val="20"/>
              </w:rPr>
              <w:t>$</w:t>
            </w:r>
            <w:r w:rsidR="00E71BE7" w:rsidRPr="00DC37D6">
              <w:rPr>
                <w:rFonts w:ascii="Barlow" w:hAnsi="Barlow" w:cs="Arial"/>
                <w:sz w:val="20"/>
                <w:szCs w:val="20"/>
              </w:rPr>
              <w:t>19</w:t>
            </w:r>
            <w:r w:rsidR="00E25C47" w:rsidRPr="00DC37D6">
              <w:rPr>
                <w:rFonts w:ascii="Barlow" w:hAnsi="Barlow" w:cs="Arial"/>
                <w:sz w:val="20"/>
                <w:szCs w:val="20"/>
              </w:rPr>
              <w:t>,</w:t>
            </w:r>
            <w:r w:rsidR="00E71BE7" w:rsidRPr="00DC37D6">
              <w:rPr>
                <w:rFonts w:ascii="Barlow" w:hAnsi="Barlow" w:cs="Arial"/>
                <w:sz w:val="20"/>
                <w:szCs w:val="20"/>
              </w:rPr>
              <w:t>643</w:t>
            </w:r>
            <w:r w:rsidR="00BB30C2" w:rsidRPr="00DC37D6">
              <w:rPr>
                <w:rFonts w:ascii="Barlow" w:hAnsi="Barlow" w:cs="Arial"/>
                <w:sz w:val="20"/>
                <w:szCs w:val="20"/>
              </w:rPr>
              <w:t>.</w:t>
            </w:r>
            <w:r w:rsidR="00E71BE7" w:rsidRPr="00DC37D6">
              <w:rPr>
                <w:rFonts w:ascii="Barlow" w:hAnsi="Barlow" w:cs="Arial"/>
                <w:sz w:val="20"/>
                <w:szCs w:val="20"/>
              </w:rPr>
              <w:t>05</w:t>
            </w:r>
          </w:p>
        </w:tc>
      </w:tr>
      <w:tr w:rsidR="00683158" w:rsidRPr="00DC37D6" w14:paraId="05C4FA4C" w14:textId="77777777" w:rsidTr="00195F8A">
        <w:trPr>
          <w:trHeight w:val="330"/>
          <w:jc w:val="center"/>
        </w:trPr>
        <w:tc>
          <w:tcPr>
            <w:tcW w:w="1249" w:type="dxa"/>
            <w:noWrap/>
          </w:tcPr>
          <w:p w14:paraId="7455DF90" w14:textId="59F58280" w:rsidR="00683158" w:rsidRPr="00DC37D6" w:rsidRDefault="00683158" w:rsidP="002C3190">
            <w:pPr>
              <w:jc w:val="center"/>
              <w:rPr>
                <w:rFonts w:ascii="Barlow" w:hAnsi="Barlow" w:cs="Arial"/>
                <w:bCs/>
                <w:iCs/>
                <w:color w:val="000000"/>
                <w:sz w:val="20"/>
                <w:szCs w:val="20"/>
              </w:rPr>
            </w:pPr>
            <w:r w:rsidRPr="00DC37D6">
              <w:rPr>
                <w:rFonts w:ascii="Barlow" w:hAnsi="Barlow" w:cs="Arial"/>
                <w:bCs/>
                <w:iCs/>
                <w:color w:val="000000"/>
                <w:sz w:val="20"/>
                <w:szCs w:val="20"/>
              </w:rPr>
              <w:t>1160372303</w:t>
            </w:r>
          </w:p>
        </w:tc>
        <w:tc>
          <w:tcPr>
            <w:tcW w:w="4215" w:type="dxa"/>
            <w:noWrap/>
          </w:tcPr>
          <w:p w14:paraId="1D6E9844" w14:textId="3A849E6E" w:rsidR="00683158" w:rsidRPr="00DC37D6" w:rsidRDefault="00683158" w:rsidP="002C3190">
            <w:p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Banorte, S.A.</w:t>
            </w:r>
          </w:p>
        </w:tc>
        <w:tc>
          <w:tcPr>
            <w:tcW w:w="1927" w:type="dxa"/>
            <w:noWrap/>
          </w:tcPr>
          <w:p w14:paraId="36D43368" w14:textId="3950512A" w:rsidR="00683158" w:rsidRPr="00DC37D6" w:rsidRDefault="00683158" w:rsidP="00E71BE7">
            <w:pPr>
              <w:jc w:val="right"/>
              <w:rPr>
                <w:rFonts w:ascii="Barlow" w:hAnsi="Barlow" w:cs="Arial"/>
                <w:sz w:val="20"/>
                <w:szCs w:val="20"/>
              </w:rPr>
            </w:pPr>
            <w:r w:rsidRPr="00DC37D6">
              <w:rPr>
                <w:rFonts w:ascii="Barlow" w:hAnsi="Barlow" w:cs="Arial"/>
                <w:sz w:val="20"/>
                <w:szCs w:val="20"/>
              </w:rPr>
              <w:t>$</w:t>
            </w:r>
            <w:r w:rsidR="00E71BE7" w:rsidRPr="00DC37D6">
              <w:rPr>
                <w:rFonts w:ascii="Barlow" w:hAnsi="Barlow" w:cs="Arial"/>
                <w:sz w:val="20"/>
                <w:szCs w:val="20"/>
              </w:rPr>
              <w:t>529</w:t>
            </w:r>
            <w:r w:rsidRPr="00DC37D6">
              <w:rPr>
                <w:rFonts w:ascii="Barlow" w:hAnsi="Barlow" w:cs="Arial"/>
                <w:sz w:val="20"/>
                <w:szCs w:val="20"/>
              </w:rPr>
              <w:t>,</w:t>
            </w:r>
            <w:r w:rsidR="00E71BE7" w:rsidRPr="00DC37D6">
              <w:rPr>
                <w:rFonts w:ascii="Barlow" w:hAnsi="Barlow" w:cs="Arial"/>
                <w:sz w:val="20"/>
                <w:szCs w:val="20"/>
              </w:rPr>
              <w:t>142</w:t>
            </w:r>
            <w:r w:rsidRPr="00DC37D6">
              <w:rPr>
                <w:rFonts w:ascii="Barlow" w:hAnsi="Barlow" w:cs="Arial"/>
                <w:sz w:val="20"/>
                <w:szCs w:val="20"/>
              </w:rPr>
              <w:t>.</w:t>
            </w:r>
            <w:r w:rsidR="00170E5F" w:rsidRPr="00DC37D6">
              <w:rPr>
                <w:rFonts w:ascii="Barlow" w:hAnsi="Barlow" w:cs="Arial"/>
                <w:sz w:val="20"/>
                <w:szCs w:val="20"/>
              </w:rPr>
              <w:t>2</w:t>
            </w:r>
            <w:r w:rsidR="00E71BE7" w:rsidRPr="00DC37D6">
              <w:rPr>
                <w:rFonts w:ascii="Barlow" w:hAnsi="Barlow" w:cs="Arial"/>
                <w:sz w:val="20"/>
                <w:szCs w:val="20"/>
              </w:rPr>
              <w:t>2</w:t>
            </w:r>
          </w:p>
        </w:tc>
      </w:tr>
      <w:tr w:rsidR="00131FFC" w:rsidRPr="00DC37D6" w14:paraId="3882FE7B" w14:textId="77777777" w:rsidTr="00195F8A">
        <w:trPr>
          <w:trHeight w:val="347"/>
          <w:jc w:val="center"/>
        </w:trPr>
        <w:tc>
          <w:tcPr>
            <w:tcW w:w="5464" w:type="dxa"/>
            <w:gridSpan w:val="2"/>
            <w:shd w:val="clear" w:color="auto" w:fill="9BBB59" w:themeFill="accent3"/>
            <w:noWrap/>
            <w:hideMark/>
          </w:tcPr>
          <w:p w14:paraId="4BCFE622" w14:textId="1A8FE8D8" w:rsidR="00131FFC" w:rsidRPr="00DC37D6" w:rsidRDefault="00131FFC" w:rsidP="006C1DD6">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TOTAL</w:t>
            </w:r>
          </w:p>
        </w:tc>
        <w:tc>
          <w:tcPr>
            <w:tcW w:w="1927" w:type="dxa"/>
            <w:shd w:val="clear" w:color="auto" w:fill="9BBB59" w:themeFill="accent3"/>
            <w:noWrap/>
            <w:hideMark/>
          </w:tcPr>
          <w:p w14:paraId="01BC8690" w14:textId="14ED70C3" w:rsidR="00131FFC" w:rsidRPr="00DC37D6" w:rsidRDefault="00131FFC" w:rsidP="00E71BE7">
            <w:pPr>
              <w:jc w:val="right"/>
              <w:rPr>
                <w:rFonts w:ascii="Barlow" w:hAnsi="Barlow" w:cs="Arial"/>
                <w:b/>
                <w:bCs/>
                <w:sz w:val="20"/>
                <w:szCs w:val="20"/>
              </w:rPr>
            </w:pPr>
            <w:r w:rsidRPr="00DC37D6">
              <w:rPr>
                <w:rFonts w:ascii="Barlow" w:hAnsi="Barlow" w:cs="Arial"/>
                <w:b/>
                <w:bCs/>
                <w:sz w:val="20"/>
                <w:szCs w:val="20"/>
              </w:rPr>
              <w:t>$</w:t>
            </w:r>
            <w:r w:rsidR="00E71BE7" w:rsidRPr="00DC37D6">
              <w:rPr>
                <w:rFonts w:ascii="Barlow" w:hAnsi="Barlow" w:cs="Arial"/>
                <w:b/>
                <w:bCs/>
                <w:sz w:val="20"/>
                <w:szCs w:val="20"/>
              </w:rPr>
              <w:t>702</w:t>
            </w:r>
            <w:r w:rsidR="009A455F" w:rsidRPr="00DC37D6">
              <w:rPr>
                <w:rFonts w:ascii="Barlow" w:hAnsi="Barlow" w:cs="Arial"/>
                <w:b/>
                <w:bCs/>
                <w:sz w:val="20"/>
                <w:szCs w:val="20"/>
              </w:rPr>
              <w:t>,</w:t>
            </w:r>
            <w:r w:rsidR="00E71BE7" w:rsidRPr="00DC37D6">
              <w:rPr>
                <w:rFonts w:ascii="Barlow" w:hAnsi="Barlow" w:cs="Arial"/>
                <w:b/>
                <w:bCs/>
                <w:sz w:val="20"/>
                <w:szCs w:val="20"/>
              </w:rPr>
              <w:t>254</w:t>
            </w:r>
            <w:r w:rsidRPr="00DC37D6">
              <w:rPr>
                <w:rFonts w:ascii="Barlow" w:hAnsi="Barlow" w:cs="Arial"/>
                <w:b/>
                <w:bCs/>
                <w:sz w:val="20"/>
                <w:szCs w:val="20"/>
              </w:rPr>
              <w:t>.</w:t>
            </w:r>
            <w:r w:rsidR="00E71BE7" w:rsidRPr="00DC37D6">
              <w:rPr>
                <w:rFonts w:ascii="Barlow" w:hAnsi="Barlow" w:cs="Arial"/>
                <w:b/>
                <w:bCs/>
                <w:sz w:val="20"/>
                <w:szCs w:val="20"/>
              </w:rPr>
              <w:t>93</w:t>
            </w:r>
          </w:p>
        </w:tc>
      </w:tr>
    </w:tbl>
    <w:p w14:paraId="70C91C89" w14:textId="77777777" w:rsidR="009A3AAB" w:rsidRPr="00DC37D6" w:rsidRDefault="009A3AAB" w:rsidP="00C4137E">
      <w:pPr>
        <w:autoSpaceDE w:val="0"/>
        <w:autoSpaceDN w:val="0"/>
        <w:adjustRightInd w:val="0"/>
        <w:spacing w:line="360" w:lineRule="auto"/>
        <w:jc w:val="both"/>
        <w:rPr>
          <w:rFonts w:ascii="Barlow" w:hAnsi="Barlow" w:cs="Arial"/>
          <w:sz w:val="20"/>
          <w:szCs w:val="20"/>
        </w:rPr>
      </w:pPr>
    </w:p>
    <w:p w14:paraId="7A890AC8" w14:textId="19776F37" w:rsidR="002C3190" w:rsidRPr="00DC37D6" w:rsidRDefault="00AE0060" w:rsidP="004F72F9">
      <w:pPr>
        <w:pStyle w:val="Prrafodelista"/>
        <w:numPr>
          <w:ilvl w:val="0"/>
          <w:numId w:val="23"/>
        </w:numPr>
        <w:autoSpaceDE w:val="0"/>
        <w:autoSpaceDN w:val="0"/>
        <w:adjustRightInd w:val="0"/>
        <w:spacing w:line="360" w:lineRule="auto"/>
        <w:jc w:val="both"/>
        <w:rPr>
          <w:rFonts w:ascii="Barlow" w:hAnsi="Barlow" w:cs="Arial"/>
          <w:b/>
          <w:sz w:val="20"/>
          <w:szCs w:val="20"/>
        </w:rPr>
      </w:pPr>
      <w:r w:rsidRPr="00DC37D6">
        <w:rPr>
          <w:rFonts w:ascii="Barlow" w:hAnsi="Barlow" w:cs="Arial"/>
          <w:sz w:val="20"/>
          <w:szCs w:val="20"/>
        </w:rPr>
        <w:t>El E</w:t>
      </w:r>
      <w:r w:rsidR="00A71EA1" w:rsidRPr="00DC37D6">
        <w:rPr>
          <w:rFonts w:ascii="Barlow" w:hAnsi="Barlow" w:cs="Arial"/>
          <w:sz w:val="20"/>
          <w:szCs w:val="20"/>
        </w:rPr>
        <w:t>fectivo: consiste en la disposición de efectivo utilizada para un Fondo Fijo</w:t>
      </w:r>
      <w:r w:rsidR="00A65A06" w:rsidRPr="00DC37D6">
        <w:rPr>
          <w:rFonts w:ascii="Barlow" w:hAnsi="Barlow" w:cs="Arial"/>
          <w:sz w:val="20"/>
          <w:szCs w:val="20"/>
        </w:rPr>
        <w:t xml:space="preserve">, </w:t>
      </w:r>
      <w:r w:rsidR="00364146" w:rsidRPr="00DC37D6">
        <w:rPr>
          <w:rFonts w:ascii="Barlow" w:hAnsi="Barlow" w:cs="Arial"/>
          <w:sz w:val="20"/>
          <w:szCs w:val="20"/>
        </w:rPr>
        <w:t xml:space="preserve">al </w:t>
      </w:r>
      <w:r w:rsidR="00E71BE7" w:rsidRPr="00DC37D6">
        <w:rPr>
          <w:rFonts w:ascii="Barlow" w:hAnsi="Barlow" w:cs="Arial"/>
          <w:sz w:val="20"/>
          <w:szCs w:val="20"/>
        </w:rPr>
        <w:t>31</w:t>
      </w:r>
      <w:r w:rsidRPr="00DC37D6">
        <w:rPr>
          <w:rFonts w:ascii="Barlow" w:hAnsi="Barlow" w:cs="Arial"/>
          <w:sz w:val="20"/>
          <w:szCs w:val="20"/>
        </w:rPr>
        <w:t xml:space="preserve"> de </w:t>
      </w:r>
      <w:r w:rsidR="00E71BE7" w:rsidRPr="00DC37D6">
        <w:rPr>
          <w:rFonts w:ascii="Barlow" w:hAnsi="Barlow" w:cs="Arial"/>
          <w:sz w:val="20"/>
          <w:szCs w:val="20"/>
        </w:rPr>
        <w:t>marz</w:t>
      </w:r>
      <w:r w:rsidR="00683158" w:rsidRPr="00DC37D6">
        <w:rPr>
          <w:rFonts w:ascii="Barlow" w:hAnsi="Barlow" w:cs="Arial"/>
          <w:sz w:val="20"/>
          <w:szCs w:val="20"/>
        </w:rPr>
        <w:t>o de 2022</w:t>
      </w:r>
      <w:r w:rsidR="00A65A06" w:rsidRPr="00DC37D6">
        <w:rPr>
          <w:rFonts w:ascii="Barlow" w:hAnsi="Barlow" w:cs="Arial"/>
          <w:sz w:val="20"/>
          <w:szCs w:val="20"/>
        </w:rPr>
        <w:t xml:space="preserve"> no se tiene ningún Fondo Fijo asignado.</w:t>
      </w:r>
    </w:p>
    <w:p w14:paraId="2B2FA1FF" w14:textId="77777777" w:rsidR="001E6FE3" w:rsidRPr="00DC37D6" w:rsidRDefault="001E6FE3" w:rsidP="001E6FE3">
      <w:pPr>
        <w:pStyle w:val="Prrafodelista"/>
        <w:autoSpaceDE w:val="0"/>
        <w:autoSpaceDN w:val="0"/>
        <w:adjustRightInd w:val="0"/>
        <w:spacing w:line="360" w:lineRule="auto"/>
        <w:ind w:left="780"/>
        <w:jc w:val="both"/>
        <w:rPr>
          <w:rFonts w:ascii="Barlow" w:hAnsi="Barlow" w:cs="Arial"/>
          <w:b/>
          <w:sz w:val="20"/>
          <w:szCs w:val="20"/>
        </w:rPr>
      </w:pPr>
    </w:p>
    <w:p w14:paraId="353ABC94" w14:textId="0A09A7C8" w:rsidR="00871419" w:rsidRPr="00DC37D6" w:rsidRDefault="009A3AAB" w:rsidP="00417168">
      <w:pPr>
        <w:autoSpaceDE w:val="0"/>
        <w:autoSpaceDN w:val="0"/>
        <w:adjustRightInd w:val="0"/>
        <w:jc w:val="both"/>
        <w:rPr>
          <w:rFonts w:ascii="Barlow" w:hAnsi="Barlow" w:cs="Arial"/>
          <w:b/>
          <w:sz w:val="20"/>
          <w:szCs w:val="20"/>
        </w:rPr>
      </w:pPr>
      <w:r w:rsidRPr="00DC37D6">
        <w:rPr>
          <w:rFonts w:ascii="Barlow" w:hAnsi="Barlow" w:cs="Arial"/>
          <w:b/>
          <w:sz w:val="20"/>
          <w:szCs w:val="20"/>
        </w:rPr>
        <w:t>D</w:t>
      </w:r>
      <w:r w:rsidR="00AE0060" w:rsidRPr="00DC37D6">
        <w:rPr>
          <w:rFonts w:ascii="Barlow" w:hAnsi="Barlow" w:cs="Arial"/>
          <w:b/>
          <w:sz w:val="20"/>
          <w:szCs w:val="20"/>
        </w:rPr>
        <w:t xml:space="preserve">erechos a recibir efectivo </w:t>
      </w:r>
      <w:r w:rsidR="00012217" w:rsidRPr="00DC37D6">
        <w:rPr>
          <w:rFonts w:ascii="Barlow" w:hAnsi="Barlow" w:cs="Arial"/>
          <w:b/>
          <w:sz w:val="20"/>
          <w:szCs w:val="20"/>
        </w:rPr>
        <w:t>o</w:t>
      </w:r>
      <w:r w:rsidR="00AE0060" w:rsidRPr="00DC37D6">
        <w:rPr>
          <w:rFonts w:ascii="Barlow" w:hAnsi="Barlow" w:cs="Arial"/>
          <w:b/>
          <w:sz w:val="20"/>
          <w:szCs w:val="20"/>
        </w:rPr>
        <w:t xml:space="preserve"> equivalentes y bienes </w:t>
      </w:r>
      <w:r w:rsidR="000B0E5E" w:rsidRPr="00DC37D6">
        <w:rPr>
          <w:rFonts w:ascii="Barlow" w:hAnsi="Barlow" w:cs="Arial"/>
          <w:b/>
          <w:sz w:val="20"/>
          <w:szCs w:val="20"/>
        </w:rPr>
        <w:t xml:space="preserve">o </w:t>
      </w:r>
      <w:r w:rsidR="00AE0060" w:rsidRPr="00DC37D6">
        <w:rPr>
          <w:rFonts w:ascii="Barlow" w:hAnsi="Barlow" w:cs="Arial"/>
          <w:b/>
          <w:sz w:val="20"/>
          <w:szCs w:val="20"/>
        </w:rPr>
        <w:t>servicios</w:t>
      </w:r>
      <w:r w:rsidR="000B0E5E" w:rsidRPr="00DC37D6">
        <w:rPr>
          <w:rFonts w:ascii="Barlow" w:hAnsi="Barlow" w:cs="Arial"/>
          <w:b/>
          <w:sz w:val="20"/>
          <w:szCs w:val="20"/>
        </w:rPr>
        <w:t xml:space="preserve"> a recibir</w:t>
      </w:r>
    </w:p>
    <w:p w14:paraId="2F765410" w14:textId="77777777" w:rsidR="00417168" w:rsidRPr="00DC37D6" w:rsidRDefault="00417168" w:rsidP="00417168">
      <w:pPr>
        <w:autoSpaceDE w:val="0"/>
        <w:autoSpaceDN w:val="0"/>
        <w:adjustRightInd w:val="0"/>
        <w:jc w:val="both"/>
        <w:rPr>
          <w:rFonts w:ascii="Barlow" w:hAnsi="Barlow" w:cs="Arial"/>
          <w:b/>
          <w:sz w:val="20"/>
          <w:szCs w:val="20"/>
        </w:rPr>
      </w:pPr>
    </w:p>
    <w:p w14:paraId="3CC7D5BC" w14:textId="677808F1" w:rsidR="009143F0" w:rsidRPr="00DC37D6" w:rsidRDefault="003D400F" w:rsidP="00E71BE7">
      <w:pPr>
        <w:autoSpaceDE w:val="0"/>
        <w:autoSpaceDN w:val="0"/>
        <w:adjustRightInd w:val="0"/>
        <w:jc w:val="both"/>
        <w:rPr>
          <w:rFonts w:ascii="Barlow" w:hAnsi="Barlow" w:cs="Arial"/>
          <w:bCs/>
          <w:sz w:val="20"/>
          <w:szCs w:val="20"/>
        </w:rPr>
      </w:pPr>
      <w:r w:rsidRPr="00DC37D6">
        <w:rPr>
          <w:rFonts w:ascii="Barlow" w:hAnsi="Barlow" w:cs="Arial"/>
          <w:bCs/>
          <w:sz w:val="20"/>
          <w:szCs w:val="20"/>
        </w:rPr>
        <w:t xml:space="preserve">2.- </w:t>
      </w:r>
      <w:r w:rsidR="00FF2DF5" w:rsidRPr="00DC37D6">
        <w:rPr>
          <w:rFonts w:ascii="Barlow" w:hAnsi="Barlow" w:cs="Arial"/>
          <w:bCs/>
          <w:sz w:val="20"/>
          <w:szCs w:val="20"/>
        </w:rPr>
        <w:t xml:space="preserve">Los </w:t>
      </w:r>
      <w:r w:rsidR="003C0AAC" w:rsidRPr="00DC37D6">
        <w:rPr>
          <w:rFonts w:ascii="Barlow" w:hAnsi="Barlow" w:cs="Arial"/>
          <w:bCs/>
          <w:sz w:val="20"/>
          <w:szCs w:val="20"/>
        </w:rPr>
        <w:t>d</w:t>
      </w:r>
      <w:r w:rsidR="00FF2DF5" w:rsidRPr="00DC37D6">
        <w:rPr>
          <w:rFonts w:ascii="Barlow" w:hAnsi="Barlow" w:cs="Arial"/>
          <w:bCs/>
          <w:sz w:val="20"/>
          <w:szCs w:val="20"/>
        </w:rPr>
        <w:t>erechos a recibir efectivo y equivalentes</w:t>
      </w:r>
      <w:r w:rsidR="00B65EC2" w:rsidRPr="00DC37D6">
        <w:rPr>
          <w:rFonts w:ascii="Barlow" w:hAnsi="Barlow" w:cs="Arial"/>
          <w:bCs/>
          <w:sz w:val="20"/>
          <w:szCs w:val="20"/>
        </w:rPr>
        <w:t xml:space="preserve"> al </w:t>
      </w:r>
      <w:r w:rsidR="00E71BE7" w:rsidRPr="00DC37D6">
        <w:rPr>
          <w:rFonts w:ascii="Barlow" w:hAnsi="Barlow" w:cs="Arial"/>
          <w:bCs/>
          <w:sz w:val="20"/>
          <w:szCs w:val="20"/>
        </w:rPr>
        <w:t>31</w:t>
      </w:r>
      <w:r w:rsidR="00B65EC2" w:rsidRPr="00DC37D6">
        <w:rPr>
          <w:rFonts w:ascii="Barlow" w:hAnsi="Barlow" w:cs="Arial"/>
          <w:bCs/>
          <w:sz w:val="20"/>
          <w:szCs w:val="20"/>
        </w:rPr>
        <w:t xml:space="preserve"> de </w:t>
      </w:r>
      <w:r w:rsidR="00E71BE7" w:rsidRPr="00DC37D6">
        <w:rPr>
          <w:rFonts w:ascii="Barlow" w:hAnsi="Barlow" w:cs="Arial"/>
          <w:bCs/>
          <w:sz w:val="20"/>
          <w:szCs w:val="20"/>
        </w:rPr>
        <w:t>marz</w:t>
      </w:r>
      <w:r w:rsidR="008F6E07" w:rsidRPr="00DC37D6">
        <w:rPr>
          <w:rFonts w:ascii="Barlow" w:hAnsi="Barlow" w:cs="Arial"/>
          <w:bCs/>
          <w:sz w:val="20"/>
          <w:szCs w:val="20"/>
        </w:rPr>
        <w:t>o de 2022</w:t>
      </w:r>
      <w:r w:rsidR="001F3718" w:rsidRPr="00DC37D6">
        <w:rPr>
          <w:rFonts w:ascii="Barlow" w:hAnsi="Barlow" w:cs="Arial"/>
          <w:bCs/>
          <w:sz w:val="20"/>
          <w:szCs w:val="20"/>
        </w:rPr>
        <w:t xml:space="preserve"> </w:t>
      </w:r>
      <w:r w:rsidR="00E71BE7" w:rsidRPr="00DC37D6">
        <w:rPr>
          <w:rFonts w:ascii="Barlow" w:hAnsi="Barlow" w:cs="Arial"/>
          <w:bCs/>
          <w:sz w:val="20"/>
          <w:szCs w:val="20"/>
        </w:rPr>
        <w:t xml:space="preserve">es saldo cero. </w:t>
      </w:r>
    </w:p>
    <w:p w14:paraId="4AB1A9D6" w14:textId="77777777" w:rsidR="00417168" w:rsidRPr="00DC37D6" w:rsidRDefault="00417168" w:rsidP="00417168">
      <w:pPr>
        <w:autoSpaceDE w:val="0"/>
        <w:autoSpaceDN w:val="0"/>
        <w:adjustRightInd w:val="0"/>
        <w:jc w:val="both"/>
        <w:rPr>
          <w:rFonts w:ascii="Barlow" w:hAnsi="Barlow" w:cs="Arial"/>
          <w:bCs/>
          <w:sz w:val="20"/>
          <w:szCs w:val="20"/>
        </w:rPr>
      </w:pPr>
    </w:p>
    <w:p w14:paraId="492EC14F" w14:textId="4576AC52" w:rsidR="0001578C" w:rsidRPr="00DC37D6" w:rsidRDefault="003C0AAC" w:rsidP="00417168">
      <w:pPr>
        <w:autoSpaceDE w:val="0"/>
        <w:autoSpaceDN w:val="0"/>
        <w:adjustRightInd w:val="0"/>
        <w:jc w:val="both"/>
        <w:rPr>
          <w:rFonts w:ascii="Barlow" w:hAnsi="Barlow" w:cs="Arial"/>
          <w:sz w:val="20"/>
          <w:szCs w:val="20"/>
        </w:rPr>
      </w:pPr>
      <w:r w:rsidRPr="00DC37D6">
        <w:rPr>
          <w:rFonts w:ascii="Barlow" w:hAnsi="Barlow" w:cs="Arial"/>
          <w:sz w:val="20"/>
          <w:szCs w:val="20"/>
        </w:rPr>
        <w:t>3.- Los derechos a recibir bienes o servicios</w:t>
      </w:r>
      <w:r w:rsidR="009831AC" w:rsidRPr="00DC37D6">
        <w:rPr>
          <w:rFonts w:ascii="Barlow" w:hAnsi="Barlow" w:cs="Arial"/>
          <w:sz w:val="20"/>
          <w:szCs w:val="20"/>
        </w:rPr>
        <w:t xml:space="preserve"> al </w:t>
      </w:r>
      <w:r w:rsidR="00E71BE7" w:rsidRPr="00DC37D6">
        <w:rPr>
          <w:rFonts w:ascii="Barlow" w:hAnsi="Barlow" w:cs="Arial"/>
          <w:sz w:val="20"/>
          <w:szCs w:val="20"/>
        </w:rPr>
        <w:t>31</w:t>
      </w:r>
      <w:r w:rsidR="009831AC" w:rsidRPr="00DC37D6">
        <w:rPr>
          <w:rFonts w:ascii="Barlow" w:hAnsi="Barlow" w:cs="Arial"/>
          <w:sz w:val="20"/>
          <w:szCs w:val="20"/>
        </w:rPr>
        <w:t xml:space="preserve"> de </w:t>
      </w:r>
      <w:r w:rsidR="00E71BE7" w:rsidRPr="00DC37D6">
        <w:rPr>
          <w:rFonts w:ascii="Barlow" w:hAnsi="Barlow" w:cs="Arial"/>
          <w:sz w:val="20"/>
          <w:szCs w:val="20"/>
        </w:rPr>
        <w:t>marz</w:t>
      </w:r>
      <w:r w:rsidR="008F6E07" w:rsidRPr="00DC37D6">
        <w:rPr>
          <w:rFonts w:ascii="Barlow" w:hAnsi="Barlow" w:cs="Arial"/>
          <w:sz w:val="20"/>
          <w:szCs w:val="20"/>
        </w:rPr>
        <w:t>o de 2022</w:t>
      </w:r>
      <w:r w:rsidR="009831AC" w:rsidRPr="00DC37D6">
        <w:rPr>
          <w:rFonts w:ascii="Barlow" w:hAnsi="Barlow" w:cs="Arial"/>
          <w:sz w:val="20"/>
          <w:szCs w:val="20"/>
        </w:rPr>
        <w:t xml:space="preserve"> es saldo cero.</w:t>
      </w:r>
    </w:p>
    <w:p w14:paraId="69F4C87C" w14:textId="6EBC1F20" w:rsidR="004E32B1" w:rsidRPr="00DC37D6" w:rsidRDefault="004E32B1" w:rsidP="002C3190">
      <w:pPr>
        <w:autoSpaceDE w:val="0"/>
        <w:autoSpaceDN w:val="0"/>
        <w:adjustRightInd w:val="0"/>
        <w:spacing w:line="360" w:lineRule="auto"/>
        <w:jc w:val="both"/>
        <w:rPr>
          <w:rFonts w:ascii="Barlow" w:hAnsi="Barlow" w:cs="Arial"/>
          <w:b/>
          <w:sz w:val="20"/>
          <w:szCs w:val="20"/>
        </w:rPr>
      </w:pPr>
    </w:p>
    <w:p w14:paraId="420305E9" w14:textId="4DCD24B2" w:rsidR="004E32B1" w:rsidRPr="00DC37D6" w:rsidRDefault="004E32B1" w:rsidP="00417168">
      <w:pPr>
        <w:autoSpaceDE w:val="0"/>
        <w:autoSpaceDN w:val="0"/>
        <w:adjustRightInd w:val="0"/>
        <w:jc w:val="both"/>
        <w:rPr>
          <w:rFonts w:ascii="Barlow" w:hAnsi="Barlow" w:cs="Arial"/>
          <w:b/>
          <w:sz w:val="20"/>
          <w:szCs w:val="20"/>
        </w:rPr>
      </w:pPr>
      <w:r w:rsidRPr="00DC37D6">
        <w:rPr>
          <w:rFonts w:ascii="Barlow" w:hAnsi="Barlow" w:cs="Arial"/>
          <w:b/>
          <w:sz w:val="20"/>
          <w:szCs w:val="20"/>
        </w:rPr>
        <w:t>Bienes Disponibles para su Transformación o Consumo (inventarios)</w:t>
      </w:r>
    </w:p>
    <w:p w14:paraId="5AF9C51E" w14:textId="77777777" w:rsidR="009A3AAB" w:rsidRPr="00DC37D6" w:rsidRDefault="009A3AAB" w:rsidP="00417168">
      <w:pPr>
        <w:autoSpaceDE w:val="0"/>
        <w:autoSpaceDN w:val="0"/>
        <w:adjustRightInd w:val="0"/>
        <w:jc w:val="both"/>
        <w:rPr>
          <w:rFonts w:ascii="Barlow" w:hAnsi="Barlow" w:cs="Arial"/>
          <w:b/>
          <w:sz w:val="20"/>
          <w:szCs w:val="20"/>
        </w:rPr>
      </w:pPr>
    </w:p>
    <w:p w14:paraId="560AE42F" w14:textId="6E38DB5C" w:rsidR="008A0458" w:rsidRPr="00DC37D6" w:rsidRDefault="00E73432" w:rsidP="00417168">
      <w:pPr>
        <w:autoSpaceDE w:val="0"/>
        <w:autoSpaceDN w:val="0"/>
        <w:adjustRightInd w:val="0"/>
        <w:jc w:val="both"/>
        <w:rPr>
          <w:rFonts w:ascii="Barlow" w:hAnsi="Barlow" w:cs="Arial"/>
          <w:sz w:val="20"/>
          <w:szCs w:val="20"/>
        </w:rPr>
      </w:pPr>
      <w:r w:rsidRPr="00DC37D6">
        <w:rPr>
          <w:rFonts w:ascii="Barlow" w:hAnsi="Barlow" w:cs="Arial"/>
          <w:sz w:val="20"/>
          <w:szCs w:val="20"/>
        </w:rPr>
        <w:t>4.-</w:t>
      </w:r>
      <w:r w:rsidR="008A0458" w:rsidRPr="00DC37D6">
        <w:rPr>
          <w:rFonts w:ascii="Barlow" w:hAnsi="Barlow" w:cs="Arial"/>
          <w:sz w:val="20"/>
          <w:szCs w:val="20"/>
        </w:rPr>
        <w:t xml:space="preserve"> </w:t>
      </w:r>
      <w:r w:rsidR="00CF5FDE" w:rsidRPr="00DC37D6">
        <w:rPr>
          <w:rFonts w:ascii="Barlow" w:hAnsi="Barlow" w:cs="Arial"/>
          <w:sz w:val="20"/>
          <w:szCs w:val="20"/>
        </w:rPr>
        <w:t>La Secretaría Ejecutiva del Sistema Estatal Anticorrupción de Yucatán</w:t>
      </w:r>
      <w:r w:rsidR="008A0458" w:rsidRPr="00DC37D6">
        <w:rPr>
          <w:rFonts w:ascii="Barlow" w:hAnsi="Barlow" w:cs="Arial"/>
          <w:sz w:val="20"/>
          <w:szCs w:val="20"/>
        </w:rPr>
        <w:t xml:space="preserve"> no realiza ningún proceso de transformación y/o elaboración de bienes.</w:t>
      </w:r>
    </w:p>
    <w:p w14:paraId="0228EA71" w14:textId="77777777" w:rsidR="004C5A24" w:rsidRPr="00DC37D6" w:rsidRDefault="004C5A24" w:rsidP="00417168">
      <w:pPr>
        <w:autoSpaceDE w:val="0"/>
        <w:autoSpaceDN w:val="0"/>
        <w:adjustRightInd w:val="0"/>
        <w:jc w:val="both"/>
        <w:rPr>
          <w:rFonts w:ascii="Barlow" w:hAnsi="Barlow" w:cs="Arial"/>
          <w:sz w:val="20"/>
          <w:szCs w:val="20"/>
        </w:rPr>
      </w:pPr>
    </w:p>
    <w:p w14:paraId="39F5DE9D" w14:textId="01A2F94D" w:rsidR="008B0F94" w:rsidRPr="00DC37D6" w:rsidRDefault="00E73432" w:rsidP="00F70A17">
      <w:pPr>
        <w:autoSpaceDE w:val="0"/>
        <w:autoSpaceDN w:val="0"/>
        <w:adjustRightInd w:val="0"/>
        <w:jc w:val="both"/>
        <w:rPr>
          <w:rFonts w:ascii="Barlow" w:hAnsi="Barlow" w:cs="Arial"/>
          <w:sz w:val="20"/>
          <w:szCs w:val="20"/>
        </w:rPr>
      </w:pPr>
      <w:r w:rsidRPr="00DC37D6">
        <w:rPr>
          <w:rFonts w:ascii="Barlow" w:hAnsi="Barlow" w:cs="Arial"/>
          <w:sz w:val="20"/>
          <w:szCs w:val="20"/>
        </w:rPr>
        <w:t>5</w:t>
      </w:r>
      <w:r w:rsidR="008A0458" w:rsidRPr="00DC37D6">
        <w:rPr>
          <w:rFonts w:ascii="Barlow" w:hAnsi="Barlow" w:cs="Arial"/>
          <w:sz w:val="20"/>
          <w:szCs w:val="20"/>
        </w:rPr>
        <w:t xml:space="preserve">.- </w:t>
      </w:r>
      <w:r w:rsidR="00CF5FDE" w:rsidRPr="00DC37D6">
        <w:rPr>
          <w:rFonts w:ascii="Barlow" w:hAnsi="Barlow" w:cs="Arial"/>
          <w:sz w:val="20"/>
          <w:szCs w:val="20"/>
        </w:rPr>
        <w:t xml:space="preserve">La Secretaría Ejecutiva del Sistema Estatal Anticorrupción de Yucatán </w:t>
      </w:r>
      <w:r w:rsidR="008A0458" w:rsidRPr="00DC37D6">
        <w:rPr>
          <w:rFonts w:ascii="Barlow" w:hAnsi="Barlow" w:cs="Arial"/>
          <w:sz w:val="20"/>
          <w:szCs w:val="20"/>
        </w:rPr>
        <w:t>no realiza registro en la cuenta de almacén</w:t>
      </w:r>
      <w:r w:rsidR="00E1471D" w:rsidRPr="00DC37D6">
        <w:rPr>
          <w:rFonts w:ascii="Barlow" w:hAnsi="Barlow" w:cs="Arial"/>
          <w:sz w:val="20"/>
          <w:szCs w:val="20"/>
        </w:rPr>
        <w:t>.</w:t>
      </w:r>
    </w:p>
    <w:p w14:paraId="74BD9669" w14:textId="77777777" w:rsidR="00E71BE7" w:rsidRPr="00DC37D6" w:rsidRDefault="00E71BE7" w:rsidP="00F70A17">
      <w:pPr>
        <w:autoSpaceDE w:val="0"/>
        <w:autoSpaceDN w:val="0"/>
        <w:adjustRightInd w:val="0"/>
        <w:jc w:val="both"/>
        <w:rPr>
          <w:rFonts w:ascii="Barlow" w:hAnsi="Barlow" w:cs="Arial"/>
          <w:b/>
          <w:bCs/>
          <w:sz w:val="20"/>
          <w:szCs w:val="20"/>
        </w:rPr>
      </w:pPr>
    </w:p>
    <w:p w14:paraId="45AE70AF" w14:textId="78C9138A" w:rsidR="00E73432" w:rsidRPr="00DC37D6" w:rsidRDefault="00E73432" w:rsidP="00417168">
      <w:pPr>
        <w:autoSpaceDE w:val="0"/>
        <w:autoSpaceDN w:val="0"/>
        <w:adjustRightInd w:val="0"/>
        <w:jc w:val="both"/>
        <w:rPr>
          <w:rFonts w:ascii="Barlow" w:hAnsi="Barlow" w:cs="Arial"/>
          <w:b/>
          <w:bCs/>
          <w:sz w:val="20"/>
          <w:szCs w:val="20"/>
        </w:rPr>
      </w:pPr>
      <w:r w:rsidRPr="00DC37D6">
        <w:rPr>
          <w:rFonts w:ascii="Barlow" w:hAnsi="Barlow" w:cs="Arial"/>
          <w:b/>
          <w:bCs/>
          <w:sz w:val="20"/>
          <w:szCs w:val="20"/>
        </w:rPr>
        <w:t>Inversiones Financieras</w:t>
      </w:r>
    </w:p>
    <w:p w14:paraId="6BF6216D" w14:textId="77777777" w:rsidR="001E5292" w:rsidRPr="00DC37D6" w:rsidRDefault="001E5292" w:rsidP="00417168">
      <w:pPr>
        <w:autoSpaceDE w:val="0"/>
        <w:autoSpaceDN w:val="0"/>
        <w:adjustRightInd w:val="0"/>
        <w:jc w:val="both"/>
        <w:rPr>
          <w:rFonts w:ascii="Barlow" w:hAnsi="Barlow" w:cs="Arial"/>
          <w:b/>
          <w:bCs/>
          <w:sz w:val="20"/>
          <w:szCs w:val="20"/>
        </w:rPr>
      </w:pPr>
    </w:p>
    <w:p w14:paraId="4EE2F0AC" w14:textId="099AE555" w:rsidR="00CB2DA0" w:rsidRPr="00DC37D6" w:rsidRDefault="006F7A97" w:rsidP="00417168">
      <w:pPr>
        <w:autoSpaceDE w:val="0"/>
        <w:autoSpaceDN w:val="0"/>
        <w:adjustRightInd w:val="0"/>
        <w:jc w:val="both"/>
        <w:rPr>
          <w:rFonts w:ascii="Barlow" w:hAnsi="Barlow" w:cs="Arial"/>
          <w:sz w:val="20"/>
          <w:szCs w:val="20"/>
        </w:rPr>
      </w:pPr>
      <w:r w:rsidRPr="00DC37D6">
        <w:rPr>
          <w:rFonts w:ascii="Barlow" w:hAnsi="Barlow" w:cs="Arial"/>
          <w:sz w:val="20"/>
          <w:szCs w:val="20"/>
        </w:rPr>
        <w:t>6.- La Secretaría Ejecutiva del Sistema Estatal Anticorrupción de Yucatán no cuenta con Fideicomisos de Inversión.</w:t>
      </w:r>
    </w:p>
    <w:p w14:paraId="165C960B" w14:textId="77777777" w:rsidR="00417168" w:rsidRPr="00DC37D6" w:rsidRDefault="00417168" w:rsidP="00417168">
      <w:pPr>
        <w:autoSpaceDE w:val="0"/>
        <w:autoSpaceDN w:val="0"/>
        <w:adjustRightInd w:val="0"/>
        <w:jc w:val="both"/>
        <w:rPr>
          <w:rFonts w:ascii="Barlow" w:hAnsi="Barlow" w:cs="Arial"/>
          <w:sz w:val="20"/>
          <w:szCs w:val="20"/>
        </w:rPr>
      </w:pPr>
    </w:p>
    <w:p w14:paraId="105FECCC" w14:textId="754CB788" w:rsidR="000119BD" w:rsidRPr="00DC37D6" w:rsidRDefault="006F7A97" w:rsidP="00417168">
      <w:pPr>
        <w:autoSpaceDE w:val="0"/>
        <w:autoSpaceDN w:val="0"/>
        <w:adjustRightInd w:val="0"/>
        <w:jc w:val="both"/>
        <w:rPr>
          <w:rFonts w:ascii="Barlow" w:hAnsi="Barlow" w:cs="Arial"/>
          <w:sz w:val="20"/>
          <w:szCs w:val="20"/>
        </w:rPr>
      </w:pPr>
      <w:r w:rsidRPr="00DC37D6">
        <w:rPr>
          <w:rFonts w:ascii="Barlow" w:hAnsi="Barlow" w:cs="Arial"/>
          <w:sz w:val="20"/>
          <w:szCs w:val="20"/>
        </w:rPr>
        <w:t>7</w:t>
      </w:r>
      <w:r w:rsidR="008A0458" w:rsidRPr="00DC37D6">
        <w:rPr>
          <w:rFonts w:ascii="Barlow" w:hAnsi="Barlow" w:cs="Arial"/>
          <w:sz w:val="20"/>
          <w:szCs w:val="20"/>
        </w:rPr>
        <w:t>.-</w:t>
      </w:r>
      <w:r w:rsidR="002F14F7" w:rsidRPr="00DC37D6">
        <w:rPr>
          <w:rFonts w:ascii="Barlow" w:hAnsi="Barlow" w:cs="Arial"/>
          <w:sz w:val="20"/>
          <w:szCs w:val="20"/>
        </w:rPr>
        <w:t xml:space="preserve"> </w:t>
      </w:r>
      <w:r w:rsidR="00CF5FDE" w:rsidRPr="00DC37D6">
        <w:rPr>
          <w:rFonts w:ascii="Barlow" w:hAnsi="Barlow" w:cs="Arial"/>
          <w:sz w:val="20"/>
          <w:szCs w:val="20"/>
        </w:rPr>
        <w:t xml:space="preserve">La Secretaría Ejecutiva del Sistema Estatal Anticorrupción de Yucatán no cuenta con </w:t>
      </w:r>
      <w:r w:rsidR="002F14F7" w:rsidRPr="00DC37D6">
        <w:rPr>
          <w:rFonts w:ascii="Barlow" w:hAnsi="Barlow" w:cs="Arial"/>
          <w:sz w:val="20"/>
          <w:szCs w:val="20"/>
        </w:rPr>
        <w:t>Inversiones Financieras</w:t>
      </w:r>
      <w:r w:rsidR="00CF5FDE" w:rsidRPr="00DC37D6">
        <w:rPr>
          <w:rFonts w:ascii="Barlow" w:hAnsi="Barlow" w:cs="Arial"/>
          <w:sz w:val="20"/>
          <w:szCs w:val="20"/>
        </w:rPr>
        <w:t>.</w:t>
      </w:r>
      <w:bookmarkStart w:id="2" w:name="m4"/>
      <w:bookmarkEnd w:id="2"/>
    </w:p>
    <w:p w14:paraId="4AA278AD" w14:textId="77777777" w:rsidR="003F3FDA" w:rsidRPr="00DC37D6" w:rsidRDefault="003F3FDA" w:rsidP="00417168">
      <w:pPr>
        <w:autoSpaceDE w:val="0"/>
        <w:autoSpaceDN w:val="0"/>
        <w:adjustRightInd w:val="0"/>
        <w:jc w:val="both"/>
        <w:rPr>
          <w:rFonts w:ascii="Barlow" w:hAnsi="Barlow" w:cs="Arial"/>
          <w:sz w:val="20"/>
          <w:szCs w:val="20"/>
        </w:rPr>
      </w:pPr>
    </w:p>
    <w:p w14:paraId="431F21FA" w14:textId="77777777" w:rsidR="003F3FDA" w:rsidRPr="00DC37D6" w:rsidRDefault="003F3FDA" w:rsidP="00417168">
      <w:pPr>
        <w:autoSpaceDE w:val="0"/>
        <w:autoSpaceDN w:val="0"/>
        <w:adjustRightInd w:val="0"/>
        <w:jc w:val="both"/>
        <w:rPr>
          <w:rFonts w:ascii="Barlow" w:hAnsi="Barlow" w:cs="Arial"/>
          <w:sz w:val="20"/>
          <w:szCs w:val="20"/>
        </w:rPr>
      </w:pPr>
    </w:p>
    <w:p w14:paraId="1C6757B4" w14:textId="77777777" w:rsidR="003F3FDA" w:rsidRPr="00DC37D6" w:rsidRDefault="003F3FDA" w:rsidP="00417168">
      <w:pPr>
        <w:autoSpaceDE w:val="0"/>
        <w:autoSpaceDN w:val="0"/>
        <w:adjustRightInd w:val="0"/>
        <w:jc w:val="both"/>
        <w:rPr>
          <w:rFonts w:ascii="Barlow" w:hAnsi="Barlow" w:cs="Arial"/>
          <w:sz w:val="20"/>
          <w:szCs w:val="20"/>
        </w:rPr>
      </w:pPr>
    </w:p>
    <w:p w14:paraId="1B29CBD4" w14:textId="77777777" w:rsidR="00B32688" w:rsidRPr="00DC37D6" w:rsidRDefault="00B32688" w:rsidP="00417168">
      <w:pPr>
        <w:autoSpaceDE w:val="0"/>
        <w:autoSpaceDN w:val="0"/>
        <w:adjustRightInd w:val="0"/>
        <w:jc w:val="both"/>
        <w:rPr>
          <w:rFonts w:ascii="Barlow" w:hAnsi="Barlow" w:cs="Arial"/>
          <w:sz w:val="20"/>
          <w:szCs w:val="20"/>
        </w:rPr>
      </w:pPr>
    </w:p>
    <w:p w14:paraId="3F373236" w14:textId="50C8CACC" w:rsidR="00CB2DA0" w:rsidRPr="00DC37D6" w:rsidRDefault="006F7A97" w:rsidP="00C4137E">
      <w:pPr>
        <w:autoSpaceDE w:val="0"/>
        <w:autoSpaceDN w:val="0"/>
        <w:adjustRightInd w:val="0"/>
        <w:spacing w:line="360" w:lineRule="auto"/>
        <w:jc w:val="both"/>
        <w:rPr>
          <w:rFonts w:ascii="Barlow" w:hAnsi="Barlow" w:cs="Arial"/>
          <w:b/>
          <w:bCs/>
          <w:sz w:val="20"/>
          <w:szCs w:val="20"/>
        </w:rPr>
      </w:pPr>
      <w:r w:rsidRPr="00DC37D6">
        <w:rPr>
          <w:rFonts w:ascii="Barlow" w:hAnsi="Barlow" w:cs="Arial"/>
          <w:b/>
          <w:bCs/>
          <w:sz w:val="20"/>
          <w:szCs w:val="20"/>
        </w:rPr>
        <w:t>Bienes Muebles, Inmuebles e Intangibles</w:t>
      </w:r>
    </w:p>
    <w:p w14:paraId="4218D571" w14:textId="77777777" w:rsidR="00E55DC0" w:rsidRPr="00DC37D6" w:rsidRDefault="00E55DC0" w:rsidP="00C4137E">
      <w:pPr>
        <w:autoSpaceDE w:val="0"/>
        <w:autoSpaceDN w:val="0"/>
        <w:adjustRightInd w:val="0"/>
        <w:spacing w:line="360" w:lineRule="auto"/>
        <w:jc w:val="both"/>
        <w:rPr>
          <w:rFonts w:ascii="Barlow" w:hAnsi="Barlow" w:cs="Arial"/>
          <w:b/>
          <w:bCs/>
          <w:sz w:val="20"/>
          <w:szCs w:val="20"/>
        </w:rPr>
      </w:pPr>
    </w:p>
    <w:p w14:paraId="74BE18A1" w14:textId="48C68AC9" w:rsidR="00FB3650" w:rsidRPr="00DC37D6" w:rsidRDefault="006F7A97" w:rsidP="00C4137E">
      <w:p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8</w:t>
      </w:r>
      <w:r w:rsidR="002F14F7" w:rsidRPr="00DC37D6">
        <w:rPr>
          <w:rFonts w:ascii="Barlow" w:hAnsi="Barlow" w:cs="Arial"/>
          <w:sz w:val="20"/>
          <w:szCs w:val="20"/>
        </w:rPr>
        <w:t>.-</w:t>
      </w:r>
      <w:r w:rsidR="00FA104C" w:rsidRPr="00DC37D6">
        <w:rPr>
          <w:rFonts w:ascii="Barlow" w:hAnsi="Barlow" w:cs="Arial"/>
          <w:sz w:val="20"/>
          <w:szCs w:val="20"/>
        </w:rPr>
        <w:t xml:space="preserve"> El rubro Bienes muebles e inmuebles que figura en el Estado de situación financiera, se integra como sigue:</w:t>
      </w:r>
    </w:p>
    <w:tbl>
      <w:tblPr>
        <w:tblStyle w:val="Tablaconcuadrcula"/>
        <w:tblW w:w="13061" w:type="dxa"/>
        <w:jc w:val="center"/>
        <w:tblLook w:val="04A0" w:firstRow="1" w:lastRow="0" w:firstColumn="1" w:lastColumn="0" w:noHBand="0" w:noVBand="1"/>
      </w:tblPr>
      <w:tblGrid>
        <w:gridCol w:w="3129"/>
        <w:gridCol w:w="2199"/>
        <w:gridCol w:w="2061"/>
        <w:gridCol w:w="2199"/>
        <w:gridCol w:w="2061"/>
        <w:gridCol w:w="1412"/>
      </w:tblGrid>
      <w:tr w:rsidR="00AC53FF" w:rsidRPr="00DC37D6" w14:paraId="2F905341" w14:textId="77777777" w:rsidTr="00417168">
        <w:trPr>
          <w:trHeight w:val="376"/>
          <w:jc w:val="center"/>
        </w:trPr>
        <w:tc>
          <w:tcPr>
            <w:tcW w:w="13061" w:type="dxa"/>
            <w:gridSpan w:val="6"/>
            <w:shd w:val="clear" w:color="auto" w:fill="9BBB59" w:themeFill="accent3"/>
            <w:noWrap/>
            <w:hideMark/>
          </w:tcPr>
          <w:p w14:paraId="2A984B5F" w14:textId="77777777" w:rsidR="00AC53FF" w:rsidRPr="00DC37D6" w:rsidRDefault="00AC53FF" w:rsidP="00E25C47">
            <w:pPr>
              <w:autoSpaceDE w:val="0"/>
              <w:autoSpaceDN w:val="0"/>
              <w:adjustRightInd w:val="0"/>
              <w:spacing w:line="360" w:lineRule="auto"/>
              <w:rPr>
                <w:rFonts w:ascii="Barlow" w:hAnsi="Barlow" w:cs="Arial"/>
                <w:b/>
                <w:bCs/>
                <w:sz w:val="20"/>
                <w:szCs w:val="20"/>
              </w:rPr>
            </w:pPr>
            <w:r w:rsidRPr="00DC37D6">
              <w:rPr>
                <w:rFonts w:ascii="Barlow" w:hAnsi="Barlow" w:cs="Arial"/>
                <w:b/>
                <w:bCs/>
                <w:sz w:val="20"/>
                <w:szCs w:val="20"/>
              </w:rPr>
              <w:t>BIENES MUEBLES</w:t>
            </w:r>
          </w:p>
        </w:tc>
      </w:tr>
      <w:tr w:rsidR="00AC53FF" w:rsidRPr="00DC37D6" w14:paraId="6699144F" w14:textId="77777777" w:rsidTr="00417168">
        <w:trPr>
          <w:trHeight w:val="376"/>
          <w:jc w:val="center"/>
        </w:trPr>
        <w:tc>
          <w:tcPr>
            <w:tcW w:w="3129" w:type="dxa"/>
            <w:shd w:val="clear" w:color="auto" w:fill="9BBB59" w:themeFill="accent3"/>
            <w:noWrap/>
            <w:hideMark/>
          </w:tcPr>
          <w:p w14:paraId="4ED6B2FD" w14:textId="77777777" w:rsidR="00AC53FF" w:rsidRPr="00DC37D6" w:rsidRDefault="00AC53FF" w:rsidP="004B35A4">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BIENES</w:t>
            </w:r>
          </w:p>
          <w:p w14:paraId="1D9D6D9A" w14:textId="77777777" w:rsidR="00AC53FF" w:rsidRPr="00DC37D6" w:rsidRDefault="00AC53FF" w:rsidP="004B35A4">
            <w:pPr>
              <w:jc w:val="center"/>
              <w:rPr>
                <w:rFonts w:ascii="Barlow" w:hAnsi="Barlow" w:cs="Arial"/>
                <w:b/>
                <w:bCs/>
                <w:sz w:val="20"/>
                <w:szCs w:val="20"/>
              </w:rPr>
            </w:pPr>
          </w:p>
          <w:p w14:paraId="3B8270AE" w14:textId="77777777" w:rsidR="00AC53FF" w:rsidRPr="00DC37D6" w:rsidRDefault="00AC53FF" w:rsidP="004B35A4">
            <w:pPr>
              <w:jc w:val="center"/>
              <w:rPr>
                <w:rFonts w:ascii="Barlow" w:hAnsi="Barlow" w:cs="Arial"/>
                <w:sz w:val="20"/>
                <w:szCs w:val="20"/>
              </w:rPr>
            </w:pPr>
          </w:p>
        </w:tc>
        <w:tc>
          <w:tcPr>
            <w:tcW w:w="2199" w:type="dxa"/>
            <w:shd w:val="clear" w:color="auto" w:fill="9BBB59" w:themeFill="accent3"/>
            <w:noWrap/>
            <w:hideMark/>
          </w:tcPr>
          <w:p w14:paraId="1629A4D8" w14:textId="77777777" w:rsidR="00AC53FF" w:rsidRPr="00DC37D6" w:rsidRDefault="00AC53FF" w:rsidP="004B35A4">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Importe (Monto de Adquisición)</w:t>
            </w:r>
          </w:p>
        </w:tc>
        <w:tc>
          <w:tcPr>
            <w:tcW w:w="2061" w:type="dxa"/>
            <w:shd w:val="clear" w:color="auto" w:fill="9BBB59" w:themeFill="accent3"/>
            <w:noWrap/>
            <w:hideMark/>
          </w:tcPr>
          <w:p w14:paraId="56A5BFF2" w14:textId="587539F7" w:rsidR="00AC53FF" w:rsidRPr="00DC37D6" w:rsidRDefault="00AC53FF" w:rsidP="004B35A4">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Depreciación</w:t>
            </w:r>
            <w:r w:rsidR="005751DF" w:rsidRPr="00DC37D6">
              <w:rPr>
                <w:rFonts w:ascii="Barlow" w:hAnsi="Barlow" w:cs="Arial"/>
                <w:b/>
                <w:bCs/>
                <w:sz w:val="20"/>
                <w:szCs w:val="20"/>
              </w:rPr>
              <w:t xml:space="preserve"> </w:t>
            </w:r>
            <w:r w:rsidRPr="00DC37D6">
              <w:rPr>
                <w:rFonts w:ascii="Barlow" w:hAnsi="Barlow" w:cs="Arial"/>
                <w:b/>
                <w:bCs/>
                <w:sz w:val="20"/>
                <w:szCs w:val="20"/>
              </w:rPr>
              <w:t>del per</w:t>
            </w:r>
            <w:r w:rsidR="00417168" w:rsidRPr="00DC37D6">
              <w:rPr>
                <w:rFonts w:ascii="Barlow" w:hAnsi="Barlow" w:cs="Arial"/>
                <w:b/>
                <w:bCs/>
                <w:sz w:val="20"/>
                <w:szCs w:val="20"/>
              </w:rPr>
              <w:t>í</w:t>
            </w:r>
            <w:r w:rsidRPr="00DC37D6">
              <w:rPr>
                <w:rFonts w:ascii="Barlow" w:hAnsi="Barlow" w:cs="Arial"/>
                <w:b/>
                <w:bCs/>
                <w:sz w:val="20"/>
                <w:szCs w:val="20"/>
              </w:rPr>
              <w:t>odo (202</w:t>
            </w:r>
            <w:r w:rsidR="005751DF" w:rsidRPr="00DC37D6">
              <w:rPr>
                <w:rFonts w:ascii="Barlow" w:hAnsi="Barlow" w:cs="Arial"/>
                <w:b/>
                <w:bCs/>
                <w:sz w:val="20"/>
                <w:szCs w:val="20"/>
              </w:rPr>
              <w:t>2</w:t>
            </w:r>
            <w:r w:rsidRPr="00DC37D6">
              <w:rPr>
                <w:rFonts w:ascii="Barlow" w:hAnsi="Barlow" w:cs="Arial"/>
                <w:b/>
                <w:bCs/>
                <w:sz w:val="20"/>
                <w:szCs w:val="20"/>
              </w:rPr>
              <w:t>)</w:t>
            </w:r>
          </w:p>
        </w:tc>
        <w:tc>
          <w:tcPr>
            <w:tcW w:w="2199" w:type="dxa"/>
            <w:shd w:val="clear" w:color="auto" w:fill="9BBB59" w:themeFill="accent3"/>
            <w:noWrap/>
            <w:hideMark/>
          </w:tcPr>
          <w:p w14:paraId="2FC179B6" w14:textId="2F195F66" w:rsidR="00AC53FF" w:rsidRPr="00DC37D6" w:rsidRDefault="00AC53FF" w:rsidP="004B35A4">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Depreciación Acumulada (2018-</w:t>
            </w:r>
            <w:r w:rsidR="001C5644" w:rsidRPr="00DC37D6">
              <w:rPr>
                <w:rFonts w:ascii="Barlow" w:hAnsi="Barlow" w:cs="Arial"/>
                <w:b/>
                <w:bCs/>
                <w:sz w:val="20"/>
                <w:szCs w:val="20"/>
              </w:rPr>
              <w:t>2</w:t>
            </w:r>
            <w:r w:rsidRPr="00DC37D6">
              <w:rPr>
                <w:rFonts w:ascii="Barlow" w:hAnsi="Barlow" w:cs="Arial"/>
                <w:b/>
                <w:bCs/>
                <w:sz w:val="20"/>
                <w:szCs w:val="20"/>
              </w:rPr>
              <w:t>02</w:t>
            </w:r>
            <w:r w:rsidR="005751DF" w:rsidRPr="00DC37D6">
              <w:rPr>
                <w:rFonts w:ascii="Barlow" w:hAnsi="Barlow" w:cs="Arial"/>
                <w:b/>
                <w:bCs/>
                <w:sz w:val="20"/>
                <w:szCs w:val="20"/>
              </w:rPr>
              <w:t>2</w:t>
            </w:r>
            <w:r w:rsidRPr="00DC37D6">
              <w:rPr>
                <w:rFonts w:ascii="Barlow" w:hAnsi="Barlow" w:cs="Arial"/>
                <w:b/>
                <w:bCs/>
                <w:sz w:val="20"/>
                <w:szCs w:val="20"/>
              </w:rPr>
              <w:t>)</w:t>
            </w:r>
          </w:p>
        </w:tc>
        <w:tc>
          <w:tcPr>
            <w:tcW w:w="2061" w:type="dxa"/>
            <w:shd w:val="clear" w:color="auto" w:fill="9BBB59" w:themeFill="accent3"/>
          </w:tcPr>
          <w:p w14:paraId="2C6709F1" w14:textId="77777777" w:rsidR="00AC53FF" w:rsidRPr="00DC37D6" w:rsidRDefault="00AC53FF" w:rsidP="004B35A4">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Estatus del bien</w:t>
            </w:r>
          </w:p>
        </w:tc>
        <w:tc>
          <w:tcPr>
            <w:tcW w:w="1410" w:type="dxa"/>
            <w:shd w:val="clear" w:color="auto" w:fill="9BBB59" w:themeFill="accent3"/>
          </w:tcPr>
          <w:p w14:paraId="07F53FB1" w14:textId="77777777" w:rsidR="00AC53FF" w:rsidRPr="00DC37D6" w:rsidRDefault="00AC53FF" w:rsidP="004B35A4">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Tasa de depreciación aplicada</w:t>
            </w:r>
          </w:p>
        </w:tc>
      </w:tr>
      <w:tr w:rsidR="00AC53FF" w:rsidRPr="00DC37D6" w14:paraId="513EB3D6" w14:textId="77777777" w:rsidTr="00417168">
        <w:trPr>
          <w:trHeight w:val="376"/>
          <w:jc w:val="center"/>
        </w:trPr>
        <w:tc>
          <w:tcPr>
            <w:tcW w:w="3129" w:type="dxa"/>
            <w:noWrap/>
            <w:hideMark/>
          </w:tcPr>
          <w:p w14:paraId="19ACFE95" w14:textId="77777777" w:rsidR="00AC53FF" w:rsidRPr="00DC37D6" w:rsidRDefault="00AC53FF" w:rsidP="004B35A4">
            <w:pPr>
              <w:autoSpaceDE w:val="0"/>
              <w:autoSpaceDN w:val="0"/>
              <w:adjustRightInd w:val="0"/>
              <w:spacing w:line="360" w:lineRule="auto"/>
              <w:jc w:val="both"/>
              <w:rPr>
                <w:rFonts w:ascii="Barlow" w:hAnsi="Barlow" w:cs="Arial"/>
                <w:b/>
                <w:bCs/>
                <w:sz w:val="20"/>
                <w:szCs w:val="20"/>
              </w:rPr>
            </w:pPr>
            <w:r w:rsidRPr="00DC37D6">
              <w:rPr>
                <w:rFonts w:ascii="Barlow" w:hAnsi="Barlow" w:cs="Arial"/>
                <w:b/>
                <w:bCs/>
                <w:sz w:val="20"/>
                <w:szCs w:val="20"/>
              </w:rPr>
              <w:t xml:space="preserve">Mobiliario y Equipo de Administración </w:t>
            </w:r>
          </w:p>
        </w:tc>
        <w:tc>
          <w:tcPr>
            <w:tcW w:w="2199" w:type="dxa"/>
            <w:noWrap/>
            <w:hideMark/>
          </w:tcPr>
          <w:p w14:paraId="1CAF527A" w14:textId="77777777" w:rsidR="00AC53FF" w:rsidRPr="00DC37D6" w:rsidRDefault="00AC53FF" w:rsidP="004B35A4">
            <w:pPr>
              <w:autoSpaceDE w:val="0"/>
              <w:autoSpaceDN w:val="0"/>
              <w:adjustRightInd w:val="0"/>
              <w:spacing w:line="360" w:lineRule="auto"/>
              <w:jc w:val="center"/>
              <w:rPr>
                <w:rFonts w:ascii="Barlow" w:hAnsi="Barlow" w:cs="Arial"/>
                <w:b/>
                <w:bCs/>
                <w:sz w:val="20"/>
                <w:szCs w:val="20"/>
              </w:rPr>
            </w:pPr>
          </w:p>
          <w:p w14:paraId="0CFBDC94" w14:textId="2C4A1DF0" w:rsidR="00AC53FF" w:rsidRPr="00DC37D6" w:rsidRDefault="00AC53FF" w:rsidP="0023499F">
            <w:pPr>
              <w:jc w:val="center"/>
              <w:rPr>
                <w:rFonts w:ascii="Barlow" w:hAnsi="Barlow" w:cs="Arial"/>
                <w:b/>
                <w:bCs/>
                <w:sz w:val="20"/>
                <w:szCs w:val="20"/>
              </w:rPr>
            </w:pPr>
            <w:r w:rsidRPr="00DC37D6">
              <w:rPr>
                <w:rFonts w:ascii="Barlow" w:hAnsi="Barlow" w:cs="Arial"/>
                <w:b/>
                <w:bCs/>
                <w:sz w:val="20"/>
                <w:szCs w:val="20"/>
              </w:rPr>
              <w:t>$1,</w:t>
            </w:r>
            <w:r w:rsidR="00FD4487" w:rsidRPr="00DC37D6">
              <w:rPr>
                <w:rFonts w:ascii="Barlow" w:hAnsi="Barlow" w:cs="Arial"/>
                <w:b/>
                <w:bCs/>
                <w:sz w:val="20"/>
                <w:szCs w:val="20"/>
              </w:rPr>
              <w:t>616</w:t>
            </w:r>
            <w:r w:rsidRPr="00DC37D6">
              <w:rPr>
                <w:rFonts w:ascii="Barlow" w:hAnsi="Barlow" w:cs="Arial"/>
                <w:b/>
                <w:bCs/>
                <w:sz w:val="20"/>
                <w:szCs w:val="20"/>
              </w:rPr>
              <w:t>,</w:t>
            </w:r>
            <w:r w:rsidR="00FD4487" w:rsidRPr="00DC37D6">
              <w:rPr>
                <w:rFonts w:ascii="Barlow" w:hAnsi="Barlow" w:cs="Arial"/>
                <w:b/>
                <w:bCs/>
                <w:sz w:val="20"/>
                <w:szCs w:val="20"/>
              </w:rPr>
              <w:t>094</w:t>
            </w:r>
            <w:r w:rsidRPr="00DC37D6">
              <w:rPr>
                <w:rFonts w:ascii="Barlow" w:hAnsi="Barlow" w:cs="Arial"/>
                <w:b/>
                <w:bCs/>
                <w:sz w:val="20"/>
                <w:szCs w:val="20"/>
              </w:rPr>
              <w:t>.</w:t>
            </w:r>
            <w:r w:rsidR="00FD4487" w:rsidRPr="00DC37D6">
              <w:rPr>
                <w:rFonts w:ascii="Barlow" w:hAnsi="Barlow" w:cs="Arial"/>
                <w:b/>
                <w:bCs/>
                <w:sz w:val="20"/>
                <w:szCs w:val="20"/>
              </w:rPr>
              <w:t>41</w:t>
            </w:r>
          </w:p>
        </w:tc>
        <w:tc>
          <w:tcPr>
            <w:tcW w:w="2061" w:type="dxa"/>
            <w:noWrap/>
          </w:tcPr>
          <w:p w14:paraId="3549CD78" w14:textId="77777777" w:rsidR="00AC53FF" w:rsidRPr="00DC37D6" w:rsidRDefault="00AC53FF" w:rsidP="004B35A4">
            <w:pPr>
              <w:jc w:val="center"/>
              <w:rPr>
                <w:rFonts w:ascii="Barlow" w:hAnsi="Barlow" w:cs="Arial"/>
                <w:b/>
                <w:bCs/>
                <w:color w:val="000000"/>
                <w:sz w:val="20"/>
                <w:szCs w:val="20"/>
                <w:lang w:eastAsia="es-MX"/>
              </w:rPr>
            </w:pPr>
          </w:p>
          <w:p w14:paraId="6B5C34CE" w14:textId="19D424D8" w:rsidR="00AC53FF" w:rsidRPr="00DC37D6" w:rsidRDefault="00AC53FF" w:rsidP="000D1846">
            <w:pPr>
              <w:jc w:val="center"/>
              <w:rPr>
                <w:rFonts w:ascii="Barlow" w:hAnsi="Barlow" w:cs="Arial"/>
                <w:b/>
                <w:bCs/>
                <w:color w:val="000000"/>
                <w:sz w:val="20"/>
                <w:szCs w:val="20"/>
                <w:lang w:eastAsia="es-MX"/>
              </w:rPr>
            </w:pPr>
            <w:r w:rsidRPr="00DC37D6">
              <w:rPr>
                <w:rFonts w:ascii="Barlow" w:hAnsi="Barlow" w:cs="Arial"/>
                <w:b/>
                <w:bCs/>
                <w:sz w:val="20"/>
                <w:szCs w:val="20"/>
              </w:rPr>
              <w:t>$</w:t>
            </w:r>
            <w:r w:rsidR="000D1846" w:rsidRPr="00DC37D6">
              <w:rPr>
                <w:rFonts w:ascii="Barlow" w:hAnsi="Barlow" w:cs="Arial"/>
                <w:b/>
                <w:bCs/>
                <w:sz w:val="20"/>
                <w:szCs w:val="20"/>
              </w:rPr>
              <w:t>1</w:t>
            </w:r>
            <w:r w:rsidR="009D11C6" w:rsidRPr="00DC37D6">
              <w:rPr>
                <w:rFonts w:ascii="Barlow" w:hAnsi="Barlow" w:cs="Arial"/>
                <w:b/>
                <w:bCs/>
                <w:sz w:val="20"/>
                <w:szCs w:val="20"/>
              </w:rPr>
              <w:t>1</w:t>
            </w:r>
            <w:r w:rsidR="005D14AC" w:rsidRPr="00DC37D6">
              <w:rPr>
                <w:rFonts w:ascii="Barlow" w:hAnsi="Barlow" w:cs="Arial"/>
                <w:b/>
                <w:bCs/>
                <w:sz w:val="20"/>
                <w:szCs w:val="20"/>
              </w:rPr>
              <w:t>,</w:t>
            </w:r>
            <w:r w:rsidR="009D11C6" w:rsidRPr="00DC37D6">
              <w:rPr>
                <w:rFonts w:ascii="Barlow" w:hAnsi="Barlow" w:cs="Arial"/>
                <w:b/>
                <w:bCs/>
                <w:sz w:val="20"/>
                <w:szCs w:val="20"/>
              </w:rPr>
              <w:t>87</w:t>
            </w:r>
            <w:r w:rsidR="00BA5921" w:rsidRPr="00DC37D6">
              <w:rPr>
                <w:rFonts w:ascii="Barlow" w:hAnsi="Barlow" w:cs="Arial"/>
                <w:b/>
                <w:bCs/>
                <w:sz w:val="20"/>
                <w:szCs w:val="20"/>
              </w:rPr>
              <w:t>2</w:t>
            </w:r>
            <w:r w:rsidR="005D14AC" w:rsidRPr="00DC37D6">
              <w:rPr>
                <w:rFonts w:ascii="Barlow" w:hAnsi="Barlow" w:cs="Arial"/>
                <w:b/>
                <w:bCs/>
                <w:sz w:val="20"/>
                <w:szCs w:val="20"/>
              </w:rPr>
              <w:t>.</w:t>
            </w:r>
            <w:r w:rsidR="009D11C6" w:rsidRPr="00DC37D6">
              <w:rPr>
                <w:rFonts w:ascii="Barlow" w:hAnsi="Barlow" w:cs="Arial"/>
                <w:b/>
                <w:bCs/>
                <w:sz w:val="20"/>
                <w:szCs w:val="20"/>
              </w:rPr>
              <w:t>6</w:t>
            </w:r>
            <w:r w:rsidR="00BA5921" w:rsidRPr="00DC37D6">
              <w:rPr>
                <w:rFonts w:ascii="Barlow" w:hAnsi="Barlow" w:cs="Arial"/>
                <w:b/>
                <w:bCs/>
                <w:sz w:val="20"/>
                <w:szCs w:val="20"/>
              </w:rPr>
              <w:t>0</w:t>
            </w:r>
          </w:p>
        </w:tc>
        <w:tc>
          <w:tcPr>
            <w:tcW w:w="2199" w:type="dxa"/>
            <w:noWrap/>
          </w:tcPr>
          <w:p w14:paraId="4B62B63A" w14:textId="77777777" w:rsidR="00AC53FF" w:rsidRPr="00DC37D6" w:rsidRDefault="00AC53FF" w:rsidP="004B35A4">
            <w:pPr>
              <w:autoSpaceDE w:val="0"/>
              <w:autoSpaceDN w:val="0"/>
              <w:adjustRightInd w:val="0"/>
              <w:spacing w:line="360" w:lineRule="auto"/>
              <w:rPr>
                <w:rFonts w:ascii="Barlow" w:eastAsiaTheme="minorHAnsi" w:hAnsi="Barlow" w:cs="Arial"/>
                <w:b/>
                <w:bCs/>
                <w:sz w:val="20"/>
                <w:szCs w:val="20"/>
                <w:lang w:eastAsia="en-US"/>
              </w:rPr>
            </w:pPr>
          </w:p>
          <w:p w14:paraId="24F59E6C" w14:textId="2D129E75" w:rsidR="00AC53FF" w:rsidRPr="00DC37D6" w:rsidRDefault="00AC53FF" w:rsidP="002830E3">
            <w:pPr>
              <w:jc w:val="center"/>
              <w:rPr>
                <w:rFonts w:ascii="Barlow" w:hAnsi="Barlow" w:cs="Arial"/>
                <w:b/>
                <w:bCs/>
                <w:sz w:val="20"/>
                <w:szCs w:val="20"/>
              </w:rPr>
            </w:pPr>
            <w:r w:rsidRPr="00DC37D6">
              <w:rPr>
                <w:rFonts w:ascii="Barlow" w:hAnsi="Barlow" w:cs="Arial"/>
                <w:b/>
                <w:bCs/>
                <w:sz w:val="20"/>
                <w:szCs w:val="20"/>
              </w:rPr>
              <w:t>$</w:t>
            </w:r>
            <w:r w:rsidR="00BA5921" w:rsidRPr="00DC37D6">
              <w:rPr>
                <w:rFonts w:ascii="Barlow" w:hAnsi="Barlow" w:cs="Arial"/>
                <w:b/>
                <w:bCs/>
                <w:sz w:val="20"/>
                <w:szCs w:val="20"/>
              </w:rPr>
              <w:t>1,010</w:t>
            </w:r>
            <w:r w:rsidR="00A96665" w:rsidRPr="00DC37D6">
              <w:rPr>
                <w:rFonts w:ascii="Barlow" w:hAnsi="Barlow" w:cs="Arial"/>
                <w:b/>
                <w:bCs/>
                <w:sz w:val="20"/>
                <w:szCs w:val="20"/>
              </w:rPr>
              <w:t>,</w:t>
            </w:r>
            <w:r w:rsidR="00BA5921" w:rsidRPr="00DC37D6">
              <w:rPr>
                <w:rFonts w:ascii="Barlow" w:hAnsi="Barlow" w:cs="Arial"/>
                <w:b/>
                <w:bCs/>
                <w:sz w:val="20"/>
                <w:szCs w:val="20"/>
              </w:rPr>
              <w:t>787</w:t>
            </w:r>
            <w:r w:rsidR="00CD44DA" w:rsidRPr="00DC37D6">
              <w:rPr>
                <w:rFonts w:ascii="Barlow" w:hAnsi="Barlow" w:cs="Arial"/>
                <w:b/>
                <w:bCs/>
                <w:sz w:val="20"/>
                <w:szCs w:val="20"/>
              </w:rPr>
              <w:t>.</w:t>
            </w:r>
            <w:r w:rsidR="00BA5921" w:rsidRPr="00DC37D6">
              <w:rPr>
                <w:rFonts w:ascii="Barlow" w:hAnsi="Barlow" w:cs="Arial"/>
                <w:b/>
                <w:bCs/>
                <w:sz w:val="20"/>
                <w:szCs w:val="20"/>
              </w:rPr>
              <w:t>0</w:t>
            </w:r>
            <w:r w:rsidR="009D11C6" w:rsidRPr="00DC37D6">
              <w:rPr>
                <w:rFonts w:ascii="Barlow" w:hAnsi="Barlow" w:cs="Arial"/>
                <w:b/>
                <w:bCs/>
                <w:sz w:val="20"/>
                <w:szCs w:val="20"/>
              </w:rPr>
              <w:t>2</w:t>
            </w:r>
          </w:p>
        </w:tc>
        <w:tc>
          <w:tcPr>
            <w:tcW w:w="2061" w:type="dxa"/>
          </w:tcPr>
          <w:p w14:paraId="7DCB566B" w14:textId="77777777" w:rsidR="00AC53FF" w:rsidRPr="00DC37D6" w:rsidRDefault="00AC53FF" w:rsidP="004B35A4">
            <w:pPr>
              <w:autoSpaceDE w:val="0"/>
              <w:autoSpaceDN w:val="0"/>
              <w:adjustRightInd w:val="0"/>
              <w:spacing w:line="360" w:lineRule="auto"/>
              <w:jc w:val="center"/>
              <w:rPr>
                <w:rFonts w:ascii="Barlow" w:eastAsiaTheme="minorHAnsi" w:hAnsi="Barlow" w:cs="Arial"/>
                <w:b/>
                <w:bCs/>
                <w:sz w:val="20"/>
                <w:szCs w:val="20"/>
                <w:lang w:eastAsia="en-US"/>
              </w:rPr>
            </w:pPr>
          </w:p>
        </w:tc>
        <w:tc>
          <w:tcPr>
            <w:tcW w:w="1410" w:type="dxa"/>
          </w:tcPr>
          <w:p w14:paraId="7CBF481E" w14:textId="77777777" w:rsidR="00AC53FF" w:rsidRPr="00DC37D6" w:rsidRDefault="00AC53FF" w:rsidP="004B35A4">
            <w:pPr>
              <w:autoSpaceDE w:val="0"/>
              <w:autoSpaceDN w:val="0"/>
              <w:adjustRightInd w:val="0"/>
              <w:spacing w:line="360" w:lineRule="auto"/>
              <w:jc w:val="center"/>
              <w:rPr>
                <w:rFonts w:ascii="Barlow" w:eastAsiaTheme="minorHAnsi" w:hAnsi="Barlow" w:cs="Arial"/>
                <w:b/>
                <w:bCs/>
                <w:sz w:val="20"/>
                <w:szCs w:val="20"/>
                <w:lang w:eastAsia="en-US"/>
              </w:rPr>
            </w:pPr>
          </w:p>
        </w:tc>
      </w:tr>
      <w:tr w:rsidR="00AC53FF" w:rsidRPr="00DC37D6" w14:paraId="40B23146" w14:textId="77777777" w:rsidTr="00417168">
        <w:trPr>
          <w:trHeight w:val="376"/>
          <w:jc w:val="center"/>
        </w:trPr>
        <w:tc>
          <w:tcPr>
            <w:tcW w:w="3129" w:type="dxa"/>
            <w:noWrap/>
          </w:tcPr>
          <w:p w14:paraId="6D860C34" w14:textId="77777777" w:rsidR="00AC53FF" w:rsidRPr="00DC37D6" w:rsidRDefault="00AC53FF" w:rsidP="004B35A4">
            <w:pPr>
              <w:autoSpaceDE w:val="0"/>
              <w:autoSpaceDN w:val="0"/>
              <w:adjustRightInd w:val="0"/>
              <w:spacing w:line="360" w:lineRule="auto"/>
              <w:jc w:val="both"/>
              <w:rPr>
                <w:rFonts w:ascii="Barlow" w:hAnsi="Barlow" w:cs="Arial"/>
                <w:i/>
                <w:iCs/>
                <w:sz w:val="20"/>
                <w:szCs w:val="20"/>
              </w:rPr>
            </w:pPr>
            <w:r w:rsidRPr="00DC37D6">
              <w:rPr>
                <w:rFonts w:ascii="Barlow" w:hAnsi="Barlow" w:cs="Arial"/>
                <w:i/>
                <w:iCs/>
                <w:sz w:val="20"/>
                <w:szCs w:val="20"/>
              </w:rPr>
              <w:t>Muebles de Oficina y Estantería</w:t>
            </w:r>
          </w:p>
        </w:tc>
        <w:tc>
          <w:tcPr>
            <w:tcW w:w="2199" w:type="dxa"/>
            <w:noWrap/>
          </w:tcPr>
          <w:p w14:paraId="4A8F2392" w14:textId="5DF52993" w:rsidR="00AC53FF" w:rsidRPr="00DC37D6" w:rsidRDefault="00477227" w:rsidP="004B35A4">
            <w:pPr>
              <w:autoSpaceDE w:val="0"/>
              <w:autoSpaceDN w:val="0"/>
              <w:adjustRightInd w:val="0"/>
              <w:spacing w:line="360" w:lineRule="auto"/>
              <w:jc w:val="center"/>
              <w:rPr>
                <w:rFonts w:ascii="Barlow" w:hAnsi="Barlow" w:cs="Arial"/>
                <w:sz w:val="20"/>
                <w:szCs w:val="20"/>
              </w:rPr>
            </w:pPr>
            <w:r w:rsidRPr="00DC37D6">
              <w:rPr>
                <w:rFonts w:ascii="Barlow" w:hAnsi="Barlow" w:cs="Arial"/>
                <w:sz w:val="20"/>
                <w:szCs w:val="20"/>
              </w:rPr>
              <w:t>$</w:t>
            </w:r>
            <w:r w:rsidR="00AC53FF" w:rsidRPr="00DC37D6">
              <w:rPr>
                <w:rFonts w:ascii="Barlow" w:hAnsi="Barlow" w:cs="Arial"/>
                <w:sz w:val="20"/>
                <w:szCs w:val="20"/>
              </w:rPr>
              <w:t>703,567.42</w:t>
            </w:r>
          </w:p>
        </w:tc>
        <w:tc>
          <w:tcPr>
            <w:tcW w:w="2061" w:type="dxa"/>
            <w:noWrap/>
          </w:tcPr>
          <w:p w14:paraId="70547B77" w14:textId="2148DBE6" w:rsidR="00AC53FF" w:rsidRPr="00DC37D6" w:rsidRDefault="00477227" w:rsidP="004B35A4">
            <w:pPr>
              <w:jc w:val="center"/>
              <w:rPr>
                <w:rFonts w:ascii="Barlow" w:hAnsi="Barlow" w:cs="Arial"/>
                <w:color w:val="000000"/>
                <w:sz w:val="20"/>
                <w:szCs w:val="20"/>
                <w:lang w:eastAsia="es-MX"/>
              </w:rPr>
            </w:pPr>
            <w:r w:rsidRPr="00DC37D6">
              <w:rPr>
                <w:rFonts w:ascii="Barlow" w:hAnsi="Barlow" w:cs="Arial"/>
                <w:color w:val="000000"/>
                <w:sz w:val="20"/>
                <w:szCs w:val="20"/>
                <w:lang w:eastAsia="es-MX"/>
              </w:rPr>
              <w:t>$</w:t>
            </w:r>
            <w:r w:rsidR="00AC53FF" w:rsidRPr="00DC37D6">
              <w:rPr>
                <w:rFonts w:ascii="Barlow" w:hAnsi="Barlow" w:cs="Arial"/>
                <w:color w:val="000000"/>
                <w:sz w:val="20"/>
                <w:szCs w:val="20"/>
                <w:lang w:eastAsia="es-MX"/>
              </w:rPr>
              <w:t>5,863.17</w:t>
            </w:r>
          </w:p>
        </w:tc>
        <w:tc>
          <w:tcPr>
            <w:tcW w:w="2199" w:type="dxa"/>
            <w:noWrap/>
          </w:tcPr>
          <w:p w14:paraId="741185DB" w14:textId="4D3E8AA9" w:rsidR="00AC53FF" w:rsidRPr="00DC37D6" w:rsidRDefault="00477227" w:rsidP="00A96665">
            <w:pPr>
              <w:autoSpaceDE w:val="0"/>
              <w:autoSpaceDN w:val="0"/>
              <w:adjustRightInd w:val="0"/>
              <w:spacing w:line="360" w:lineRule="auto"/>
              <w:jc w:val="center"/>
              <w:rPr>
                <w:rFonts w:ascii="Barlow" w:eastAsiaTheme="minorHAnsi" w:hAnsi="Barlow" w:cs="Arial"/>
                <w:sz w:val="20"/>
                <w:szCs w:val="20"/>
                <w:lang w:eastAsia="en-US"/>
              </w:rPr>
            </w:pPr>
            <w:r w:rsidRPr="00DC37D6">
              <w:rPr>
                <w:rFonts w:ascii="Barlow" w:hAnsi="Barlow" w:cs="Arial"/>
                <w:sz w:val="20"/>
                <w:szCs w:val="20"/>
              </w:rPr>
              <w:t>$</w:t>
            </w:r>
            <w:r w:rsidR="00800FD6" w:rsidRPr="00DC37D6">
              <w:rPr>
                <w:rFonts w:ascii="Barlow" w:hAnsi="Barlow" w:cs="Arial"/>
                <w:sz w:val="20"/>
                <w:szCs w:val="20"/>
              </w:rPr>
              <w:t>2</w:t>
            </w:r>
            <w:r w:rsidR="00BA5921" w:rsidRPr="00DC37D6">
              <w:rPr>
                <w:rFonts w:ascii="Barlow" w:hAnsi="Barlow" w:cs="Arial"/>
                <w:sz w:val="20"/>
                <w:szCs w:val="20"/>
              </w:rPr>
              <w:t>33</w:t>
            </w:r>
            <w:r w:rsidR="005D14AC" w:rsidRPr="00DC37D6">
              <w:rPr>
                <w:rFonts w:ascii="Barlow" w:hAnsi="Barlow" w:cs="Arial"/>
                <w:sz w:val="20"/>
                <w:szCs w:val="20"/>
              </w:rPr>
              <w:t>,</w:t>
            </w:r>
            <w:r w:rsidR="00BA5921" w:rsidRPr="00DC37D6">
              <w:rPr>
                <w:rFonts w:ascii="Barlow" w:hAnsi="Barlow" w:cs="Arial"/>
                <w:sz w:val="20"/>
                <w:szCs w:val="20"/>
              </w:rPr>
              <w:t>717</w:t>
            </w:r>
            <w:r w:rsidR="005D14AC" w:rsidRPr="00DC37D6">
              <w:rPr>
                <w:rFonts w:ascii="Barlow" w:hAnsi="Barlow" w:cs="Arial"/>
                <w:sz w:val="20"/>
                <w:szCs w:val="20"/>
              </w:rPr>
              <w:t>.</w:t>
            </w:r>
            <w:r w:rsidR="00BA5921" w:rsidRPr="00DC37D6">
              <w:rPr>
                <w:rFonts w:ascii="Barlow" w:hAnsi="Barlow" w:cs="Arial"/>
                <w:sz w:val="20"/>
                <w:szCs w:val="20"/>
              </w:rPr>
              <w:t>74</w:t>
            </w:r>
          </w:p>
        </w:tc>
        <w:tc>
          <w:tcPr>
            <w:tcW w:w="2061" w:type="dxa"/>
          </w:tcPr>
          <w:p w14:paraId="5F4905B0" w14:textId="77777777" w:rsidR="00AC53FF" w:rsidRPr="00DC37D6" w:rsidRDefault="00AC53FF" w:rsidP="004B35A4">
            <w:pPr>
              <w:autoSpaceDE w:val="0"/>
              <w:autoSpaceDN w:val="0"/>
              <w:adjustRightInd w:val="0"/>
              <w:spacing w:line="360" w:lineRule="auto"/>
              <w:jc w:val="center"/>
              <w:rPr>
                <w:rFonts w:ascii="Barlow" w:eastAsiaTheme="minorHAnsi" w:hAnsi="Barlow" w:cs="Arial"/>
                <w:i/>
                <w:iCs/>
                <w:sz w:val="20"/>
                <w:szCs w:val="20"/>
                <w:highlight w:val="magenta"/>
                <w:lang w:eastAsia="en-US"/>
              </w:rPr>
            </w:pPr>
            <w:r w:rsidRPr="00DC37D6">
              <w:rPr>
                <w:rFonts w:ascii="Barlow" w:eastAsiaTheme="minorHAnsi" w:hAnsi="Barlow" w:cs="Arial"/>
                <w:i/>
                <w:iCs/>
                <w:sz w:val="20"/>
                <w:szCs w:val="20"/>
                <w:lang w:eastAsia="en-US"/>
              </w:rPr>
              <w:t>En buen estado</w:t>
            </w:r>
          </w:p>
        </w:tc>
        <w:tc>
          <w:tcPr>
            <w:tcW w:w="1410" w:type="dxa"/>
          </w:tcPr>
          <w:p w14:paraId="0F6C16C5" w14:textId="77777777" w:rsidR="00AC53FF" w:rsidRPr="00DC37D6" w:rsidRDefault="00AC53FF" w:rsidP="004B35A4">
            <w:pPr>
              <w:autoSpaceDE w:val="0"/>
              <w:autoSpaceDN w:val="0"/>
              <w:adjustRightInd w:val="0"/>
              <w:spacing w:line="360" w:lineRule="auto"/>
              <w:jc w:val="center"/>
              <w:rPr>
                <w:rFonts w:ascii="Barlow" w:eastAsiaTheme="minorHAnsi" w:hAnsi="Barlow" w:cs="Arial"/>
                <w:i/>
                <w:iCs/>
                <w:sz w:val="20"/>
                <w:szCs w:val="20"/>
                <w:lang w:eastAsia="en-US"/>
              </w:rPr>
            </w:pPr>
            <w:r w:rsidRPr="00DC37D6">
              <w:rPr>
                <w:rFonts w:ascii="Barlow" w:eastAsiaTheme="minorHAnsi" w:hAnsi="Barlow" w:cs="Arial"/>
                <w:i/>
                <w:iCs/>
                <w:sz w:val="20"/>
                <w:szCs w:val="20"/>
                <w:lang w:eastAsia="en-US"/>
              </w:rPr>
              <w:t>10% anual</w:t>
            </w:r>
          </w:p>
        </w:tc>
      </w:tr>
      <w:tr w:rsidR="00AC53FF" w:rsidRPr="00DC37D6" w14:paraId="5C54133A" w14:textId="77777777" w:rsidTr="00417168">
        <w:trPr>
          <w:trHeight w:val="376"/>
          <w:jc w:val="center"/>
        </w:trPr>
        <w:tc>
          <w:tcPr>
            <w:tcW w:w="3129" w:type="dxa"/>
            <w:noWrap/>
          </w:tcPr>
          <w:p w14:paraId="0F191CA1" w14:textId="77777777" w:rsidR="00AC53FF" w:rsidRPr="00DC37D6" w:rsidRDefault="00AC53FF" w:rsidP="004B35A4">
            <w:pPr>
              <w:autoSpaceDE w:val="0"/>
              <w:autoSpaceDN w:val="0"/>
              <w:adjustRightInd w:val="0"/>
              <w:spacing w:line="360" w:lineRule="auto"/>
              <w:jc w:val="both"/>
              <w:rPr>
                <w:rFonts w:ascii="Barlow" w:hAnsi="Barlow" w:cs="Arial"/>
                <w:i/>
                <w:iCs/>
                <w:sz w:val="20"/>
                <w:szCs w:val="20"/>
              </w:rPr>
            </w:pPr>
            <w:r w:rsidRPr="00DC37D6">
              <w:rPr>
                <w:rFonts w:ascii="Barlow" w:hAnsi="Barlow" w:cs="Arial"/>
                <w:i/>
                <w:iCs/>
                <w:sz w:val="20"/>
                <w:szCs w:val="20"/>
              </w:rPr>
              <w:t>Muebles, Excepto de Oficina y Estantería</w:t>
            </w:r>
          </w:p>
        </w:tc>
        <w:tc>
          <w:tcPr>
            <w:tcW w:w="2199" w:type="dxa"/>
            <w:noWrap/>
          </w:tcPr>
          <w:p w14:paraId="516C09EE" w14:textId="4E1383F4" w:rsidR="00AC53FF" w:rsidRPr="00DC37D6" w:rsidRDefault="00477227" w:rsidP="004B35A4">
            <w:pPr>
              <w:autoSpaceDE w:val="0"/>
              <w:autoSpaceDN w:val="0"/>
              <w:adjustRightInd w:val="0"/>
              <w:spacing w:line="360" w:lineRule="auto"/>
              <w:jc w:val="center"/>
              <w:rPr>
                <w:rFonts w:ascii="Barlow" w:hAnsi="Barlow" w:cs="Arial"/>
                <w:sz w:val="20"/>
                <w:szCs w:val="20"/>
              </w:rPr>
            </w:pPr>
            <w:r w:rsidRPr="00DC37D6">
              <w:rPr>
                <w:rFonts w:ascii="Barlow" w:hAnsi="Barlow" w:cs="Arial"/>
                <w:sz w:val="20"/>
                <w:szCs w:val="20"/>
              </w:rPr>
              <w:t>$</w:t>
            </w:r>
            <w:r w:rsidR="00AC53FF" w:rsidRPr="00DC37D6">
              <w:rPr>
                <w:rFonts w:ascii="Barlow" w:hAnsi="Barlow" w:cs="Arial"/>
                <w:sz w:val="20"/>
                <w:szCs w:val="20"/>
              </w:rPr>
              <w:t>3,008.62</w:t>
            </w:r>
          </w:p>
        </w:tc>
        <w:tc>
          <w:tcPr>
            <w:tcW w:w="2061" w:type="dxa"/>
            <w:noWrap/>
          </w:tcPr>
          <w:p w14:paraId="38C5C734" w14:textId="5DBA1569" w:rsidR="00AC53FF" w:rsidRPr="00DC37D6" w:rsidRDefault="00477227" w:rsidP="004B35A4">
            <w:pPr>
              <w:jc w:val="center"/>
              <w:rPr>
                <w:rFonts w:ascii="Barlow" w:hAnsi="Barlow" w:cs="Arial"/>
                <w:color w:val="000000"/>
                <w:sz w:val="20"/>
                <w:szCs w:val="20"/>
                <w:lang w:eastAsia="es-MX"/>
              </w:rPr>
            </w:pPr>
            <w:r w:rsidRPr="00DC37D6">
              <w:rPr>
                <w:rFonts w:ascii="Barlow" w:hAnsi="Barlow" w:cs="Arial"/>
                <w:color w:val="000000"/>
                <w:sz w:val="20"/>
                <w:szCs w:val="20"/>
                <w:lang w:eastAsia="es-MX"/>
              </w:rPr>
              <w:t>$</w:t>
            </w:r>
            <w:r w:rsidR="00AC53FF" w:rsidRPr="00DC37D6">
              <w:rPr>
                <w:rFonts w:ascii="Barlow" w:hAnsi="Barlow" w:cs="Arial"/>
                <w:color w:val="000000"/>
                <w:sz w:val="20"/>
                <w:szCs w:val="20"/>
                <w:lang w:eastAsia="es-MX"/>
              </w:rPr>
              <w:t>25.07</w:t>
            </w:r>
          </w:p>
        </w:tc>
        <w:tc>
          <w:tcPr>
            <w:tcW w:w="2199" w:type="dxa"/>
            <w:noWrap/>
          </w:tcPr>
          <w:p w14:paraId="1677E445" w14:textId="4C9C407C" w:rsidR="00AC53FF" w:rsidRPr="00DC37D6" w:rsidRDefault="00477227" w:rsidP="002830E3">
            <w:pPr>
              <w:autoSpaceDE w:val="0"/>
              <w:autoSpaceDN w:val="0"/>
              <w:adjustRightInd w:val="0"/>
              <w:spacing w:line="360" w:lineRule="auto"/>
              <w:jc w:val="center"/>
              <w:rPr>
                <w:rFonts w:ascii="Barlow" w:eastAsiaTheme="minorHAnsi" w:hAnsi="Barlow" w:cs="Arial"/>
                <w:sz w:val="20"/>
                <w:szCs w:val="20"/>
                <w:lang w:eastAsia="en-US"/>
              </w:rPr>
            </w:pPr>
            <w:r w:rsidRPr="00DC37D6">
              <w:rPr>
                <w:rFonts w:ascii="Barlow" w:hAnsi="Barlow" w:cs="Arial"/>
                <w:sz w:val="20"/>
                <w:szCs w:val="20"/>
              </w:rPr>
              <w:t>$</w:t>
            </w:r>
            <w:r w:rsidR="00BA5921" w:rsidRPr="00DC37D6">
              <w:rPr>
                <w:rFonts w:ascii="Barlow" w:hAnsi="Barlow" w:cs="Arial"/>
                <w:sz w:val="20"/>
                <w:szCs w:val="20"/>
              </w:rPr>
              <w:t>1,002</w:t>
            </w:r>
            <w:r w:rsidR="00800FD6" w:rsidRPr="00DC37D6">
              <w:rPr>
                <w:rFonts w:ascii="Barlow" w:hAnsi="Barlow" w:cs="Arial"/>
                <w:sz w:val="20"/>
                <w:szCs w:val="20"/>
              </w:rPr>
              <w:t>.</w:t>
            </w:r>
            <w:r w:rsidR="00BA5921" w:rsidRPr="00DC37D6">
              <w:rPr>
                <w:rFonts w:ascii="Barlow" w:hAnsi="Barlow" w:cs="Arial"/>
                <w:sz w:val="20"/>
                <w:szCs w:val="20"/>
              </w:rPr>
              <w:t>84</w:t>
            </w:r>
          </w:p>
        </w:tc>
        <w:tc>
          <w:tcPr>
            <w:tcW w:w="2061" w:type="dxa"/>
          </w:tcPr>
          <w:p w14:paraId="107CDE65" w14:textId="77777777" w:rsidR="00AC53FF" w:rsidRPr="00DC37D6" w:rsidRDefault="00AC53FF" w:rsidP="004B35A4">
            <w:pPr>
              <w:autoSpaceDE w:val="0"/>
              <w:autoSpaceDN w:val="0"/>
              <w:adjustRightInd w:val="0"/>
              <w:spacing w:line="360" w:lineRule="auto"/>
              <w:jc w:val="center"/>
              <w:rPr>
                <w:rFonts w:ascii="Barlow" w:eastAsiaTheme="minorHAnsi" w:hAnsi="Barlow" w:cs="Arial"/>
                <w:i/>
                <w:iCs/>
                <w:sz w:val="20"/>
                <w:szCs w:val="20"/>
                <w:highlight w:val="magenta"/>
                <w:lang w:eastAsia="en-US"/>
              </w:rPr>
            </w:pPr>
            <w:r w:rsidRPr="00DC37D6">
              <w:rPr>
                <w:rFonts w:ascii="Barlow" w:eastAsiaTheme="minorHAnsi" w:hAnsi="Barlow" w:cs="Arial"/>
                <w:i/>
                <w:iCs/>
                <w:sz w:val="20"/>
                <w:szCs w:val="20"/>
                <w:lang w:eastAsia="en-US"/>
              </w:rPr>
              <w:t>En buen estado</w:t>
            </w:r>
          </w:p>
        </w:tc>
        <w:tc>
          <w:tcPr>
            <w:tcW w:w="1410" w:type="dxa"/>
          </w:tcPr>
          <w:p w14:paraId="216C8C6E" w14:textId="77777777" w:rsidR="00AC53FF" w:rsidRPr="00DC37D6" w:rsidRDefault="00AC53FF" w:rsidP="004B35A4">
            <w:pPr>
              <w:autoSpaceDE w:val="0"/>
              <w:autoSpaceDN w:val="0"/>
              <w:adjustRightInd w:val="0"/>
              <w:spacing w:line="360" w:lineRule="auto"/>
              <w:jc w:val="center"/>
              <w:rPr>
                <w:rFonts w:ascii="Barlow" w:eastAsiaTheme="minorHAnsi" w:hAnsi="Barlow" w:cs="Arial"/>
                <w:i/>
                <w:iCs/>
                <w:sz w:val="20"/>
                <w:szCs w:val="20"/>
                <w:lang w:eastAsia="en-US"/>
              </w:rPr>
            </w:pPr>
            <w:r w:rsidRPr="00DC37D6">
              <w:rPr>
                <w:rFonts w:ascii="Barlow" w:eastAsiaTheme="minorHAnsi" w:hAnsi="Barlow" w:cs="Arial"/>
                <w:i/>
                <w:iCs/>
                <w:sz w:val="20"/>
                <w:szCs w:val="20"/>
                <w:lang w:eastAsia="en-US"/>
              </w:rPr>
              <w:t>10% anual</w:t>
            </w:r>
          </w:p>
        </w:tc>
      </w:tr>
      <w:tr w:rsidR="00AC53FF" w:rsidRPr="00DC37D6" w14:paraId="02BAED9A" w14:textId="77777777" w:rsidTr="00417168">
        <w:trPr>
          <w:trHeight w:val="376"/>
          <w:jc w:val="center"/>
        </w:trPr>
        <w:tc>
          <w:tcPr>
            <w:tcW w:w="3129" w:type="dxa"/>
            <w:noWrap/>
          </w:tcPr>
          <w:p w14:paraId="20728BE9" w14:textId="77777777" w:rsidR="00AC53FF" w:rsidRPr="00DC37D6" w:rsidRDefault="00AC53FF" w:rsidP="004B35A4">
            <w:pPr>
              <w:autoSpaceDE w:val="0"/>
              <w:autoSpaceDN w:val="0"/>
              <w:adjustRightInd w:val="0"/>
              <w:spacing w:line="360" w:lineRule="auto"/>
              <w:jc w:val="both"/>
              <w:rPr>
                <w:rFonts w:ascii="Barlow" w:hAnsi="Barlow" w:cs="Arial"/>
                <w:i/>
                <w:iCs/>
                <w:sz w:val="20"/>
                <w:szCs w:val="20"/>
              </w:rPr>
            </w:pPr>
            <w:r w:rsidRPr="00DC37D6">
              <w:rPr>
                <w:rFonts w:ascii="Barlow" w:hAnsi="Barlow" w:cs="Arial"/>
                <w:i/>
                <w:iCs/>
                <w:sz w:val="20"/>
                <w:szCs w:val="20"/>
              </w:rPr>
              <w:lastRenderedPageBreak/>
              <w:t>Otros Mobiliarios y Equipos de Administración</w:t>
            </w:r>
          </w:p>
        </w:tc>
        <w:tc>
          <w:tcPr>
            <w:tcW w:w="2199" w:type="dxa"/>
            <w:noWrap/>
          </w:tcPr>
          <w:p w14:paraId="656E3C70" w14:textId="5A5904A9" w:rsidR="00AC53FF" w:rsidRPr="00DC37D6" w:rsidRDefault="00477227" w:rsidP="004B35A4">
            <w:pPr>
              <w:autoSpaceDE w:val="0"/>
              <w:autoSpaceDN w:val="0"/>
              <w:adjustRightInd w:val="0"/>
              <w:spacing w:line="360" w:lineRule="auto"/>
              <w:jc w:val="center"/>
              <w:rPr>
                <w:rFonts w:ascii="Barlow" w:hAnsi="Barlow" w:cs="Arial"/>
                <w:sz w:val="20"/>
                <w:szCs w:val="20"/>
              </w:rPr>
            </w:pPr>
            <w:r w:rsidRPr="00DC37D6">
              <w:rPr>
                <w:rFonts w:ascii="Barlow" w:hAnsi="Barlow" w:cs="Arial"/>
                <w:sz w:val="20"/>
                <w:szCs w:val="20"/>
              </w:rPr>
              <w:t>$</w:t>
            </w:r>
            <w:r w:rsidR="00AC53FF" w:rsidRPr="00DC37D6">
              <w:rPr>
                <w:rFonts w:ascii="Barlow" w:hAnsi="Barlow" w:cs="Arial"/>
                <w:sz w:val="20"/>
                <w:szCs w:val="20"/>
              </w:rPr>
              <w:t>1,590.00</w:t>
            </w:r>
          </w:p>
        </w:tc>
        <w:tc>
          <w:tcPr>
            <w:tcW w:w="2061" w:type="dxa"/>
            <w:noWrap/>
          </w:tcPr>
          <w:p w14:paraId="511189E0" w14:textId="2414AD60" w:rsidR="00AC53FF" w:rsidRPr="00DC37D6" w:rsidRDefault="00477227" w:rsidP="004B35A4">
            <w:pPr>
              <w:jc w:val="center"/>
              <w:rPr>
                <w:rFonts w:ascii="Barlow" w:hAnsi="Barlow" w:cs="Arial"/>
                <w:color w:val="000000"/>
                <w:sz w:val="20"/>
                <w:szCs w:val="20"/>
                <w:lang w:eastAsia="es-MX"/>
              </w:rPr>
            </w:pPr>
            <w:r w:rsidRPr="00DC37D6">
              <w:rPr>
                <w:rFonts w:ascii="Barlow" w:hAnsi="Barlow" w:cs="Arial"/>
                <w:color w:val="000000"/>
                <w:sz w:val="20"/>
                <w:szCs w:val="20"/>
                <w:lang w:eastAsia="es-MX"/>
              </w:rPr>
              <w:t>$</w:t>
            </w:r>
            <w:r w:rsidR="00AC53FF" w:rsidRPr="00DC37D6">
              <w:rPr>
                <w:rFonts w:ascii="Barlow" w:hAnsi="Barlow" w:cs="Arial"/>
                <w:color w:val="000000"/>
                <w:sz w:val="20"/>
                <w:szCs w:val="20"/>
                <w:lang w:eastAsia="es-MX"/>
              </w:rPr>
              <w:t>13.25</w:t>
            </w:r>
          </w:p>
        </w:tc>
        <w:tc>
          <w:tcPr>
            <w:tcW w:w="2199" w:type="dxa"/>
            <w:noWrap/>
          </w:tcPr>
          <w:p w14:paraId="28E33383" w14:textId="44957C5A" w:rsidR="00AC53FF" w:rsidRPr="00DC37D6" w:rsidRDefault="00477227" w:rsidP="002830E3">
            <w:pPr>
              <w:autoSpaceDE w:val="0"/>
              <w:autoSpaceDN w:val="0"/>
              <w:adjustRightInd w:val="0"/>
              <w:spacing w:line="360" w:lineRule="auto"/>
              <w:jc w:val="center"/>
              <w:rPr>
                <w:rFonts w:ascii="Barlow" w:eastAsiaTheme="minorHAnsi" w:hAnsi="Barlow" w:cs="Arial"/>
                <w:sz w:val="20"/>
                <w:szCs w:val="20"/>
                <w:lang w:eastAsia="en-US"/>
              </w:rPr>
            </w:pPr>
            <w:r w:rsidRPr="00DC37D6">
              <w:rPr>
                <w:rFonts w:ascii="Barlow" w:hAnsi="Barlow" w:cs="Arial"/>
                <w:sz w:val="20"/>
                <w:szCs w:val="20"/>
              </w:rPr>
              <w:t>$</w:t>
            </w:r>
            <w:r w:rsidR="003838D4" w:rsidRPr="00DC37D6">
              <w:rPr>
                <w:rFonts w:ascii="Barlow" w:hAnsi="Barlow" w:cs="Arial"/>
                <w:sz w:val="20"/>
                <w:szCs w:val="20"/>
              </w:rPr>
              <w:t>5</w:t>
            </w:r>
            <w:r w:rsidR="00BA5921" w:rsidRPr="00DC37D6">
              <w:rPr>
                <w:rFonts w:ascii="Barlow" w:hAnsi="Barlow" w:cs="Arial"/>
                <w:sz w:val="20"/>
                <w:szCs w:val="20"/>
              </w:rPr>
              <w:t>43</w:t>
            </w:r>
            <w:r w:rsidR="00A96665" w:rsidRPr="00DC37D6">
              <w:rPr>
                <w:rFonts w:ascii="Barlow" w:hAnsi="Barlow" w:cs="Arial"/>
                <w:sz w:val="20"/>
                <w:szCs w:val="20"/>
              </w:rPr>
              <w:t>.</w:t>
            </w:r>
            <w:r w:rsidR="00BA5921" w:rsidRPr="00DC37D6">
              <w:rPr>
                <w:rFonts w:ascii="Barlow" w:hAnsi="Barlow" w:cs="Arial"/>
                <w:sz w:val="20"/>
                <w:szCs w:val="20"/>
              </w:rPr>
              <w:t>25</w:t>
            </w:r>
          </w:p>
        </w:tc>
        <w:tc>
          <w:tcPr>
            <w:tcW w:w="2061" w:type="dxa"/>
          </w:tcPr>
          <w:p w14:paraId="2F3BF9F7" w14:textId="77777777" w:rsidR="00AC53FF" w:rsidRPr="00DC37D6" w:rsidRDefault="00AC53FF" w:rsidP="004B35A4">
            <w:pPr>
              <w:autoSpaceDE w:val="0"/>
              <w:autoSpaceDN w:val="0"/>
              <w:adjustRightInd w:val="0"/>
              <w:spacing w:line="360" w:lineRule="auto"/>
              <w:jc w:val="center"/>
              <w:rPr>
                <w:rFonts w:ascii="Barlow" w:eastAsiaTheme="minorHAnsi" w:hAnsi="Barlow" w:cs="Arial"/>
                <w:i/>
                <w:iCs/>
                <w:sz w:val="20"/>
                <w:szCs w:val="20"/>
                <w:highlight w:val="magenta"/>
                <w:lang w:eastAsia="en-US"/>
              </w:rPr>
            </w:pPr>
            <w:r w:rsidRPr="00DC37D6">
              <w:rPr>
                <w:rFonts w:ascii="Barlow" w:eastAsiaTheme="minorHAnsi" w:hAnsi="Barlow" w:cs="Arial"/>
                <w:i/>
                <w:iCs/>
                <w:sz w:val="20"/>
                <w:szCs w:val="20"/>
                <w:lang w:eastAsia="en-US"/>
              </w:rPr>
              <w:t>En buen estado</w:t>
            </w:r>
          </w:p>
        </w:tc>
        <w:tc>
          <w:tcPr>
            <w:tcW w:w="1410" w:type="dxa"/>
          </w:tcPr>
          <w:p w14:paraId="2AF13640" w14:textId="77777777" w:rsidR="00AC53FF" w:rsidRPr="00DC37D6" w:rsidRDefault="00AC53FF" w:rsidP="004B35A4">
            <w:pPr>
              <w:autoSpaceDE w:val="0"/>
              <w:autoSpaceDN w:val="0"/>
              <w:adjustRightInd w:val="0"/>
              <w:spacing w:line="360" w:lineRule="auto"/>
              <w:jc w:val="center"/>
              <w:rPr>
                <w:rFonts w:ascii="Barlow" w:eastAsiaTheme="minorHAnsi" w:hAnsi="Barlow" w:cs="Arial"/>
                <w:i/>
                <w:iCs/>
                <w:sz w:val="20"/>
                <w:szCs w:val="20"/>
                <w:lang w:eastAsia="en-US"/>
              </w:rPr>
            </w:pPr>
            <w:r w:rsidRPr="00DC37D6">
              <w:rPr>
                <w:rFonts w:ascii="Barlow" w:eastAsiaTheme="minorHAnsi" w:hAnsi="Barlow" w:cs="Arial"/>
                <w:i/>
                <w:iCs/>
                <w:sz w:val="20"/>
                <w:szCs w:val="20"/>
                <w:lang w:eastAsia="en-US"/>
              </w:rPr>
              <w:t>10% anual</w:t>
            </w:r>
          </w:p>
        </w:tc>
      </w:tr>
      <w:tr w:rsidR="00AC53FF" w:rsidRPr="00DC37D6" w14:paraId="69F3D8F2" w14:textId="77777777" w:rsidTr="00417168">
        <w:trPr>
          <w:trHeight w:val="376"/>
          <w:jc w:val="center"/>
        </w:trPr>
        <w:tc>
          <w:tcPr>
            <w:tcW w:w="3129" w:type="dxa"/>
            <w:noWrap/>
          </w:tcPr>
          <w:p w14:paraId="5839D0D6" w14:textId="77777777" w:rsidR="00AC53FF" w:rsidRPr="00DC37D6" w:rsidRDefault="00AC53FF" w:rsidP="004B35A4">
            <w:pPr>
              <w:autoSpaceDE w:val="0"/>
              <w:autoSpaceDN w:val="0"/>
              <w:adjustRightInd w:val="0"/>
              <w:spacing w:line="360" w:lineRule="auto"/>
              <w:jc w:val="both"/>
              <w:rPr>
                <w:rFonts w:ascii="Barlow" w:hAnsi="Barlow" w:cs="Arial"/>
                <w:i/>
                <w:iCs/>
                <w:sz w:val="20"/>
                <w:szCs w:val="20"/>
              </w:rPr>
            </w:pPr>
            <w:r w:rsidRPr="00DC37D6">
              <w:rPr>
                <w:rFonts w:ascii="Barlow" w:hAnsi="Barlow" w:cs="Arial"/>
                <w:i/>
                <w:iCs/>
                <w:sz w:val="20"/>
                <w:szCs w:val="20"/>
              </w:rPr>
              <w:t>Equipo de cómputo y TI</w:t>
            </w:r>
          </w:p>
        </w:tc>
        <w:tc>
          <w:tcPr>
            <w:tcW w:w="2199" w:type="dxa"/>
            <w:noWrap/>
          </w:tcPr>
          <w:p w14:paraId="3D0D7BCF" w14:textId="64ED951A" w:rsidR="00AC53FF" w:rsidRPr="00DC37D6" w:rsidRDefault="00477227" w:rsidP="00313246">
            <w:pPr>
              <w:autoSpaceDE w:val="0"/>
              <w:autoSpaceDN w:val="0"/>
              <w:adjustRightInd w:val="0"/>
              <w:spacing w:line="360" w:lineRule="auto"/>
              <w:jc w:val="center"/>
              <w:rPr>
                <w:rFonts w:ascii="Barlow" w:hAnsi="Barlow" w:cs="Arial"/>
                <w:sz w:val="20"/>
                <w:szCs w:val="20"/>
              </w:rPr>
            </w:pPr>
            <w:r w:rsidRPr="00DC37D6">
              <w:rPr>
                <w:rFonts w:ascii="Barlow" w:hAnsi="Barlow" w:cs="Arial"/>
                <w:sz w:val="20"/>
                <w:szCs w:val="20"/>
              </w:rPr>
              <w:t>$</w:t>
            </w:r>
            <w:r w:rsidR="00FD4487" w:rsidRPr="00DC37D6">
              <w:rPr>
                <w:rFonts w:ascii="Barlow" w:hAnsi="Barlow" w:cs="Arial"/>
                <w:sz w:val="20"/>
                <w:szCs w:val="20"/>
              </w:rPr>
              <w:t>907,928</w:t>
            </w:r>
            <w:r w:rsidR="00AC53FF" w:rsidRPr="00DC37D6">
              <w:rPr>
                <w:rFonts w:ascii="Barlow" w:hAnsi="Barlow" w:cs="Arial"/>
                <w:sz w:val="20"/>
                <w:szCs w:val="20"/>
              </w:rPr>
              <w:t>.</w:t>
            </w:r>
            <w:r w:rsidR="00FD4487" w:rsidRPr="00DC37D6">
              <w:rPr>
                <w:rFonts w:ascii="Barlow" w:hAnsi="Barlow" w:cs="Arial"/>
                <w:sz w:val="20"/>
                <w:szCs w:val="20"/>
              </w:rPr>
              <w:t>37</w:t>
            </w:r>
          </w:p>
        </w:tc>
        <w:tc>
          <w:tcPr>
            <w:tcW w:w="2061" w:type="dxa"/>
            <w:noWrap/>
          </w:tcPr>
          <w:p w14:paraId="49538B6A" w14:textId="4007B7B9" w:rsidR="00AC53FF" w:rsidRPr="00DC37D6" w:rsidRDefault="00477227" w:rsidP="004B35A4">
            <w:pPr>
              <w:jc w:val="center"/>
              <w:rPr>
                <w:rFonts w:ascii="Barlow" w:hAnsi="Barlow" w:cs="Arial"/>
                <w:color w:val="000000"/>
                <w:sz w:val="20"/>
                <w:szCs w:val="20"/>
                <w:lang w:eastAsia="es-MX"/>
              </w:rPr>
            </w:pPr>
            <w:r w:rsidRPr="00DC37D6">
              <w:rPr>
                <w:rFonts w:ascii="Barlow" w:hAnsi="Barlow" w:cs="Arial"/>
                <w:sz w:val="20"/>
                <w:szCs w:val="20"/>
              </w:rPr>
              <w:t>$</w:t>
            </w:r>
            <w:r w:rsidR="009D11C6" w:rsidRPr="00DC37D6">
              <w:rPr>
                <w:rFonts w:ascii="Barlow" w:hAnsi="Barlow" w:cs="Arial"/>
                <w:sz w:val="20"/>
                <w:szCs w:val="20"/>
              </w:rPr>
              <w:t>5</w:t>
            </w:r>
            <w:r w:rsidR="005D14AC" w:rsidRPr="00DC37D6">
              <w:rPr>
                <w:rFonts w:ascii="Barlow" w:hAnsi="Barlow" w:cs="Arial"/>
                <w:sz w:val="20"/>
                <w:szCs w:val="20"/>
              </w:rPr>
              <w:t>,</w:t>
            </w:r>
            <w:r w:rsidR="009D11C6" w:rsidRPr="00DC37D6">
              <w:rPr>
                <w:rFonts w:ascii="Barlow" w:hAnsi="Barlow" w:cs="Arial"/>
                <w:sz w:val="20"/>
                <w:szCs w:val="20"/>
              </w:rPr>
              <w:t>97</w:t>
            </w:r>
            <w:r w:rsidR="00E31349" w:rsidRPr="00DC37D6">
              <w:rPr>
                <w:rFonts w:ascii="Barlow" w:hAnsi="Barlow" w:cs="Arial"/>
                <w:sz w:val="20"/>
                <w:szCs w:val="20"/>
              </w:rPr>
              <w:t>1</w:t>
            </w:r>
            <w:r w:rsidR="005D14AC" w:rsidRPr="00DC37D6">
              <w:rPr>
                <w:rFonts w:ascii="Barlow" w:hAnsi="Barlow" w:cs="Arial"/>
                <w:sz w:val="20"/>
                <w:szCs w:val="20"/>
              </w:rPr>
              <w:t>.</w:t>
            </w:r>
            <w:r w:rsidR="000D1846" w:rsidRPr="00DC37D6">
              <w:rPr>
                <w:rFonts w:ascii="Barlow" w:hAnsi="Barlow" w:cs="Arial"/>
                <w:sz w:val="20"/>
                <w:szCs w:val="20"/>
              </w:rPr>
              <w:t>1</w:t>
            </w:r>
            <w:r w:rsidR="00E31349" w:rsidRPr="00DC37D6">
              <w:rPr>
                <w:rFonts w:ascii="Barlow" w:hAnsi="Barlow" w:cs="Arial"/>
                <w:sz w:val="20"/>
                <w:szCs w:val="20"/>
              </w:rPr>
              <w:t>1</w:t>
            </w:r>
          </w:p>
        </w:tc>
        <w:tc>
          <w:tcPr>
            <w:tcW w:w="2199" w:type="dxa"/>
            <w:noWrap/>
          </w:tcPr>
          <w:p w14:paraId="25184BD5" w14:textId="281F48CC" w:rsidR="00AC53FF" w:rsidRPr="00DC37D6" w:rsidRDefault="00477227" w:rsidP="002830E3">
            <w:pPr>
              <w:autoSpaceDE w:val="0"/>
              <w:autoSpaceDN w:val="0"/>
              <w:adjustRightInd w:val="0"/>
              <w:spacing w:line="360" w:lineRule="auto"/>
              <w:jc w:val="center"/>
              <w:rPr>
                <w:rFonts w:ascii="Barlow" w:eastAsiaTheme="minorHAnsi" w:hAnsi="Barlow" w:cs="Arial"/>
                <w:sz w:val="20"/>
                <w:szCs w:val="20"/>
                <w:lang w:eastAsia="en-US"/>
              </w:rPr>
            </w:pPr>
            <w:r w:rsidRPr="00DC37D6">
              <w:rPr>
                <w:rFonts w:ascii="Barlow" w:hAnsi="Barlow" w:cs="Arial"/>
                <w:sz w:val="20"/>
                <w:szCs w:val="20"/>
              </w:rPr>
              <w:t>$</w:t>
            </w:r>
            <w:r w:rsidR="00D604F3" w:rsidRPr="00DC37D6">
              <w:rPr>
                <w:rFonts w:ascii="Barlow" w:hAnsi="Barlow" w:cs="Arial"/>
                <w:sz w:val="20"/>
                <w:szCs w:val="20"/>
              </w:rPr>
              <w:t>7</w:t>
            </w:r>
            <w:r w:rsidR="00BA5921" w:rsidRPr="00DC37D6">
              <w:rPr>
                <w:rFonts w:ascii="Barlow" w:hAnsi="Barlow" w:cs="Arial"/>
                <w:sz w:val="20"/>
                <w:szCs w:val="20"/>
              </w:rPr>
              <w:t>75</w:t>
            </w:r>
            <w:r w:rsidR="00A96665" w:rsidRPr="00DC37D6">
              <w:rPr>
                <w:rFonts w:ascii="Barlow" w:hAnsi="Barlow" w:cs="Arial"/>
                <w:sz w:val="20"/>
                <w:szCs w:val="20"/>
              </w:rPr>
              <w:t>,</w:t>
            </w:r>
            <w:r w:rsidR="00BA5921" w:rsidRPr="00DC37D6">
              <w:rPr>
                <w:rFonts w:ascii="Barlow" w:hAnsi="Barlow" w:cs="Arial"/>
                <w:sz w:val="20"/>
                <w:szCs w:val="20"/>
              </w:rPr>
              <w:t>523</w:t>
            </w:r>
            <w:r w:rsidR="00E57C66" w:rsidRPr="00DC37D6">
              <w:rPr>
                <w:rFonts w:ascii="Barlow" w:hAnsi="Barlow" w:cs="Arial"/>
                <w:sz w:val="20"/>
                <w:szCs w:val="20"/>
              </w:rPr>
              <w:t>.</w:t>
            </w:r>
            <w:r w:rsidR="00BA5921" w:rsidRPr="00DC37D6">
              <w:rPr>
                <w:rFonts w:ascii="Barlow" w:hAnsi="Barlow" w:cs="Arial"/>
                <w:sz w:val="20"/>
                <w:szCs w:val="20"/>
              </w:rPr>
              <w:t>19</w:t>
            </w:r>
          </w:p>
        </w:tc>
        <w:tc>
          <w:tcPr>
            <w:tcW w:w="2061" w:type="dxa"/>
          </w:tcPr>
          <w:p w14:paraId="3021FA8E" w14:textId="77777777" w:rsidR="00AC53FF" w:rsidRPr="00DC37D6" w:rsidRDefault="00AC53FF" w:rsidP="004B35A4">
            <w:pPr>
              <w:autoSpaceDE w:val="0"/>
              <w:autoSpaceDN w:val="0"/>
              <w:adjustRightInd w:val="0"/>
              <w:spacing w:line="360" w:lineRule="auto"/>
              <w:jc w:val="center"/>
              <w:rPr>
                <w:rFonts w:ascii="Barlow" w:eastAsiaTheme="minorHAnsi" w:hAnsi="Barlow" w:cs="Arial"/>
                <w:i/>
                <w:iCs/>
                <w:sz w:val="20"/>
                <w:szCs w:val="20"/>
                <w:lang w:eastAsia="en-US"/>
              </w:rPr>
            </w:pPr>
            <w:r w:rsidRPr="00DC37D6">
              <w:rPr>
                <w:rFonts w:ascii="Barlow" w:eastAsiaTheme="minorHAnsi" w:hAnsi="Barlow" w:cs="Arial"/>
                <w:i/>
                <w:iCs/>
                <w:sz w:val="20"/>
                <w:szCs w:val="20"/>
                <w:lang w:eastAsia="en-US"/>
              </w:rPr>
              <w:t>En buen estado</w:t>
            </w:r>
          </w:p>
        </w:tc>
        <w:tc>
          <w:tcPr>
            <w:tcW w:w="1410" w:type="dxa"/>
          </w:tcPr>
          <w:p w14:paraId="2295DAB3" w14:textId="77777777" w:rsidR="00AC53FF" w:rsidRPr="00DC37D6" w:rsidRDefault="00AC53FF" w:rsidP="004B35A4">
            <w:pPr>
              <w:autoSpaceDE w:val="0"/>
              <w:autoSpaceDN w:val="0"/>
              <w:adjustRightInd w:val="0"/>
              <w:spacing w:line="360" w:lineRule="auto"/>
              <w:jc w:val="center"/>
              <w:rPr>
                <w:rFonts w:ascii="Barlow" w:eastAsiaTheme="minorHAnsi" w:hAnsi="Barlow" w:cs="Arial"/>
                <w:i/>
                <w:iCs/>
                <w:sz w:val="20"/>
                <w:szCs w:val="20"/>
                <w:lang w:eastAsia="en-US"/>
              </w:rPr>
            </w:pPr>
            <w:r w:rsidRPr="00DC37D6">
              <w:rPr>
                <w:rFonts w:ascii="Barlow" w:eastAsiaTheme="minorHAnsi" w:hAnsi="Barlow" w:cs="Arial"/>
                <w:i/>
                <w:iCs/>
                <w:sz w:val="20"/>
                <w:szCs w:val="20"/>
                <w:lang w:eastAsia="en-US"/>
              </w:rPr>
              <w:t>33.33% anual</w:t>
            </w:r>
          </w:p>
        </w:tc>
      </w:tr>
      <w:tr w:rsidR="00AC53FF" w:rsidRPr="00DC37D6" w14:paraId="2E103CD7" w14:textId="77777777" w:rsidTr="00417168">
        <w:trPr>
          <w:trHeight w:val="376"/>
          <w:jc w:val="center"/>
        </w:trPr>
        <w:tc>
          <w:tcPr>
            <w:tcW w:w="3129" w:type="dxa"/>
            <w:noWrap/>
            <w:hideMark/>
          </w:tcPr>
          <w:p w14:paraId="4AD6A689" w14:textId="77777777" w:rsidR="00AC53FF" w:rsidRPr="00DC37D6" w:rsidRDefault="00AC53FF" w:rsidP="004B35A4">
            <w:pPr>
              <w:autoSpaceDE w:val="0"/>
              <w:autoSpaceDN w:val="0"/>
              <w:adjustRightInd w:val="0"/>
              <w:spacing w:line="360" w:lineRule="auto"/>
              <w:jc w:val="both"/>
              <w:rPr>
                <w:rFonts w:ascii="Barlow" w:hAnsi="Barlow" w:cs="Arial"/>
                <w:b/>
                <w:bCs/>
                <w:sz w:val="20"/>
                <w:szCs w:val="20"/>
              </w:rPr>
            </w:pPr>
            <w:r w:rsidRPr="00DC37D6">
              <w:rPr>
                <w:rFonts w:ascii="Barlow" w:hAnsi="Barlow" w:cs="Arial"/>
                <w:b/>
                <w:bCs/>
                <w:sz w:val="20"/>
                <w:szCs w:val="20"/>
              </w:rPr>
              <w:t>Mobiliario y Equipo Educacional y Recreativo</w:t>
            </w:r>
          </w:p>
        </w:tc>
        <w:tc>
          <w:tcPr>
            <w:tcW w:w="2199" w:type="dxa"/>
            <w:noWrap/>
            <w:hideMark/>
          </w:tcPr>
          <w:p w14:paraId="27BFC1D1" w14:textId="77777777" w:rsidR="00AC53FF" w:rsidRPr="00DC37D6" w:rsidRDefault="00AC53FF" w:rsidP="004B35A4">
            <w:pPr>
              <w:autoSpaceDE w:val="0"/>
              <w:autoSpaceDN w:val="0"/>
              <w:adjustRightInd w:val="0"/>
              <w:spacing w:line="360" w:lineRule="auto"/>
              <w:jc w:val="center"/>
              <w:rPr>
                <w:rFonts w:ascii="Barlow" w:hAnsi="Barlow" w:cs="Arial"/>
                <w:b/>
                <w:bCs/>
                <w:sz w:val="20"/>
                <w:szCs w:val="20"/>
              </w:rPr>
            </w:pPr>
          </w:p>
          <w:p w14:paraId="027B45EC" w14:textId="77777777" w:rsidR="00AC53FF" w:rsidRPr="00DC37D6" w:rsidRDefault="00AC53FF" w:rsidP="004B35A4">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$115,782.52</w:t>
            </w:r>
          </w:p>
        </w:tc>
        <w:tc>
          <w:tcPr>
            <w:tcW w:w="2061" w:type="dxa"/>
            <w:noWrap/>
          </w:tcPr>
          <w:p w14:paraId="4E361DCA" w14:textId="77777777" w:rsidR="00AC53FF" w:rsidRPr="00DC37D6" w:rsidRDefault="00AC53FF" w:rsidP="004B35A4">
            <w:pPr>
              <w:jc w:val="center"/>
              <w:rPr>
                <w:rFonts w:ascii="Barlow" w:hAnsi="Barlow" w:cs="Arial"/>
                <w:b/>
                <w:bCs/>
                <w:color w:val="000000"/>
                <w:sz w:val="20"/>
                <w:szCs w:val="20"/>
                <w:lang w:eastAsia="es-MX"/>
              </w:rPr>
            </w:pPr>
          </w:p>
          <w:p w14:paraId="0D21AAED" w14:textId="4431FC4D" w:rsidR="00AC53FF" w:rsidRPr="00DC37D6" w:rsidRDefault="00AC53FF" w:rsidP="004B35A4">
            <w:pPr>
              <w:jc w:val="center"/>
              <w:rPr>
                <w:rFonts w:ascii="Barlow" w:hAnsi="Barlow" w:cs="Arial"/>
                <w:b/>
                <w:bCs/>
                <w:color w:val="000000"/>
                <w:sz w:val="20"/>
                <w:szCs w:val="20"/>
                <w:lang w:eastAsia="es-MX"/>
              </w:rPr>
            </w:pPr>
            <w:r w:rsidRPr="00DC37D6">
              <w:rPr>
                <w:rFonts w:ascii="Barlow" w:hAnsi="Barlow" w:cs="Arial"/>
                <w:b/>
                <w:bCs/>
                <w:color w:val="000000"/>
                <w:sz w:val="20"/>
                <w:szCs w:val="20"/>
                <w:lang w:eastAsia="es-MX"/>
              </w:rPr>
              <w:t>$</w:t>
            </w:r>
            <w:r w:rsidR="006A6D11" w:rsidRPr="00DC37D6">
              <w:rPr>
                <w:rFonts w:ascii="Barlow" w:hAnsi="Barlow" w:cs="Arial"/>
                <w:b/>
                <w:bCs/>
                <w:color w:val="000000"/>
                <w:sz w:val="20"/>
                <w:szCs w:val="20"/>
                <w:lang w:eastAsia="es-MX"/>
              </w:rPr>
              <w:t>8</w:t>
            </w:r>
            <w:r w:rsidR="00D8050A" w:rsidRPr="00DC37D6">
              <w:rPr>
                <w:rFonts w:ascii="Barlow" w:hAnsi="Barlow" w:cs="Arial"/>
                <w:b/>
                <w:bCs/>
                <w:color w:val="000000"/>
                <w:sz w:val="20"/>
                <w:szCs w:val="20"/>
                <w:lang w:eastAsia="es-MX"/>
              </w:rPr>
              <w:t>90.18</w:t>
            </w:r>
          </w:p>
        </w:tc>
        <w:tc>
          <w:tcPr>
            <w:tcW w:w="2199" w:type="dxa"/>
            <w:noWrap/>
          </w:tcPr>
          <w:p w14:paraId="5FA6F6B9" w14:textId="77777777" w:rsidR="00AC53FF" w:rsidRPr="00DC37D6" w:rsidRDefault="00AC53FF" w:rsidP="004B35A4">
            <w:pPr>
              <w:autoSpaceDE w:val="0"/>
              <w:autoSpaceDN w:val="0"/>
              <w:adjustRightInd w:val="0"/>
              <w:spacing w:line="360" w:lineRule="auto"/>
              <w:jc w:val="center"/>
              <w:rPr>
                <w:rFonts w:ascii="Barlow" w:eastAsiaTheme="minorHAnsi" w:hAnsi="Barlow" w:cs="Arial"/>
                <w:b/>
                <w:bCs/>
                <w:sz w:val="20"/>
                <w:szCs w:val="20"/>
                <w:lang w:eastAsia="en-US"/>
              </w:rPr>
            </w:pPr>
          </w:p>
          <w:p w14:paraId="235412FE" w14:textId="5A8316ED" w:rsidR="00AC53FF" w:rsidRPr="00DC37D6" w:rsidRDefault="00AC53FF" w:rsidP="003C6E65">
            <w:pPr>
              <w:autoSpaceDE w:val="0"/>
              <w:autoSpaceDN w:val="0"/>
              <w:adjustRightInd w:val="0"/>
              <w:spacing w:line="360" w:lineRule="auto"/>
              <w:jc w:val="center"/>
              <w:rPr>
                <w:rFonts w:ascii="Barlow" w:hAnsi="Barlow" w:cs="Arial"/>
                <w:b/>
                <w:bCs/>
                <w:sz w:val="20"/>
                <w:szCs w:val="20"/>
              </w:rPr>
            </w:pPr>
            <w:r w:rsidRPr="00DC37D6">
              <w:rPr>
                <w:rFonts w:ascii="Barlow" w:eastAsiaTheme="minorHAnsi" w:hAnsi="Barlow" w:cs="Arial"/>
                <w:b/>
                <w:bCs/>
                <w:sz w:val="20"/>
                <w:szCs w:val="20"/>
                <w:lang w:eastAsia="en-US"/>
              </w:rPr>
              <w:t>$</w:t>
            </w:r>
            <w:r w:rsidR="006120F2" w:rsidRPr="00DC37D6">
              <w:rPr>
                <w:rFonts w:ascii="Barlow" w:eastAsiaTheme="minorHAnsi" w:hAnsi="Barlow" w:cs="Arial"/>
                <w:b/>
                <w:bCs/>
                <w:sz w:val="20"/>
                <w:szCs w:val="20"/>
                <w:lang w:eastAsia="en-US"/>
              </w:rPr>
              <w:t>10</w:t>
            </w:r>
            <w:r w:rsidR="006A6D11" w:rsidRPr="00DC37D6">
              <w:rPr>
                <w:rFonts w:ascii="Barlow" w:eastAsiaTheme="minorHAnsi" w:hAnsi="Barlow" w:cs="Arial"/>
                <w:b/>
                <w:bCs/>
                <w:sz w:val="20"/>
                <w:szCs w:val="20"/>
                <w:lang w:eastAsia="en-US"/>
              </w:rPr>
              <w:t>9</w:t>
            </w:r>
            <w:r w:rsidR="00A96665" w:rsidRPr="00DC37D6">
              <w:rPr>
                <w:rFonts w:ascii="Barlow" w:eastAsiaTheme="minorHAnsi" w:hAnsi="Barlow" w:cs="Arial"/>
                <w:b/>
                <w:bCs/>
                <w:sz w:val="20"/>
                <w:szCs w:val="20"/>
                <w:lang w:eastAsia="en-US"/>
              </w:rPr>
              <w:t>,</w:t>
            </w:r>
            <w:r w:rsidR="00D8050A" w:rsidRPr="00DC37D6">
              <w:rPr>
                <w:rFonts w:ascii="Barlow" w:eastAsiaTheme="minorHAnsi" w:hAnsi="Barlow" w:cs="Arial"/>
                <w:b/>
                <w:bCs/>
                <w:sz w:val="20"/>
                <w:szCs w:val="20"/>
                <w:lang w:eastAsia="en-US"/>
              </w:rPr>
              <w:t>330.76</w:t>
            </w:r>
          </w:p>
        </w:tc>
        <w:tc>
          <w:tcPr>
            <w:tcW w:w="2061" w:type="dxa"/>
          </w:tcPr>
          <w:p w14:paraId="6B695072" w14:textId="77777777" w:rsidR="00AC53FF" w:rsidRPr="00DC37D6" w:rsidRDefault="00AC53FF" w:rsidP="004B35A4">
            <w:pPr>
              <w:autoSpaceDE w:val="0"/>
              <w:autoSpaceDN w:val="0"/>
              <w:adjustRightInd w:val="0"/>
              <w:spacing w:line="360" w:lineRule="auto"/>
              <w:jc w:val="center"/>
              <w:rPr>
                <w:rFonts w:ascii="Barlow" w:eastAsiaTheme="minorHAnsi" w:hAnsi="Barlow" w:cs="Arial"/>
                <w:b/>
                <w:bCs/>
                <w:sz w:val="20"/>
                <w:szCs w:val="20"/>
                <w:lang w:eastAsia="en-US"/>
              </w:rPr>
            </w:pPr>
          </w:p>
        </w:tc>
        <w:tc>
          <w:tcPr>
            <w:tcW w:w="1410" w:type="dxa"/>
          </w:tcPr>
          <w:p w14:paraId="42400BC4" w14:textId="77777777" w:rsidR="00AC53FF" w:rsidRPr="00DC37D6" w:rsidRDefault="00AC53FF" w:rsidP="004B35A4">
            <w:pPr>
              <w:autoSpaceDE w:val="0"/>
              <w:autoSpaceDN w:val="0"/>
              <w:adjustRightInd w:val="0"/>
              <w:spacing w:line="360" w:lineRule="auto"/>
              <w:jc w:val="center"/>
              <w:rPr>
                <w:rFonts w:ascii="Barlow" w:eastAsiaTheme="minorHAnsi" w:hAnsi="Barlow" w:cs="Arial"/>
                <w:b/>
                <w:bCs/>
                <w:sz w:val="20"/>
                <w:szCs w:val="20"/>
                <w:lang w:eastAsia="en-US"/>
              </w:rPr>
            </w:pPr>
          </w:p>
        </w:tc>
      </w:tr>
      <w:tr w:rsidR="00AC53FF" w:rsidRPr="00DC37D6" w14:paraId="1D44B027" w14:textId="77777777" w:rsidTr="00417168">
        <w:trPr>
          <w:trHeight w:val="376"/>
          <w:jc w:val="center"/>
        </w:trPr>
        <w:tc>
          <w:tcPr>
            <w:tcW w:w="3129" w:type="dxa"/>
            <w:noWrap/>
          </w:tcPr>
          <w:p w14:paraId="3FFAC764" w14:textId="77777777" w:rsidR="00AC53FF" w:rsidRPr="00DC37D6" w:rsidRDefault="00AC53FF" w:rsidP="004B35A4">
            <w:pPr>
              <w:autoSpaceDE w:val="0"/>
              <w:autoSpaceDN w:val="0"/>
              <w:adjustRightInd w:val="0"/>
              <w:spacing w:line="360" w:lineRule="auto"/>
              <w:jc w:val="both"/>
              <w:rPr>
                <w:rFonts w:ascii="Barlow" w:hAnsi="Barlow" w:cs="Arial"/>
                <w:i/>
                <w:iCs/>
                <w:sz w:val="20"/>
                <w:szCs w:val="20"/>
              </w:rPr>
            </w:pPr>
            <w:r w:rsidRPr="00DC37D6">
              <w:rPr>
                <w:rFonts w:ascii="Barlow" w:hAnsi="Barlow" w:cs="Arial"/>
                <w:i/>
                <w:iCs/>
                <w:sz w:val="20"/>
                <w:szCs w:val="20"/>
              </w:rPr>
              <w:t>Otro Mobiliario y Equipo Educacional y Recreativo</w:t>
            </w:r>
          </w:p>
        </w:tc>
        <w:tc>
          <w:tcPr>
            <w:tcW w:w="2199" w:type="dxa"/>
            <w:shd w:val="clear" w:color="auto" w:fill="auto"/>
            <w:noWrap/>
          </w:tcPr>
          <w:p w14:paraId="12C02584" w14:textId="0E5BA079" w:rsidR="00AC53FF" w:rsidRPr="00DC37D6" w:rsidRDefault="00477227" w:rsidP="004B35A4">
            <w:pPr>
              <w:autoSpaceDE w:val="0"/>
              <w:autoSpaceDN w:val="0"/>
              <w:adjustRightInd w:val="0"/>
              <w:spacing w:line="360" w:lineRule="auto"/>
              <w:jc w:val="center"/>
              <w:rPr>
                <w:rFonts w:ascii="Barlow" w:hAnsi="Barlow" w:cs="Arial"/>
                <w:sz w:val="20"/>
                <w:szCs w:val="20"/>
              </w:rPr>
            </w:pPr>
            <w:r w:rsidRPr="00DC37D6">
              <w:rPr>
                <w:rFonts w:ascii="Barlow" w:hAnsi="Barlow" w:cs="Arial"/>
                <w:sz w:val="20"/>
                <w:szCs w:val="20"/>
              </w:rPr>
              <w:t>$</w:t>
            </w:r>
            <w:r w:rsidR="00AC53FF" w:rsidRPr="00DC37D6">
              <w:rPr>
                <w:rFonts w:ascii="Barlow" w:hAnsi="Barlow" w:cs="Arial"/>
                <w:sz w:val="20"/>
                <w:szCs w:val="20"/>
              </w:rPr>
              <w:t>9,256.80</w:t>
            </w:r>
          </w:p>
        </w:tc>
        <w:tc>
          <w:tcPr>
            <w:tcW w:w="2061" w:type="dxa"/>
            <w:shd w:val="clear" w:color="auto" w:fill="auto"/>
            <w:noWrap/>
          </w:tcPr>
          <w:p w14:paraId="706BF8CA" w14:textId="3546F080" w:rsidR="00AC53FF" w:rsidRPr="00DC37D6" w:rsidRDefault="00477227" w:rsidP="004B35A4">
            <w:pPr>
              <w:jc w:val="center"/>
              <w:rPr>
                <w:rFonts w:ascii="Barlow" w:hAnsi="Barlow" w:cs="Arial"/>
                <w:color w:val="000000"/>
                <w:sz w:val="20"/>
                <w:szCs w:val="20"/>
                <w:lang w:eastAsia="es-MX"/>
              </w:rPr>
            </w:pPr>
            <w:r w:rsidRPr="00DC37D6">
              <w:rPr>
                <w:rFonts w:ascii="Barlow" w:hAnsi="Barlow" w:cs="Arial"/>
                <w:sz w:val="20"/>
                <w:szCs w:val="20"/>
              </w:rPr>
              <w:t>$</w:t>
            </w:r>
            <w:r w:rsidR="00AC53FF" w:rsidRPr="00DC37D6">
              <w:rPr>
                <w:rFonts w:ascii="Barlow" w:hAnsi="Barlow" w:cs="Arial"/>
                <w:sz w:val="20"/>
                <w:szCs w:val="20"/>
              </w:rPr>
              <w:t>154.28</w:t>
            </w:r>
          </w:p>
        </w:tc>
        <w:tc>
          <w:tcPr>
            <w:tcW w:w="2199" w:type="dxa"/>
            <w:shd w:val="clear" w:color="auto" w:fill="auto"/>
            <w:noWrap/>
          </w:tcPr>
          <w:p w14:paraId="7934544A" w14:textId="40D0FC44" w:rsidR="00AC53FF" w:rsidRPr="00DC37D6" w:rsidRDefault="00477227" w:rsidP="003C6E65">
            <w:pPr>
              <w:autoSpaceDE w:val="0"/>
              <w:autoSpaceDN w:val="0"/>
              <w:adjustRightInd w:val="0"/>
              <w:spacing w:line="360" w:lineRule="auto"/>
              <w:jc w:val="center"/>
              <w:rPr>
                <w:rFonts w:ascii="Barlow" w:eastAsiaTheme="minorHAnsi" w:hAnsi="Barlow" w:cs="Arial"/>
                <w:sz w:val="20"/>
                <w:szCs w:val="20"/>
                <w:lang w:eastAsia="en-US"/>
              </w:rPr>
            </w:pPr>
            <w:r w:rsidRPr="00DC37D6">
              <w:rPr>
                <w:rFonts w:ascii="Barlow" w:hAnsi="Barlow" w:cs="Arial"/>
                <w:sz w:val="20"/>
                <w:szCs w:val="20"/>
              </w:rPr>
              <w:t>$</w:t>
            </w:r>
            <w:r w:rsidR="008E15D1" w:rsidRPr="00DC37D6">
              <w:rPr>
                <w:rFonts w:ascii="Barlow" w:hAnsi="Barlow" w:cs="Arial"/>
                <w:sz w:val="20"/>
                <w:szCs w:val="20"/>
              </w:rPr>
              <w:t>6</w:t>
            </w:r>
            <w:r w:rsidR="00A96665" w:rsidRPr="00DC37D6">
              <w:rPr>
                <w:rFonts w:ascii="Barlow" w:hAnsi="Barlow" w:cs="Arial"/>
                <w:sz w:val="20"/>
                <w:szCs w:val="20"/>
              </w:rPr>
              <w:t>,</w:t>
            </w:r>
            <w:r w:rsidR="006A6D11" w:rsidRPr="00DC37D6">
              <w:rPr>
                <w:rFonts w:ascii="Barlow" w:hAnsi="Barlow" w:cs="Arial"/>
                <w:sz w:val="20"/>
                <w:szCs w:val="20"/>
              </w:rPr>
              <w:t>171</w:t>
            </w:r>
            <w:r w:rsidR="00BA4F70" w:rsidRPr="00DC37D6">
              <w:rPr>
                <w:rFonts w:ascii="Barlow" w:hAnsi="Barlow" w:cs="Arial"/>
                <w:sz w:val="20"/>
                <w:szCs w:val="20"/>
              </w:rPr>
              <w:t>.</w:t>
            </w:r>
            <w:r w:rsidR="006A6D11" w:rsidRPr="00DC37D6">
              <w:rPr>
                <w:rFonts w:ascii="Barlow" w:hAnsi="Barlow" w:cs="Arial"/>
                <w:sz w:val="20"/>
                <w:szCs w:val="20"/>
              </w:rPr>
              <w:t>20</w:t>
            </w:r>
          </w:p>
        </w:tc>
        <w:tc>
          <w:tcPr>
            <w:tcW w:w="2061" w:type="dxa"/>
          </w:tcPr>
          <w:p w14:paraId="6792A546" w14:textId="77777777" w:rsidR="00AC53FF" w:rsidRPr="00DC37D6" w:rsidRDefault="00AC53FF" w:rsidP="004B35A4">
            <w:pPr>
              <w:autoSpaceDE w:val="0"/>
              <w:autoSpaceDN w:val="0"/>
              <w:adjustRightInd w:val="0"/>
              <w:spacing w:line="360" w:lineRule="auto"/>
              <w:jc w:val="center"/>
              <w:rPr>
                <w:rFonts w:ascii="Barlow" w:eastAsiaTheme="minorHAnsi" w:hAnsi="Barlow" w:cs="Arial"/>
                <w:i/>
                <w:iCs/>
                <w:sz w:val="20"/>
                <w:szCs w:val="20"/>
                <w:highlight w:val="magenta"/>
                <w:lang w:eastAsia="en-US"/>
              </w:rPr>
            </w:pPr>
            <w:r w:rsidRPr="00DC37D6">
              <w:rPr>
                <w:rFonts w:ascii="Barlow" w:eastAsiaTheme="minorHAnsi" w:hAnsi="Barlow" w:cs="Arial"/>
                <w:i/>
                <w:iCs/>
                <w:sz w:val="20"/>
                <w:szCs w:val="20"/>
                <w:lang w:eastAsia="en-US"/>
              </w:rPr>
              <w:t>En buen estado</w:t>
            </w:r>
          </w:p>
        </w:tc>
        <w:tc>
          <w:tcPr>
            <w:tcW w:w="1410" w:type="dxa"/>
          </w:tcPr>
          <w:p w14:paraId="7FDB5B26" w14:textId="77777777" w:rsidR="00AC53FF" w:rsidRPr="00DC37D6" w:rsidRDefault="00AC53FF" w:rsidP="004B35A4">
            <w:pPr>
              <w:autoSpaceDE w:val="0"/>
              <w:autoSpaceDN w:val="0"/>
              <w:adjustRightInd w:val="0"/>
              <w:spacing w:line="360" w:lineRule="auto"/>
              <w:jc w:val="center"/>
              <w:rPr>
                <w:rFonts w:ascii="Barlow" w:eastAsiaTheme="minorHAnsi" w:hAnsi="Barlow" w:cs="Arial"/>
                <w:i/>
                <w:iCs/>
                <w:sz w:val="20"/>
                <w:szCs w:val="20"/>
                <w:lang w:eastAsia="en-US"/>
              </w:rPr>
            </w:pPr>
            <w:r w:rsidRPr="00DC37D6">
              <w:rPr>
                <w:rFonts w:ascii="Barlow" w:eastAsiaTheme="minorHAnsi" w:hAnsi="Barlow" w:cs="Arial"/>
                <w:i/>
                <w:iCs/>
                <w:sz w:val="20"/>
                <w:szCs w:val="20"/>
                <w:lang w:eastAsia="en-US"/>
              </w:rPr>
              <w:t>20% anual</w:t>
            </w:r>
          </w:p>
        </w:tc>
      </w:tr>
      <w:tr w:rsidR="00AC53FF" w:rsidRPr="00DC37D6" w14:paraId="55C7D3EB" w14:textId="77777777" w:rsidTr="00417168">
        <w:trPr>
          <w:trHeight w:val="376"/>
          <w:jc w:val="center"/>
        </w:trPr>
        <w:tc>
          <w:tcPr>
            <w:tcW w:w="3129" w:type="dxa"/>
            <w:noWrap/>
          </w:tcPr>
          <w:p w14:paraId="6F2678A5" w14:textId="77777777" w:rsidR="00AC53FF" w:rsidRPr="00DC37D6" w:rsidRDefault="00AC53FF" w:rsidP="004B35A4">
            <w:pPr>
              <w:autoSpaceDE w:val="0"/>
              <w:autoSpaceDN w:val="0"/>
              <w:adjustRightInd w:val="0"/>
              <w:spacing w:line="360" w:lineRule="auto"/>
              <w:jc w:val="both"/>
              <w:rPr>
                <w:rFonts w:ascii="Barlow" w:hAnsi="Barlow" w:cs="Arial"/>
                <w:i/>
                <w:iCs/>
                <w:sz w:val="20"/>
                <w:szCs w:val="20"/>
              </w:rPr>
            </w:pPr>
            <w:r w:rsidRPr="00DC37D6">
              <w:rPr>
                <w:rFonts w:ascii="Barlow" w:hAnsi="Barlow" w:cs="Arial"/>
                <w:i/>
                <w:iCs/>
                <w:sz w:val="20"/>
                <w:szCs w:val="20"/>
              </w:rPr>
              <w:t>Equipo y aparatos audiovisuales</w:t>
            </w:r>
          </w:p>
        </w:tc>
        <w:tc>
          <w:tcPr>
            <w:tcW w:w="2199" w:type="dxa"/>
            <w:shd w:val="clear" w:color="auto" w:fill="auto"/>
            <w:noWrap/>
          </w:tcPr>
          <w:p w14:paraId="31EF3FCA" w14:textId="6C280012" w:rsidR="00AC53FF" w:rsidRPr="00DC37D6" w:rsidRDefault="00477227" w:rsidP="004B35A4">
            <w:pPr>
              <w:autoSpaceDE w:val="0"/>
              <w:autoSpaceDN w:val="0"/>
              <w:adjustRightInd w:val="0"/>
              <w:spacing w:line="360" w:lineRule="auto"/>
              <w:jc w:val="center"/>
              <w:rPr>
                <w:rFonts w:ascii="Barlow" w:hAnsi="Barlow" w:cs="Arial"/>
                <w:sz w:val="20"/>
                <w:szCs w:val="20"/>
              </w:rPr>
            </w:pPr>
            <w:r w:rsidRPr="00DC37D6">
              <w:rPr>
                <w:rFonts w:ascii="Barlow" w:hAnsi="Barlow" w:cs="Arial"/>
                <w:sz w:val="20"/>
                <w:szCs w:val="20"/>
              </w:rPr>
              <w:t>$</w:t>
            </w:r>
            <w:r w:rsidR="00AC53FF" w:rsidRPr="00DC37D6">
              <w:rPr>
                <w:rFonts w:ascii="Barlow" w:hAnsi="Barlow" w:cs="Arial"/>
                <w:sz w:val="20"/>
                <w:szCs w:val="20"/>
              </w:rPr>
              <w:t>90,170.92</w:t>
            </w:r>
          </w:p>
        </w:tc>
        <w:tc>
          <w:tcPr>
            <w:tcW w:w="2061" w:type="dxa"/>
            <w:shd w:val="clear" w:color="auto" w:fill="auto"/>
            <w:noWrap/>
          </w:tcPr>
          <w:p w14:paraId="426EE6F3" w14:textId="0F774673" w:rsidR="00AC53FF" w:rsidRPr="00DC37D6" w:rsidRDefault="00477227" w:rsidP="004B35A4">
            <w:pPr>
              <w:jc w:val="center"/>
              <w:rPr>
                <w:rFonts w:ascii="Barlow" w:hAnsi="Barlow" w:cs="Arial"/>
                <w:color w:val="000000"/>
                <w:sz w:val="20"/>
                <w:szCs w:val="20"/>
                <w:lang w:eastAsia="es-MX"/>
              </w:rPr>
            </w:pPr>
            <w:r w:rsidRPr="00DC37D6">
              <w:rPr>
                <w:rFonts w:ascii="Barlow" w:hAnsi="Barlow" w:cs="Arial"/>
                <w:sz w:val="20"/>
                <w:szCs w:val="20"/>
              </w:rPr>
              <w:t>$</w:t>
            </w:r>
            <w:r w:rsidR="00D8050A" w:rsidRPr="00DC37D6">
              <w:rPr>
                <w:rFonts w:ascii="Barlow" w:hAnsi="Barlow" w:cs="Arial"/>
                <w:sz w:val="20"/>
                <w:szCs w:val="20"/>
              </w:rPr>
              <w:t>365.28</w:t>
            </w:r>
          </w:p>
        </w:tc>
        <w:tc>
          <w:tcPr>
            <w:tcW w:w="2199" w:type="dxa"/>
            <w:shd w:val="clear" w:color="auto" w:fill="auto"/>
            <w:noWrap/>
          </w:tcPr>
          <w:p w14:paraId="339EC574" w14:textId="0D955904" w:rsidR="00AC53FF" w:rsidRPr="00DC37D6" w:rsidRDefault="00477227" w:rsidP="003C6E65">
            <w:pPr>
              <w:autoSpaceDE w:val="0"/>
              <w:autoSpaceDN w:val="0"/>
              <w:adjustRightInd w:val="0"/>
              <w:spacing w:line="360" w:lineRule="auto"/>
              <w:jc w:val="center"/>
              <w:rPr>
                <w:rFonts w:ascii="Barlow" w:eastAsiaTheme="minorHAnsi" w:hAnsi="Barlow" w:cs="Arial"/>
                <w:sz w:val="20"/>
                <w:szCs w:val="20"/>
                <w:lang w:eastAsia="en-US"/>
              </w:rPr>
            </w:pPr>
            <w:r w:rsidRPr="00DC37D6">
              <w:rPr>
                <w:rFonts w:ascii="Barlow" w:eastAsiaTheme="minorHAnsi" w:hAnsi="Barlow" w:cs="Arial"/>
                <w:sz w:val="20"/>
                <w:szCs w:val="20"/>
                <w:lang w:eastAsia="en-US"/>
              </w:rPr>
              <w:t>$</w:t>
            </w:r>
            <w:r w:rsidR="00B93625" w:rsidRPr="00DC37D6">
              <w:rPr>
                <w:rFonts w:ascii="Barlow" w:eastAsiaTheme="minorHAnsi" w:hAnsi="Barlow" w:cs="Arial"/>
                <w:sz w:val="20"/>
                <w:szCs w:val="20"/>
                <w:lang w:eastAsia="en-US"/>
              </w:rPr>
              <w:t>8</w:t>
            </w:r>
            <w:r w:rsidR="00BA4F70" w:rsidRPr="00DC37D6">
              <w:rPr>
                <w:rFonts w:ascii="Barlow" w:eastAsiaTheme="minorHAnsi" w:hAnsi="Barlow" w:cs="Arial"/>
                <w:sz w:val="20"/>
                <w:szCs w:val="20"/>
                <w:lang w:eastAsia="en-US"/>
              </w:rPr>
              <w:t>7</w:t>
            </w:r>
            <w:r w:rsidR="00A96665" w:rsidRPr="00DC37D6">
              <w:rPr>
                <w:rFonts w:ascii="Barlow" w:eastAsiaTheme="minorHAnsi" w:hAnsi="Barlow" w:cs="Arial"/>
                <w:sz w:val="20"/>
                <w:szCs w:val="20"/>
                <w:lang w:eastAsia="en-US"/>
              </w:rPr>
              <w:t>,</w:t>
            </w:r>
            <w:r w:rsidR="00D8050A" w:rsidRPr="00DC37D6">
              <w:rPr>
                <w:rFonts w:ascii="Barlow" w:eastAsiaTheme="minorHAnsi" w:hAnsi="Barlow" w:cs="Arial"/>
                <w:sz w:val="20"/>
                <w:szCs w:val="20"/>
                <w:lang w:eastAsia="en-US"/>
              </w:rPr>
              <w:t>822.30</w:t>
            </w:r>
          </w:p>
        </w:tc>
        <w:tc>
          <w:tcPr>
            <w:tcW w:w="2061" w:type="dxa"/>
          </w:tcPr>
          <w:p w14:paraId="6D09D06D" w14:textId="77777777" w:rsidR="00AC53FF" w:rsidRPr="00DC37D6" w:rsidRDefault="00AC53FF" w:rsidP="004B35A4">
            <w:pPr>
              <w:autoSpaceDE w:val="0"/>
              <w:autoSpaceDN w:val="0"/>
              <w:adjustRightInd w:val="0"/>
              <w:spacing w:line="360" w:lineRule="auto"/>
              <w:jc w:val="center"/>
              <w:rPr>
                <w:rFonts w:ascii="Barlow" w:eastAsiaTheme="minorHAnsi" w:hAnsi="Barlow" w:cs="Arial"/>
                <w:i/>
                <w:iCs/>
                <w:sz w:val="20"/>
                <w:szCs w:val="20"/>
                <w:highlight w:val="magenta"/>
                <w:lang w:eastAsia="en-US"/>
              </w:rPr>
            </w:pPr>
            <w:r w:rsidRPr="00DC37D6">
              <w:rPr>
                <w:rFonts w:ascii="Barlow" w:eastAsiaTheme="minorHAnsi" w:hAnsi="Barlow" w:cs="Arial"/>
                <w:i/>
                <w:iCs/>
                <w:sz w:val="20"/>
                <w:szCs w:val="20"/>
                <w:lang w:eastAsia="en-US"/>
              </w:rPr>
              <w:t>En buen estado</w:t>
            </w:r>
          </w:p>
        </w:tc>
        <w:tc>
          <w:tcPr>
            <w:tcW w:w="1410" w:type="dxa"/>
          </w:tcPr>
          <w:p w14:paraId="2C8DC4E8" w14:textId="77777777" w:rsidR="00AC53FF" w:rsidRPr="00DC37D6" w:rsidRDefault="00AC53FF" w:rsidP="004B35A4">
            <w:pPr>
              <w:autoSpaceDE w:val="0"/>
              <w:autoSpaceDN w:val="0"/>
              <w:adjustRightInd w:val="0"/>
              <w:spacing w:line="360" w:lineRule="auto"/>
              <w:jc w:val="center"/>
              <w:rPr>
                <w:rFonts w:ascii="Barlow" w:eastAsiaTheme="minorHAnsi" w:hAnsi="Barlow" w:cs="Arial"/>
                <w:i/>
                <w:iCs/>
                <w:sz w:val="20"/>
                <w:szCs w:val="20"/>
                <w:lang w:eastAsia="en-US"/>
              </w:rPr>
            </w:pPr>
            <w:r w:rsidRPr="00DC37D6">
              <w:rPr>
                <w:rFonts w:ascii="Barlow" w:eastAsiaTheme="minorHAnsi" w:hAnsi="Barlow" w:cs="Arial"/>
                <w:i/>
                <w:iCs/>
                <w:sz w:val="20"/>
                <w:szCs w:val="20"/>
                <w:lang w:eastAsia="en-US"/>
              </w:rPr>
              <w:t>33.33% anual</w:t>
            </w:r>
          </w:p>
        </w:tc>
      </w:tr>
      <w:tr w:rsidR="00AC53FF" w:rsidRPr="00DC37D6" w14:paraId="271158C0" w14:textId="77777777" w:rsidTr="00417168">
        <w:trPr>
          <w:trHeight w:val="376"/>
          <w:jc w:val="center"/>
        </w:trPr>
        <w:tc>
          <w:tcPr>
            <w:tcW w:w="3129" w:type="dxa"/>
            <w:noWrap/>
          </w:tcPr>
          <w:p w14:paraId="6E19BDD4" w14:textId="77777777" w:rsidR="00AC53FF" w:rsidRPr="00DC37D6" w:rsidRDefault="00AC53FF" w:rsidP="004B35A4">
            <w:pPr>
              <w:autoSpaceDE w:val="0"/>
              <w:autoSpaceDN w:val="0"/>
              <w:adjustRightInd w:val="0"/>
              <w:spacing w:line="360" w:lineRule="auto"/>
              <w:jc w:val="both"/>
              <w:rPr>
                <w:rFonts w:ascii="Barlow" w:hAnsi="Barlow" w:cs="Arial"/>
                <w:i/>
                <w:iCs/>
                <w:sz w:val="20"/>
                <w:szCs w:val="20"/>
              </w:rPr>
            </w:pPr>
            <w:r w:rsidRPr="00DC37D6">
              <w:rPr>
                <w:rFonts w:ascii="Barlow" w:hAnsi="Barlow" w:cs="Arial"/>
                <w:i/>
                <w:iCs/>
                <w:sz w:val="20"/>
                <w:szCs w:val="20"/>
              </w:rPr>
              <w:t>Cámaras fotográficas y de video</w:t>
            </w:r>
          </w:p>
        </w:tc>
        <w:tc>
          <w:tcPr>
            <w:tcW w:w="2199" w:type="dxa"/>
            <w:shd w:val="clear" w:color="auto" w:fill="auto"/>
            <w:noWrap/>
          </w:tcPr>
          <w:p w14:paraId="6C945796" w14:textId="5597A2A1" w:rsidR="00AC53FF" w:rsidRPr="00DC37D6" w:rsidRDefault="00477227" w:rsidP="004B35A4">
            <w:pPr>
              <w:autoSpaceDE w:val="0"/>
              <w:autoSpaceDN w:val="0"/>
              <w:adjustRightInd w:val="0"/>
              <w:spacing w:line="360" w:lineRule="auto"/>
              <w:jc w:val="center"/>
              <w:rPr>
                <w:rFonts w:ascii="Barlow" w:hAnsi="Barlow" w:cs="Arial"/>
                <w:sz w:val="20"/>
                <w:szCs w:val="20"/>
              </w:rPr>
            </w:pPr>
            <w:r w:rsidRPr="00DC37D6">
              <w:rPr>
                <w:rFonts w:ascii="Barlow" w:hAnsi="Barlow" w:cs="Arial"/>
                <w:sz w:val="20"/>
                <w:szCs w:val="20"/>
              </w:rPr>
              <w:t>$</w:t>
            </w:r>
            <w:r w:rsidR="00AC53FF" w:rsidRPr="00DC37D6">
              <w:rPr>
                <w:rFonts w:ascii="Barlow" w:hAnsi="Barlow" w:cs="Arial"/>
                <w:sz w:val="20"/>
                <w:szCs w:val="20"/>
              </w:rPr>
              <w:t>16,354.80</w:t>
            </w:r>
          </w:p>
        </w:tc>
        <w:tc>
          <w:tcPr>
            <w:tcW w:w="2061" w:type="dxa"/>
            <w:shd w:val="clear" w:color="auto" w:fill="auto"/>
            <w:noWrap/>
          </w:tcPr>
          <w:p w14:paraId="11F11326" w14:textId="4077282A" w:rsidR="00AC53FF" w:rsidRPr="00DC37D6" w:rsidRDefault="00477227" w:rsidP="004B35A4">
            <w:pPr>
              <w:jc w:val="center"/>
              <w:rPr>
                <w:rFonts w:ascii="Barlow" w:hAnsi="Barlow" w:cs="Arial"/>
                <w:color w:val="000000"/>
                <w:sz w:val="20"/>
                <w:szCs w:val="20"/>
                <w:lang w:eastAsia="es-MX"/>
              </w:rPr>
            </w:pPr>
            <w:r w:rsidRPr="00DC37D6">
              <w:rPr>
                <w:rFonts w:ascii="Barlow" w:hAnsi="Barlow" w:cs="Arial"/>
                <w:sz w:val="20"/>
                <w:szCs w:val="20"/>
              </w:rPr>
              <w:t>$</w:t>
            </w:r>
            <w:r w:rsidR="00BA4F70" w:rsidRPr="00DC37D6">
              <w:rPr>
                <w:rFonts w:ascii="Barlow" w:hAnsi="Barlow" w:cs="Arial"/>
                <w:sz w:val="20"/>
                <w:szCs w:val="20"/>
              </w:rPr>
              <w:t>37</w:t>
            </w:r>
            <w:r w:rsidR="009D11C6" w:rsidRPr="00DC37D6">
              <w:rPr>
                <w:rFonts w:ascii="Barlow" w:hAnsi="Barlow" w:cs="Arial"/>
                <w:sz w:val="20"/>
                <w:szCs w:val="20"/>
              </w:rPr>
              <w:t>0</w:t>
            </w:r>
            <w:r w:rsidR="00AC53FF" w:rsidRPr="00DC37D6">
              <w:rPr>
                <w:rFonts w:ascii="Barlow" w:hAnsi="Barlow" w:cs="Arial"/>
                <w:sz w:val="20"/>
                <w:szCs w:val="20"/>
              </w:rPr>
              <w:t>.</w:t>
            </w:r>
            <w:r w:rsidR="00BA4F70" w:rsidRPr="00DC37D6">
              <w:rPr>
                <w:rFonts w:ascii="Barlow" w:hAnsi="Barlow" w:cs="Arial"/>
                <w:sz w:val="20"/>
                <w:szCs w:val="20"/>
              </w:rPr>
              <w:t>6</w:t>
            </w:r>
            <w:r w:rsidR="009D11C6" w:rsidRPr="00DC37D6">
              <w:rPr>
                <w:rFonts w:ascii="Barlow" w:hAnsi="Barlow" w:cs="Arial"/>
                <w:sz w:val="20"/>
                <w:szCs w:val="20"/>
              </w:rPr>
              <w:t>2</w:t>
            </w:r>
          </w:p>
        </w:tc>
        <w:tc>
          <w:tcPr>
            <w:tcW w:w="2199" w:type="dxa"/>
            <w:shd w:val="clear" w:color="auto" w:fill="auto"/>
            <w:noWrap/>
          </w:tcPr>
          <w:p w14:paraId="687863CE" w14:textId="774434C6" w:rsidR="00AC53FF" w:rsidRPr="00DC37D6" w:rsidRDefault="00477227" w:rsidP="003C6E65">
            <w:pPr>
              <w:autoSpaceDE w:val="0"/>
              <w:autoSpaceDN w:val="0"/>
              <w:adjustRightInd w:val="0"/>
              <w:spacing w:line="360" w:lineRule="auto"/>
              <w:jc w:val="center"/>
              <w:rPr>
                <w:rFonts w:ascii="Barlow" w:eastAsiaTheme="minorHAnsi" w:hAnsi="Barlow" w:cs="Arial"/>
                <w:sz w:val="20"/>
                <w:szCs w:val="20"/>
                <w:lang w:eastAsia="en-US"/>
              </w:rPr>
            </w:pPr>
            <w:r w:rsidRPr="00DC37D6">
              <w:rPr>
                <w:rFonts w:ascii="Barlow" w:hAnsi="Barlow" w:cs="Arial"/>
                <w:sz w:val="20"/>
                <w:szCs w:val="20"/>
              </w:rPr>
              <w:t>$</w:t>
            </w:r>
            <w:r w:rsidR="00DE603E" w:rsidRPr="00DC37D6">
              <w:rPr>
                <w:rFonts w:ascii="Barlow" w:hAnsi="Barlow" w:cs="Arial"/>
                <w:sz w:val="20"/>
                <w:szCs w:val="20"/>
              </w:rPr>
              <w:t>1</w:t>
            </w:r>
            <w:r w:rsidR="006A6D11" w:rsidRPr="00DC37D6">
              <w:rPr>
                <w:rFonts w:ascii="Barlow" w:hAnsi="Barlow" w:cs="Arial"/>
                <w:sz w:val="20"/>
                <w:szCs w:val="20"/>
              </w:rPr>
              <w:t>5</w:t>
            </w:r>
            <w:r w:rsidR="00A96665" w:rsidRPr="00DC37D6">
              <w:rPr>
                <w:rFonts w:ascii="Barlow" w:hAnsi="Barlow" w:cs="Arial"/>
                <w:sz w:val="20"/>
                <w:szCs w:val="20"/>
              </w:rPr>
              <w:t>,</w:t>
            </w:r>
            <w:r w:rsidR="006A6D11" w:rsidRPr="00DC37D6">
              <w:rPr>
                <w:rFonts w:ascii="Barlow" w:hAnsi="Barlow" w:cs="Arial"/>
                <w:sz w:val="20"/>
                <w:szCs w:val="20"/>
              </w:rPr>
              <w:t>337</w:t>
            </w:r>
            <w:r w:rsidR="007E529E" w:rsidRPr="00DC37D6">
              <w:rPr>
                <w:rFonts w:ascii="Barlow" w:hAnsi="Barlow" w:cs="Arial"/>
                <w:sz w:val="20"/>
                <w:szCs w:val="20"/>
              </w:rPr>
              <w:t>.</w:t>
            </w:r>
            <w:r w:rsidR="006A6D11" w:rsidRPr="00DC37D6">
              <w:rPr>
                <w:rFonts w:ascii="Barlow" w:hAnsi="Barlow" w:cs="Arial"/>
                <w:sz w:val="20"/>
                <w:szCs w:val="20"/>
              </w:rPr>
              <w:t>26</w:t>
            </w:r>
          </w:p>
        </w:tc>
        <w:tc>
          <w:tcPr>
            <w:tcW w:w="2061" w:type="dxa"/>
          </w:tcPr>
          <w:p w14:paraId="6D99CF38" w14:textId="77777777" w:rsidR="00AC53FF" w:rsidRPr="00DC37D6" w:rsidRDefault="00AC53FF" w:rsidP="004B35A4">
            <w:pPr>
              <w:autoSpaceDE w:val="0"/>
              <w:autoSpaceDN w:val="0"/>
              <w:adjustRightInd w:val="0"/>
              <w:spacing w:line="360" w:lineRule="auto"/>
              <w:jc w:val="center"/>
              <w:rPr>
                <w:rFonts w:ascii="Barlow" w:eastAsiaTheme="minorHAnsi" w:hAnsi="Barlow" w:cs="Arial"/>
                <w:i/>
                <w:iCs/>
                <w:sz w:val="20"/>
                <w:szCs w:val="20"/>
                <w:highlight w:val="magenta"/>
                <w:lang w:eastAsia="en-US"/>
              </w:rPr>
            </w:pPr>
            <w:r w:rsidRPr="00DC37D6">
              <w:rPr>
                <w:rFonts w:ascii="Barlow" w:eastAsiaTheme="minorHAnsi" w:hAnsi="Barlow" w:cs="Arial"/>
                <w:i/>
                <w:iCs/>
                <w:sz w:val="20"/>
                <w:szCs w:val="20"/>
                <w:lang w:eastAsia="en-US"/>
              </w:rPr>
              <w:t>En buen estado</w:t>
            </w:r>
          </w:p>
        </w:tc>
        <w:tc>
          <w:tcPr>
            <w:tcW w:w="1410" w:type="dxa"/>
          </w:tcPr>
          <w:p w14:paraId="40AF7B13" w14:textId="77777777" w:rsidR="00AC53FF" w:rsidRPr="00DC37D6" w:rsidRDefault="00AC53FF" w:rsidP="004B35A4">
            <w:pPr>
              <w:autoSpaceDE w:val="0"/>
              <w:autoSpaceDN w:val="0"/>
              <w:adjustRightInd w:val="0"/>
              <w:spacing w:line="360" w:lineRule="auto"/>
              <w:jc w:val="center"/>
              <w:rPr>
                <w:rFonts w:ascii="Barlow" w:eastAsiaTheme="minorHAnsi" w:hAnsi="Barlow" w:cs="Arial"/>
                <w:i/>
                <w:iCs/>
                <w:sz w:val="20"/>
                <w:szCs w:val="20"/>
                <w:lang w:eastAsia="en-US"/>
              </w:rPr>
            </w:pPr>
            <w:r w:rsidRPr="00DC37D6">
              <w:rPr>
                <w:rFonts w:ascii="Barlow" w:eastAsiaTheme="minorHAnsi" w:hAnsi="Barlow" w:cs="Arial"/>
                <w:i/>
                <w:iCs/>
                <w:sz w:val="20"/>
                <w:szCs w:val="20"/>
                <w:lang w:eastAsia="en-US"/>
              </w:rPr>
              <w:t>33.33% anual</w:t>
            </w:r>
          </w:p>
        </w:tc>
      </w:tr>
      <w:tr w:rsidR="00AC53FF" w:rsidRPr="00DC37D6" w14:paraId="092DC539" w14:textId="77777777" w:rsidTr="00417168">
        <w:trPr>
          <w:trHeight w:val="376"/>
          <w:jc w:val="center"/>
        </w:trPr>
        <w:tc>
          <w:tcPr>
            <w:tcW w:w="3129" w:type="dxa"/>
            <w:noWrap/>
            <w:hideMark/>
          </w:tcPr>
          <w:p w14:paraId="5F869736" w14:textId="77777777" w:rsidR="00AC53FF" w:rsidRPr="00DC37D6" w:rsidRDefault="00AC53FF" w:rsidP="004B35A4">
            <w:pPr>
              <w:autoSpaceDE w:val="0"/>
              <w:autoSpaceDN w:val="0"/>
              <w:adjustRightInd w:val="0"/>
              <w:spacing w:line="360" w:lineRule="auto"/>
              <w:jc w:val="both"/>
              <w:rPr>
                <w:rFonts w:ascii="Barlow" w:hAnsi="Barlow" w:cs="Arial"/>
                <w:b/>
                <w:bCs/>
                <w:sz w:val="20"/>
                <w:szCs w:val="20"/>
              </w:rPr>
            </w:pPr>
            <w:r w:rsidRPr="00DC37D6">
              <w:rPr>
                <w:rFonts w:ascii="Barlow" w:hAnsi="Barlow" w:cs="Arial"/>
                <w:b/>
                <w:bCs/>
                <w:sz w:val="20"/>
                <w:szCs w:val="20"/>
              </w:rPr>
              <w:t>Equipo de Transporte</w:t>
            </w:r>
          </w:p>
        </w:tc>
        <w:tc>
          <w:tcPr>
            <w:tcW w:w="2199" w:type="dxa"/>
            <w:shd w:val="clear" w:color="auto" w:fill="auto"/>
            <w:noWrap/>
            <w:hideMark/>
          </w:tcPr>
          <w:p w14:paraId="4963EE2C" w14:textId="77777777" w:rsidR="00AC53FF" w:rsidRPr="00DC37D6" w:rsidRDefault="00AC53FF" w:rsidP="004B35A4">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$385,200.00</w:t>
            </w:r>
          </w:p>
        </w:tc>
        <w:tc>
          <w:tcPr>
            <w:tcW w:w="2061" w:type="dxa"/>
            <w:shd w:val="clear" w:color="auto" w:fill="auto"/>
            <w:noWrap/>
          </w:tcPr>
          <w:p w14:paraId="19B4FBFB" w14:textId="77777777" w:rsidR="00AC53FF" w:rsidRPr="00DC37D6" w:rsidRDefault="00AC53FF" w:rsidP="004B35A4">
            <w:pPr>
              <w:jc w:val="center"/>
              <w:rPr>
                <w:rFonts w:ascii="Barlow" w:hAnsi="Barlow" w:cs="Arial"/>
                <w:b/>
                <w:bCs/>
                <w:color w:val="000000"/>
                <w:sz w:val="20"/>
                <w:szCs w:val="20"/>
                <w:lang w:eastAsia="es-MX"/>
              </w:rPr>
            </w:pPr>
            <w:r w:rsidRPr="00DC37D6">
              <w:rPr>
                <w:rFonts w:ascii="Barlow" w:hAnsi="Barlow" w:cs="Arial"/>
                <w:b/>
                <w:bCs/>
                <w:color w:val="000000"/>
                <w:sz w:val="20"/>
                <w:szCs w:val="20"/>
                <w:lang w:eastAsia="es-MX"/>
              </w:rPr>
              <w:t>$6,420.00</w:t>
            </w:r>
          </w:p>
        </w:tc>
        <w:tc>
          <w:tcPr>
            <w:tcW w:w="2199" w:type="dxa"/>
            <w:shd w:val="clear" w:color="auto" w:fill="auto"/>
            <w:noWrap/>
          </w:tcPr>
          <w:p w14:paraId="4F339889" w14:textId="1EE5C294" w:rsidR="00AC53FF" w:rsidRPr="00DC37D6" w:rsidRDefault="00AC53FF" w:rsidP="0004713D">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w:t>
            </w:r>
            <w:r w:rsidR="007E529E" w:rsidRPr="00DC37D6">
              <w:rPr>
                <w:rFonts w:ascii="Barlow" w:hAnsi="Barlow" w:cs="Arial"/>
                <w:b/>
                <w:bCs/>
                <w:sz w:val="20"/>
                <w:szCs w:val="20"/>
              </w:rPr>
              <w:t>2</w:t>
            </w:r>
            <w:r w:rsidR="00F90139" w:rsidRPr="00DC37D6">
              <w:rPr>
                <w:rFonts w:ascii="Barlow" w:hAnsi="Barlow" w:cs="Arial"/>
                <w:b/>
                <w:bCs/>
                <w:sz w:val="20"/>
                <w:szCs w:val="20"/>
              </w:rPr>
              <w:t>50</w:t>
            </w:r>
            <w:r w:rsidR="007E529E" w:rsidRPr="00DC37D6">
              <w:rPr>
                <w:rFonts w:ascii="Barlow" w:hAnsi="Barlow" w:cs="Arial"/>
                <w:b/>
                <w:bCs/>
                <w:sz w:val="20"/>
                <w:szCs w:val="20"/>
              </w:rPr>
              <w:t>,</w:t>
            </w:r>
            <w:r w:rsidR="00F90139" w:rsidRPr="00DC37D6">
              <w:rPr>
                <w:rFonts w:ascii="Barlow" w:hAnsi="Barlow" w:cs="Arial"/>
                <w:b/>
                <w:bCs/>
                <w:sz w:val="20"/>
                <w:szCs w:val="20"/>
              </w:rPr>
              <w:t>380</w:t>
            </w:r>
            <w:r w:rsidR="00A96665" w:rsidRPr="00DC37D6">
              <w:rPr>
                <w:rFonts w:ascii="Barlow" w:hAnsi="Barlow" w:cs="Arial"/>
                <w:b/>
                <w:bCs/>
                <w:sz w:val="20"/>
                <w:szCs w:val="20"/>
              </w:rPr>
              <w:t>.00</w:t>
            </w:r>
          </w:p>
        </w:tc>
        <w:tc>
          <w:tcPr>
            <w:tcW w:w="2061" w:type="dxa"/>
          </w:tcPr>
          <w:p w14:paraId="096F9D22" w14:textId="77777777" w:rsidR="00AC53FF" w:rsidRPr="00DC37D6" w:rsidRDefault="00AC53FF" w:rsidP="004B35A4">
            <w:pPr>
              <w:autoSpaceDE w:val="0"/>
              <w:autoSpaceDN w:val="0"/>
              <w:adjustRightInd w:val="0"/>
              <w:spacing w:line="360" w:lineRule="auto"/>
              <w:jc w:val="center"/>
              <w:rPr>
                <w:rFonts w:ascii="Barlow" w:hAnsi="Barlow" w:cs="Arial"/>
                <w:b/>
                <w:bCs/>
                <w:sz w:val="20"/>
                <w:szCs w:val="20"/>
              </w:rPr>
            </w:pPr>
            <w:r w:rsidRPr="00DC37D6">
              <w:rPr>
                <w:rFonts w:ascii="Barlow" w:eastAsiaTheme="minorHAnsi" w:hAnsi="Barlow" w:cs="Arial"/>
                <w:b/>
                <w:bCs/>
                <w:sz w:val="20"/>
                <w:szCs w:val="20"/>
                <w:lang w:eastAsia="en-US"/>
              </w:rPr>
              <w:t>En buen estado</w:t>
            </w:r>
          </w:p>
        </w:tc>
        <w:tc>
          <w:tcPr>
            <w:tcW w:w="1410" w:type="dxa"/>
          </w:tcPr>
          <w:p w14:paraId="19EBE145" w14:textId="77777777" w:rsidR="00AC53FF" w:rsidRPr="00DC37D6" w:rsidRDefault="00AC53FF" w:rsidP="004B35A4">
            <w:pPr>
              <w:autoSpaceDE w:val="0"/>
              <w:autoSpaceDN w:val="0"/>
              <w:adjustRightInd w:val="0"/>
              <w:spacing w:line="360" w:lineRule="auto"/>
              <w:jc w:val="center"/>
              <w:rPr>
                <w:rFonts w:ascii="Barlow" w:eastAsiaTheme="minorHAnsi" w:hAnsi="Barlow" w:cs="Arial"/>
                <w:b/>
                <w:bCs/>
                <w:sz w:val="20"/>
                <w:szCs w:val="20"/>
                <w:lang w:eastAsia="en-US"/>
              </w:rPr>
            </w:pPr>
            <w:r w:rsidRPr="00DC37D6">
              <w:rPr>
                <w:rFonts w:ascii="Barlow" w:eastAsiaTheme="minorHAnsi" w:hAnsi="Barlow" w:cs="Arial"/>
                <w:b/>
                <w:bCs/>
                <w:sz w:val="20"/>
                <w:szCs w:val="20"/>
                <w:lang w:eastAsia="en-US"/>
              </w:rPr>
              <w:t>20% anual</w:t>
            </w:r>
          </w:p>
        </w:tc>
      </w:tr>
      <w:tr w:rsidR="00AC53FF" w:rsidRPr="00DC37D6" w14:paraId="2CE26010" w14:textId="77777777" w:rsidTr="00417168">
        <w:trPr>
          <w:trHeight w:val="376"/>
          <w:jc w:val="center"/>
        </w:trPr>
        <w:tc>
          <w:tcPr>
            <w:tcW w:w="3129" w:type="dxa"/>
            <w:noWrap/>
            <w:hideMark/>
          </w:tcPr>
          <w:p w14:paraId="3BF3D52D" w14:textId="77777777" w:rsidR="00AC53FF" w:rsidRPr="00DC37D6" w:rsidRDefault="00AC53FF" w:rsidP="004B35A4">
            <w:pPr>
              <w:autoSpaceDE w:val="0"/>
              <w:autoSpaceDN w:val="0"/>
              <w:adjustRightInd w:val="0"/>
              <w:spacing w:line="360" w:lineRule="auto"/>
              <w:jc w:val="both"/>
              <w:rPr>
                <w:rFonts w:ascii="Barlow" w:hAnsi="Barlow" w:cs="Arial"/>
                <w:b/>
                <w:bCs/>
                <w:sz w:val="20"/>
                <w:szCs w:val="20"/>
              </w:rPr>
            </w:pPr>
            <w:r w:rsidRPr="00DC37D6">
              <w:rPr>
                <w:rFonts w:ascii="Barlow" w:hAnsi="Barlow" w:cs="Arial"/>
                <w:b/>
                <w:bCs/>
                <w:sz w:val="20"/>
                <w:szCs w:val="20"/>
              </w:rPr>
              <w:t>Maquinaria y Otros Equipos</w:t>
            </w:r>
          </w:p>
        </w:tc>
        <w:tc>
          <w:tcPr>
            <w:tcW w:w="2199" w:type="dxa"/>
            <w:shd w:val="clear" w:color="auto" w:fill="auto"/>
            <w:noWrap/>
            <w:hideMark/>
          </w:tcPr>
          <w:p w14:paraId="14460567" w14:textId="77777777" w:rsidR="00AC53FF" w:rsidRPr="00DC37D6" w:rsidRDefault="00AC53FF" w:rsidP="004B35A4">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$249,978.04</w:t>
            </w:r>
          </w:p>
        </w:tc>
        <w:tc>
          <w:tcPr>
            <w:tcW w:w="2061" w:type="dxa"/>
            <w:shd w:val="clear" w:color="auto" w:fill="auto"/>
            <w:noWrap/>
          </w:tcPr>
          <w:p w14:paraId="5D4A0307" w14:textId="77777777" w:rsidR="00AC53FF" w:rsidRPr="00DC37D6" w:rsidRDefault="00AC53FF" w:rsidP="004B35A4">
            <w:pPr>
              <w:jc w:val="center"/>
              <w:rPr>
                <w:rFonts w:ascii="Barlow" w:hAnsi="Barlow" w:cs="Arial"/>
                <w:b/>
                <w:bCs/>
                <w:color w:val="000000"/>
                <w:sz w:val="20"/>
                <w:szCs w:val="20"/>
                <w:lang w:eastAsia="es-MX"/>
              </w:rPr>
            </w:pPr>
            <w:r w:rsidRPr="00DC37D6">
              <w:rPr>
                <w:rFonts w:ascii="Barlow" w:hAnsi="Barlow" w:cs="Arial"/>
                <w:b/>
                <w:bCs/>
                <w:color w:val="000000"/>
                <w:sz w:val="20"/>
                <w:szCs w:val="20"/>
                <w:lang w:eastAsia="es-MX"/>
              </w:rPr>
              <w:t>$2,083.14</w:t>
            </w:r>
          </w:p>
        </w:tc>
        <w:tc>
          <w:tcPr>
            <w:tcW w:w="2199" w:type="dxa"/>
            <w:shd w:val="clear" w:color="auto" w:fill="auto"/>
            <w:noWrap/>
          </w:tcPr>
          <w:p w14:paraId="7B630FBC" w14:textId="0547ACE9" w:rsidR="00AC53FF" w:rsidRPr="00DC37D6" w:rsidRDefault="00AC53FF" w:rsidP="0004713D">
            <w:pPr>
              <w:autoSpaceDE w:val="0"/>
              <w:autoSpaceDN w:val="0"/>
              <w:adjustRightInd w:val="0"/>
              <w:spacing w:line="360" w:lineRule="auto"/>
              <w:jc w:val="center"/>
              <w:rPr>
                <w:rFonts w:ascii="Barlow" w:hAnsi="Barlow" w:cs="Arial"/>
                <w:b/>
                <w:bCs/>
                <w:sz w:val="20"/>
                <w:szCs w:val="20"/>
              </w:rPr>
            </w:pPr>
            <w:r w:rsidRPr="00DC37D6">
              <w:rPr>
                <w:rFonts w:ascii="Barlow" w:eastAsiaTheme="minorHAnsi" w:hAnsi="Barlow" w:cs="Arial"/>
                <w:b/>
                <w:bCs/>
                <w:sz w:val="20"/>
                <w:szCs w:val="20"/>
                <w:lang w:eastAsia="en-US"/>
              </w:rPr>
              <w:t>$</w:t>
            </w:r>
            <w:r w:rsidR="0004713D" w:rsidRPr="00DC37D6">
              <w:rPr>
                <w:rFonts w:ascii="Barlow" w:eastAsiaTheme="minorHAnsi" w:hAnsi="Barlow" w:cs="Arial"/>
                <w:b/>
                <w:bCs/>
                <w:sz w:val="20"/>
                <w:szCs w:val="20"/>
                <w:lang w:eastAsia="en-US"/>
              </w:rPr>
              <w:t>7</w:t>
            </w:r>
            <w:r w:rsidR="00F90139" w:rsidRPr="00DC37D6">
              <w:rPr>
                <w:rFonts w:ascii="Barlow" w:eastAsiaTheme="minorHAnsi" w:hAnsi="Barlow" w:cs="Arial"/>
                <w:b/>
                <w:bCs/>
                <w:sz w:val="20"/>
                <w:szCs w:val="20"/>
                <w:lang w:eastAsia="en-US"/>
              </w:rPr>
              <w:t>9</w:t>
            </w:r>
            <w:r w:rsidR="006120F2" w:rsidRPr="00DC37D6">
              <w:rPr>
                <w:rFonts w:ascii="Barlow" w:eastAsiaTheme="minorHAnsi" w:hAnsi="Barlow" w:cs="Arial"/>
                <w:b/>
                <w:bCs/>
                <w:sz w:val="20"/>
                <w:szCs w:val="20"/>
                <w:lang w:eastAsia="en-US"/>
              </w:rPr>
              <w:t>,</w:t>
            </w:r>
            <w:r w:rsidR="00F90139" w:rsidRPr="00DC37D6">
              <w:rPr>
                <w:rFonts w:ascii="Barlow" w:eastAsiaTheme="minorHAnsi" w:hAnsi="Barlow" w:cs="Arial"/>
                <w:b/>
                <w:bCs/>
                <w:sz w:val="20"/>
                <w:szCs w:val="20"/>
                <w:lang w:eastAsia="en-US"/>
              </w:rPr>
              <w:t>981</w:t>
            </w:r>
            <w:r w:rsidR="00A96665" w:rsidRPr="00DC37D6">
              <w:rPr>
                <w:rFonts w:ascii="Barlow" w:eastAsiaTheme="minorHAnsi" w:hAnsi="Barlow" w:cs="Arial"/>
                <w:b/>
                <w:bCs/>
                <w:sz w:val="20"/>
                <w:szCs w:val="20"/>
                <w:lang w:eastAsia="en-US"/>
              </w:rPr>
              <w:t>.</w:t>
            </w:r>
            <w:r w:rsidR="00F90139" w:rsidRPr="00DC37D6">
              <w:rPr>
                <w:rFonts w:ascii="Barlow" w:eastAsiaTheme="minorHAnsi" w:hAnsi="Barlow" w:cs="Arial"/>
                <w:b/>
                <w:bCs/>
                <w:sz w:val="20"/>
                <w:szCs w:val="20"/>
                <w:lang w:eastAsia="en-US"/>
              </w:rPr>
              <w:t>22</w:t>
            </w:r>
          </w:p>
        </w:tc>
        <w:tc>
          <w:tcPr>
            <w:tcW w:w="2061" w:type="dxa"/>
          </w:tcPr>
          <w:p w14:paraId="225FAA97" w14:textId="77777777" w:rsidR="00AC53FF" w:rsidRPr="00DC37D6" w:rsidRDefault="00AC53FF" w:rsidP="004B35A4">
            <w:pPr>
              <w:autoSpaceDE w:val="0"/>
              <w:autoSpaceDN w:val="0"/>
              <w:adjustRightInd w:val="0"/>
              <w:spacing w:line="360" w:lineRule="auto"/>
              <w:jc w:val="center"/>
              <w:rPr>
                <w:rFonts w:ascii="Barlow" w:eastAsiaTheme="minorHAnsi" w:hAnsi="Barlow" w:cs="Arial"/>
                <w:b/>
                <w:bCs/>
                <w:sz w:val="20"/>
                <w:szCs w:val="20"/>
                <w:lang w:eastAsia="en-US"/>
              </w:rPr>
            </w:pPr>
            <w:r w:rsidRPr="00DC37D6">
              <w:rPr>
                <w:rFonts w:ascii="Barlow" w:eastAsiaTheme="minorHAnsi" w:hAnsi="Barlow" w:cs="Arial"/>
                <w:b/>
                <w:bCs/>
                <w:sz w:val="20"/>
                <w:szCs w:val="20"/>
                <w:lang w:eastAsia="en-US"/>
              </w:rPr>
              <w:t>En buen estado</w:t>
            </w:r>
          </w:p>
        </w:tc>
        <w:tc>
          <w:tcPr>
            <w:tcW w:w="1410" w:type="dxa"/>
          </w:tcPr>
          <w:p w14:paraId="4B20301B" w14:textId="77777777" w:rsidR="00AC53FF" w:rsidRPr="00DC37D6" w:rsidRDefault="00AC53FF" w:rsidP="004B35A4">
            <w:pPr>
              <w:autoSpaceDE w:val="0"/>
              <w:autoSpaceDN w:val="0"/>
              <w:adjustRightInd w:val="0"/>
              <w:spacing w:line="360" w:lineRule="auto"/>
              <w:jc w:val="center"/>
              <w:rPr>
                <w:rFonts w:ascii="Barlow" w:eastAsiaTheme="minorHAnsi" w:hAnsi="Barlow" w:cs="Arial"/>
                <w:b/>
                <w:bCs/>
                <w:sz w:val="20"/>
                <w:szCs w:val="20"/>
                <w:lang w:eastAsia="en-US"/>
              </w:rPr>
            </w:pPr>
            <w:r w:rsidRPr="00DC37D6">
              <w:rPr>
                <w:rFonts w:ascii="Barlow" w:eastAsiaTheme="minorHAnsi" w:hAnsi="Barlow" w:cs="Arial"/>
                <w:b/>
                <w:bCs/>
                <w:sz w:val="20"/>
                <w:szCs w:val="20"/>
                <w:lang w:eastAsia="en-US"/>
              </w:rPr>
              <w:t>10% anual</w:t>
            </w:r>
          </w:p>
        </w:tc>
      </w:tr>
      <w:tr w:rsidR="00AC53FF" w:rsidRPr="00DC37D6" w14:paraId="0B725257" w14:textId="77777777" w:rsidTr="00417168">
        <w:trPr>
          <w:trHeight w:val="376"/>
          <w:jc w:val="center"/>
        </w:trPr>
        <w:tc>
          <w:tcPr>
            <w:tcW w:w="3129" w:type="dxa"/>
            <w:shd w:val="clear" w:color="auto" w:fill="9BBB59" w:themeFill="accent3"/>
            <w:noWrap/>
            <w:hideMark/>
          </w:tcPr>
          <w:p w14:paraId="038C2101" w14:textId="77777777" w:rsidR="00AC53FF" w:rsidRPr="00DC37D6" w:rsidRDefault="00AC53FF" w:rsidP="006C1DD6">
            <w:pPr>
              <w:autoSpaceDE w:val="0"/>
              <w:autoSpaceDN w:val="0"/>
              <w:adjustRightInd w:val="0"/>
              <w:spacing w:line="360" w:lineRule="auto"/>
              <w:jc w:val="center"/>
              <w:rPr>
                <w:rFonts w:ascii="Barlow" w:hAnsi="Barlow" w:cs="Arial"/>
                <w:sz w:val="20"/>
                <w:szCs w:val="20"/>
              </w:rPr>
            </w:pPr>
            <w:r w:rsidRPr="00DC37D6">
              <w:rPr>
                <w:rFonts w:ascii="Barlow" w:hAnsi="Barlow" w:cs="Arial"/>
                <w:b/>
                <w:bCs/>
                <w:sz w:val="20"/>
                <w:szCs w:val="20"/>
              </w:rPr>
              <w:t>TOTAL</w:t>
            </w:r>
          </w:p>
        </w:tc>
        <w:tc>
          <w:tcPr>
            <w:tcW w:w="2199" w:type="dxa"/>
            <w:shd w:val="clear" w:color="auto" w:fill="9BBB59" w:themeFill="accent3"/>
            <w:noWrap/>
            <w:hideMark/>
          </w:tcPr>
          <w:p w14:paraId="31DAD903" w14:textId="6AEE1CE9" w:rsidR="00AC53FF" w:rsidRPr="00DC37D6" w:rsidRDefault="00AC53FF" w:rsidP="0023499F">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$ 2,</w:t>
            </w:r>
            <w:r w:rsidR="00E96A43" w:rsidRPr="00DC37D6">
              <w:rPr>
                <w:rFonts w:ascii="Barlow" w:hAnsi="Barlow" w:cs="Arial"/>
                <w:b/>
                <w:bCs/>
                <w:sz w:val="20"/>
                <w:szCs w:val="20"/>
              </w:rPr>
              <w:t>367</w:t>
            </w:r>
            <w:r w:rsidRPr="00DC37D6">
              <w:rPr>
                <w:rFonts w:ascii="Barlow" w:hAnsi="Barlow" w:cs="Arial"/>
                <w:b/>
                <w:bCs/>
                <w:sz w:val="20"/>
                <w:szCs w:val="20"/>
              </w:rPr>
              <w:t>,</w:t>
            </w:r>
            <w:r w:rsidR="00E96A43" w:rsidRPr="00DC37D6">
              <w:rPr>
                <w:rFonts w:ascii="Barlow" w:hAnsi="Barlow" w:cs="Arial"/>
                <w:b/>
                <w:bCs/>
                <w:sz w:val="20"/>
                <w:szCs w:val="20"/>
              </w:rPr>
              <w:t>054</w:t>
            </w:r>
            <w:r w:rsidRPr="00DC37D6">
              <w:rPr>
                <w:rFonts w:ascii="Barlow" w:hAnsi="Barlow" w:cs="Arial"/>
                <w:b/>
                <w:bCs/>
                <w:sz w:val="20"/>
                <w:szCs w:val="20"/>
              </w:rPr>
              <w:t>.</w:t>
            </w:r>
            <w:r w:rsidR="00E96A43" w:rsidRPr="00DC37D6">
              <w:rPr>
                <w:rFonts w:ascii="Barlow" w:hAnsi="Barlow" w:cs="Arial"/>
                <w:b/>
                <w:bCs/>
                <w:sz w:val="20"/>
                <w:szCs w:val="20"/>
              </w:rPr>
              <w:t>97</w:t>
            </w:r>
          </w:p>
        </w:tc>
        <w:tc>
          <w:tcPr>
            <w:tcW w:w="2061" w:type="dxa"/>
            <w:shd w:val="clear" w:color="auto" w:fill="9BBB59" w:themeFill="accent3"/>
            <w:noWrap/>
            <w:hideMark/>
          </w:tcPr>
          <w:p w14:paraId="33C42407" w14:textId="6AA371D9" w:rsidR="00AC53FF" w:rsidRPr="00DC37D6" w:rsidRDefault="00AC53FF" w:rsidP="004B35A4">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w:t>
            </w:r>
            <w:r w:rsidR="00BA4F70" w:rsidRPr="00DC37D6">
              <w:rPr>
                <w:rFonts w:ascii="Barlow" w:hAnsi="Barlow" w:cs="Arial"/>
                <w:b/>
                <w:bCs/>
                <w:sz w:val="20"/>
                <w:szCs w:val="20"/>
              </w:rPr>
              <w:t>2</w:t>
            </w:r>
            <w:r w:rsidR="008E15D1" w:rsidRPr="00DC37D6">
              <w:rPr>
                <w:rFonts w:ascii="Barlow" w:hAnsi="Barlow" w:cs="Arial"/>
                <w:b/>
                <w:bCs/>
                <w:sz w:val="20"/>
                <w:szCs w:val="20"/>
              </w:rPr>
              <w:t>1</w:t>
            </w:r>
            <w:r w:rsidR="00B95422" w:rsidRPr="00DC37D6">
              <w:rPr>
                <w:rFonts w:ascii="Barlow" w:hAnsi="Barlow" w:cs="Arial"/>
                <w:b/>
                <w:bCs/>
                <w:sz w:val="20"/>
                <w:szCs w:val="20"/>
              </w:rPr>
              <w:t>,</w:t>
            </w:r>
            <w:r w:rsidR="00D8050A" w:rsidRPr="00DC37D6">
              <w:rPr>
                <w:rFonts w:ascii="Barlow" w:hAnsi="Barlow" w:cs="Arial"/>
                <w:b/>
                <w:bCs/>
                <w:sz w:val="20"/>
                <w:szCs w:val="20"/>
              </w:rPr>
              <w:t>265.92</w:t>
            </w:r>
          </w:p>
        </w:tc>
        <w:tc>
          <w:tcPr>
            <w:tcW w:w="2199" w:type="dxa"/>
            <w:shd w:val="clear" w:color="auto" w:fill="9BBB59" w:themeFill="accent3"/>
            <w:noWrap/>
            <w:hideMark/>
          </w:tcPr>
          <w:p w14:paraId="06A6F584" w14:textId="088BC89F" w:rsidR="00AC53FF" w:rsidRPr="00DC37D6" w:rsidRDefault="00AC53FF" w:rsidP="003C6E65">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w:t>
            </w:r>
            <w:r w:rsidR="00DE603E" w:rsidRPr="00DC37D6">
              <w:rPr>
                <w:rFonts w:ascii="Barlow" w:hAnsi="Barlow" w:cs="Arial"/>
                <w:b/>
                <w:bCs/>
                <w:sz w:val="20"/>
                <w:szCs w:val="20"/>
              </w:rPr>
              <w:t>1,</w:t>
            </w:r>
            <w:r w:rsidR="008B4E3F" w:rsidRPr="00DC37D6">
              <w:rPr>
                <w:rFonts w:ascii="Barlow" w:hAnsi="Barlow" w:cs="Arial"/>
                <w:b/>
                <w:bCs/>
                <w:sz w:val="20"/>
                <w:szCs w:val="20"/>
              </w:rPr>
              <w:t>4</w:t>
            </w:r>
            <w:r w:rsidR="00E57D44" w:rsidRPr="00DC37D6">
              <w:rPr>
                <w:rFonts w:ascii="Barlow" w:hAnsi="Barlow" w:cs="Arial"/>
                <w:b/>
                <w:bCs/>
                <w:sz w:val="20"/>
                <w:szCs w:val="20"/>
              </w:rPr>
              <w:t>50</w:t>
            </w:r>
            <w:r w:rsidR="008B4E3F" w:rsidRPr="00DC37D6">
              <w:rPr>
                <w:rFonts w:ascii="Barlow" w:hAnsi="Barlow" w:cs="Arial"/>
                <w:b/>
                <w:bCs/>
                <w:sz w:val="20"/>
                <w:szCs w:val="20"/>
              </w:rPr>
              <w:t>,</w:t>
            </w:r>
            <w:r w:rsidR="00E57D44" w:rsidRPr="00DC37D6">
              <w:rPr>
                <w:rFonts w:ascii="Barlow" w:hAnsi="Barlow" w:cs="Arial"/>
                <w:b/>
                <w:bCs/>
                <w:sz w:val="20"/>
                <w:szCs w:val="20"/>
              </w:rPr>
              <w:t>4</w:t>
            </w:r>
            <w:r w:rsidR="00D8050A" w:rsidRPr="00DC37D6">
              <w:rPr>
                <w:rFonts w:ascii="Barlow" w:hAnsi="Barlow" w:cs="Arial"/>
                <w:b/>
                <w:bCs/>
                <w:sz w:val="20"/>
                <w:szCs w:val="20"/>
              </w:rPr>
              <w:t>79.00</w:t>
            </w:r>
          </w:p>
        </w:tc>
        <w:tc>
          <w:tcPr>
            <w:tcW w:w="2061" w:type="dxa"/>
            <w:shd w:val="clear" w:color="auto" w:fill="9BBB59" w:themeFill="accent3"/>
          </w:tcPr>
          <w:p w14:paraId="4E257BAE" w14:textId="77777777" w:rsidR="00AC53FF" w:rsidRPr="00DC37D6" w:rsidRDefault="00AC53FF" w:rsidP="004B35A4">
            <w:pPr>
              <w:autoSpaceDE w:val="0"/>
              <w:autoSpaceDN w:val="0"/>
              <w:adjustRightInd w:val="0"/>
              <w:spacing w:line="360" w:lineRule="auto"/>
              <w:jc w:val="center"/>
              <w:rPr>
                <w:rFonts w:ascii="Barlow" w:hAnsi="Barlow" w:cs="Arial"/>
                <w:b/>
                <w:bCs/>
                <w:sz w:val="20"/>
                <w:szCs w:val="20"/>
              </w:rPr>
            </w:pPr>
          </w:p>
        </w:tc>
        <w:tc>
          <w:tcPr>
            <w:tcW w:w="1410" w:type="dxa"/>
            <w:shd w:val="clear" w:color="auto" w:fill="9BBB59" w:themeFill="accent3"/>
          </w:tcPr>
          <w:p w14:paraId="0F069AEE" w14:textId="77777777" w:rsidR="00AC53FF" w:rsidRPr="00DC37D6" w:rsidRDefault="00AC53FF" w:rsidP="004B35A4">
            <w:pPr>
              <w:autoSpaceDE w:val="0"/>
              <w:autoSpaceDN w:val="0"/>
              <w:adjustRightInd w:val="0"/>
              <w:spacing w:line="360" w:lineRule="auto"/>
              <w:jc w:val="center"/>
              <w:rPr>
                <w:rFonts w:ascii="Barlow" w:hAnsi="Barlow" w:cs="Arial"/>
                <w:b/>
                <w:bCs/>
                <w:sz w:val="20"/>
                <w:szCs w:val="20"/>
              </w:rPr>
            </w:pPr>
          </w:p>
        </w:tc>
      </w:tr>
    </w:tbl>
    <w:p w14:paraId="4A2A7597" w14:textId="03C71E3C" w:rsidR="00201266" w:rsidRPr="00DC37D6" w:rsidRDefault="00201266" w:rsidP="00F42359">
      <w:pPr>
        <w:rPr>
          <w:rFonts w:ascii="Barlow" w:hAnsi="Barlow" w:cs="Arial"/>
          <w:sz w:val="20"/>
          <w:szCs w:val="20"/>
        </w:rPr>
      </w:pPr>
    </w:p>
    <w:p w14:paraId="08DF95C7" w14:textId="0481ACB1" w:rsidR="000B4A0B" w:rsidRPr="00DC37D6" w:rsidRDefault="000B4A0B" w:rsidP="00F42359">
      <w:pPr>
        <w:rPr>
          <w:rFonts w:ascii="Barlow" w:hAnsi="Barlow" w:cs="Arial"/>
          <w:sz w:val="20"/>
          <w:szCs w:val="20"/>
        </w:rPr>
      </w:pPr>
    </w:p>
    <w:p w14:paraId="7DCABB05" w14:textId="65759BE9" w:rsidR="000B4A0B" w:rsidRPr="00DC37D6" w:rsidRDefault="000B4A0B" w:rsidP="00F42359">
      <w:pPr>
        <w:rPr>
          <w:rFonts w:ascii="Barlow" w:hAnsi="Barlow" w:cs="Arial"/>
          <w:sz w:val="20"/>
          <w:szCs w:val="20"/>
        </w:rPr>
      </w:pPr>
    </w:p>
    <w:p w14:paraId="6BEB2577" w14:textId="77777777" w:rsidR="000B4A0B" w:rsidRPr="00DC37D6" w:rsidRDefault="000B4A0B" w:rsidP="00F42359">
      <w:pPr>
        <w:rPr>
          <w:rFonts w:ascii="Barlow" w:hAnsi="Barlow" w:cs="Arial"/>
          <w:sz w:val="20"/>
          <w:szCs w:val="20"/>
        </w:rPr>
      </w:pPr>
    </w:p>
    <w:p w14:paraId="36AB3E89" w14:textId="3F903894" w:rsidR="00314C97" w:rsidRPr="00DC37D6" w:rsidRDefault="00314C97" w:rsidP="00167F7E">
      <w:pPr>
        <w:pStyle w:val="Prrafodelista"/>
        <w:numPr>
          <w:ilvl w:val="0"/>
          <w:numId w:val="23"/>
        </w:numPr>
        <w:rPr>
          <w:rFonts w:ascii="Barlow" w:hAnsi="Barlow" w:cs="Arial"/>
          <w:sz w:val="20"/>
          <w:szCs w:val="20"/>
        </w:rPr>
      </w:pPr>
      <w:r w:rsidRPr="00DC37D6">
        <w:rPr>
          <w:rFonts w:ascii="Barlow" w:hAnsi="Barlow" w:cs="Arial"/>
          <w:sz w:val="20"/>
          <w:szCs w:val="20"/>
        </w:rPr>
        <w:t xml:space="preserve">Respecto a </w:t>
      </w:r>
      <w:r w:rsidR="007C5B18" w:rsidRPr="00DC37D6">
        <w:rPr>
          <w:rFonts w:ascii="Barlow" w:hAnsi="Barlow" w:cs="Arial"/>
          <w:sz w:val="20"/>
          <w:szCs w:val="20"/>
        </w:rPr>
        <w:t xml:space="preserve">la depreciación </w:t>
      </w:r>
      <w:r w:rsidRPr="00DC37D6">
        <w:rPr>
          <w:rFonts w:ascii="Barlow" w:hAnsi="Barlow" w:cs="Arial"/>
          <w:sz w:val="20"/>
          <w:szCs w:val="20"/>
        </w:rPr>
        <w:t>se indica lo siguiente</w:t>
      </w:r>
      <w:r w:rsidR="007C5B18" w:rsidRPr="00DC37D6">
        <w:rPr>
          <w:rFonts w:ascii="Barlow" w:hAnsi="Barlow" w:cs="Arial"/>
          <w:sz w:val="20"/>
          <w:szCs w:val="20"/>
        </w:rPr>
        <w:t>:</w:t>
      </w:r>
    </w:p>
    <w:p w14:paraId="628ACBBC" w14:textId="77777777" w:rsidR="00F42359" w:rsidRPr="00DC37D6" w:rsidRDefault="00F42359" w:rsidP="00F42359">
      <w:pPr>
        <w:rPr>
          <w:rFonts w:ascii="Barlow" w:hAnsi="Barlow" w:cs="Arial"/>
          <w:sz w:val="20"/>
          <w:szCs w:val="20"/>
        </w:rPr>
      </w:pPr>
    </w:p>
    <w:p w14:paraId="55512225" w14:textId="5A0BF789" w:rsidR="00FF3A0D" w:rsidRPr="00DC37D6" w:rsidRDefault="007C5B18" w:rsidP="00553691">
      <w:pPr>
        <w:pStyle w:val="Texto"/>
        <w:numPr>
          <w:ilvl w:val="0"/>
          <w:numId w:val="18"/>
        </w:numPr>
        <w:tabs>
          <w:tab w:val="left" w:pos="4485"/>
        </w:tabs>
        <w:rPr>
          <w:rFonts w:ascii="Barlow" w:hAnsi="Barlow"/>
          <w:sz w:val="20"/>
          <w:szCs w:val="20"/>
        </w:rPr>
      </w:pPr>
      <w:r w:rsidRPr="00DC37D6">
        <w:rPr>
          <w:rFonts w:ascii="Barlow" w:hAnsi="Barlow"/>
          <w:sz w:val="20"/>
          <w:szCs w:val="20"/>
        </w:rPr>
        <w:t xml:space="preserve">Para el cálculo de la depreciación se utiliza </w:t>
      </w:r>
      <w:r w:rsidR="00314C97" w:rsidRPr="00DC37D6">
        <w:rPr>
          <w:rFonts w:ascii="Barlow" w:hAnsi="Barlow"/>
          <w:sz w:val="20"/>
          <w:szCs w:val="20"/>
        </w:rPr>
        <w:t xml:space="preserve">el método establecido por el </w:t>
      </w:r>
      <w:r w:rsidRPr="00DC37D6">
        <w:rPr>
          <w:rFonts w:ascii="Barlow" w:hAnsi="Barlow"/>
          <w:sz w:val="20"/>
          <w:szCs w:val="20"/>
        </w:rPr>
        <w:t>CONAC</w:t>
      </w:r>
      <w:r w:rsidR="00DF5487" w:rsidRPr="00DC37D6">
        <w:rPr>
          <w:rFonts w:ascii="Barlow" w:hAnsi="Barlow"/>
          <w:sz w:val="20"/>
          <w:szCs w:val="20"/>
        </w:rPr>
        <w:t xml:space="preserve"> </w:t>
      </w:r>
      <w:r w:rsidR="0081190B" w:rsidRPr="00DC37D6">
        <w:rPr>
          <w:rFonts w:ascii="Barlow" w:hAnsi="Barlow"/>
          <w:sz w:val="20"/>
          <w:szCs w:val="20"/>
        </w:rPr>
        <w:t>en</w:t>
      </w:r>
      <w:r w:rsidR="00DF5487" w:rsidRPr="00DC37D6">
        <w:rPr>
          <w:rFonts w:ascii="Barlow" w:hAnsi="Barlow"/>
          <w:sz w:val="20"/>
          <w:szCs w:val="20"/>
        </w:rPr>
        <w:t xml:space="preserve"> las Reglas </w:t>
      </w:r>
      <w:r w:rsidR="0036136E" w:rsidRPr="00DC37D6">
        <w:rPr>
          <w:rFonts w:ascii="Barlow" w:hAnsi="Barlow"/>
          <w:sz w:val="20"/>
          <w:szCs w:val="20"/>
        </w:rPr>
        <w:t>Específicas</w:t>
      </w:r>
      <w:r w:rsidR="00DF5487" w:rsidRPr="00DC37D6">
        <w:rPr>
          <w:rFonts w:ascii="Barlow" w:hAnsi="Barlow"/>
          <w:sz w:val="20"/>
          <w:szCs w:val="20"/>
        </w:rPr>
        <w:t xml:space="preserve"> del Registro y Valoración del </w:t>
      </w:r>
      <w:r w:rsidR="00193A0B" w:rsidRPr="00DC37D6">
        <w:rPr>
          <w:rFonts w:ascii="Barlow" w:hAnsi="Barlow"/>
          <w:sz w:val="20"/>
          <w:szCs w:val="20"/>
        </w:rPr>
        <w:t>Patrimonio</w:t>
      </w:r>
      <w:r w:rsidR="00947F45" w:rsidRPr="00DC37D6">
        <w:rPr>
          <w:rFonts w:ascii="Barlow" w:hAnsi="Barlow"/>
          <w:sz w:val="20"/>
          <w:szCs w:val="20"/>
        </w:rPr>
        <w:t xml:space="preserve"> publicadas el 13 de diciembre de 2011 con última fecha de actualización el 27 de diciembre de 2017.</w:t>
      </w:r>
    </w:p>
    <w:p w14:paraId="28D47B79" w14:textId="77777777" w:rsidR="00201266" w:rsidRPr="00DC37D6" w:rsidRDefault="00201266" w:rsidP="00A426FB">
      <w:pPr>
        <w:pStyle w:val="Prrafodelista"/>
        <w:ind w:left="1416"/>
        <w:contextualSpacing w:val="0"/>
        <w:rPr>
          <w:rFonts w:ascii="Barlow" w:hAnsi="Barlow" w:cs="Arial"/>
          <w:color w:val="000000"/>
          <w:sz w:val="20"/>
          <w:szCs w:val="20"/>
        </w:rPr>
      </w:pPr>
    </w:p>
    <w:p w14:paraId="72B7D0DB" w14:textId="20E59E13" w:rsidR="00A426FB" w:rsidRPr="00DC37D6" w:rsidRDefault="00A426FB" w:rsidP="00A426FB">
      <w:pPr>
        <w:pStyle w:val="Prrafodelista"/>
        <w:ind w:left="1416"/>
        <w:contextualSpacing w:val="0"/>
        <w:rPr>
          <w:rFonts w:ascii="Barlow" w:hAnsi="Barlow" w:cs="Arial"/>
          <w:color w:val="000000"/>
          <w:sz w:val="20"/>
          <w:szCs w:val="20"/>
        </w:rPr>
      </w:pPr>
      <w:r w:rsidRPr="00DC37D6">
        <w:rPr>
          <w:rFonts w:ascii="Barlow" w:hAnsi="Barlow" w:cs="Arial"/>
          <w:color w:val="000000"/>
          <w:sz w:val="20"/>
          <w:szCs w:val="20"/>
        </w:rPr>
        <w:t>Cálculo de la depreciación o amortización:</w:t>
      </w:r>
    </w:p>
    <w:p w14:paraId="23EDF680" w14:textId="6656A270" w:rsidR="00C57BB6" w:rsidRPr="00DC37D6" w:rsidRDefault="00C57BB6" w:rsidP="00A426FB">
      <w:pPr>
        <w:pStyle w:val="Prrafodelista"/>
        <w:ind w:left="1416"/>
        <w:contextualSpacing w:val="0"/>
        <w:rPr>
          <w:rFonts w:ascii="Barlow" w:hAnsi="Barlow" w:cs="Arial"/>
          <w:color w:val="000000"/>
          <w:sz w:val="20"/>
          <w:szCs w:val="20"/>
        </w:rPr>
      </w:pPr>
      <w:r w:rsidRPr="00DC37D6">
        <w:rPr>
          <w:rFonts w:ascii="Barlow" w:hAnsi="Barlow" w:cs="Arial"/>
          <w:noProof/>
          <w:sz w:val="20"/>
          <w:szCs w:val="20"/>
          <w:lang w:eastAsia="es-MX"/>
        </w:rPr>
        <w:lastRenderedPageBreak/>
        <mc:AlternateContent>
          <mc:Choice Requires="wps">
            <w:drawing>
              <wp:anchor distT="45720" distB="45720" distL="114300" distR="114300" simplePos="0" relativeHeight="251654144" behindDoc="0" locked="0" layoutInCell="1" allowOverlap="1" wp14:anchorId="653C7792" wp14:editId="1F0D87DE">
                <wp:simplePos x="0" y="0"/>
                <wp:positionH relativeFrom="column">
                  <wp:posOffset>1413510</wp:posOffset>
                </wp:positionH>
                <wp:positionV relativeFrom="paragraph">
                  <wp:posOffset>119380</wp:posOffset>
                </wp:positionV>
                <wp:extent cx="5762625" cy="419100"/>
                <wp:effectExtent l="0" t="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419100"/>
                        </a:xfrm>
                        <a:prstGeom prst="rect">
                          <a:avLst/>
                        </a:prstGeom>
                        <a:solidFill>
                          <a:srgbClr val="FFFFFF"/>
                        </a:solidFill>
                        <a:ln w="9525">
                          <a:solidFill>
                            <a:srgbClr val="000000"/>
                          </a:solidFill>
                          <a:miter lim="800000"/>
                          <a:headEnd/>
                          <a:tailEnd/>
                        </a:ln>
                      </wps:spPr>
                      <wps:txbx>
                        <w:txbxContent>
                          <w:p w14:paraId="2CAD156C" w14:textId="528E9869" w:rsidR="00C05F00" w:rsidRPr="00DB57DE" w:rsidRDefault="00C05F00" w:rsidP="00FF3A0D">
                            <w:pPr>
                              <w:pBdr>
                                <w:bottom w:val="single" w:sz="12" w:space="1" w:color="auto"/>
                              </w:pBdr>
                              <w:jc w:val="center"/>
                              <w:rPr>
                                <w:rFonts w:ascii="Arial" w:hAnsi="Arial" w:cs="Arial"/>
                                <w:sz w:val="18"/>
                                <w:szCs w:val="18"/>
                              </w:rPr>
                            </w:pPr>
                            <w:r w:rsidRPr="00DB57DE">
                              <w:rPr>
                                <w:rFonts w:ascii="Arial" w:hAnsi="Arial" w:cs="Arial"/>
                                <w:sz w:val="18"/>
                                <w:szCs w:val="18"/>
                              </w:rPr>
                              <w:t>Costo de adquisición del activo depreciable o amortizable – Valor de desecho</w:t>
                            </w:r>
                          </w:p>
                          <w:p w14:paraId="42CC18B4" w14:textId="3E4C76DB" w:rsidR="00C05F00" w:rsidRPr="00DB57DE" w:rsidRDefault="00C05F00" w:rsidP="00FF3A0D">
                            <w:pPr>
                              <w:jc w:val="center"/>
                              <w:rPr>
                                <w:rFonts w:ascii="Arial" w:hAnsi="Arial" w:cs="Arial"/>
                                <w:sz w:val="18"/>
                                <w:szCs w:val="18"/>
                              </w:rPr>
                            </w:pPr>
                            <w:r w:rsidRPr="00DB57DE">
                              <w:rPr>
                                <w:rFonts w:ascii="Arial" w:hAnsi="Arial" w:cs="Arial"/>
                                <w:sz w:val="18"/>
                                <w:szCs w:val="18"/>
                              </w:rPr>
                              <w:t>Vida útil</w:t>
                            </w:r>
                          </w:p>
                          <w:p w14:paraId="1931C25F" w14:textId="24FA7070" w:rsidR="00C05F00" w:rsidRDefault="00C05F00" w:rsidP="00FF3A0D">
                            <w:pPr>
                              <w:jc w:val="center"/>
                            </w:pPr>
                          </w:p>
                          <w:p w14:paraId="36B82C77" w14:textId="77777777" w:rsidR="00C05F00" w:rsidRDefault="00C05F00" w:rsidP="00FF3A0D">
                            <w:pPr>
                              <w:jc w:val="center"/>
                            </w:pPr>
                          </w:p>
                          <w:p w14:paraId="1678892E" w14:textId="77777777" w:rsidR="00C05F00" w:rsidRDefault="00C05F00" w:rsidP="00FF3A0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C7792" id="_x0000_t202" coordsize="21600,21600" o:spt="202" path="m,l,21600r21600,l21600,xe">
                <v:stroke joinstyle="miter"/>
                <v:path gradientshapeok="t" o:connecttype="rect"/>
              </v:shapetype>
              <v:shape id="Cuadro de texto 2" o:spid="_x0000_s1026" type="#_x0000_t202" style="position:absolute;left:0;text-align:left;margin-left:111.3pt;margin-top:9.4pt;width:453.75pt;height:33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">
                <v:textbox>
                  <w:txbxContent>
                    <w:p w14:paraId="2CAD156C" w14:textId="528E9869" w:rsidR="00C05F00" w:rsidRPr="00DB57DE" w:rsidRDefault="00C05F00" w:rsidP="00FF3A0D">
                      <w:pPr>
                        <w:pBdr>
                          <w:bottom w:val="single" w:sz="12" w:space="1" w:color="auto"/>
                        </w:pBdr>
                        <w:jc w:val="center"/>
                        <w:rPr>
                          <w:rFonts w:ascii="Arial" w:hAnsi="Arial" w:cs="Arial"/>
                          <w:sz w:val="18"/>
                          <w:szCs w:val="18"/>
                        </w:rPr>
                      </w:pPr>
                      <w:r w:rsidRPr="00DB57DE">
                        <w:rPr>
                          <w:rFonts w:ascii="Arial" w:hAnsi="Arial" w:cs="Arial"/>
                          <w:sz w:val="18"/>
                          <w:szCs w:val="18"/>
                        </w:rPr>
                        <w:t>Costo de adquisición del activo depreciable o amortizable – Valor de desecho</w:t>
                      </w:r>
                    </w:p>
                    <w:p w14:paraId="42CC18B4" w14:textId="3E4C76DB" w:rsidR="00C05F00" w:rsidRPr="00DB57DE" w:rsidRDefault="00C05F00" w:rsidP="00FF3A0D">
                      <w:pPr>
                        <w:jc w:val="center"/>
                        <w:rPr>
                          <w:rFonts w:ascii="Arial" w:hAnsi="Arial" w:cs="Arial"/>
                          <w:sz w:val="18"/>
                          <w:szCs w:val="18"/>
                        </w:rPr>
                      </w:pPr>
                      <w:r w:rsidRPr="00DB57DE">
                        <w:rPr>
                          <w:rFonts w:ascii="Arial" w:hAnsi="Arial" w:cs="Arial"/>
                          <w:sz w:val="18"/>
                          <w:szCs w:val="18"/>
                        </w:rPr>
                        <w:t>Vida útil</w:t>
                      </w:r>
                    </w:p>
                    <w:p w14:paraId="1931C25F" w14:textId="24FA7070" w:rsidR="00C05F00" w:rsidRDefault="00C05F00" w:rsidP="00FF3A0D">
                      <w:pPr>
                        <w:jc w:val="center"/>
                      </w:pPr>
                    </w:p>
                    <w:p w14:paraId="36B82C77" w14:textId="77777777" w:rsidR="00C05F00" w:rsidRDefault="00C05F00" w:rsidP="00FF3A0D">
                      <w:pPr>
                        <w:jc w:val="center"/>
                      </w:pPr>
                    </w:p>
                    <w:p w14:paraId="1678892E" w14:textId="77777777" w:rsidR="00C05F00" w:rsidRDefault="00C05F00" w:rsidP="00FF3A0D">
                      <w:pPr>
                        <w:jc w:val="center"/>
                      </w:pPr>
                    </w:p>
                  </w:txbxContent>
                </v:textbox>
                <w10:wrap type="square"/>
              </v:shape>
            </w:pict>
          </mc:Fallback>
        </mc:AlternateContent>
      </w:r>
    </w:p>
    <w:p w14:paraId="2CDE8BF5" w14:textId="59E2A166" w:rsidR="00C57BB6" w:rsidRPr="00DC37D6" w:rsidRDefault="00C57BB6" w:rsidP="00A426FB">
      <w:pPr>
        <w:pStyle w:val="Prrafodelista"/>
        <w:ind w:left="1416"/>
        <w:contextualSpacing w:val="0"/>
        <w:rPr>
          <w:rFonts w:ascii="Barlow" w:hAnsi="Barlow" w:cs="Arial"/>
          <w:sz w:val="20"/>
          <w:szCs w:val="20"/>
        </w:rPr>
      </w:pPr>
    </w:p>
    <w:p w14:paraId="6DB456ED" w14:textId="609C593E" w:rsidR="00FF3A0D" w:rsidRPr="00DC37D6" w:rsidRDefault="00FF3A0D" w:rsidP="004C4994">
      <w:pPr>
        <w:pStyle w:val="Texto"/>
        <w:ind w:left="1416" w:firstLine="0"/>
        <w:rPr>
          <w:rFonts w:ascii="Barlow" w:hAnsi="Barlow"/>
          <w:sz w:val="20"/>
          <w:szCs w:val="20"/>
        </w:rPr>
      </w:pPr>
    </w:p>
    <w:p w14:paraId="00F9CB91" w14:textId="00BA044C" w:rsidR="00FF3A0D" w:rsidRPr="00DC37D6" w:rsidRDefault="00FF3A0D" w:rsidP="00CC03C5">
      <w:pPr>
        <w:pStyle w:val="Texto"/>
        <w:tabs>
          <w:tab w:val="left" w:pos="4485"/>
        </w:tabs>
        <w:ind w:firstLine="0"/>
        <w:jc w:val="left"/>
        <w:rPr>
          <w:rFonts w:ascii="Barlow" w:hAnsi="Barlow"/>
          <w:sz w:val="20"/>
          <w:szCs w:val="20"/>
        </w:rPr>
      </w:pPr>
    </w:p>
    <w:p w14:paraId="4A46F4DF" w14:textId="37B68F7E" w:rsidR="00850516" w:rsidRPr="00DC37D6" w:rsidRDefault="002A2D63" w:rsidP="00C24A46">
      <w:pPr>
        <w:pStyle w:val="Texto"/>
        <w:numPr>
          <w:ilvl w:val="0"/>
          <w:numId w:val="18"/>
        </w:numPr>
        <w:tabs>
          <w:tab w:val="left" w:pos="4485"/>
        </w:tabs>
        <w:rPr>
          <w:rFonts w:ascii="Barlow" w:hAnsi="Barlow"/>
          <w:sz w:val="20"/>
          <w:szCs w:val="20"/>
        </w:rPr>
      </w:pPr>
      <w:r w:rsidRPr="00DC37D6">
        <w:rPr>
          <w:rFonts w:ascii="Barlow" w:hAnsi="Barlow"/>
          <w:sz w:val="20"/>
          <w:szCs w:val="20"/>
        </w:rPr>
        <w:t>Para estimar el cálculo de la vida útil</w:t>
      </w:r>
      <w:r w:rsidR="00A160C0" w:rsidRPr="00DC37D6">
        <w:rPr>
          <w:rFonts w:ascii="Barlow" w:hAnsi="Barlow"/>
          <w:sz w:val="20"/>
          <w:szCs w:val="20"/>
        </w:rPr>
        <w:t xml:space="preserve"> de los bienes muebles se utilizan </w:t>
      </w:r>
      <w:r w:rsidR="00E76DDD" w:rsidRPr="00DC37D6">
        <w:rPr>
          <w:rFonts w:ascii="Barlow" w:hAnsi="Barlow"/>
          <w:sz w:val="20"/>
          <w:szCs w:val="20"/>
        </w:rPr>
        <w:t xml:space="preserve">los criterios establecidos en las </w:t>
      </w:r>
      <w:r w:rsidR="00E76DDD" w:rsidRPr="00DC37D6">
        <w:rPr>
          <w:rFonts w:ascii="Barlow" w:hAnsi="Barlow"/>
          <w:sz w:val="20"/>
          <w:szCs w:val="20"/>
          <w:shd w:val="clear" w:color="auto" w:fill="F9F9F9"/>
        </w:rPr>
        <w:t xml:space="preserve">Reglas Específicas del Registro y Valoración del Patrimonio emitidas por el CONAC </w:t>
      </w:r>
      <w:r w:rsidR="00E76DDD" w:rsidRPr="00DC37D6">
        <w:rPr>
          <w:rFonts w:ascii="Barlow" w:hAnsi="Barlow"/>
          <w:b/>
          <w:bCs/>
          <w:sz w:val="20"/>
          <w:szCs w:val="20"/>
          <w:shd w:val="clear" w:color="auto" w:fill="F9F9F9"/>
        </w:rPr>
        <w:t xml:space="preserve">inciso a) </w:t>
      </w:r>
      <w:r w:rsidR="00E76DDD" w:rsidRPr="00DC37D6">
        <w:rPr>
          <w:rFonts w:ascii="Barlow" w:hAnsi="Barlow"/>
          <w:b/>
          <w:bCs/>
          <w:sz w:val="20"/>
          <w:szCs w:val="20"/>
        </w:rPr>
        <w:t>P</w:t>
      </w:r>
      <w:r w:rsidR="00A160C0" w:rsidRPr="00DC37D6">
        <w:rPr>
          <w:rFonts w:ascii="Barlow" w:hAnsi="Barlow"/>
          <w:b/>
          <w:bCs/>
          <w:sz w:val="20"/>
          <w:szCs w:val="20"/>
        </w:rPr>
        <w:t>arámetros de estimación de vida útil</w:t>
      </w:r>
      <w:r w:rsidR="00DE5FD2" w:rsidRPr="00DC37D6">
        <w:rPr>
          <w:rFonts w:ascii="Barlow" w:hAnsi="Barlow"/>
          <w:sz w:val="20"/>
          <w:szCs w:val="20"/>
        </w:rPr>
        <w:t xml:space="preserve"> publicadas el 13 de diciembre de 2011 con última fecha de actualización el 27 de diciembre de 2017.</w:t>
      </w:r>
    </w:p>
    <w:p w14:paraId="71ABADDC" w14:textId="77777777" w:rsidR="00D04A5E" w:rsidRPr="00DC37D6" w:rsidRDefault="00D04A5E" w:rsidP="00D04A5E">
      <w:pPr>
        <w:pStyle w:val="Texto"/>
        <w:tabs>
          <w:tab w:val="left" w:pos="4485"/>
        </w:tabs>
        <w:ind w:left="720" w:firstLine="0"/>
        <w:rPr>
          <w:rFonts w:ascii="Barlow" w:hAnsi="Barlow"/>
          <w:sz w:val="20"/>
          <w:szCs w:val="20"/>
        </w:rPr>
      </w:pPr>
    </w:p>
    <w:p w14:paraId="36B24ACB" w14:textId="354D2FDB" w:rsidR="00F42359" w:rsidRPr="00DC37D6" w:rsidRDefault="00F42359" w:rsidP="00A40A1E">
      <w:pPr>
        <w:pStyle w:val="Texto"/>
        <w:numPr>
          <w:ilvl w:val="0"/>
          <w:numId w:val="18"/>
        </w:numPr>
        <w:jc w:val="left"/>
        <w:rPr>
          <w:rFonts w:ascii="Barlow" w:hAnsi="Barlow"/>
          <w:sz w:val="20"/>
          <w:szCs w:val="20"/>
        </w:rPr>
      </w:pPr>
      <w:r w:rsidRPr="00DC37D6">
        <w:rPr>
          <w:rFonts w:ascii="Barlow" w:hAnsi="Barlow"/>
          <w:sz w:val="20"/>
          <w:szCs w:val="20"/>
        </w:rPr>
        <w:t>Respecto al registro de los Bienes Muebles se indica lo siguiente:</w:t>
      </w:r>
    </w:p>
    <w:p w14:paraId="3C89FCEC" w14:textId="288B4F8D" w:rsidR="00D83C5A" w:rsidRPr="00DC37D6" w:rsidRDefault="006A2B34" w:rsidP="004B35A4">
      <w:pPr>
        <w:pStyle w:val="Prrafodelista"/>
        <w:ind w:left="1416"/>
        <w:jc w:val="both"/>
        <w:rPr>
          <w:rFonts w:ascii="Barlow" w:hAnsi="Barlow" w:cs="Arial"/>
          <w:sz w:val="20"/>
          <w:szCs w:val="20"/>
          <w:lang w:val="es-ES"/>
        </w:rPr>
      </w:pPr>
      <w:r w:rsidRPr="00DC37D6">
        <w:rPr>
          <w:rFonts w:ascii="Barlow" w:hAnsi="Barlow" w:cs="Arial"/>
          <w:sz w:val="20"/>
          <w:szCs w:val="20"/>
        </w:rPr>
        <w:t xml:space="preserve">Atendiendo la </w:t>
      </w:r>
      <w:r w:rsidR="00F42359" w:rsidRPr="00DC37D6">
        <w:rPr>
          <w:rFonts w:ascii="Barlow" w:hAnsi="Barlow" w:cs="Arial"/>
          <w:sz w:val="20"/>
          <w:szCs w:val="20"/>
        </w:rPr>
        <w:t xml:space="preserve">recomendación emitida por el Despacho Externo </w:t>
      </w:r>
      <w:r w:rsidR="00D64EDB" w:rsidRPr="00DC37D6">
        <w:rPr>
          <w:rFonts w:ascii="Barlow" w:hAnsi="Barlow" w:cs="Arial"/>
          <w:sz w:val="20"/>
          <w:szCs w:val="20"/>
        </w:rPr>
        <w:t>Ofelia Cámara</w:t>
      </w:r>
      <w:r w:rsidR="0099539D" w:rsidRPr="00DC37D6">
        <w:rPr>
          <w:rFonts w:ascii="Barlow" w:hAnsi="Barlow" w:cs="Arial"/>
          <w:sz w:val="20"/>
          <w:szCs w:val="20"/>
        </w:rPr>
        <w:t xml:space="preserve"> Auditores y Consultores</w:t>
      </w:r>
      <w:r w:rsidR="00F42359" w:rsidRPr="00DC37D6">
        <w:rPr>
          <w:rFonts w:ascii="Barlow" w:hAnsi="Barlow" w:cs="Arial"/>
          <w:sz w:val="20"/>
          <w:szCs w:val="20"/>
        </w:rPr>
        <w:t xml:space="preserve">, </w:t>
      </w:r>
      <w:r w:rsidR="004B35A4" w:rsidRPr="00DC37D6">
        <w:rPr>
          <w:rFonts w:ascii="Barlow" w:hAnsi="Barlow" w:cs="Arial"/>
          <w:sz w:val="20"/>
          <w:szCs w:val="20"/>
        </w:rPr>
        <w:t xml:space="preserve">a la presente fecha los bienes muebles se registran en apego a lo establecido </w:t>
      </w:r>
      <w:r w:rsidR="00F42359" w:rsidRPr="00DC37D6">
        <w:rPr>
          <w:rFonts w:ascii="Barlow" w:hAnsi="Barlow" w:cs="Arial"/>
          <w:sz w:val="20"/>
          <w:szCs w:val="20"/>
        </w:rPr>
        <w:t xml:space="preserve">en el Numeral 8 “Monto de capitalización de los Bienes Muebles e Intangibles “de las Reglas de Registro y Valoración del </w:t>
      </w:r>
      <w:r w:rsidR="00FF3A0D" w:rsidRPr="00DC37D6">
        <w:rPr>
          <w:rFonts w:ascii="Barlow" w:hAnsi="Barlow" w:cs="Arial"/>
          <w:sz w:val="20"/>
          <w:szCs w:val="20"/>
        </w:rPr>
        <w:t>Patrimonio</w:t>
      </w:r>
      <w:r w:rsidR="0099539D" w:rsidRPr="00DC37D6">
        <w:rPr>
          <w:rFonts w:ascii="Barlow" w:hAnsi="Barlow" w:cs="Arial"/>
          <w:sz w:val="20"/>
          <w:szCs w:val="20"/>
        </w:rPr>
        <w:t xml:space="preserve"> emitidas por el CONAC</w:t>
      </w:r>
      <w:r w:rsidR="004B35A4" w:rsidRPr="00DC37D6">
        <w:rPr>
          <w:rFonts w:ascii="Barlow" w:hAnsi="Barlow" w:cs="Arial"/>
          <w:sz w:val="20"/>
          <w:szCs w:val="20"/>
        </w:rPr>
        <w:t>.</w:t>
      </w:r>
      <w:r w:rsidR="00F42359" w:rsidRPr="00DC37D6">
        <w:rPr>
          <w:rFonts w:ascii="Barlow" w:hAnsi="Barlow" w:cs="Arial"/>
          <w:sz w:val="20"/>
          <w:szCs w:val="20"/>
          <w:lang w:val="es-ES"/>
        </w:rPr>
        <w:t xml:space="preserve"> </w:t>
      </w:r>
    </w:p>
    <w:p w14:paraId="1F8C0A48" w14:textId="77777777" w:rsidR="0074501E" w:rsidRPr="00DC37D6" w:rsidRDefault="0074501E" w:rsidP="004B35A4">
      <w:pPr>
        <w:pStyle w:val="Prrafodelista"/>
        <w:ind w:left="1416"/>
        <w:jc w:val="both"/>
        <w:rPr>
          <w:rFonts w:ascii="Barlow" w:hAnsi="Barlow" w:cs="Arial"/>
          <w:sz w:val="20"/>
          <w:szCs w:val="20"/>
          <w:lang w:val="es-ES"/>
        </w:rPr>
      </w:pPr>
    </w:p>
    <w:p w14:paraId="4D5C18C5" w14:textId="2BF404C9" w:rsidR="0074501E" w:rsidRPr="00DC37D6" w:rsidRDefault="0074501E" w:rsidP="00417168">
      <w:pPr>
        <w:pStyle w:val="Prrafodelista"/>
        <w:numPr>
          <w:ilvl w:val="0"/>
          <w:numId w:val="18"/>
        </w:numPr>
        <w:autoSpaceDE w:val="0"/>
        <w:autoSpaceDN w:val="0"/>
        <w:adjustRightInd w:val="0"/>
        <w:rPr>
          <w:rFonts w:ascii="Barlow" w:hAnsi="Barlow" w:cs="Arial"/>
          <w:bCs/>
          <w:sz w:val="20"/>
          <w:szCs w:val="20"/>
        </w:rPr>
      </w:pPr>
      <w:r w:rsidRPr="00DC37D6">
        <w:rPr>
          <w:rFonts w:ascii="Barlow" w:hAnsi="Barlow" w:cs="Arial"/>
          <w:bCs/>
          <w:sz w:val="20"/>
          <w:szCs w:val="20"/>
        </w:rPr>
        <w:t>Al 30 de noviembre del presente, se registró en libros 3 altas de adquisición de Equipo de cómputo y Tecnologías de la Información por la cantidad de $18,302.70 atendiendo así a la observación No. 5.1 de auditoría a la cuenta pública del ejercicio 2020, realizada por la Auditoría Superior del Estado (ASEY), mediante Oficio DAS/2474/2021 de fecha 16 de noviembre de 2021.</w:t>
      </w:r>
    </w:p>
    <w:p w14:paraId="4B686D88" w14:textId="77777777" w:rsidR="0074501E" w:rsidRPr="00DC37D6" w:rsidRDefault="0074501E" w:rsidP="0074501E">
      <w:pPr>
        <w:autoSpaceDE w:val="0"/>
        <w:autoSpaceDN w:val="0"/>
        <w:adjustRightInd w:val="0"/>
        <w:spacing w:line="360" w:lineRule="auto"/>
        <w:rPr>
          <w:rFonts w:ascii="Barlow" w:hAnsi="Barlow" w:cs="Arial"/>
          <w:bCs/>
          <w:sz w:val="20"/>
          <w:szCs w:val="20"/>
        </w:rPr>
      </w:pPr>
    </w:p>
    <w:p w14:paraId="4B685373" w14:textId="0959115F" w:rsidR="007D4E55" w:rsidRPr="00DC37D6" w:rsidRDefault="007D4E55" w:rsidP="007D4E55">
      <w:pPr>
        <w:pStyle w:val="Prrafodelista"/>
        <w:numPr>
          <w:ilvl w:val="0"/>
          <w:numId w:val="18"/>
        </w:numPr>
        <w:autoSpaceDE w:val="0"/>
        <w:autoSpaceDN w:val="0"/>
        <w:adjustRightInd w:val="0"/>
        <w:spacing w:line="360" w:lineRule="auto"/>
        <w:rPr>
          <w:rFonts w:ascii="Barlow" w:hAnsi="Barlow" w:cs="Arial"/>
          <w:bCs/>
          <w:sz w:val="20"/>
          <w:szCs w:val="20"/>
        </w:rPr>
      </w:pPr>
      <w:bookmarkStart w:id="3" w:name="_Hlk96079800"/>
      <w:r w:rsidRPr="00DC37D6">
        <w:rPr>
          <w:rFonts w:ascii="Barlow" w:hAnsi="Barlow" w:cs="Arial"/>
          <w:bCs/>
          <w:sz w:val="20"/>
          <w:szCs w:val="20"/>
        </w:rPr>
        <w:t xml:space="preserve">Al </w:t>
      </w:r>
      <w:r w:rsidR="0073333C" w:rsidRPr="00DC37D6">
        <w:rPr>
          <w:rFonts w:ascii="Barlow" w:hAnsi="Barlow" w:cs="Arial"/>
          <w:bCs/>
          <w:sz w:val="20"/>
          <w:szCs w:val="20"/>
        </w:rPr>
        <w:t>31</w:t>
      </w:r>
      <w:r w:rsidRPr="00DC37D6">
        <w:rPr>
          <w:rFonts w:ascii="Barlow" w:hAnsi="Barlow" w:cs="Arial"/>
          <w:bCs/>
          <w:sz w:val="20"/>
          <w:szCs w:val="20"/>
        </w:rPr>
        <w:t xml:space="preserve"> de </w:t>
      </w:r>
      <w:r w:rsidR="0073333C" w:rsidRPr="00DC37D6">
        <w:rPr>
          <w:rFonts w:ascii="Barlow" w:hAnsi="Barlow" w:cs="Arial"/>
          <w:bCs/>
          <w:sz w:val="20"/>
          <w:szCs w:val="20"/>
        </w:rPr>
        <w:t>marz</w:t>
      </w:r>
      <w:r w:rsidRPr="00DC37D6">
        <w:rPr>
          <w:rFonts w:ascii="Barlow" w:hAnsi="Barlow" w:cs="Arial"/>
          <w:bCs/>
          <w:sz w:val="20"/>
          <w:szCs w:val="20"/>
        </w:rPr>
        <w:t>o de 2022, no hubo adquisición de bienes muebles.</w:t>
      </w:r>
    </w:p>
    <w:bookmarkEnd w:id="3"/>
    <w:p w14:paraId="7E222AAB" w14:textId="3264315D" w:rsidR="00D83C5A" w:rsidRPr="00DC37D6" w:rsidRDefault="00A3786C" w:rsidP="00C4137E">
      <w:p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9</w:t>
      </w:r>
      <w:r w:rsidR="00FA104C" w:rsidRPr="00DC37D6">
        <w:rPr>
          <w:rFonts w:ascii="Barlow" w:hAnsi="Barlow" w:cs="Arial"/>
          <w:sz w:val="20"/>
          <w:szCs w:val="20"/>
        </w:rPr>
        <w:t xml:space="preserve">.- </w:t>
      </w:r>
      <w:r w:rsidR="00CE44DC" w:rsidRPr="00DC37D6">
        <w:rPr>
          <w:rFonts w:ascii="Barlow" w:hAnsi="Barlow" w:cs="Arial"/>
          <w:sz w:val="20"/>
          <w:szCs w:val="20"/>
        </w:rPr>
        <w:t xml:space="preserve">Los </w:t>
      </w:r>
      <w:r w:rsidR="00FA104C" w:rsidRPr="00DC37D6">
        <w:rPr>
          <w:rFonts w:ascii="Barlow" w:hAnsi="Barlow" w:cs="Arial"/>
          <w:sz w:val="20"/>
          <w:szCs w:val="20"/>
        </w:rPr>
        <w:t>Bienes Intangibles</w:t>
      </w:r>
      <w:r w:rsidR="00216493" w:rsidRPr="00DC37D6">
        <w:rPr>
          <w:rFonts w:ascii="Barlow" w:hAnsi="Barlow" w:cs="Arial"/>
          <w:sz w:val="20"/>
          <w:szCs w:val="20"/>
        </w:rPr>
        <w:t xml:space="preserve"> </w:t>
      </w:r>
      <w:r w:rsidR="00FA104C" w:rsidRPr="00DC37D6">
        <w:rPr>
          <w:rFonts w:ascii="Barlow" w:hAnsi="Barlow" w:cs="Arial"/>
          <w:sz w:val="20"/>
          <w:szCs w:val="20"/>
        </w:rPr>
        <w:t>se integra</w:t>
      </w:r>
      <w:r w:rsidR="00104EF5" w:rsidRPr="00DC37D6">
        <w:rPr>
          <w:rFonts w:ascii="Barlow" w:hAnsi="Barlow" w:cs="Arial"/>
          <w:sz w:val="20"/>
          <w:szCs w:val="20"/>
        </w:rPr>
        <w:t>n</w:t>
      </w:r>
      <w:r w:rsidR="00FA104C" w:rsidRPr="00DC37D6">
        <w:rPr>
          <w:rFonts w:ascii="Barlow" w:hAnsi="Barlow" w:cs="Arial"/>
          <w:sz w:val="20"/>
          <w:szCs w:val="20"/>
        </w:rPr>
        <w:t xml:space="preserve"> </w:t>
      </w:r>
      <w:r w:rsidR="006E1089" w:rsidRPr="00DC37D6">
        <w:rPr>
          <w:rFonts w:ascii="Barlow" w:hAnsi="Barlow" w:cs="Arial"/>
          <w:sz w:val="20"/>
          <w:szCs w:val="20"/>
        </w:rPr>
        <w:t>como</w:t>
      </w:r>
      <w:r w:rsidR="00FA104C" w:rsidRPr="00DC37D6">
        <w:rPr>
          <w:rFonts w:ascii="Barlow" w:hAnsi="Barlow" w:cs="Arial"/>
          <w:sz w:val="20"/>
          <w:szCs w:val="20"/>
        </w:rPr>
        <w:t xml:space="preserve"> sigue:</w:t>
      </w:r>
    </w:p>
    <w:tbl>
      <w:tblPr>
        <w:tblStyle w:val="Tablaconcuadrcula"/>
        <w:tblW w:w="0" w:type="auto"/>
        <w:jc w:val="center"/>
        <w:tblLook w:val="04A0" w:firstRow="1" w:lastRow="0" w:firstColumn="1" w:lastColumn="0" w:noHBand="0" w:noVBand="1"/>
      </w:tblPr>
      <w:tblGrid>
        <w:gridCol w:w="3936"/>
        <w:gridCol w:w="2409"/>
        <w:gridCol w:w="2127"/>
        <w:gridCol w:w="2409"/>
        <w:gridCol w:w="1255"/>
        <w:gridCol w:w="1426"/>
      </w:tblGrid>
      <w:tr w:rsidR="00DB57DE" w:rsidRPr="00DC37D6" w14:paraId="6A3CD381" w14:textId="37CC1E80" w:rsidTr="000B4A0B">
        <w:trPr>
          <w:trHeight w:val="706"/>
          <w:jc w:val="center"/>
        </w:trPr>
        <w:tc>
          <w:tcPr>
            <w:tcW w:w="3936" w:type="dxa"/>
            <w:shd w:val="clear" w:color="auto" w:fill="9BBB59" w:themeFill="accent3"/>
            <w:noWrap/>
            <w:hideMark/>
          </w:tcPr>
          <w:p w14:paraId="699CF0F6" w14:textId="43F05195" w:rsidR="00870E5C" w:rsidRPr="00DC37D6" w:rsidRDefault="007D4E55" w:rsidP="00481616">
            <w:pPr>
              <w:autoSpaceDE w:val="0"/>
              <w:autoSpaceDN w:val="0"/>
              <w:adjustRightInd w:val="0"/>
              <w:spacing w:line="360" w:lineRule="auto"/>
              <w:jc w:val="both"/>
              <w:rPr>
                <w:rFonts w:ascii="Barlow" w:hAnsi="Barlow" w:cs="Arial"/>
                <w:b/>
                <w:sz w:val="20"/>
                <w:szCs w:val="20"/>
              </w:rPr>
            </w:pPr>
            <w:bookmarkStart w:id="4" w:name="m3"/>
            <w:bookmarkEnd w:id="4"/>
            <w:r w:rsidRPr="00DC37D6">
              <w:rPr>
                <w:rFonts w:ascii="Barlow" w:hAnsi="Barlow" w:cs="Arial"/>
                <w:b/>
                <w:bCs/>
                <w:sz w:val="20"/>
                <w:szCs w:val="20"/>
              </w:rPr>
              <w:t>BIENES</w:t>
            </w:r>
            <w:r w:rsidR="00870E5C" w:rsidRPr="00DC37D6">
              <w:rPr>
                <w:rFonts w:ascii="Barlow" w:hAnsi="Barlow" w:cs="Arial"/>
                <w:b/>
                <w:bCs/>
                <w:sz w:val="20"/>
                <w:szCs w:val="20"/>
              </w:rPr>
              <w:t xml:space="preserve"> INTANGIBLES:</w:t>
            </w:r>
          </w:p>
        </w:tc>
        <w:tc>
          <w:tcPr>
            <w:tcW w:w="2409" w:type="dxa"/>
            <w:shd w:val="clear" w:color="auto" w:fill="9BBB59" w:themeFill="accent3"/>
            <w:noWrap/>
            <w:hideMark/>
          </w:tcPr>
          <w:p w14:paraId="44D50F11" w14:textId="142517E9" w:rsidR="00870E5C" w:rsidRPr="00DC37D6" w:rsidRDefault="00870E5C" w:rsidP="00481616">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Importe (Monto de Adquisición)</w:t>
            </w:r>
          </w:p>
        </w:tc>
        <w:tc>
          <w:tcPr>
            <w:tcW w:w="2127" w:type="dxa"/>
            <w:shd w:val="clear" w:color="auto" w:fill="9BBB59" w:themeFill="accent3"/>
            <w:noWrap/>
            <w:hideMark/>
          </w:tcPr>
          <w:p w14:paraId="3CAFE920" w14:textId="458EBA06" w:rsidR="00870E5C" w:rsidRPr="00DC37D6" w:rsidRDefault="00870E5C" w:rsidP="00481616">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Depreciación del periodo (202</w:t>
            </w:r>
            <w:r w:rsidR="00D274E4" w:rsidRPr="00DC37D6">
              <w:rPr>
                <w:rFonts w:ascii="Barlow" w:hAnsi="Barlow" w:cs="Arial"/>
                <w:b/>
                <w:bCs/>
                <w:sz w:val="20"/>
                <w:szCs w:val="20"/>
              </w:rPr>
              <w:t>1</w:t>
            </w:r>
            <w:r w:rsidRPr="00DC37D6">
              <w:rPr>
                <w:rFonts w:ascii="Barlow" w:hAnsi="Barlow" w:cs="Arial"/>
                <w:b/>
                <w:bCs/>
                <w:sz w:val="20"/>
                <w:szCs w:val="20"/>
              </w:rPr>
              <w:t>)</w:t>
            </w:r>
          </w:p>
        </w:tc>
        <w:tc>
          <w:tcPr>
            <w:tcW w:w="2409" w:type="dxa"/>
            <w:shd w:val="clear" w:color="auto" w:fill="9BBB59" w:themeFill="accent3"/>
            <w:noWrap/>
            <w:hideMark/>
          </w:tcPr>
          <w:p w14:paraId="438F4452" w14:textId="32EBFE7E" w:rsidR="00870E5C" w:rsidRPr="00DC37D6" w:rsidRDefault="00870E5C" w:rsidP="00481616">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Depreciación Acumulada (2018-202</w:t>
            </w:r>
            <w:r w:rsidR="00D274E4" w:rsidRPr="00DC37D6">
              <w:rPr>
                <w:rFonts w:ascii="Barlow" w:hAnsi="Barlow" w:cs="Arial"/>
                <w:b/>
                <w:bCs/>
                <w:sz w:val="20"/>
                <w:szCs w:val="20"/>
              </w:rPr>
              <w:t>1</w:t>
            </w:r>
            <w:r w:rsidRPr="00DC37D6">
              <w:rPr>
                <w:rFonts w:ascii="Barlow" w:hAnsi="Barlow" w:cs="Arial"/>
                <w:b/>
                <w:bCs/>
                <w:sz w:val="20"/>
                <w:szCs w:val="20"/>
              </w:rPr>
              <w:t>)</w:t>
            </w:r>
          </w:p>
        </w:tc>
        <w:tc>
          <w:tcPr>
            <w:tcW w:w="1440" w:type="dxa"/>
            <w:shd w:val="clear" w:color="auto" w:fill="9BBB59" w:themeFill="accent3"/>
          </w:tcPr>
          <w:p w14:paraId="607E5AC9" w14:textId="0FA9C923" w:rsidR="00870E5C" w:rsidRPr="00DC37D6" w:rsidRDefault="00870E5C" w:rsidP="00481616">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Estatus</w:t>
            </w:r>
          </w:p>
        </w:tc>
        <w:tc>
          <w:tcPr>
            <w:tcW w:w="1467" w:type="dxa"/>
            <w:shd w:val="clear" w:color="auto" w:fill="9BBB59" w:themeFill="accent3"/>
          </w:tcPr>
          <w:p w14:paraId="2CBAE367" w14:textId="6AA5EA04" w:rsidR="00870E5C" w:rsidRPr="00DC37D6" w:rsidRDefault="00870E5C" w:rsidP="00481616">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Tasa</w:t>
            </w:r>
            <w:r w:rsidR="00CE44DC" w:rsidRPr="00DC37D6">
              <w:rPr>
                <w:rFonts w:ascii="Barlow" w:hAnsi="Barlow" w:cs="Arial"/>
                <w:b/>
                <w:bCs/>
                <w:sz w:val="20"/>
                <w:szCs w:val="20"/>
              </w:rPr>
              <w:t xml:space="preserve"> </w:t>
            </w:r>
            <w:r w:rsidRPr="00DC37D6">
              <w:rPr>
                <w:rFonts w:ascii="Barlow" w:hAnsi="Barlow" w:cs="Arial"/>
                <w:b/>
                <w:bCs/>
                <w:sz w:val="20"/>
                <w:szCs w:val="20"/>
              </w:rPr>
              <w:t>de depreciación</w:t>
            </w:r>
            <w:r w:rsidR="0008459F" w:rsidRPr="00DC37D6">
              <w:rPr>
                <w:rFonts w:ascii="Barlow" w:hAnsi="Barlow" w:cs="Arial"/>
                <w:b/>
                <w:bCs/>
                <w:sz w:val="20"/>
                <w:szCs w:val="20"/>
              </w:rPr>
              <w:t xml:space="preserve"> aplicada</w:t>
            </w:r>
          </w:p>
        </w:tc>
      </w:tr>
      <w:tr w:rsidR="00DB57DE" w:rsidRPr="00DC37D6" w14:paraId="48825113" w14:textId="18B2A429" w:rsidTr="00870E5C">
        <w:trPr>
          <w:trHeight w:val="300"/>
          <w:jc w:val="center"/>
        </w:trPr>
        <w:tc>
          <w:tcPr>
            <w:tcW w:w="3936" w:type="dxa"/>
            <w:noWrap/>
            <w:hideMark/>
          </w:tcPr>
          <w:p w14:paraId="3A8AF446" w14:textId="28F6FD39" w:rsidR="00870E5C" w:rsidRPr="00DC37D6" w:rsidRDefault="007D4E55" w:rsidP="00EA505E">
            <w:p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Bienes</w:t>
            </w:r>
            <w:r w:rsidR="00870E5C" w:rsidRPr="00DC37D6">
              <w:rPr>
                <w:rFonts w:ascii="Barlow" w:hAnsi="Barlow" w:cs="Arial"/>
                <w:sz w:val="20"/>
                <w:szCs w:val="20"/>
              </w:rPr>
              <w:t xml:space="preserve"> Intangibles </w:t>
            </w:r>
            <w:r w:rsidR="00870E5C" w:rsidRPr="00DC37D6">
              <w:rPr>
                <w:rFonts w:ascii="Barlow" w:hAnsi="Barlow" w:cs="Arial"/>
                <w:b/>
                <w:bCs/>
                <w:sz w:val="20"/>
                <w:szCs w:val="20"/>
              </w:rPr>
              <w:t>(Licencias</w:t>
            </w:r>
            <w:r w:rsidR="00C94964" w:rsidRPr="00DC37D6">
              <w:rPr>
                <w:rFonts w:ascii="Barlow" w:hAnsi="Barlow" w:cs="Arial"/>
                <w:b/>
                <w:bCs/>
                <w:sz w:val="20"/>
                <w:szCs w:val="20"/>
              </w:rPr>
              <w:t xml:space="preserve"> informáticas</w:t>
            </w:r>
            <w:r w:rsidR="00365298" w:rsidRPr="00DC37D6">
              <w:rPr>
                <w:rFonts w:ascii="Barlow" w:hAnsi="Barlow" w:cs="Arial"/>
                <w:b/>
                <w:bCs/>
                <w:sz w:val="20"/>
                <w:szCs w:val="20"/>
              </w:rPr>
              <w:t xml:space="preserve"> y</w:t>
            </w:r>
            <w:r w:rsidR="00870E5C" w:rsidRPr="00DC37D6">
              <w:rPr>
                <w:rFonts w:ascii="Barlow" w:hAnsi="Barlow" w:cs="Arial"/>
                <w:b/>
                <w:bCs/>
                <w:sz w:val="20"/>
                <w:szCs w:val="20"/>
              </w:rPr>
              <w:t xml:space="preserve"> Software)</w:t>
            </w:r>
          </w:p>
        </w:tc>
        <w:tc>
          <w:tcPr>
            <w:tcW w:w="2409" w:type="dxa"/>
            <w:noWrap/>
            <w:hideMark/>
          </w:tcPr>
          <w:p w14:paraId="7FC9F74B" w14:textId="750B37C6" w:rsidR="00870E5C" w:rsidRPr="00DC37D6" w:rsidRDefault="00870E5C" w:rsidP="00601E1B">
            <w:pPr>
              <w:autoSpaceDE w:val="0"/>
              <w:autoSpaceDN w:val="0"/>
              <w:adjustRightInd w:val="0"/>
              <w:spacing w:line="360" w:lineRule="auto"/>
              <w:jc w:val="center"/>
              <w:rPr>
                <w:rFonts w:ascii="Barlow" w:hAnsi="Barlow" w:cs="Arial"/>
                <w:sz w:val="20"/>
                <w:szCs w:val="20"/>
              </w:rPr>
            </w:pPr>
            <w:r w:rsidRPr="00DC37D6">
              <w:rPr>
                <w:rFonts w:ascii="Barlow" w:hAnsi="Barlow" w:cs="Arial"/>
                <w:sz w:val="20"/>
                <w:szCs w:val="20"/>
              </w:rPr>
              <w:t xml:space="preserve"> </w:t>
            </w:r>
            <w:r w:rsidR="002D72D2" w:rsidRPr="00DC37D6">
              <w:rPr>
                <w:rFonts w:ascii="Barlow" w:hAnsi="Barlow" w:cs="Arial"/>
                <w:sz w:val="20"/>
                <w:szCs w:val="20"/>
              </w:rPr>
              <w:t>2</w:t>
            </w:r>
            <w:r w:rsidR="00FD425F" w:rsidRPr="00DC37D6">
              <w:rPr>
                <w:rFonts w:ascii="Barlow" w:hAnsi="Barlow" w:cs="Arial"/>
                <w:sz w:val="20"/>
                <w:szCs w:val="20"/>
              </w:rPr>
              <w:t>68</w:t>
            </w:r>
            <w:r w:rsidRPr="00DC37D6">
              <w:rPr>
                <w:rFonts w:ascii="Barlow" w:hAnsi="Barlow" w:cs="Arial"/>
                <w:sz w:val="20"/>
                <w:szCs w:val="20"/>
              </w:rPr>
              <w:t>,</w:t>
            </w:r>
            <w:r w:rsidR="00FD425F" w:rsidRPr="00DC37D6">
              <w:rPr>
                <w:rFonts w:ascii="Barlow" w:hAnsi="Barlow" w:cs="Arial"/>
                <w:sz w:val="20"/>
                <w:szCs w:val="20"/>
              </w:rPr>
              <w:t>898</w:t>
            </w:r>
            <w:r w:rsidRPr="00DC37D6">
              <w:rPr>
                <w:rFonts w:ascii="Barlow" w:hAnsi="Barlow" w:cs="Arial"/>
                <w:sz w:val="20"/>
                <w:szCs w:val="20"/>
              </w:rPr>
              <w:t>.</w:t>
            </w:r>
            <w:r w:rsidR="00FD425F" w:rsidRPr="00DC37D6">
              <w:rPr>
                <w:rFonts w:ascii="Barlow" w:hAnsi="Barlow" w:cs="Arial"/>
                <w:sz w:val="20"/>
                <w:szCs w:val="20"/>
              </w:rPr>
              <w:t>04</w:t>
            </w:r>
          </w:p>
        </w:tc>
        <w:tc>
          <w:tcPr>
            <w:tcW w:w="2127" w:type="dxa"/>
            <w:noWrap/>
          </w:tcPr>
          <w:p w14:paraId="0220FE99" w14:textId="02FF1B9A" w:rsidR="00870E5C" w:rsidRPr="00DC37D6" w:rsidRDefault="00870E5C" w:rsidP="00AC44DC">
            <w:pPr>
              <w:autoSpaceDE w:val="0"/>
              <w:autoSpaceDN w:val="0"/>
              <w:adjustRightInd w:val="0"/>
              <w:spacing w:line="360" w:lineRule="auto"/>
              <w:jc w:val="center"/>
              <w:rPr>
                <w:rFonts w:ascii="Barlow" w:hAnsi="Barlow" w:cs="Arial"/>
                <w:sz w:val="20"/>
                <w:szCs w:val="20"/>
              </w:rPr>
            </w:pPr>
            <w:r w:rsidRPr="00DC37D6">
              <w:rPr>
                <w:rFonts w:ascii="Barlow" w:hAnsi="Barlow" w:cs="Arial"/>
                <w:sz w:val="20"/>
                <w:szCs w:val="20"/>
              </w:rPr>
              <w:t xml:space="preserve"> </w:t>
            </w:r>
            <w:r w:rsidR="005847B4" w:rsidRPr="00DC37D6">
              <w:rPr>
                <w:rFonts w:ascii="Barlow" w:hAnsi="Barlow" w:cs="Arial"/>
                <w:sz w:val="20"/>
                <w:szCs w:val="20"/>
              </w:rPr>
              <w:t>4,031</w:t>
            </w:r>
            <w:r w:rsidR="0059158B" w:rsidRPr="00DC37D6">
              <w:rPr>
                <w:rFonts w:ascii="Barlow" w:hAnsi="Barlow" w:cs="Arial"/>
                <w:sz w:val="20"/>
                <w:szCs w:val="20"/>
              </w:rPr>
              <w:t>.</w:t>
            </w:r>
            <w:r w:rsidR="005847B4" w:rsidRPr="00DC37D6">
              <w:rPr>
                <w:rFonts w:ascii="Barlow" w:hAnsi="Barlow" w:cs="Arial"/>
                <w:sz w:val="20"/>
                <w:szCs w:val="20"/>
              </w:rPr>
              <w:t>42</w:t>
            </w:r>
          </w:p>
        </w:tc>
        <w:tc>
          <w:tcPr>
            <w:tcW w:w="2409" w:type="dxa"/>
            <w:noWrap/>
          </w:tcPr>
          <w:p w14:paraId="46D3DAEB" w14:textId="6B66CB49" w:rsidR="00870E5C" w:rsidRPr="00DC37D6" w:rsidRDefault="00870E5C" w:rsidP="00AC44DC">
            <w:pPr>
              <w:autoSpaceDE w:val="0"/>
              <w:autoSpaceDN w:val="0"/>
              <w:adjustRightInd w:val="0"/>
              <w:spacing w:line="360" w:lineRule="auto"/>
              <w:jc w:val="center"/>
              <w:rPr>
                <w:rFonts w:ascii="Barlow" w:hAnsi="Barlow" w:cs="Arial"/>
                <w:sz w:val="20"/>
                <w:szCs w:val="20"/>
              </w:rPr>
            </w:pPr>
            <w:r w:rsidRPr="00DC37D6">
              <w:rPr>
                <w:rFonts w:ascii="Barlow" w:hAnsi="Barlow" w:cs="Arial"/>
                <w:sz w:val="20"/>
                <w:szCs w:val="20"/>
              </w:rPr>
              <w:t xml:space="preserve">  </w:t>
            </w:r>
            <w:r w:rsidR="00A93D96" w:rsidRPr="00DC37D6">
              <w:rPr>
                <w:rFonts w:ascii="Barlow" w:hAnsi="Barlow" w:cs="Arial"/>
                <w:sz w:val="20"/>
                <w:szCs w:val="20"/>
              </w:rPr>
              <w:t>2</w:t>
            </w:r>
            <w:r w:rsidR="00F928DE" w:rsidRPr="00DC37D6">
              <w:rPr>
                <w:rFonts w:ascii="Barlow" w:hAnsi="Barlow" w:cs="Arial"/>
                <w:sz w:val="20"/>
                <w:szCs w:val="20"/>
              </w:rPr>
              <w:t>32</w:t>
            </w:r>
            <w:r w:rsidR="00B527E3" w:rsidRPr="00DC37D6">
              <w:rPr>
                <w:rFonts w:ascii="Barlow" w:hAnsi="Barlow" w:cs="Arial"/>
                <w:sz w:val="20"/>
                <w:szCs w:val="20"/>
              </w:rPr>
              <w:t>,</w:t>
            </w:r>
            <w:r w:rsidR="00F928DE" w:rsidRPr="00DC37D6">
              <w:rPr>
                <w:rFonts w:ascii="Barlow" w:hAnsi="Barlow" w:cs="Arial"/>
                <w:sz w:val="20"/>
                <w:szCs w:val="20"/>
              </w:rPr>
              <w:t>605</w:t>
            </w:r>
            <w:r w:rsidR="00B527E3" w:rsidRPr="00DC37D6">
              <w:rPr>
                <w:rFonts w:ascii="Barlow" w:hAnsi="Barlow" w:cs="Arial"/>
                <w:sz w:val="20"/>
                <w:szCs w:val="20"/>
              </w:rPr>
              <w:t>.</w:t>
            </w:r>
            <w:r w:rsidR="00F928DE" w:rsidRPr="00DC37D6">
              <w:rPr>
                <w:rFonts w:ascii="Barlow" w:hAnsi="Barlow" w:cs="Arial"/>
                <w:sz w:val="20"/>
                <w:szCs w:val="20"/>
              </w:rPr>
              <w:t>29</w:t>
            </w:r>
          </w:p>
        </w:tc>
        <w:tc>
          <w:tcPr>
            <w:tcW w:w="1440" w:type="dxa"/>
          </w:tcPr>
          <w:p w14:paraId="0DC77A02" w14:textId="24FDC3F1" w:rsidR="00870E5C" w:rsidRPr="00DC37D6" w:rsidRDefault="00870E5C" w:rsidP="0053650C">
            <w:pPr>
              <w:autoSpaceDE w:val="0"/>
              <w:autoSpaceDN w:val="0"/>
              <w:adjustRightInd w:val="0"/>
              <w:spacing w:line="360" w:lineRule="auto"/>
              <w:jc w:val="center"/>
              <w:rPr>
                <w:rFonts w:ascii="Barlow" w:hAnsi="Barlow" w:cs="Arial"/>
                <w:sz w:val="20"/>
                <w:szCs w:val="20"/>
              </w:rPr>
            </w:pPr>
            <w:r w:rsidRPr="00DC37D6">
              <w:rPr>
                <w:rFonts w:ascii="Barlow" w:hAnsi="Barlow" w:cs="Arial"/>
                <w:sz w:val="20"/>
                <w:szCs w:val="20"/>
              </w:rPr>
              <w:t xml:space="preserve">Licencias </w:t>
            </w:r>
            <w:r w:rsidR="00C94964" w:rsidRPr="00DC37D6">
              <w:rPr>
                <w:rFonts w:ascii="Barlow" w:hAnsi="Barlow" w:cs="Arial"/>
                <w:sz w:val="20"/>
                <w:szCs w:val="20"/>
              </w:rPr>
              <w:t xml:space="preserve">y Software </w:t>
            </w:r>
            <w:r w:rsidRPr="00DC37D6">
              <w:rPr>
                <w:rFonts w:ascii="Barlow" w:hAnsi="Barlow" w:cs="Arial"/>
                <w:sz w:val="20"/>
                <w:szCs w:val="20"/>
              </w:rPr>
              <w:t>vigentes</w:t>
            </w:r>
          </w:p>
        </w:tc>
        <w:tc>
          <w:tcPr>
            <w:tcW w:w="1467" w:type="dxa"/>
          </w:tcPr>
          <w:p w14:paraId="18508626" w14:textId="6A6DB50C" w:rsidR="00870E5C" w:rsidRPr="00DC37D6" w:rsidRDefault="00870E5C" w:rsidP="0053650C">
            <w:pPr>
              <w:autoSpaceDE w:val="0"/>
              <w:autoSpaceDN w:val="0"/>
              <w:adjustRightInd w:val="0"/>
              <w:spacing w:line="360" w:lineRule="auto"/>
              <w:jc w:val="center"/>
              <w:rPr>
                <w:rFonts w:ascii="Barlow" w:hAnsi="Barlow" w:cs="Arial"/>
                <w:sz w:val="20"/>
                <w:szCs w:val="20"/>
              </w:rPr>
            </w:pPr>
            <w:r w:rsidRPr="00DC37D6">
              <w:rPr>
                <w:rFonts w:ascii="Barlow" w:hAnsi="Barlow" w:cs="Arial"/>
                <w:sz w:val="20"/>
                <w:szCs w:val="20"/>
              </w:rPr>
              <w:t>100% anual</w:t>
            </w:r>
          </w:p>
        </w:tc>
      </w:tr>
      <w:tr w:rsidR="00DB57DE" w:rsidRPr="00DC37D6" w14:paraId="50CC75F8" w14:textId="64371DB2" w:rsidTr="00870E5C">
        <w:trPr>
          <w:trHeight w:val="300"/>
          <w:jc w:val="center"/>
        </w:trPr>
        <w:tc>
          <w:tcPr>
            <w:tcW w:w="3936" w:type="dxa"/>
            <w:shd w:val="clear" w:color="auto" w:fill="9BBB59" w:themeFill="accent3"/>
            <w:noWrap/>
            <w:hideMark/>
          </w:tcPr>
          <w:p w14:paraId="4A6D1F5E" w14:textId="1DE45C1F" w:rsidR="00870E5C" w:rsidRPr="00DC37D6" w:rsidRDefault="00870E5C" w:rsidP="006C1DD6">
            <w:pPr>
              <w:autoSpaceDE w:val="0"/>
              <w:autoSpaceDN w:val="0"/>
              <w:adjustRightInd w:val="0"/>
              <w:spacing w:line="360" w:lineRule="auto"/>
              <w:jc w:val="center"/>
              <w:rPr>
                <w:rFonts w:ascii="Barlow" w:hAnsi="Barlow" w:cs="Arial"/>
                <w:b/>
                <w:sz w:val="20"/>
                <w:szCs w:val="20"/>
              </w:rPr>
            </w:pPr>
            <w:r w:rsidRPr="00DC37D6">
              <w:rPr>
                <w:rFonts w:ascii="Barlow" w:hAnsi="Barlow" w:cs="Arial"/>
                <w:b/>
                <w:bCs/>
                <w:sz w:val="20"/>
                <w:szCs w:val="20"/>
              </w:rPr>
              <w:lastRenderedPageBreak/>
              <w:t>TOTAL</w:t>
            </w:r>
          </w:p>
        </w:tc>
        <w:tc>
          <w:tcPr>
            <w:tcW w:w="2409" w:type="dxa"/>
            <w:shd w:val="clear" w:color="auto" w:fill="9BBB59" w:themeFill="accent3"/>
            <w:noWrap/>
            <w:hideMark/>
          </w:tcPr>
          <w:p w14:paraId="57592E57" w14:textId="46775D1D" w:rsidR="00870E5C" w:rsidRPr="00DC37D6" w:rsidRDefault="00870E5C" w:rsidP="00601E1B">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w:t>
            </w:r>
            <w:r w:rsidR="002D72D2" w:rsidRPr="00DC37D6">
              <w:rPr>
                <w:rFonts w:ascii="Barlow" w:hAnsi="Barlow" w:cs="Arial"/>
                <w:b/>
                <w:bCs/>
                <w:sz w:val="20"/>
                <w:szCs w:val="20"/>
              </w:rPr>
              <w:t>2</w:t>
            </w:r>
            <w:r w:rsidR="00FD425F" w:rsidRPr="00DC37D6">
              <w:rPr>
                <w:rFonts w:ascii="Barlow" w:hAnsi="Barlow" w:cs="Arial"/>
                <w:b/>
                <w:bCs/>
                <w:sz w:val="20"/>
                <w:szCs w:val="20"/>
              </w:rPr>
              <w:t>68,898</w:t>
            </w:r>
            <w:r w:rsidRPr="00DC37D6">
              <w:rPr>
                <w:rFonts w:ascii="Barlow" w:hAnsi="Barlow" w:cs="Arial"/>
                <w:b/>
                <w:bCs/>
                <w:sz w:val="20"/>
                <w:szCs w:val="20"/>
              </w:rPr>
              <w:t>.</w:t>
            </w:r>
            <w:r w:rsidR="00FD425F" w:rsidRPr="00DC37D6">
              <w:rPr>
                <w:rFonts w:ascii="Barlow" w:hAnsi="Barlow" w:cs="Arial"/>
                <w:b/>
                <w:bCs/>
                <w:sz w:val="20"/>
                <w:szCs w:val="20"/>
              </w:rPr>
              <w:t>04</w:t>
            </w:r>
          </w:p>
        </w:tc>
        <w:tc>
          <w:tcPr>
            <w:tcW w:w="2127" w:type="dxa"/>
            <w:shd w:val="clear" w:color="auto" w:fill="9BBB59" w:themeFill="accent3"/>
            <w:noWrap/>
            <w:hideMark/>
          </w:tcPr>
          <w:p w14:paraId="1353AD9A" w14:textId="16D976BE" w:rsidR="00870E5C" w:rsidRPr="00DC37D6" w:rsidRDefault="00870E5C" w:rsidP="00AC44DC">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w:t>
            </w:r>
            <w:r w:rsidR="005847B4" w:rsidRPr="00DC37D6">
              <w:rPr>
                <w:rFonts w:ascii="Barlow" w:hAnsi="Barlow" w:cs="Arial"/>
                <w:b/>
                <w:bCs/>
                <w:sz w:val="20"/>
                <w:szCs w:val="20"/>
              </w:rPr>
              <w:t>4,031</w:t>
            </w:r>
            <w:r w:rsidR="00B527E3" w:rsidRPr="00DC37D6">
              <w:rPr>
                <w:rFonts w:ascii="Barlow" w:hAnsi="Barlow" w:cs="Arial"/>
                <w:b/>
                <w:bCs/>
                <w:sz w:val="20"/>
                <w:szCs w:val="20"/>
              </w:rPr>
              <w:t>.</w:t>
            </w:r>
            <w:r w:rsidR="005847B4" w:rsidRPr="00DC37D6">
              <w:rPr>
                <w:rFonts w:ascii="Barlow" w:hAnsi="Barlow" w:cs="Arial"/>
                <w:b/>
                <w:bCs/>
                <w:sz w:val="20"/>
                <w:szCs w:val="20"/>
              </w:rPr>
              <w:t>42</w:t>
            </w:r>
          </w:p>
        </w:tc>
        <w:tc>
          <w:tcPr>
            <w:tcW w:w="2409" w:type="dxa"/>
            <w:shd w:val="clear" w:color="auto" w:fill="9BBB59" w:themeFill="accent3"/>
            <w:noWrap/>
            <w:hideMark/>
          </w:tcPr>
          <w:p w14:paraId="0C37B94D" w14:textId="39C2C613" w:rsidR="00870E5C" w:rsidRPr="00DC37D6" w:rsidRDefault="00870E5C" w:rsidP="00AC44DC">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w:t>
            </w:r>
            <w:r w:rsidR="00BF1F46" w:rsidRPr="00DC37D6">
              <w:rPr>
                <w:rFonts w:ascii="Barlow" w:hAnsi="Barlow" w:cs="Arial"/>
                <w:b/>
                <w:bCs/>
                <w:sz w:val="20"/>
                <w:szCs w:val="20"/>
              </w:rPr>
              <w:t>2</w:t>
            </w:r>
            <w:r w:rsidR="00F928DE" w:rsidRPr="00DC37D6">
              <w:rPr>
                <w:rFonts w:ascii="Barlow" w:hAnsi="Barlow" w:cs="Arial"/>
                <w:b/>
                <w:bCs/>
                <w:sz w:val="20"/>
                <w:szCs w:val="20"/>
              </w:rPr>
              <w:t>32</w:t>
            </w:r>
            <w:r w:rsidR="00B527E3" w:rsidRPr="00DC37D6">
              <w:rPr>
                <w:rFonts w:ascii="Barlow" w:hAnsi="Barlow" w:cs="Arial"/>
                <w:b/>
                <w:bCs/>
                <w:sz w:val="20"/>
                <w:szCs w:val="20"/>
              </w:rPr>
              <w:t>,</w:t>
            </w:r>
            <w:r w:rsidR="00F928DE" w:rsidRPr="00DC37D6">
              <w:rPr>
                <w:rFonts w:ascii="Barlow" w:hAnsi="Barlow" w:cs="Arial"/>
                <w:b/>
                <w:bCs/>
                <w:sz w:val="20"/>
                <w:szCs w:val="20"/>
              </w:rPr>
              <w:t>605</w:t>
            </w:r>
            <w:r w:rsidR="00B527E3" w:rsidRPr="00DC37D6">
              <w:rPr>
                <w:rFonts w:ascii="Barlow" w:hAnsi="Barlow" w:cs="Arial"/>
                <w:b/>
                <w:bCs/>
                <w:sz w:val="20"/>
                <w:szCs w:val="20"/>
              </w:rPr>
              <w:t>.</w:t>
            </w:r>
            <w:r w:rsidR="00F928DE" w:rsidRPr="00DC37D6">
              <w:rPr>
                <w:rFonts w:ascii="Barlow" w:hAnsi="Barlow" w:cs="Arial"/>
                <w:b/>
                <w:bCs/>
                <w:sz w:val="20"/>
                <w:szCs w:val="20"/>
              </w:rPr>
              <w:t>29</w:t>
            </w:r>
          </w:p>
        </w:tc>
        <w:tc>
          <w:tcPr>
            <w:tcW w:w="1440" w:type="dxa"/>
            <w:shd w:val="clear" w:color="auto" w:fill="9BBB59" w:themeFill="accent3"/>
          </w:tcPr>
          <w:p w14:paraId="7BAC0D78" w14:textId="77777777" w:rsidR="00870E5C" w:rsidRPr="00DC37D6" w:rsidRDefault="00870E5C" w:rsidP="00D26A79">
            <w:pPr>
              <w:autoSpaceDE w:val="0"/>
              <w:autoSpaceDN w:val="0"/>
              <w:adjustRightInd w:val="0"/>
              <w:spacing w:line="360" w:lineRule="auto"/>
              <w:jc w:val="center"/>
              <w:rPr>
                <w:rFonts w:ascii="Barlow" w:hAnsi="Barlow" w:cs="Arial"/>
                <w:b/>
                <w:bCs/>
                <w:sz w:val="20"/>
                <w:szCs w:val="20"/>
              </w:rPr>
            </w:pPr>
          </w:p>
        </w:tc>
        <w:tc>
          <w:tcPr>
            <w:tcW w:w="1467" w:type="dxa"/>
            <w:shd w:val="clear" w:color="auto" w:fill="9BBB59" w:themeFill="accent3"/>
          </w:tcPr>
          <w:p w14:paraId="317B10DA" w14:textId="38A060BD" w:rsidR="00870E5C" w:rsidRPr="00DC37D6" w:rsidRDefault="00870E5C" w:rsidP="00D26A79">
            <w:pPr>
              <w:autoSpaceDE w:val="0"/>
              <w:autoSpaceDN w:val="0"/>
              <w:adjustRightInd w:val="0"/>
              <w:spacing w:line="360" w:lineRule="auto"/>
              <w:jc w:val="center"/>
              <w:rPr>
                <w:rFonts w:ascii="Barlow" w:hAnsi="Barlow" w:cs="Arial"/>
                <w:b/>
                <w:bCs/>
                <w:sz w:val="20"/>
                <w:szCs w:val="20"/>
              </w:rPr>
            </w:pPr>
          </w:p>
        </w:tc>
      </w:tr>
    </w:tbl>
    <w:p w14:paraId="1D4B5720" w14:textId="77777777" w:rsidR="00CE44DC" w:rsidRPr="00DC37D6" w:rsidRDefault="00CE44DC" w:rsidP="00CE44DC">
      <w:pPr>
        <w:autoSpaceDE w:val="0"/>
        <w:autoSpaceDN w:val="0"/>
        <w:adjustRightInd w:val="0"/>
        <w:spacing w:line="360" w:lineRule="auto"/>
        <w:jc w:val="both"/>
        <w:rPr>
          <w:rFonts w:ascii="Barlow" w:hAnsi="Barlow" w:cs="Arial"/>
          <w:sz w:val="20"/>
          <w:szCs w:val="20"/>
        </w:rPr>
      </w:pPr>
    </w:p>
    <w:p w14:paraId="6E5A196D" w14:textId="4F95BC0A" w:rsidR="00CE44DC" w:rsidRPr="00DC37D6" w:rsidRDefault="00CE44DC" w:rsidP="00553691">
      <w:pPr>
        <w:pStyle w:val="Texto"/>
        <w:numPr>
          <w:ilvl w:val="0"/>
          <w:numId w:val="18"/>
        </w:numPr>
        <w:tabs>
          <w:tab w:val="left" w:pos="4485"/>
        </w:tabs>
        <w:rPr>
          <w:rFonts w:ascii="Barlow" w:hAnsi="Barlow"/>
          <w:sz w:val="20"/>
          <w:szCs w:val="20"/>
        </w:rPr>
      </w:pPr>
      <w:r w:rsidRPr="00DC37D6">
        <w:rPr>
          <w:rFonts w:ascii="Barlow" w:hAnsi="Barlow"/>
          <w:sz w:val="20"/>
          <w:szCs w:val="20"/>
        </w:rPr>
        <w:t>Para el cálculo de la amortización de bienes intangibles se utiliza el método establecido por el CONAC en las Reglas Específicas del Registro y Valoración del Patrimonio</w:t>
      </w:r>
      <w:r w:rsidR="00A01585" w:rsidRPr="00DC37D6">
        <w:rPr>
          <w:rFonts w:ascii="Barlow" w:hAnsi="Barlow"/>
          <w:sz w:val="20"/>
          <w:szCs w:val="20"/>
        </w:rPr>
        <w:t xml:space="preserve"> publicadas el 13 de diciembre de 2011 con última fecha de actualización el 27 de diciembre de 2017.</w:t>
      </w:r>
    </w:p>
    <w:p w14:paraId="5521EE9D" w14:textId="77777777" w:rsidR="00D04A5E" w:rsidRPr="00DC37D6" w:rsidRDefault="00D04A5E" w:rsidP="00CE44DC">
      <w:pPr>
        <w:pStyle w:val="Prrafodelista"/>
        <w:ind w:left="1416"/>
        <w:contextualSpacing w:val="0"/>
        <w:rPr>
          <w:rFonts w:ascii="Barlow" w:hAnsi="Barlow" w:cs="Arial"/>
          <w:color w:val="000000"/>
          <w:sz w:val="20"/>
          <w:szCs w:val="20"/>
        </w:rPr>
      </w:pPr>
    </w:p>
    <w:p w14:paraId="1AC48459" w14:textId="77777777" w:rsidR="00CE44DC" w:rsidRPr="00DC37D6" w:rsidRDefault="00CE44DC" w:rsidP="00CE44DC">
      <w:pPr>
        <w:pStyle w:val="Prrafodelista"/>
        <w:ind w:left="1416"/>
        <w:contextualSpacing w:val="0"/>
        <w:rPr>
          <w:rFonts w:ascii="Barlow" w:hAnsi="Barlow" w:cs="Arial"/>
          <w:color w:val="000000"/>
          <w:sz w:val="20"/>
          <w:szCs w:val="20"/>
        </w:rPr>
      </w:pPr>
      <w:r w:rsidRPr="00DC37D6">
        <w:rPr>
          <w:rFonts w:ascii="Barlow" w:hAnsi="Barlow" w:cs="Arial"/>
          <w:color w:val="000000"/>
          <w:sz w:val="20"/>
          <w:szCs w:val="20"/>
        </w:rPr>
        <w:t>Cálculo de la depreciación o amortización:</w:t>
      </w:r>
    </w:p>
    <w:p w14:paraId="00161C28" w14:textId="77777777" w:rsidR="00CE44DC" w:rsidRPr="00DC37D6" w:rsidRDefault="00CE44DC" w:rsidP="00CE44DC">
      <w:pPr>
        <w:pStyle w:val="Prrafodelista"/>
        <w:ind w:left="1416"/>
        <w:contextualSpacing w:val="0"/>
        <w:rPr>
          <w:rFonts w:ascii="Barlow" w:hAnsi="Barlow" w:cs="Arial"/>
          <w:color w:val="000000"/>
          <w:sz w:val="20"/>
          <w:szCs w:val="20"/>
        </w:rPr>
      </w:pPr>
      <w:r w:rsidRPr="00DC37D6">
        <w:rPr>
          <w:rFonts w:ascii="Barlow" w:hAnsi="Barlow" w:cs="Arial"/>
          <w:noProof/>
          <w:sz w:val="20"/>
          <w:szCs w:val="20"/>
          <w:lang w:eastAsia="es-MX"/>
        </w:rPr>
        <mc:AlternateContent>
          <mc:Choice Requires="wps">
            <w:drawing>
              <wp:anchor distT="45720" distB="45720" distL="114300" distR="114300" simplePos="0" relativeHeight="251662336" behindDoc="0" locked="0" layoutInCell="1" allowOverlap="1" wp14:anchorId="223CD88D" wp14:editId="5CFCC25C">
                <wp:simplePos x="0" y="0"/>
                <wp:positionH relativeFrom="column">
                  <wp:posOffset>1416685</wp:posOffset>
                </wp:positionH>
                <wp:positionV relativeFrom="paragraph">
                  <wp:posOffset>119380</wp:posOffset>
                </wp:positionV>
                <wp:extent cx="5887085" cy="389890"/>
                <wp:effectExtent l="0" t="0" r="18415" b="1016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085" cy="389890"/>
                        </a:xfrm>
                        <a:prstGeom prst="rect">
                          <a:avLst/>
                        </a:prstGeom>
                        <a:solidFill>
                          <a:srgbClr val="FFFFFF"/>
                        </a:solidFill>
                        <a:ln w="9525">
                          <a:solidFill>
                            <a:srgbClr val="000000"/>
                          </a:solidFill>
                          <a:miter lim="800000"/>
                          <a:headEnd/>
                          <a:tailEnd/>
                        </a:ln>
                      </wps:spPr>
                      <wps:txbx>
                        <w:txbxContent>
                          <w:p w14:paraId="3D81AB28" w14:textId="77777777" w:rsidR="00C05F00" w:rsidRPr="00DB57DE" w:rsidRDefault="00C05F00" w:rsidP="00CE44DC">
                            <w:pPr>
                              <w:pBdr>
                                <w:bottom w:val="single" w:sz="12" w:space="1" w:color="auto"/>
                              </w:pBdr>
                              <w:jc w:val="center"/>
                              <w:rPr>
                                <w:rFonts w:ascii="Arial" w:hAnsi="Arial" w:cs="Arial"/>
                                <w:sz w:val="18"/>
                                <w:szCs w:val="18"/>
                              </w:rPr>
                            </w:pPr>
                            <w:r w:rsidRPr="00DB57DE">
                              <w:rPr>
                                <w:rFonts w:ascii="Arial" w:hAnsi="Arial" w:cs="Arial"/>
                                <w:sz w:val="18"/>
                                <w:szCs w:val="18"/>
                              </w:rPr>
                              <w:t>Costo de adquisición del activo depreciable o amortizable – Valor de desecho</w:t>
                            </w:r>
                          </w:p>
                          <w:p w14:paraId="328FEC95" w14:textId="77777777" w:rsidR="00C05F00" w:rsidRPr="00DB57DE" w:rsidRDefault="00C05F00" w:rsidP="00CE44DC">
                            <w:pPr>
                              <w:jc w:val="center"/>
                              <w:rPr>
                                <w:rFonts w:ascii="Arial" w:hAnsi="Arial" w:cs="Arial"/>
                                <w:sz w:val="18"/>
                                <w:szCs w:val="18"/>
                              </w:rPr>
                            </w:pPr>
                            <w:r w:rsidRPr="00DB57DE">
                              <w:rPr>
                                <w:rFonts w:ascii="Arial" w:hAnsi="Arial" w:cs="Arial"/>
                                <w:sz w:val="18"/>
                                <w:szCs w:val="18"/>
                              </w:rPr>
                              <w:t>Vida útil</w:t>
                            </w:r>
                          </w:p>
                          <w:p w14:paraId="5673DBCE" w14:textId="77777777" w:rsidR="00C05F00" w:rsidRDefault="00C05F00" w:rsidP="00CE44DC">
                            <w:pPr>
                              <w:jc w:val="center"/>
                            </w:pPr>
                          </w:p>
                          <w:p w14:paraId="35C45936" w14:textId="77777777" w:rsidR="00C05F00" w:rsidRDefault="00C05F00" w:rsidP="00CE44DC">
                            <w:pPr>
                              <w:jc w:val="center"/>
                            </w:pPr>
                          </w:p>
                          <w:p w14:paraId="489F2B42" w14:textId="77777777" w:rsidR="00C05F00" w:rsidRDefault="00C05F00" w:rsidP="00CE44D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CD88D" id="_x0000_s1027" type="#_x0000_t202" style="position:absolute;left:0;text-align:left;margin-left:111.55pt;margin-top:9.4pt;width:463.55pt;height:30.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">
                <v:textbox>
                  <w:txbxContent>
                    <w:p w14:paraId="3D81AB28" w14:textId="77777777" w:rsidR="00C05F00" w:rsidRPr="00DB57DE" w:rsidRDefault="00C05F00" w:rsidP="00CE44DC">
                      <w:pPr>
                        <w:pBdr>
                          <w:bottom w:val="single" w:sz="12" w:space="1" w:color="auto"/>
                        </w:pBdr>
                        <w:jc w:val="center"/>
                        <w:rPr>
                          <w:rFonts w:ascii="Arial" w:hAnsi="Arial" w:cs="Arial"/>
                          <w:sz w:val="18"/>
                          <w:szCs w:val="18"/>
                        </w:rPr>
                      </w:pPr>
                      <w:r w:rsidRPr="00DB57DE">
                        <w:rPr>
                          <w:rFonts w:ascii="Arial" w:hAnsi="Arial" w:cs="Arial"/>
                          <w:sz w:val="18"/>
                          <w:szCs w:val="18"/>
                        </w:rPr>
                        <w:t>Costo de adquisición del activo depreciable o amortizable – Valor de desecho</w:t>
                      </w:r>
                    </w:p>
                    <w:p w14:paraId="328FEC95" w14:textId="77777777" w:rsidR="00C05F00" w:rsidRPr="00DB57DE" w:rsidRDefault="00C05F00" w:rsidP="00CE44DC">
                      <w:pPr>
                        <w:jc w:val="center"/>
                        <w:rPr>
                          <w:rFonts w:ascii="Arial" w:hAnsi="Arial" w:cs="Arial"/>
                          <w:sz w:val="18"/>
                          <w:szCs w:val="18"/>
                        </w:rPr>
                      </w:pPr>
                      <w:r w:rsidRPr="00DB57DE">
                        <w:rPr>
                          <w:rFonts w:ascii="Arial" w:hAnsi="Arial" w:cs="Arial"/>
                          <w:sz w:val="18"/>
                          <w:szCs w:val="18"/>
                        </w:rPr>
                        <w:t>Vida útil</w:t>
                      </w:r>
                    </w:p>
                    <w:p w14:paraId="5673DBCE" w14:textId="77777777" w:rsidR="00C05F00" w:rsidRDefault="00C05F00" w:rsidP="00CE44DC">
                      <w:pPr>
                        <w:jc w:val="center"/>
                      </w:pPr>
                    </w:p>
                    <w:p w14:paraId="35C45936" w14:textId="77777777" w:rsidR="00C05F00" w:rsidRDefault="00C05F00" w:rsidP="00CE44DC">
                      <w:pPr>
                        <w:jc w:val="center"/>
                      </w:pPr>
                    </w:p>
                    <w:p w14:paraId="489F2B42" w14:textId="77777777" w:rsidR="00C05F00" w:rsidRDefault="00C05F00" w:rsidP="00CE44DC">
                      <w:pPr>
                        <w:jc w:val="center"/>
                      </w:pPr>
                    </w:p>
                  </w:txbxContent>
                </v:textbox>
                <w10:wrap type="square"/>
              </v:shape>
            </w:pict>
          </mc:Fallback>
        </mc:AlternateContent>
      </w:r>
    </w:p>
    <w:p w14:paraId="6B42EB7E" w14:textId="77777777" w:rsidR="00CE44DC" w:rsidRPr="00DC37D6" w:rsidRDefault="00CE44DC" w:rsidP="00CE44DC">
      <w:pPr>
        <w:pStyle w:val="Prrafodelista"/>
        <w:ind w:left="1416"/>
        <w:contextualSpacing w:val="0"/>
        <w:rPr>
          <w:rFonts w:ascii="Barlow" w:hAnsi="Barlow" w:cs="Arial"/>
          <w:color w:val="000000"/>
          <w:sz w:val="20"/>
          <w:szCs w:val="20"/>
        </w:rPr>
      </w:pPr>
    </w:p>
    <w:p w14:paraId="01512D20" w14:textId="51C553CE" w:rsidR="00CE44DC" w:rsidRPr="00DC37D6" w:rsidRDefault="00CE44DC" w:rsidP="00CE44DC">
      <w:pPr>
        <w:pStyle w:val="Prrafodelista"/>
        <w:ind w:left="1416"/>
        <w:contextualSpacing w:val="0"/>
        <w:rPr>
          <w:rFonts w:ascii="Barlow" w:hAnsi="Barlow" w:cs="Arial"/>
          <w:sz w:val="20"/>
          <w:szCs w:val="20"/>
        </w:rPr>
      </w:pPr>
    </w:p>
    <w:p w14:paraId="74B10989" w14:textId="77777777" w:rsidR="00E55DC0" w:rsidRPr="00DC37D6" w:rsidRDefault="00E55DC0" w:rsidP="00E55DC0">
      <w:pPr>
        <w:pStyle w:val="Texto"/>
        <w:ind w:left="720" w:firstLine="0"/>
        <w:jc w:val="left"/>
        <w:rPr>
          <w:rFonts w:ascii="Barlow" w:hAnsi="Barlow"/>
          <w:sz w:val="20"/>
          <w:szCs w:val="20"/>
        </w:rPr>
      </w:pPr>
    </w:p>
    <w:p w14:paraId="1EF1ADE6" w14:textId="46C7D5E3" w:rsidR="00377DB5" w:rsidRPr="00DC37D6" w:rsidRDefault="00377DB5" w:rsidP="00377DB5">
      <w:pPr>
        <w:pStyle w:val="Texto"/>
        <w:numPr>
          <w:ilvl w:val="0"/>
          <w:numId w:val="18"/>
        </w:numPr>
        <w:jc w:val="left"/>
        <w:rPr>
          <w:rFonts w:ascii="Barlow" w:hAnsi="Barlow"/>
          <w:sz w:val="20"/>
          <w:szCs w:val="20"/>
        </w:rPr>
      </w:pPr>
      <w:r w:rsidRPr="00DC37D6">
        <w:rPr>
          <w:rFonts w:ascii="Barlow" w:hAnsi="Barlow"/>
          <w:sz w:val="20"/>
          <w:szCs w:val="20"/>
        </w:rPr>
        <w:t>Respecto al registro de los Bienes Intangibles se indica lo siguiente:</w:t>
      </w:r>
    </w:p>
    <w:p w14:paraId="541A18F9" w14:textId="11E79E41" w:rsidR="004B35A4" w:rsidRPr="00DC37D6" w:rsidRDefault="006C1DD6" w:rsidP="0040576C">
      <w:pPr>
        <w:pStyle w:val="Prrafodelista"/>
        <w:ind w:left="1416"/>
        <w:jc w:val="both"/>
        <w:rPr>
          <w:rFonts w:ascii="Barlow" w:hAnsi="Barlow" w:cs="Arial"/>
          <w:sz w:val="20"/>
          <w:szCs w:val="20"/>
          <w:lang w:val="es-ES"/>
        </w:rPr>
      </w:pPr>
      <w:r w:rsidRPr="00DC37D6">
        <w:rPr>
          <w:rFonts w:ascii="Barlow" w:hAnsi="Barlow" w:cs="Arial"/>
          <w:sz w:val="20"/>
          <w:szCs w:val="20"/>
        </w:rPr>
        <w:t xml:space="preserve">Atendiendo la recomendación emitida por el Despacho Externo Ofelia Cámara Auditores y Consultores, a la presente fecha los bienes </w:t>
      </w:r>
      <w:r w:rsidR="00604A31" w:rsidRPr="00DC37D6">
        <w:rPr>
          <w:rFonts w:ascii="Barlow" w:hAnsi="Barlow" w:cs="Arial"/>
          <w:sz w:val="20"/>
          <w:szCs w:val="20"/>
        </w:rPr>
        <w:t>intangibles</w:t>
      </w:r>
      <w:r w:rsidRPr="00DC37D6">
        <w:rPr>
          <w:rFonts w:ascii="Barlow" w:hAnsi="Barlow" w:cs="Arial"/>
          <w:sz w:val="20"/>
          <w:szCs w:val="20"/>
        </w:rPr>
        <w:t xml:space="preserve"> se registran en apego a lo establecido en el Numeral 8 “Monto de capitalización de los Bienes Muebles e Intangibles “de las Reglas de Registro y Valoración del Patrimonio emitidas por el CONAC.</w:t>
      </w:r>
      <w:r w:rsidRPr="00DC37D6">
        <w:rPr>
          <w:rFonts w:ascii="Barlow" w:hAnsi="Barlow" w:cs="Arial"/>
          <w:sz w:val="20"/>
          <w:szCs w:val="20"/>
          <w:lang w:val="es-ES"/>
        </w:rPr>
        <w:t xml:space="preserve"> </w:t>
      </w:r>
    </w:p>
    <w:p w14:paraId="7DAECF38" w14:textId="77777777" w:rsidR="0074501E" w:rsidRPr="00DC37D6" w:rsidRDefault="0074501E" w:rsidP="0040576C">
      <w:pPr>
        <w:pStyle w:val="Prrafodelista"/>
        <w:ind w:left="1416"/>
        <w:jc w:val="both"/>
        <w:rPr>
          <w:rFonts w:ascii="Barlow" w:hAnsi="Barlow" w:cs="Arial"/>
          <w:sz w:val="20"/>
          <w:szCs w:val="20"/>
          <w:lang w:val="es-ES"/>
        </w:rPr>
      </w:pPr>
    </w:p>
    <w:p w14:paraId="5554585A" w14:textId="527F5750" w:rsidR="007D4E55" w:rsidRPr="00DC37D6" w:rsidRDefault="007D4E55" w:rsidP="007D4E55">
      <w:pPr>
        <w:pStyle w:val="Prrafodelista"/>
        <w:numPr>
          <w:ilvl w:val="0"/>
          <w:numId w:val="18"/>
        </w:numPr>
        <w:autoSpaceDE w:val="0"/>
        <w:autoSpaceDN w:val="0"/>
        <w:adjustRightInd w:val="0"/>
        <w:spacing w:line="360" w:lineRule="auto"/>
        <w:rPr>
          <w:rFonts w:ascii="Barlow" w:hAnsi="Barlow" w:cs="Arial"/>
          <w:bCs/>
          <w:sz w:val="20"/>
          <w:szCs w:val="20"/>
        </w:rPr>
      </w:pPr>
      <w:r w:rsidRPr="00DC37D6">
        <w:rPr>
          <w:rFonts w:ascii="Barlow" w:hAnsi="Barlow" w:cs="Arial"/>
          <w:bCs/>
          <w:sz w:val="20"/>
          <w:szCs w:val="20"/>
        </w:rPr>
        <w:t xml:space="preserve">Al </w:t>
      </w:r>
      <w:r w:rsidR="0073333C" w:rsidRPr="00DC37D6">
        <w:rPr>
          <w:rFonts w:ascii="Barlow" w:hAnsi="Barlow" w:cs="Arial"/>
          <w:bCs/>
          <w:sz w:val="20"/>
          <w:szCs w:val="20"/>
        </w:rPr>
        <w:t>31</w:t>
      </w:r>
      <w:r w:rsidRPr="00DC37D6">
        <w:rPr>
          <w:rFonts w:ascii="Barlow" w:hAnsi="Barlow" w:cs="Arial"/>
          <w:bCs/>
          <w:sz w:val="20"/>
          <w:szCs w:val="20"/>
        </w:rPr>
        <w:t xml:space="preserve"> de </w:t>
      </w:r>
      <w:r w:rsidR="0073333C" w:rsidRPr="00DC37D6">
        <w:rPr>
          <w:rFonts w:ascii="Barlow" w:hAnsi="Barlow" w:cs="Arial"/>
          <w:bCs/>
          <w:sz w:val="20"/>
          <w:szCs w:val="20"/>
        </w:rPr>
        <w:t>marz</w:t>
      </w:r>
      <w:r w:rsidRPr="00DC37D6">
        <w:rPr>
          <w:rFonts w:ascii="Barlow" w:hAnsi="Barlow" w:cs="Arial"/>
          <w:bCs/>
          <w:sz w:val="20"/>
          <w:szCs w:val="20"/>
        </w:rPr>
        <w:t>o de 2022, no hubo adquisición de bienes intangibles.</w:t>
      </w:r>
    </w:p>
    <w:p w14:paraId="4BC04E6D" w14:textId="77777777" w:rsidR="00226D0C" w:rsidRPr="00DC37D6" w:rsidRDefault="00226D0C" w:rsidP="00C4137E">
      <w:pPr>
        <w:autoSpaceDE w:val="0"/>
        <w:autoSpaceDN w:val="0"/>
        <w:adjustRightInd w:val="0"/>
        <w:spacing w:line="360" w:lineRule="auto"/>
        <w:jc w:val="both"/>
        <w:rPr>
          <w:rFonts w:ascii="Barlow" w:hAnsi="Barlow" w:cs="Arial"/>
          <w:b/>
          <w:sz w:val="20"/>
          <w:szCs w:val="20"/>
        </w:rPr>
      </w:pPr>
    </w:p>
    <w:p w14:paraId="1893C108" w14:textId="0A3FFEAE" w:rsidR="00705583" w:rsidRPr="00DC37D6" w:rsidRDefault="00705583" w:rsidP="00C4137E">
      <w:pPr>
        <w:autoSpaceDE w:val="0"/>
        <w:autoSpaceDN w:val="0"/>
        <w:adjustRightInd w:val="0"/>
        <w:spacing w:line="360" w:lineRule="auto"/>
        <w:jc w:val="both"/>
        <w:rPr>
          <w:rFonts w:ascii="Barlow" w:hAnsi="Barlow" w:cs="Arial"/>
          <w:b/>
          <w:sz w:val="20"/>
          <w:szCs w:val="20"/>
        </w:rPr>
      </w:pPr>
      <w:r w:rsidRPr="00DC37D6">
        <w:rPr>
          <w:rFonts w:ascii="Barlow" w:hAnsi="Barlow" w:cs="Arial"/>
          <w:b/>
          <w:sz w:val="20"/>
          <w:szCs w:val="20"/>
        </w:rPr>
        <w:t>Estimaciones y Deterioros</w:t>
      </w:r>
    </w:p>
    <w:p w14:paraId="5DA6EB87" w14:textId="65C3090A" w:rsidR="00167F7E" w:rsidRPr="00DC37D6" w:rsidRDefault="00167F7E" w:rsidP="00167F7E">
      <w:p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10</w:t>
      </w:r>
      <w:r w:rsidR="00705583" w:rsidRPr="00DC37D6">
        <w:rPr>
          <w:rFonts w:ascii="Barlow" w:hAnsi="Barlow" w:cs="Arial"/>
          <w:sz w:val="20"/>
          <w:szCs w:val="20"/>
        </w:rPr>
        <w:t xml:space="preserve">.- </w:t>
      </w:r>
      <w:r w:rsidRPr="00DC37D6">
        <w:rPr>
          <w:rFonts w:ascii="Barlow" w:hAnsi="Barlow" w:cs="Arial"/>
          <w:sz w:val="20"/>
          <w:szCs w:val="20"/>
        </w:rPr>
        <w:t>La Secretaría Ejecutiva del Sistema Estatal Anticorrupción no cuenta con estimaciones de bienes incobrables</w:t>
      </w:r>
      <w:r w:rsidR="00724980" w:rsidRPr="00DC37D6">
        <w:rPr>
          <w:rFonts w:ascii="Barlow" w:hAnsi="Barlow" w:cs="Arial"/>
          <w:sz w:val="20"/>
          <w:szCs w:val="20"/>
        </w:rPr>
        <w:t>, inventarios o activos biológicos.</w:t>
      </w:r>
    </w:p>
    <w:p w14:paraId="0D92974D" w14:textId="77777777" w:rsidR="0040576C" w:rsidRPr="00DC37D6" w:rsidRDefault="0040576C" w:rsidP="00C4137E">
      <w:pPr>
        <w:autoSpaceDE w:val="0"/>
        <w:autoSpaceDN w:val="0"/>
        <w:adjustRightInd w:val="0"/>
        <w:spacing w:line="360" w:lineRule="auto"/>
        <w:jc w:val="both"/>
        <w:rPr>
          <w:rFonts w:ascii="Barlow" w:hAnsi="Barlow" w:cs="Arial"/>
          <w:b/>
          <w:sz w:val="20"/>
          <w:szCs w:val="20"/>
        </w:rPr>
      </w:pPr>
    </w:p>
    <w:p w14:paraId="169EA63A" w14:textId="4BDD8DB8" w:rsidR="00705583" w:rsidRPr="00DC37D6" w:rsidRDefault="00705583" w:rsidP="00C4137E">
      <w:pPr>
        <w:autoSpaceDE w:val="0"/>
        <w:autoSpaceDN w:val="0"/>
        <w:adjustRightInd w:val="0"/>
        <w:spacing w:line="360" w:lineRule="auto"/>
        <w:jc w:val="both"/>
        <w:rPr>
          <w:rFonts w:ascii="Barlow" w:hAnsi="Barlow" w:cs="Arial"/>
          <w:b/>
          <w:sz w:val="20"/>
          <w:szCs w:val="20"/>
        </w:rPr>
      </w:pPr>
      <w:r w:rsidRPr="00DC37D6">
        <w:rPr>
          <w:rFonts w:ascii="Barlow" w:hAnsi="Barlow" w:cs="Arial"/>
          <w:b/>
          <w:sz w:val="20"/>
          <w:szCs w:val="20"/>
        </w:rPr>
        <w:t>Otros Activos</w:t>
      </w:r>
    </w:p>
    <w:p w14:paraId="630B0C08" w14:textId="37092EAE" w:rsidR="000359B8" w:rsidRPr="00DC37D6" w:rsidRDefault="00724980" w:rsidP="00C4137E">
      <w:pPr>
        <w:autoSpaceDE w:val="0"/>
        <w:autoSpaceDN w:val="0"/>
        <w:adjustRightInd w:val="0"/>
        <w:spacing w:line="360" w:lineRule="auto"/>
        <w:jc w:val="both"/>
        <w:rPr>
          <w:rFonts w:ascii="Barlow" w:hAnsi="Barlow" w:cs="Arial"/>
          <w:b/>
          <w:sz w:val="20"/>
          <w:szCs w:val="20"/>
        </w:rPr>
      </w:pPr>
      <w:r w:rsidRPr="00DC37D6">
        <w:rPr>
          <w:rFonts w:ascii="Barlow" w:hAnsi="Barlow" w:cs="Arial"/>
          <w:sz w:val="20"/>
          <w:szCs w:val="20"/>
        </w:rPr>
        <w:t>11</w:t>
      </w:r>
      <w:r w:rsidR="00705583" w:rsidRPr="00DC37D6">
        <w:rPr>
          <w:rFonts w:ascii="Barlow" w:hAnsi="Barlow" w:cs="Arial"/>
          <w:sz w:val="20"/>
          <w:szCs w:val="20"/>
        </w:rPr>
        <w:t xml:space="preserve">.- </w:t>
      </w:r>
      <w:r w:rsidR="000C582D" w:rsidRPr="00DC37D6">
        <w:rPr>
          <w:rFonts w:ascii="Barlow" w:hAnsi="Barlow" w:cs="Arial"/>
          <w:sz w:val="20"/>
          <w:szCs w:val="20"/>
        </w:rPr>
        <w:t>La Secretaría Ejecutiva del Sistema Estatal Anticorrupción no cuenta con otros activos.</w:t>
      </w:r>
    </w:p>
    <w:p w14:paraId="7026583E" w14:textId="5FE4AE99" w:rsidR="002C6FDE" w:rsidRPr="00DC37D6" w:rsidRDefault="001C734A" w:rsidP="00C4137E">
      <w:pPr>
        <w:autoSpaceDE w:val="0"/>
        <w:autoSpaceDN w:val="0"/>
        <w:adjustRightInd w:val="0"/>
        <w:spacing w:line="360" w:lineRule="auto"/>
        <w:jc w:val="both"/>
        <w:rPr>
          <w:rFonts w:ascii="Barlow" w:hAnsi="Barlow" w:cs="Arial"/>
          <w:b/>
          <w:sz w:val="20"/>
          <w:szCs w:val="20"/>
        </w:rPr>
      </w:pPr>
      <w:r w:rsidRPr="00DC37D6">
        <w:rPr>
          <w:rFonts w:ascii="Barlow" w:hAnsi="Barlow" w:cs="Arial"/>
          <w:b/>
          <w:sz w:val="20"/>
          <w:szCs w:val="20"/>
        </w:rPr>
        <w:t>PASIVO</w:t>
      </w:r>
    </w:p>
    <w:p w14:paraId="3FB7E5FD" w14:textId="11EB7D67" w:rsidR="000359B8" w:rsidRPr="00DC37D6" w:rsidRDefault="00852D72" w:rsidP="00C4137E">
      <w:p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El Pasivo Circulante, representa aquellas obligaciones en las que la exigibilidad de pago es menor a un año y lo constituyen l</w:t>
      </w:r>
      <w:r w:rsidR="00A01585" w:rsidRPr="00DC37D6">
        <w:rPr>
          <w:rFonts w:ascii="Barlow" w:hAnsi="Barlow" w:cs="Arial"/>
          <w:sz w:val="20"/>
          <w:szCs w:val="20"/>
        </w:rPr>
        <w:t>a</w:t>
      </w:r>
      <w:r w:rsidRPr="00DC37D6">
        <w:rPr>
          <w:rFonts w:ascii="Barlow" w:hAnsi="Barlow" w:cs="Arial"/>
          <w:sz w:val="20"/>
          <w:szCs w:val="20"/>
        </w:rPr>
        <w:t xml:space="preserve">s </w:t>
      </w:r>
      <w:r w:rsidR="00FC6AA5" w:rsidRPr="00DC37D6">
        <w:rPr>
          <w:rFonts w:ascii="Barlow" w:hAnsi="Barlow" w:cs="Arial"/>
          <w:sz w:val="20"/>
          <w:szCs w:val="20"/>
        </w:rPr>
        <w:t xml:space="preserve">cuentas de servicios personales, proveedores y cuentas por pagar y las retenciones </w:t>
      </w:r>
      <w:r w:rsidRPr="00DC37D6">
        <w:rPr>
          <w:rFonts w:ascii="Barlow" w:hAnsi="Barlow" w:cs="Arial"/>
          <w:sz w:val="20"/>
          <w:szCs w:val="20"/>
        </w:rPr>
        <w:t>y contribuciones</w:t>
      </w:r>
      <w:r w:rsidR="00FC6AA5" w:rsidRPr="00DC37D6">
        <w:rPr>
          <w:rFonts w:ascii="Barlow" w:hAnsi="Barlow" w:cs="Arial"/>
          <w:sz w:val="20"/>
          <w:szCs w:val="20"/>
        </w:rPr>
        <w:t>.</w:t>
      </w:r>
    </w:p>
    <w:p w14:paraId="2738E713" w14:textId="77777777" w:rsidR="00AD141C" w:rsidRPr="00DC37D6" w:rsidRDefault="00AD141C" w:rsidP="00C4137E">
      <w:pPr>
        <w:autoSpaceDE w:val="0"/>
        <w:autoSpaceDN w:val="0"/>
        <w:adjustRightInd w:val="0"/>
        <w:spacing w:line="360" w:lineRule="auto"/>
        <w:jc w:val="both"/>
        <w:rPr>
          <w:rFonts w:ascii="Barlow" w:hAnsi="Barlow" w:cs="Arial"/>
          <w:sz w:val="20"/>
          <w:szCs w:val="20"/>
        </w:rPr>
      </w:pPr>
    </w:p>
    <w:p w14:paraId="76678ADA" w14:textId="232D0AD0" w:rsidR="00D03E62" w:rsidRPr="00DC37D6" w:rsidRDefault="00455288" w:rsidP="00C4137E">
      <w:pPr>
        <w:tabs>
          <w:tab w:val="left" w:pos="540"/>
        </w:tabs>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1</w:t>
      </w:r>
      <w:r w:rsidR="008273DF" w:rsidRPr="00DC37D6">
        <w:rPr>
          <w:rFonts w:ascii="Barlow" w:hAnsi="Barlow" w:cs="Arial"/>
          <w:sz w:val="20"/>
          <w:szCs w:val="20"/>
        </w:rPr>
        <w:t>.- La</w:t>
      </w:r>
      <w:r w:rsidR="00B717BF" w:rsidRPr="00DC37D6">
        <w:rPr>
          <w:rFonts w:ascii="Barlow" w:hAnsi="Barlow" w:cs="Arial"/>
          <w:sz w:val="20"/>
          <w:szCs w:val="20"/>
        </w:rPr>
        <w:t>s</w:t>
      </w:r>
      <w:r w:rsidR="008273DF" w:rsidRPr="00DC37D6">
        <w:rPr>
          <w:rFonts w:ascii="Barlow" w:hAnsi="Barlow" w:cs="Arial"/>
          <w:sz w:val="20"/>
          <w:szCs w:val="20"/>
        </w:rPr>
        <w:t xml:space="preserve"> </w:t>
      </w:r>
      <w:r w:rsidR="00852D72" w:rsidRPr="00DC37D6">
        <w:rPr>
          <w:rFonts w:ascii="Barlow" w:hAnsi="Barlow" w:cs="Arial"/>
          <w:sz w:val="20"/>
          <w:szCs w:val="20"/>
        </w:rPr>
        <w:t>Cuentas por Pagar a Corto Plazo</w:t>
      </w:r>
      <w:r w:rsidR="008273DF" w:rsidRPr="00DC37D6">
        <w:rPr>
          <w:rFonts w:ascii="Barlow" w:hAnsi="Barlow" w:cs="Arial"/>
          <w:sz w:val="20"/>
          <w:szCs w:val="20"/>
        </w:rPr>
        <w:t xml:space="preserve"> se integran como sigue:</w:t>
      </w:r>
    </w:p>
    <w:p w14:paraId="12048144" w14:textId="77777777" w:rsidR="001E6FE3" w:rsidRPr="00DC37D6" w:rsidRDefault="001E6FE3" w:rsidP="00C4137E">
      <w:pPr>
        <w:tabs>
          <w:tab w:val="left" w:pos="540"/>
        </w:tabs>
        <w:autoSpaceDE w:val="0"/>
        <w:autoSpaceDN w:val="0"/>
        <w:adjustRightInd w:val="0"/>
        <w:spacing w:line="360" w:lineRule="auto"/>
        <w:jc w:val="both"/>
        <w:rPr>
          <w:rFonts w:ascii="Barlow" w:hAnsi="Barlow" w:cs="Arial"/>
          <w:sz w:val="20"/>
          <w:szCs w:val="20"/>
        </w:rPr>
      </w:pPr>
    </w:p>
    <w:tbl>
      <w:tblPr>
        <w:tblW w:w="8498" w:type="dxa"/>
        <w:jc w:val="center"/>
        <w:tblCellMar>
          <w:left w:w="70" w:type="dxa"/>
          <w:right w:w="70" w:type="dxa"/>
        </w:tblCellMar>
        <w:tblLook w:val="04A0" w:firstRow="1" w:lastRow="0" w:firstColumn="1" w:lastColumn="0" w:noHBand="0" w:noVBand="1"/>
      </w:tblPr>
      <w:tblGrid>
        <w:gridCol w:w="6525"/>
        <w:gridCol w:w="1973"/>
      </w:tblGrid>
      <w:tr w:rsidR="00D83C5A" w:rsidRPr="00DC37D6" w14:paraId="25ED2A2C" w14:textId="77777777" w:rsidTr="000B4A0B">
        <w:trPr>
          <w:trHeight w:val="298"/>
          <w:jc w:val="center"/>
        </w:trPr>
        <w:tc>
          <w:tcPr>
            <w:tcW w:w="6525" w:type="dxa"/>
            <w:tcBorders>
              <w:top w:val="single" w:sz="8" w:space="0" w:color="auto"/>
              <w:left w:val="single" w:sz="8" w:space="0" w:color="auto"/>
              <w:bottom w:val="single" w:sz="8" w:space="0" w:color="auto"/>
              <w:right w:val="single" w:sz="8" w:space="0" w:color="auto"/>
            </w:tcBorders>
            <w:shd w:val="clear" w:color="000000" w:fill="9BBB59"/>
            <w:noWrap/>
            <w:vAlign w:val="center"/>
            <w:hideMark/>
          </w:tcPr>
          <w:p w14:paraId="69157DE6" w14:textId="77777777" w:rsidR="00D83C5A" w:rsidRPr="00DC37D6" w:rsidRDefault="00D83C5A" w:rsidP="00D83C5A">
            <w:pPr>
              <w:jc w:val="both"/>
              <w:rPr>
                <w:rFonts w:ascii="Barlow" w:hAnsi="Barlow" w:cs="Arial"/>
                <w:b/>
                <w:bCs/>
                <w:color w:val="000000"/>
                <w:sz w:val="20"/>
                <w:szCs w:val="20"/>
                <w:lang w:eastAsia="es-MX"/>
              </w:rPr>
            </w:pPr>
            <w:bookmarkStart w:id="5" w:name="m6"/>
            <w:bookmarkStart w:id="6" w:name="m7"/>
            <w:bookmarkStart w:id="7" w:name="m9"/>
            <w:bookmarkEnd w:id="5"/>
            <w:bookmarkEnd w:id="6"/>
            <w:bookmarkEnd w:id="7"/>
            <w:r w:rsidRPr="00DC37D6">
              <w:rPr>
                <w:rFonts w:ascii="Barlow" w:hAnsi="Barlow" w:cs="Arial"/>
                <w:b/>
                <w:bCs/>
                <w:color w:val="000000"/>
                <w:sz w:val="20"/>
                <w:szCs w:val="20"/>
                <w:lang w:eastAsia="es-MX"/>
              </w:rPr>
              <w:t>CUENTAS POR PAGAR A CORTO PLAZO:</w:t>
            </w:r>
          </w:p>
        </w:tc>
        <w:tc>
          <w:tcPr>
            <w:tcW w:w="1973" w:type="dxa"/>
            <w:tcBorders>
              <w:top w:val="single" w:sz="8" w:space="0" w:color="auto"/>
              <w:left w:val="nil"/>
              <w:bottom w:val="single" w:sz="8" w:space="0" w:color="auto"/>
              <w:right w:val="single" w:sz="8" w:space="0" w:color="auto"/>
            </w:tcBorders>
            <w:shd w:val="clear" w:color="000000" w:fill="9BBB59"/>
            <w:vAlign w:val="center"/>
            <w:hideMark/>
          </w:tcPr>
          <w:p w14:paraId="788BCABA" w14:textId="77777777" w:rsidR="00D83C5A" w:rsidRPr="00DC37D6" w:rsidRDefault="00D83C5A" w:rsidP="00D83C5A">
            <w:pPr>
              <w:jc w:val="both"/>
              <w:rPr>
                <w:rFonts w:ascii="Barlow" w:hAnsi="Barlow" w:cs="Arial"/>
                <w:b/>
                <w:bCs/>
                <w:color w:val="000000"/>
                <w:sz w:val="20"/>
                <w:szCs w:val="20"/>
                <w:lang w:eastAsia="es-MX"/>
              </w:rPr>
            </w:pPr>
            <w:r w:rsidRPr="00DC37D6">
              <w:rPr>
                <w:rFonts w:ascii="Barlow" w:hAnsi="Barlow" w:cs="Arial"/>
                <w:b/>
                <w:bCs/>
                <w:color w:val="000000"/>
                <w:sz w:val="20"/>
                <w:szCs w:val="20"/>
                <w:lang w:eastAsia="es-MX"/>
              </w:rPr>
              <w:t> </w:t>
            </w:r>
          </w:p>
        </w:tc>
      </w:tr>
      <w:tr w:rsidR="00D83C5A" w:rsidRPr="00DC37D6" w14:paraId="5E7D8498" w14:textId="77777777" w:rsidTr="000B4A0B">
        <w:trPr>
          <w:trHeight w:val="298"/>
          <w:jc w:val="center"/>
        </w:trPr>
        <w:tc>
          <w:tcPr>
            <w:tcW w:w="6525" w:type="dxa"/>
            <w:tcBorders>
              <w:top w:val="nil"/>
              <w:left w:val="single" w:sz="8" w:space="0" w:color="auto"/>
              <w:bottom w:val="single" w:sz="8" w:space="0" w:color="auto"/>
              <w:right w:val="single" w:sz="8" w:space="0" w:color="auto"/>
            </w:tcBorders>
            <w:shd w:val="clear" w:color="auto" w:fill="auto"/>
            <w:noWrap/>
            <w:vAlign w:val="center"/>
            <w:hideMark/>
          </w:tcPr>
          <w:p w14:paraId="1677A358" w14:textId="77777777" w:rsidR="00D83C5A" w:rsidRPr="00DC37D6" w:rsidRDefault="00D83C5A" w:rsidP="00D83C5A">
            <w:pPr>
              <w:rPr>
                <w:rFonts w:ascii="Barlow" w:hAnsi="Barlow" w:cs="Arial"/>
                <w:color w:val="000000"/>
                <w:sz w:val="20"/>
                <w:szCs w:val="20"/>
                <w:lang w:eastAsia="es-MX"/>
              </w:rPr>
            </w:pPr>
            <w:r w:rsidRPr="00DC37D6">
              <w:rPr>
                <w:rFonts w:ascii="Barlow" w:hAnsi="Barlow" w:cs="Arial"/>
                <w:color w:val="000000"/>
                <w:sz w:val="20"/>
                <w:szCs w:val="20"/>
                <w:lang w:eastAsia="es-MX"/>
              </w:rPr>
              <w:t xml:space="preserve"> </w:t>
            </w:r>
            <w:r w:rsidRPr="00DC37D6">
              <w:rPr>
                <w:rFonts w:ascii="Barlow" w:hAnsi="Barlow" w:cs="Arial"/>
                <w:b/>
                <w:bCs/>
                <w:color w:val="000000"/>
                <w:sz w:val="20"/>
                <w:szCs w:val="20"/>
                <w:lang w:eastAsia="es-MX"/>
              </w:rPr>
              <w:t xml:space="preserve">Servicios Personales por Pagar a Corto Plazo </w:t>
            </w:r>
          </w:p>
        </w:tc>
        <w:tc>
          <w:tcPr>
            <w:tcW w:w="1973" w:type="dxa"/>
            <w:tcBorders>
              <w:top w:val="nil"/>
              <w:left w:val="nil"/>
              <w:bottom w:val="single" w:sz="8" w:space="0" w:color="auto"/>
              <w:right w:val="single" w:sz="8" w:space="0" w:color="auto"/>
            </w:tcBorders>
            <w:shd w:val="clear" w:color="auto" w:fill="auto"/>
            <w:vAlign w:val="center"/>
            <w:hideMark/>
          </w:tcPr>
          <w:p w14:paraId="06C213C8" w14:textId="699579D6" w:rsidR="00D83C5A" w:rsidRPr="00DC37D6" w:rsidRDefault="00D83C5A" w:rsidP="00FD64B9">
            <w:pPr>
              <w:jc w:val="right"/>
              <w:rPr>
                <w:rFonts w:ascii="Barlow" w:hAnsi="Barlow" w:cs="Arial"/>
                <w:b/>
                <w:bCs/>
                <w:color w:val="000000"/>
                <w:sz w:val="20"/>
                <w:szCs w:val="20"/>
                <w:lang w:eastAsia="es-MX"/>
              </w:rPr>
            </w:pPr>
            <w:r w:rsidRPr="00DC37D6">
              <w:rPr>
                <w:rFonts w:ascii="Barlow" w:hAnsi="Barlow" w:cs="Arial"/>
                <w:b/>
                <w:bCs/>
                <w:color w:val="000000"/>
                <w:sz w:val="20"/>
                <w:szCs w:val="20"/>
                <w:lang w:eastAsia="es-MX"/>
              </w:rPr>
              <w:t>$</w:t>
            </w:r>
            <w:r w:rsidR="00FD64B9" w:rsidRPr="00DC37D6">
              <w:rPr>
                <w:rFonts w:ascii="Barlow" w:hAnsi="Barlow" w:cs="Arial"/>
                <w:b/>
                <w:bCs/>
                <w:color w:val="000000"/>
                <w:sz w:val="20"/>
                <w:szCs w:val="20"/>
                <w:lang w:eastAsia="es-MX"/>
              </w:rPr>
              <w:t>371,514.51</w:t>
            </w:r>
          </w:p>
        </w:tc>
      </w:tr>
      <w:tr w:rsidR="00D83C5A" w:rsidRPr="00DC37D6" w14:paraId="26C4E3EE" w14:textId="77777777" w:rsidTr="000B4A0B">
        <w:trPr>
          <w:trHeight w:val="298"/>
          <w:jc w:val="center"/>
        </w:trPr>
        <w:tc>
          <w:tcPr>
            <w:tcW w:w="6525" w:type="dxa"/>
            <w:tcBorders>
              <w:top w:val="nil"/>
              <w:left w:val="single" w:sz="8" w:space="0" w:color="auto"/>
              <w:bottom w:val="single" w:sz="8" w:space="0" w:color="auto"/>
              <w:right w:val="single" w:sz="8" w:space="0" w:color="auto"/>
            </w:tcBorders>
            <w:shd w:val="clear" w:color="auto" w:fill="auto"/>
            <w:noWrap/>
            <w:vAlign w:val="center"/>
            <w:hideMark/>
          </w:tcPr>
          <w:p w14:paraId="1054AA1E" w14:textId="77777777" w:rsidR="00D83C5A" w:rsidRPr="00DC37D6" w:rsidRDefault="00D83C5A" w:rsidP="00D83C5A">
            <w:pPr>
              <w:jc w:val="right"/>
              <w:rPr>
                <w:rFonts w:ascii="Barlow" w:hAnsi="Barlow" w:cs="Arial"/>
                <w:i/>
                <w:iCs/>
                <w:color w:val="000000"/>
                <w:sz w:val="20"/>
                <w:szCs w:val="20"/>
                <w:lang w:eastAsia="es-MX"/>
              </w:rPr>
            </w:pPr>
            <w:r w:rsidRPr="00DC37D6">
              <w:rPr>
                <w:rFonts w:ascii="Barlow" w:hAnsi="Barlow" w:cs="Arial"/>
                <w:i/>
                <w:iCs/>
                <w:color w:val="000000"/>
                <w:sz w:val="20"/>
                <w:szCs w:val="20"/>
                <w:lang w:eastAsia="es-MX"/>
              </w:rPr>
              <w:t>Finiquitos de nómina</w:t>
            </w:r>
          </w:p>
        </w:tc>
        <w:tc>
          <w:tcPr>
            <w:tcW w:w="1973" w:type="dxa"/>
            <w:tcBorders>
              <w:top w:val="nil"/>
              <w:left w:val="nil"/>
              <w:bottom w:val="single" w:sz="8" w:space="0" w:color="auto"/>
              <w:right w:val="single" w:sz="8" w:space="0" w:color="auto"/>
            </w:tcBorders>
            <w:shd w:val="clear" w:color="auto" w:fill="auto"/>
            <w:vAlign w:val="center"/>
            <w:hideMark/>
          </w:tcPr>
          <w:p w14:paraId="1B0EEDC8" w14:textId="77777777" w:rsidR="00D83C5A" w:rsidRPr="00DC37D6" w:rsidRDefault="00D83C5A" w:rsidP="00D83C5A">
            <w:pPr>
              <w:jc w:val="right"/>
              <w:rPr>
                <w:rFonts w:ascii="Barlow" w:hAnsi="Barlow" w:cs="Arial"/>
                <w:i/>
                <w:iCs/>
                <w:color w:val="000000"/>
                <w:sz w:val="20"/>
                <w:szCs w:val="20"/>
                <w:lang w:eastAsia="es-MX"/>
              </w:rPr>
            </w:pPr>
            <w:r w:rsidRPr="00DC37D6">
              <w:rPr>
                <w:rFonts w:ascii="Barlow" w:hAnsi="Barlow" w:cs="Arial"/>
                <w:i/>
                <w:iCs/>
                <w:color w:val="000000"/>
                <w:sz w:val="20"/>
                <w:szCs w:val="20"/>
                <w:lang w:eastAsia="es-MX"/>
              </w:rPr>
              <w:t>$194.02</w:t>
            </w:r>
          </w:p>
        </w:tc>
      </w:tr>
      <w:tr w:rsidR="00CA19F0" w:rsidRPr="00DC37D6" w14:paraId="1D649E87" w14:textId="77777777" w:rsidTr="000B4A0B">
        <w:trPr>
          <w:trHeight w:val="298"/>
          <w:jc w:val="center"/>
        </w:trPr>
        <w:tc>
          <w:tcPr>
            <w:tcW w:w="6525" w:type="dxa"/>
            <w:tcBorders>
              <w:top w:val="nil"/>
              <w:left w:val="single" w:sz="8" w:space="0" w:color="auto"/>
              <w:bottom w:val="single" w:sz="8" w:space="0" w:color="auto"/>
              <w:right w:val="single" w:sz="8" w:space="0" w:color="auto"/>
            </w:tcBorders>
            <w:shd w:val="clear" w:color="auto" w:fill="auto"/>
            <w:noWrap/>
            <w:vAlign w:val="center"/>
          </w:tcPr>
          <w:p w14:paraId="6A8CFA43" w14:textId="3776832B" w:rsidR="00CA19F0" w:rsidRPr="00DC37D6" w:rsidRDefault="00CA19F0" w:rsidP="00D83C5A">
            <w:pPr>
              <w:jc w:val="right"/>
              <w:rPr>
                <w:rFonts w:ascii="Barlow" w:hAnsi="Barlow" w:cs="Arial"/>
                <w:i/>
                <w:iCs/>
                <w:color w:val="000000"/>
                <w:sz w:val="20"/>
                <w:szCs w:val="20"/>
                <w:lang w:eastAsia="es-MX"/>
              </w:rPr>
            </w:pPr>
            <w:r w:rsidRPr="00DC37D6">
              <w:rPr>
                <w:rFonts w:ascii="Barlow" w:hAnsi="Barlow" w:cs="Arial"/>
                <w:i/>
                <w:iCs/>
                <w:color w:val="000000"/>
                <w:sz w:val="20"/>
                <w:szCs w:val="20"/>
                <w:lang w:eastAsia="es-MX"/>
              </w:rPr>
              <w:t>Prima vacacional y dominical</w:t>
            </w:r>
          </w:p>
        </w:tc>
        <w:tc>
          <w:tcPr>
            <w:tcW w:w="1973" w:type="dxa"/>
            <w:tcBorders>
              <w:top w:val="nil"/>
              <w:left w:val="nil"/>
              <w:bottom w:val="single" w:sz="8" w:space="0" w:color="auto"/>
              <w:right w:val="single" w:sz="8" w:space="0" w:color="auto"/>
            </w:tcBorders>
            <w:shd w:val="clear" w:color="auto" w:fill="auto"/>
            <w:vAlign w:val="center"/>
          </w:tcPr>
          <w:p w14:paraId="3D69C2D8" w14:textId="2698EF60" w:rsidR="00CA19F0" w:rsidRPr="00DC37D6" w:rsidRDefault="00CA19F0" w:rsidP="00D83C5A">
            <w:pPr>
              <w:jc w:val="right"/>
              <w:rPr>
                <w:rFonts w:ascii="Barlow" w:hAnsi="Barlow" w:cs="Arial"/>
                <w:i/>
                <w:iCs/>
                <w:color w:val="000000"/>
                <w:sz w:val="20"/>
                <w:szCs w:val="20"/>
                <w:lang w:eastAsia="es-MX"/>
              </w:rPr>
            </w:pPr>
            <w:r w:rsidRPr="00DC37D6">
              <w:rPr>
                <w:rFonts w:ascii="Barlow" w:hAnsi="Barlow" w:cs="Arial"/>
                <w:i/>
                <w:iCs/>
                <w:color w:val="000000"/>
                <w:sz w:val="20"/>
                <w:szCs w:val="20"/>
                <w:lang w:eastAsia="es-MX"/>
              </w:rPr>
              <w:t>$96,293.00</w:t>
            </w:r>
          </w:p>
        </w:tc>
      </w:tr>
      <w:tr w:rsidR="00CA19F0" w:rsidRPr="00DC37D6" w14:paraId="1DC40CD8" w14:textId="77777777" w:rsidTr="000B4A0B">
        <w:trPr>
          <w:trHeight w:val="298"/>
          <w:jc w:val="center"/>
        </w:trPr>
        <w:tc>
          <w:tcPr>
            <w:tcW w:w="6525" w:type="dxa"/>
            <w:tcBorders>
              <w:top w:val="nil"/>
              <w:left w:val="single" w:sz="8" w:space="0" w:color="auto"/>
              <w:bottom w:val="single" w:sz="8" w:space="0" w:color="auto"/>
              <w:right w:val="single" w:sz="8" w:space="0" w:color="auto"/>
            </w:tcBorders>
            <w:shd w:val="clear" w:color="auto" w:fill="auto"/>
            <w:noWrap/>
            <w:vAlign w:val="center"/>
          </w:tcPr>
          <w:p w14:paraId="58DCB99D" w14:textId="61B48436" w:rsidR="00CA19F0" w:rsidRPr="00DC37D6" w:rsidRDefault="00CA19F0" w:rsidP="00D83C5A">
            <w:pPr>
              <w:jc w:val="right"/>
              <w:rPr>
                <w:rFonts w:ascii="Barlow" w:hAnsi="Barlow" w:cs="Arial"/>
                <w:i/>
                <w:iCs/>
                <w:color w:val="000000"/>
                <w:sz w:val="20"/>
                <w:szCs w:val="20"/>
                <w:lang w:eastAsia="es-MX"/>
              </w:rPr>
            </w:pPr>
            <w:r w:rsidRPr="00DC37D6">
              <w:rPr>
                <w:rFonts w:ascii="Barlow" w:hAnsi="Barlow" w:cs="Arial"/>
                <w:i/>
                <w:iCs/>
                <w:color w:val="000000"/>
                <w:sz w:val="20"/>
                <w:szCs w:val="20"/>
                <w:lang w:eastAsia="es-MX"/>
              </w:rPr>
              <w:t>Gratificación de fin de año</w:t>
            </w:r>
          </w:p>
        </w:tc>
        <w:tc>
          <w:tcPr>
            <w:tcW w:w="1973" w:type="dxa"/>
            <w:tcBorders>
              <w:top w:val="nil"/>
              <w:left w:val="nil"/>
              <w:bottom w:val="single" w:sz="8" w:space="0" w:color="auto"/>
              <w:right w:val="single" w:sz="8" w:space="0" w:color="auto"/>
            </w:tcBorders>
            <w:shd w:val="clear" w:color="auto" w:fill="auto"/>
            <w:vAlign w:val="center"/>
          </w:tcPr>
          <w:p w14:paraId="26C990C8" w14:textId="4EDB8080" w:rsidR="00CA19F0" w:rsidRPr="00DC37D6" w:rsidRDefault="00CA19F0" w:rsidP="00FD64B9">
            <w:pPr>
              <w:jc w:val="right"/>
              <w:rPr>
                <w:rFonts w:ascii="Barlow" w:hAnsi="Barlow" w:cs="Arial"/>
                <w:i/>
                <w:iCs/>
                <w:color w:val="000000"/>
                <w:sz w:val="20"/>
                <w:szCs w:val="20"/>
                <w:lang w:eastAsia="es-MX"/>
              </w:rPr>
            </w:pPr>
            <w:r w:rsidRPr="00DC37D6">
              <w:rPr>
                <w:rFonts w:ascii="Barlow" w:hAnsi="Barlow" w:cs="Arial"/>
                <w:i/>
                <w:iCs/>
                <w:color w:val="000000"/>
                <w:sz w:val="20"/>
                <w:szCs w:val="20"/>
                <w:lang w:eastAsia="es-MX"/>
              </w:rPr>
              <w:t>$</w:t>
            </w:r>
            <w:r w:rsidR="00FD64B9" w:rsidRPr="00DC37D6">
              <w:rPr>
                <w:rFonts w:ascii="Barlow" w:hAnsi="Barlow" w:cs="Arial"/>
                <w:i/>
                <w:iCs/>
                <w:color w:val="000000"/>
                <w:sz w:val="20"/>
                <w:szCs w:val="20"/>
                <w:lang w:eastAsia="es-MX"/>
              </w:rPr>
              <w:t>240</w:t>
            </w:r>
            <w:r w:rsidRPr="00DC37D6">
              <w:rPr>
                <w:rFonts w:ascii="Barlow" w:hAnsi="Barlow" w:cs="Arial"/>
                <w:i/>
                <w:iCs/>
                <w:color w:val="000000"/>
                <w:sz w:val="20"/>
                <w:szCs w:val="20"/>
                <w:lang w:eastAsia="es-MX"/>
              </w:rPr>
              <w:t>,</w:t>
            </w:r>
            <w:r w:rsidR="00FD64B9" w:rsidRPr="00DC37D6">
              <w:rPr>
                <w:rFonts w:ascii="Barlow" w:hAnsi="Barlow" w:cs="Arial"/>
                <w:i/>
                <w:iCs/>
                <w:color w:val="000000"/>
                <w:sz w:val="20"/>
                <w:szCs w:val="20"/>
                <w:lang w:eastAsia="es-MX"/>
              </w:rPr>
              <w:t>722</w:t>
            </w:r>
            <w:r w:rsidRPr="00DC37D6">
              <w:rPr>
                <w:rFonts w:ascii="Barlow" w:hAnsi="Barlow" w:cs="Arial"/>
                <w:i/>
                <w:iCs/>
                <w:color w:val="000000"/>
                <w:sz w:val="20"/>
                <w:szCs w:val="20"/>
                <w:lang w:eastAsia="es-MX"/>
              </w:rPr>
              <w:t>.</w:t>
            </w:r>
            <w:r w:rsidR="00FD64B9" w:rsidRPr="00DC37D6">
              <w:rPr>
                <w:rFonts w:ascii="Barlow" w:hAnsi="Barlow" w:cs="Arial"/>
                <w:i/>
                <w:iCs/>
                <w:color w:val="000000"/>
                <w:sz w:val="20"/>
                <w:szCs w:val="20"/>
                <w:lang w:eastAsia="es-MX"/>
              </w:rPr>
              <w:t>01</w:t>
            </w:r>
          </w:p>
        </w:tc>
      </w:tr>
      <w:tr w:rsidR="00D83C5A" w:rsidRPr="00DC37D6" w14:paraId="3092689A" w14:textId="77777777" w:rsidTr="000B4A0B">
        <w:trPr>
          <w:trHeight w:val="298"/>
          <w:jc w:val="center"/>
        </w:trPr>
        <w:tc>
          <w:tcPr>
            <w:tcW w:w="6525" w:type="dxa"/>
            <w:tcBorders>
              <w:top w:val="nil"/>
              <w:left w:val="single" w:sz="8" w:space="0" w:color="auto"/>
              <w:bottom w:val="single" w:sz="8" w:space="0" w:color="auto"/>
              <w:right w:val="single" w:sz="8" w:space="0" w:color="auto"/>
            </w:tcBorders>
            <w:shd w:val="clear" w:color="auto" w:fill="auto"/>
            <w:noWrap/>
            <w:vAlign w:val="center"/>
            <w:hideMark/>
          </w:tcPr>
          <w:p w14:paraId="6A68E5DE" w14:textId="77777777" w:rsidR="00D83C5A" w:rsidRPr="00DC37D6" w:rsidRDefault="00D83C5A" w:rsidP="00D83C5A">
            <w:pPr>
              <w:jc w:val="right"/>
              <w:rPr>
                <w:rFonts w:ascii="Barlow" w:hAnsi="Barlow" w:cs="Arial"/>
                <w:i/>
                <w:iCs/>
                <w:color w:val="000000"/>
                <w:sz w:val="20"/>
                <w:szCs w:val="20"/>
                <w:lang w:eastAsia="es-MX"/>
              </w:rPr>
            </w:pPr>
            <w:r w:rsidRPr="00DC37D6">
              <w:rPr>
                <w:rFonts w:ascii="Barlow" w:hAnsi="Barlow" w:cs="Arial"/>
                <w:i/>
                <w:iCs/>
                <w:color w:val="000000"/>
                <w:sz w:val="20"/>
                <w:szCs w:val="20"/>
                <w:lang w:eastAsia="es-MX"/>
              </w:rPr>
              <w:t>Cuotas de Seguridad Social por pagar</w:t>
            </w:r>
          </w:p>
        </w:tc>
        <w:tc>
          <w:tcPr>
            <w:tcW w:w="1973" w:type="dxa"/>
            <w:tcBorders>
              <w:top w:val="nil"/>
              <w:left w:val="nil"/>
              <w:bottom w:val="single" w:sz="8" w:space="0" w:color="auto"/>
              <w:right w:val="single" w:sz="8" w:space="0" w:color="auto"/>
            </w:tcBorders>
            <w:shd w:val="clear" w:color="auto" w:fill="auto"/>
            <w:vAlign w:val="center"/>
            <w:hideMark/>
          </w:tcPr>
          <w:p w14:paraId="55476FA1" w14:textId="2E992538" w:rsidR="00D83C5A" w:rsidRPr="00DC37D6" w:rsidRDefault="00D83C5A" w:rsidP="00FD64B9">
            <w:pPr>
              <w:jc w:val="right"/>
              <w:rPr>
                <w:rFonts w:ascii="Barlow" w:hAnsi="Barlow" w:cs="Arial"/>
                <w:i/>
                <w:iCs/>
                <w:color w:val="000000"/>
                <w:sz w:val="20"/>
                <w:szCs w:val="20"/>
                <w:lang w:eastAsia="es-MX"/>
              </w:rPr>
            </w:pPr>
            <w:r w:rsidRPr="00DC37D6">
              <w:rPr>
                <w:rFonts w:ascii="Barlow" w:hAnsi="Barlow" w:cs="Arial"/>
                <w:i/>
                <w:iCs/>
                <w:color w:val="000000"/>
                <w:sz w:val="20"/>
                <w:szCs w:val="20"/>
                <w:lang w:eastAsia="es-MX"/>
              </w:rPr>
              <w:t>$3</w:t>
            </w:r>
            <w:r w:rsidR="00D06D8B" w:rsidRPr="00DC37D6">
              <w:rPr>
                <w:rFonts w:ascii="Barlow" w:hAnsi="Barlow" w:cs="Arial"/>
                <w:i/>
                <w:iCs/>
                <w:color w:val="000000"/>
                <w:sz w:val="20"/>
                <w:szCs w:val="20"/>
                <w:lang w:eastAsia="es-MX"/>
              </w:rPr>
              <w:t>4</w:t>
            </w:r>
            <w:r w:rsidRPr="00DC37D6">
              <w:rPr>
                <w:rFonts w:ascii="Barlow" w:hAnsi="Barlow" w:cs="Arial"/>
                <w:i/>
                <w:iCs/>
                <w:color w:val="000000"/>
                <w:sz w:val="20"/>
                <w:szCs w:val="20"/>
                <w:lang w:eastAsia="es-MX"/>
              </w:rPr>
              <w:t>,</w:t>
            </w:r>
            <w:r w:rsidR="004656BE" w:rsidRPr="00DC37D6">
              <w:rPr>
                <w:rFonts w:ascii="Barlow" w:hAnsi="Barlow" w:cs="Arial"/>
                <w:i/>
                <w:iCs/>
                <w:color w:val="000000"/>
                <w:sz w:val="20"/>
                <w:szCs w:val="20"/>
                <w:lang w:eastAsia="es-MX"/>
              </w:rPr>
              <w:t>305</w:t>
            </w:r>
            <w:r w:rsidRPr="00DC37D6">
              <w:rPr>
                <w:rFonts w:ascii="Barlow" w:hAnsi="Barlow" w:cs="Arial"/>
                <w:i/>
                <w:iCs/>
                <w:color w:val="000000"/>
                <w:sz w:val="20"/>
                <w:szCs w:val="20"/>
                <w:lang w:eastAsia="es-MX"/>
              </w:rPr>
              <w:t>.</w:t>
            </w:r>
            <w:r w:rsidR="004656BE" w:rsidRPr="00DC37D6">
              <w:rPr>
                <w:rFonts w:ascii="Barlow" w:hAnsi="Barlow" w:cs="Arial"/>
                <w:i/>
                <w:iCs/>
                <w:color w:val="000000"/>
                <w:sz w:val="20"/>
                <w:szCs w:val="20"/>
                <w:lang w:eastAsia="es-MX"/>
              </w:rPr>
              <w:t>4</w:t>
            </w:r>
            <w:r w:rsidR="00FD64B9" w:rsidRPr="00DC37D6">
              <w:rPr>
                <w:rFonts w:ascii="Barlow" w:hAnsi="Barlow" w:cs="Arial"/>
                <w:i/>
                <w:iCs/>
                <w:color w:val="000000"/>
                <w:sz w:val="20"/>
                <w:szCs w:val="20"/>
                <w:lang w:eastAsia="es-MX"/>
              </w:rPr>
              <w:t>8</w:t>
            </w:r>
          </w:p>
        </w:tc>
      </w:tr>
      <w:tr w:rsidR="00D83C5A" w:rsidRPr="00DC37D6" w14:paraId="7230681F" w14:textId="77777777" w:rsidTr="000B4A0B">
        <w:trPr>
          <w:trHeight w:val="298"/>
          <w:jc w:val="center"/>
        </w:trPr>
        <w:tc>
          <w:tcPr>
            <w:tcW w:w="6525" w:type="dxa"/>
            <w:tcBorders>
              <w:top w:val="nil"/>
              <w:left w:val="single" w:sz="8" w:space="0" w:color="auto"/>
              <w:bottom w:val="single" w:sz="8" w:space="0" w:color="auto"/>
              <w:right w:val="single" w:sz="8" w:space="0" w:color="auto"/>
            </w:tcBorders>
            <w:shd w:val="clear" w:color="auto" w:fill="auto"/>
            <w:noWrap/>
            <w:vAlign w:val="center"/>
            <w:hideMark/>
          </w:tcPr>
          <w:p w14:paraId="7BC3B21C" w14:textId="77777777" w:rsidR="00D83C5A" w:rsidRPr="00DC37D6" w:rsidRDefault="00D83C5A" w:rsidP="00D83C5A">
            <w:pPr>
              <w:rPr>
                <w:rFonts w:ascii="Barlow" w:hAnsi="Barlow" w:cs="Arial"/>
                <w:b/>
                <w:bCs/>
                <w:color w:val="000000"/>
                <w:sz w:val="20"/>
                <w:szCs w:val="20"/>
                <w:lang w:eastAsia="es-MX"/>
              </w:rPr>
            </w:pPr>
            <w:r w:rsidRPr="00DC37D6">
              <w:rPr>
                <w:rFonts w:ascii="Barlow" w:hAnsi="Barlow" w:cs="Arial"/>
                <w:b/>
                <w:bCs/>
                <w:color w:val="000000"/>
                <w:sz w:val="20"/>
                <w:szCs w:val="20"/>
                <w:lang w:eastAsia="es-MX"/>
              </w:rPr>
              <w:t>Proveedores por Pagar a Corto Plazo</w:t>
            </w:r>
          </w:p>
        </w:tc>
        <w:tc>
          <w:tcPr>
            <w:tcW w:w="1973" w:type="dxa"/>
            <w:tcBorders>
              <w:top w:val="nil"/>
              <w:left w:val="nil"/>
              <w:bottom w:val="single" w:sz="8" w:space="0" w:color="auto"/>
              <w:right w:val="single" w:sz="8" w:space="0" w:color="auto"/>
            </w:tcBorders>
            <w:shd w:val="clear" w:color="auto" w:fill="auto"/>
            <w:vAlign w:val="center"/>
            <w:hideMark/>
          </w:tcPr>
          <w:p w14:paraId="1D94D808" w14:textId="4E8B138C" w:rsidR="00D83C5A" w:rsidRPr="00DC37D6" w:rsidRDefault="00D83C5A" w:rsidP="00FD64B9">
            <w:pPr>
              <w:jc w:val="right"/>
              <w:rPr>
                <w:rFonts w:ascii="Barlow" w:hAnsi="Barlow" w:cs="Arial"/>
                <w:b/>
                <w:bCs/>
                <w:color w:val="000000"/>
                <w:sz w:val="20"/>
                <w:szCs w:val="20"/>
                <w:lang w:eastAsia="es-MX"/>
              </w:rPr>
            </w:pPr>
            <w:r w:rsidRPr="00DC37D6">
              <w:rPr>
                <w:rFonts w:ascii="Barlow" w:hAnsi="Barlow" w:cs="Arial"/>
                <w:b/>
                <w:bCs/>
                <w:color w:val="000000"/>
                <w:sz w:val="20"/>
                <w:szCs w:val="20"/>
                <w:lang w:eastAsia="es-MX"/>
              </w:rPr>
              <w:t>$</w:t>
            </w:r>
            <w:r w:rsidR="00FD64B9" w:rsidRPr="00DC37D6">
              <w:rPr>
                <w:rFonts w:ascii="Barlow" w:hAnsi="Barlow" w:cs="Arial"/>
                <w:b/>
                <w:bCs/>
                <w:color w:val="000000"/>
                <w:sz w:val="20"/>
                <w:szCs w:val="20"/>
                <w:lang w:eastAsia="es-MX"/>
              </w:rPr>
              <w:t>7</w:t>
            </w:r>
            <w:r w:rsidR="001C3714" w:rsidRPr="00DC37D6">
              <w:rPr>
                <w:rFonts w:ascii="Barlow" w:hAnsi="Barlow" w:cs="Arial"/>
                <w:b/>
                <w:bCs/>
                <w:color w:val="000000"/>
                <w:sz w:val="20"/>
                <w:szCs w:val="20"/>
                <w:lang w:eastAsia="es-MX"/>
              </w:rPr>
              <w:t>,</w:t>
            </w:r>
            <w:r w:rsidR="00FD64B9" w:rsidRPr="00DC37D6">
              <w:rPr>
                <w:rFonts w:ascii="Barlow" w:hAnsi="Barlow" w:cs="Arial"/>
                <w:b/>
                <w:bCs/>
                <w:color w:val="000000"/>
                <w:sz w:val="20"/>
                <w:szCs w:val="20"/>
                <w:lang w:eastAsia="es-MX"/>
              </w:rPr>
              <w:t>793</w:t>
            </w:r>
            <w:r w:rsidR="00087F91" w:rsidRPr="00DC37D6">
              <w:rPr>
                <w:rFonts w:ascii="Barlow" w:hAnsi="Barlow" w:cs="Arial"/>
                <w:b/>
                <w:bCs/>
                <w:color w:val="000000"/>
                <w:sz w:val="20"/>
                <w:szCs w:val="20"/>
                <w:lang w:eastAsia="es-MX"/>
              </w:rPr>
              <w:t>.</w:t>
            </w:r>
            <w:r w:rsidR="00FD64B9" w:rsidRPr="00DC37D6">
              <w:rPr>
                <w:rFonts w:ascii="Barlow" w:hAnsi="Barlow" w:cs="Arial"/>
                <w:b/>
                <w:bCs/>
                <w:color w:val="000000"/>
                <w:sz w:val="20"/>
                <w:szCs w:val="20"/>
                <w:lang w:eastAsia="es-MX"/>
              </w:rPr>
              <w:t>94</w:t>
            </w:r>
          </w:p>
        </w:tc>
      </w:tr>
      <w:tr w:rsidR="00D83C5A" w:rsidRPr="00DC37D6" w14:paraId="6A625DDF" w14:textId="77777777" w:rsidTr="000B4A0B">
        <w:trPr>
          <w:trHeight w:val="298"/>
          <w:jc w:val="center"/>
        </w:trPr>
        <w:tc>
          <w:tcPr>
            <w:tcW w:w="6525" w:type="dxa"/>
            <w:tcBorders>
              <w:top w:val="nil"/>
              <w:left w:val="single" w:sz="8" w:space="0" w:color="auto"/>
              <w:bottom w:val="single" w:sz="8" w:space="0" w:color="auto"/>
              <w:right w:val="single" w:sz="8" w:space="0" w:color="auto"/>
            </w:tcBorders>
            <w:shd w:val="clear" w:color="auto" w:fill="auto"/>
            <w:noWrap/>
            <w:vAlign w:val="center"/>
            <w:hideMark/>
          </w:tcPr>
          <w:p w14:paraId="46175676" w14:textId="77777777" w:rsidR="00D83C5A" w:rsidRPr="00DC37D6" w:rsidRDefault="00D83C5A" w:rsidP="00D83C5A">
            <w:pPr>
              <w:jc w:val="right"/>
              <w:rPr>
                <w:rFonts w:ascii="Barlow" w:hAnsi="Barlow" w:cs="Arial"/>
                <w:i/>
                <w:iCs/>
                <w:color w:val="000000"/>
                <w:sz w:val="20"/>
                <w:szCs w:val="20"/>
                <w:lang w:eastAsia="es-MX"/>
              </w:rPr>
            </w:pPr>
            <w:r w:rsidRPr="00DC37D6">
              <w:rPr>
                <w:rFonts w:ascii="Barlow" w:hAnsi="Barlow" w:cs="Arial"/>
                <w:bCs/>
                <w:i/>
                <w:iCs/>
                <w:color w:val="000000"/>
                <w:sz w:val="20"/>
                <w:szCs w:val="20"/>
                <w:lang w:eastAsia="es-MX"/>
              </w:rPr>
              <w:t>AT&amp;T Comercialización Móvil, S. de R.L. de C.V.</w:t>
            </w:r>
          </w:p>
        </w:tc>
        <w:tc>
          <w:tcPr>
            <w:tcW w:w="1973" w:type="dxa"/>
            <w:tcBorders>
              <w:top w:val="nil"/>
              <w:left w:val="nil"/>
              <w:bottom w:val="single" w:sz="8" w:space="0" w:color="auto"/>
              <w:right w:val="single" w:sz="8" w:space="0" w:color="auto"/>
            </w:tcBorders>
            <w:shd w:val="clear" w:color="auto" w:fill="auto"/>
            <w:vAlign w:val="center"/>
            <w:hideMark/>
          </w:tcPr>
          <w:p w14:paraId="085CC79C" w14:textId="77777777" w:rsidR="00D83C5A" w:rsidRPr="00DC37D6" w:rsidRDefault="00D83C5A" w:rsidP="00D83C5A">
            <w:pPr>
              <w:jc w:val="right"/>
              <w:rPr>
                <w:rFonts w:ascii="Barlow" w:hAnsi="Barlow" w:cs="Arial"/>
                <w:i/>
                <w:iCs/>
                <w:color w:val="000000"/>
                <w:sz w:val="20"/>
                <w:szCs w:val="20"/>
                <w:lang w:eastAsia="es-MX"/>
              </w:rPr>
            </w:pPr>
            <w:r w:rsidRPr="00DC37D6">
              <w:rPr>
                <w:rFonts w:ascii="Barlow" w:hAnsi="Barlow" w:cs="Arial"/>
                <w:bCs/>
                <w:i/>
                <w:iCs/>
                <w:color w:val="000000"/>
                <w:sz w:val="20"/>
                <w:szCs w:val="20"/>
                <w:lang w:eastAsia="es-MX"/>
              </w:rPr>
              <w:t>$1,318.00</w:t>
            </w:r>
          </w:p>
        </w:tc>
      </w:tr>
      <w:tr w:rsidR="00CA19F0" w:rsidRPr="00DC37D6" w14:paraId="087525F8" w14:textId="77777777" w:rsidTr="000B4A0B">
        <w:trPr>
          <w:trHeight w:val="298"/>
          <w:jc w:val="center"/>
        </w:trPr>
        <w:tc>
          <w:tcPr>
            <w:tcW w:w="6525" w:type="dxa"/>
            <w:tcBorders>
              <w:top w:val="nil"/>
              <w:left w:val="single" w:sz="8" w:space="0" w:color="auto"/>
              <w:bottom w:val="single" w:sz="8" w:space="0" w:color="auto"/>
              <w:right w:val="single" w:sz="8" w:space="0" w:color="auto"/>
            </w:tcBorders>
            <w:shd w:val="clear" w:color="auto" w:fill="auto"/>
            <w:noWrap/>
            <w:vAlign w:val="center"/>
          </w:tcPr>
          <w:p w14:paraId="70427240" w14:textId="1DEB5EE6" w:rsidR="00CA19F0" w:rsidRPr="00DC37D6" w:rsidRDefault="00FD64B9" w:rsidP="00FD64B9">
            <w:pPr>
              <w:jc w:val="right"/>
              <w:rPr>
                <w:rFonts w:ascii="Barlow" w:hAnsi="Barlow" w:cs="Arial"/>
                <w:bCs/>
                <w:i/>
                <w:iCs/>
                <w:color w:val="000000"/>
                <w:sz w:val="20"/>
                <w:szCs w:val="20"/>
                <w:lang w:eastAsia="es-MX"/>
              </w:rPr>
            </w:pPr>
            <w:r w:rsidRPr="00DC37D6">
              <w:rPr>
                <w:rFonts w:ascii="Barlow" w:hAnsi="Barlow" w:cs="Arial"/>
                <w:bCs/>
                <w:i/>
                <w:iCs/>
                <w:color w:val="000000"/>
                <w:sz w:val="20"/>
                <w:szCs w:val="20"/>
                <w:lang w:eastAsia="es-MX"/>
              </w:rPr>
              <w:t>José Rolando Bejar Herrera</w:t>
            </w:r>
          </w:p>
        </w:tc>
        <w:tc>
          <w:tcPr>
            <w:tcW w:w="1973" w:type="dxa"/>
            <w:tcBorders>
              <w:top w:val="nil"/>
              <w:left w:val="nil"/>
              <w:bottom w:val="single" w:sz="8" w:space="0" w:color="auto"/>
              <w:right w:val="single" w:sz="8" w:space="0" w:color="auto"/>
            </w:tcBorders>
            <w:shd w:val="clear" w:color="auto" w:fill="auto"/>
            <w:vAlign w:val="center"/>
          </w:tcPr>
          <w:p w14:paraId="4025E2A8" w14:textId="17BFEAA2" w:rsidR="00CA19F0" w:rsidRPr="00DC37D6" w:rsidRDefault="00CA19F0" w:rsidP="00FD64B9">
            <w:pPr>
              <w:jc w:val="right"/>
              <w:rPr>
                <w:rFonts w:ascii="Barlow" w:hAnsi="Barlow" w:cs="Arial"/>
                <w:bCs/>
                <w:i/>
                <w:iCs/>
                <w:color w:val="000000"/>
                <w:sz w:val="20"/>
                <w:szCs w:val="20"/>
                <w:lang w:eastAsia="es-MX"/>
              </w:rPr>
            </w:pPr>
            <w:r w:rsidRPr="00DC37D6">
              <w:rPr>
                <w:rFonts w:ascii="Barlow" w:hAnsi="Barlow" w:cs="Arial"/>
                <w:bCs/>
                <w:i/>
                <w:iCs/>
                <w:color w:val="000000"/>
                <w:sz w:val="20"/>
                <w:szCs w:val="20"/>
                <w:lang w:eastAsia="es-MX"/>
              </w:rPr>
              <w:t>$</w:t>
            </w:r>
            <w:r w:rsidR="00FD64B9" w:rsidRPr="00DC37D6">
              <w:rPr>
                <w:rFonts w:ascii="Barlow" w:hAnsi="Barlow" w:cs="Arial"/>
                <w:bCs/>
                <w:i/>
                <w:iCs/>
                <w:color w:val="000000"/>
                <w:sz w:val="20"/>
                <w:szCs w:val="20"/>
                <w:lang w:eastAsia="es-MX"/>
              </w:rPr>
              <w:t>6</w:t>
            </w:r>
            <w:r w:rsidRPr="00DC37D6">
              <w:rPr>
                <w:rFonts w:ascii="Barlow" w:hAnsi="Barlow" w:cs="Arial"/>
                <w:bCs/>
                <w:i/>
                <w:iCs/>
                <w:color w:val="000000"/>
                <w:sz w:val="20"/>
                <w:szCs w:val="20"/>
                <w:lang w:eastAsia="es-MX"/>
              </w:rPr>
              <w:t>,</w:t>
            </w:r>
            <w:r w:rsidR="00FD64B9" w:rsidRPr="00DC37D6">
              <w:rPr>
                <w:rFonts w:ascii="Barlow" w:hAnsi="Barlow" w:cs="Arial"/>
                <w:bCs/>
                <w:i/>
                <w:iCs/>
                <w:color w:val="000000"/>
                <w:sz w:val="20"/>
                <w:szCs w:val="20"/>
                <w:lang w:eastAsia="es-MX"/>
              </w:rPr>
              <w:t>475</w:t>
            </w:r>
            <w:r w:rsidRPr="00DC37D6">
              <w:rPr>
                <w:rFonts w:ascii="Barlow" w:hAnsi="Barlow" w:cs="Arial"/>
                <w:bCs/>
                <w:i/>
                <w:iCs/>
                <w:color w:val="000000"/>
                <w:sz w:val="20"/>
                <w:szCs w:val="20"/>
                <w:lang w:eastAsia="es-MX"/>
              </w:rPr>
              <w:t>.</w:t>
            </w:r>
            <w:r w:rsidR="00FD64B9" w:rsidRPr="00DC37D6">
              <w:rPr>
                <w:rFonts w:ascii="Barlow" w:hAnsi="Barlow" w:cs="Arial"/>
                <w:bCs/>
                <w:i/>
                <w:iCs/>
                <w:color w:val="000000"/>
                <w:sz w:val="20"/>
                <w:szCs w:val="20"/>
                <w:lang w:eastAsia="es-MX"/>
              </w:rPr>
              <w:t>94</w:t>
            </w:r>
          </w:p>
        </w:tc>
      </w:tr>
      <w:tr w:rsidR="00D83C5A" w:rsidRPr="00DC37D6" w14:paraId="071A7056" w14:textId="77777777" w:rsidTr="000B4A0B">
        <w:trPr>
          <w:trHeight w:val="298"/>
          <w:jc w:val="center"/>
        </w:trPr>
        <w:tc>
          <w:tcPr>
            <w:tcW w:w="6525" w:type="dxa"/>
            <w:tcBorders>
              <w:top w:val="nil"/>
              <w:left w:val="single" w:sz="8" w:space="0" w:color="auto"/>
              <w:bottom w:val="single" w:sz="8" w:space="0" w:color="auto"/>
              <w:right w:val="single" w:sz="8" w:space="0" w:color="auto"/>
            </w:tcBorders>
            <w:shd w:val="clear" w:color="auto" w:fill="auto"/>
            <w:noWrap/>
            <w:vAlign w:val="center"/>
            <w:hideMark/>
          </w:tcPr>
          <w:p w14:paraId="25FDF973" w14:textId="77777777" w:rsidR="00D83C5A" w:rsidRPr="00DC37D6" w:rsidRDefault="00D83C5A" w:rsidP="00D83C5A">
            <w:pPr>
              <w:rPr>
                <w:rFonts w:ascii="Barlow" w:hAnsi="Barlow" w:cs="Arial"/>
                <w:b/>
                <w:bCs/>
                <w:color w:val="000000"/>
                <w:sz w:val="20"/>
                <w:szCs w:val="20"/>
                <w:lang w:eastAsia="es-MX"/>
              </w:rPr>
            </w:pPr>
            <w:r w:rsidRPr="00DC37D6">
              <w:rPr>
                <w:rFonts w:ascii="Barlow" w:hAnsi="Barlow" w:cs="Arial"/>
                <w:b/>
                <w:bCs/>
                <w:color w:val="000000"/>
                <w:sz w:val="20"/>
                <w:szCs w:val="20"/>
                <w:lang w:eastAsia="es-MX"/>
              </w:rPr>
              <w:t xml:space="preserve">Retenciones y Contribuciones por Pagar a Corto Plazo </w:t>
            </w:r>
          </w:p>
        </w:tc>
        <w:tc>
          <w:tcPr>
            <w:tcW w:w="1973" w:type="dxa"/>
            <w:tcBorders>
              <w:top w:val="nil"/>
              <w:left w:val="nil"/>
              <w:bottom w:val="single" w:sz="8" w:space="0" w:color="auto"/>
              <w:right w:val="single" w:sz="8" w:space="0" w:color="auto"/>
            </w:tcBorders>
            <w:shd w:val="clear" w:color="auto" w:fill="auto"/>
            <w:vAlign w:val="center"/>
            <w:hideMark/>
          </w:tcPr>
          <w:p w14:paraId="1B5781C7" w14:textId="2413ABA5" w:rsidR="00D83C5A" w:rsidRPr="00DC37D6" w:rsidRDefault="00D83C5A" w:rsidP="00E8328A">
            <w:pPr>
              <w:jc w:val="right"/>
              <w:rPr>
                <w:rFonts w:ascii="Barlow" w:hAnsi="Barlow" w:cs="Arial"/>
                <w:b/>
                <w:bCs/>
                <w:color w:val="000000"/>
                <w:sz w:val="20"/>
                <w:szCs w:val="20"/>
                <w:lang w:eastAsia="es-MX"/>
              </w:rPr>
            </w:pPr>
            <w:r w:rsidRPr="00DC37D6">
              <w:rPr>
                <w:rFonts w:ascii="Barlow" w:hAnsi="Barlow" w:cs="Arial"/>
                <w:b/>
                <w:bCs/>
                <w:color w:val="000000"/>
                <w:sz w:val="20"/>
                <w:szCs w:val="20"/>
                <w:lang w:eastAsia="es-MX"/>
              </w:rPr>
              <w:t>$</w:t>
            </w:r>
            <w:r w:rsidR="00543DE1" w:rsidRPr="00DC37D6">
              <w:rPr>
                <w:rFonts w:ascii="Barlow" w:hAnsi="Barlow" w:cs="Arial"/>
                <w:b/>
                <w:bCs/>
                <w:color w:val="000000"/>
                <w:sz w:val="20"/>
                <w:szCs w:val="20"/>
                <w:lang w:eastAsia="es-MX"/>
              </w:rPr>
              <w:t>193</w:t>
            </w:r>
            <w:r w:rsidRPr="00DC37D6">
              <w:rPr>
                <w:rFonts w:ascii="Barlow" w:hAnsi="Barlow" w:cs="Arial"/>
                <w:b/>
                <w:bCs/>
                <w:color w:val="000000"/>
                <w:sz w:val="20"/>
                <w:szCs w:val="20"/>
                <w:lang w:eastAsia="es-MX"/>
              </w:rPr>
              <w:t>,</w:t>
            </w:r>
            <w:r w:rsidR="00543DE1" w:rsidRPr="00DC37D6">
              <w:rPr>
                <w:rFonts w:ascii="Barlow" w:hAnsi="Barlow" w:cs="Arial"/>
                <w:b/>
                <w:bCs/>
                <w:color w:val="000000"/>
                <w:sz w:val="20"/>
                <w:szCs w:val="20"/>
                <w:lang w:eastAsia="es-MX"/>
              </w:rPr>
              <w:t>7</w:t>
            </w:r>
            <w:r w:rsidR="00E8328A" w:rsidRPr="00DC37D6">
              <w:rPr>
                <w:rFonts w:ascii="Barlow" w:hAnsi="Barlow" w:cs="Arial"/>
                <w:b/>
                <w:bCs/>
                <w:color w:val="000000"/>
                <w:sz w:val="20"/>
                <w:szCs w:val="20"/>
                <w:lang w:eastAsia="es-MX"/>
              </w:rPr>
              <w:t>92</w:t>
            </w:r>
            <w:r w:rsidRPr="00DC37D6">
              <w:rPr>
                <w:rFonts w:ascii="Barlow" w:hAnsi="Barlow" w:cs="Arial"/>
                <w:b/>
                <w:bCs/>
                <w:color w:val="000000"/>
                <w:sz w:val="20"/>
                <w:szCs w:val="20"/>
                <w:lang w:eastAsia="es-MX"/>
              </w:rPr>
              <w:t>.</w:t>
            </w:r>
            <w:r w:rsidR="00E8328A" w:rsidRPr="00DC37D6">
              <w:rPr>
                <w:rFonts w:ascii="Barlow" w:hAnsi="Barlow" w:cs="Arial"/>
                <w:b/>
                <w:bCs/>
                <w:color w:val="000000"/>
                <w:sz w:val="20"/>
                <w:szCs w:val="20"/>
                <w:lang w:eastAsia="es-MX"/>
              </w:rPr>
              <w:t>14</w:t>
            </w:r>
          </w:p>
        </w:tc>
      </w:tr>
      <w:tr w:rsidR="00D83C5A" w:rsidRPr="00DC37D6" w14:paraId="102EC627" w14:textId="77777777" w:rsidTr="000B4A0B">
        <w:trPr>
          <w:trHeight w:val="298"/>
          <w:jc w:val="center"/>
        </w:trPr>
        <w:tc>
          <w:tcPr>
            <w:tcW w:w="6525" w:type="dxa"/>
            <w:tcBorders>
              <w:top w:val="nil"/>
              <w:left w:val="single" w:sz="8" w:space="0" w:color="auto"/>
              <w:bottom w:val="single" w:sz="8" w:space="0" w:color="auto"/>
              <w:right w:val="single" w:sz="8" w:space="0" w:color="auto"/>
            </w:tcBorders>
            <w:shd w:val="clear" w:color="auto" w:fill="auto"/>
            <w:noWrap/>
            <w:vAlign w:val="center"/>
            <w:hideMark/>
          </w:tcPr>
          <w:p w14:paraId="1C5439D5" w14:textId="77777777" w:rsidR="00D83C5A" w:rsidRPr="00DC37D6" w:rsidRDefault="00D83C5A" w:rsidP="00D83C5A">
            <w:pPr>
              <w:jc w:val="right"/>
              <w:rPr>
                <w:rFonts w:ascii="Barlow" w:hAnsi="Barlow" w:cs="Arial"/>
                <w:i/>
                <w:iCs/>
                <w:color w:val="000000"/>
                <w:sz w:val="20"/>
                <w:szCs w:val="20"/>
                <w:lang w:eastAsia="es-MX"/>
              </w:rPr>
            </w:pPr>
            <w:r w:rsidRPr="00DC37D6">
              <w:rPr>
                <w:rFonts w:ascii="Barlow" w:hAnsi="Barlow" w:cs="Arial"/>
                <w:i/>
                <w:iCs/>
                <w:color w:val="000000"/>
                <w:sz w:val="20"/>
                <w:szCs w:val="20"/>
                <w:lang w:eastAsia="es-MX"/>
              </w:rPr>
              <w:t>10% ISR por Arrendamiento</w:t>
            </w:r>
          </w:p>
        </w:tc>
        <w:tc>
          <w:tcPr>
            <w:tcW w:w="1973" w:type="dxa"/>
            <w:tcBorders>
              <w:top w:val="nil"/>
              <w:left w:val="nil"/>
              <w:bottom w:val="single" w:sz="8" w:space="0" w:color="auto"/>
              <w:right w:val="single" w:sz="8" w:space="0" w:color="auto"/>
            </w:tcBorders>
            <w:shd w:val="clear" w:color="auto" w:fill="auto"/>
            <w:vAlign w:val="center"/>
            <w:hideMark/>
          </w:tcPr>
          <w:p w14:paraId="663B68C2" w14:textId="66B8E174" w:rsidR="00D83C5A" w:rsidRPr="00DC37D6" w:rsidRDefault="00D83C5A" w:rsidP="00E8328A">
            <w:pPr>
              <w:jc w:val="right"/>
              <w:rPr>
                <w:rFonts w:ascii="Barlow" w:hAnsi="Barlow" w:cs="Arial"/>
                <w:i/>
                <w:iCs/>
                <w:color w:val="000000"/>
                <w:sz w:val="20"/>
                <w:szCs w:val="20"/>
                <w:lang w:eastAsia="es-MX"/>
              </w:rPr>
            </w:pPr>
            <w:bookmarkStart w:id="8" w:name="RANGE!D11"/>
            <w:r w:rsidRPr="00DC37D6">
              <w:rPr>
                <w:rFonts w:ascii="Barlow" w:hAnsi="Barlow" w:cs="Arial"/>
                <w:i/>
                <w:iCs/>
                <w:color w:val="000000"/>
                <w:sz w:val="20"/>
                <w:szCs w:val="20"/>
                <w:lang w:eastAsia="es-MX"/>
              </w:rPr>
              <w:t>$</w:t>
            </w:r>
            <w:r w:rsidR="009C4DD8" w:rsidRPr="00DC37D6">
              <w:rPr>
                <w:rFonts w:ascii="Barlow" w:hAnsi="Barlow" w:cs="Arial"/>
                <w:i/>
                <w:iCs/>
                <w:color w:val="000000"/>
                <w:sz w:val="20"/>
                <w:szCs w:val="20"/>
                <w:lang w:eastAsia="es-MX"/>
              </w:rPr>
              <w:t>5</w:t>
            </w:r>
            <w:r w:rsidRPr="00DC37D6">
              <w:rPr>
                <w:rFonts w:ascii="Barlow" w:hAnsi="Barlow" w:cs="Arial"/>
                <w:i/>
                <w:iCs/>
                <w:color w:val="000000"/>
                <w:sz w:val="20"/>
                <w:szCs w:val="20"/>
                <w:lang w:eastAsia="es-MX"/>
              </w:rPr>
              <w:t>,</w:t>
            </w:r>
            <w:r w:rsidR="009C4DD8" w:rsidRPr="00DC37D6">
              <w:rPr>
                <w:rFonts w:ascii="Barlow" w:hAnsi="Barlow" w:cs="Arial"/>
                <w:i/>
                <w:iCs/>
                <w:color w:val="000000"/>
                <w:sz w:val="20"/>
                <w:szCs w:val="20"/>
                <w:lang w:eastAsia="es-MX"/>
              </w:rPr>
              <w:t>29</w:t>
            </w:r>
            <w:r w:rsidR="00B137C5" w:rsidRPr="00DC37D6">
              <w:rPr>
                <w:rFonts w:ascii="Barlow" w:hAnsi="Barlow" w:cs="Arial"/>
                <w:i/>
                <w:iCs/>
                <w:color w:val="000000"/>
                <w:sz w:val="20"/>
                <w:szCs w:val="20"/>
                <w:lang w:eastAsia="es-MX"/>
              </w:rPr>
              <w:t>0</w:t>
            </w:r>
            <w:r w:rsidRPr="00DC37D6">
              <w:rPr>
                <w:rFonts w:ascii="Barlow" w:hAnsi="Barlow" w:cs="Arial"/>
                <w:i/>
                <w:iCs/>
                <w:color w:val="000000"/>
                <w:sz w:val="20"/>
                <w:szCs w:val="20"/>
                <w:lang w:eastAsia="es-MX"/>
              </w:rPr>
              <w:t>.</w:t>
            </w:r>
            <w:bookmarkEnd w:id="8"/>
            <w:r w:rsidR="00E8328A" w:rsidRPr="00DC37D6">
              <w:rPr>
                <w:rFonts w:ascii="Barlow" w:hAnsi="Barlow" w:cs="Arial"/>
                <w:i/>
                <w:iCs/>
                <w:color w:val="000000"/>
                <w:sz w:val="20"/>
                <w:szCs w:val="20"/>
                <w:lang w:eastAsia="es-MX"/>
              </w:rPr>
              <w:t>27</w:t>
            </w:r>
          </w:p>
        </w:tc>
      </w:tr>
      <w:tr w:rsidR="00D83C5A" w:rsidRPr="00DC37D6" w14:paraId="1FAB9985" w14:textId="77777777" w:rsidTr="000B4A0B">
        <w:trPr>
          <w:trHeight w:val="298"/>
          <w:jc w:val="center"/>
        </w:trPr>
        <w:tc>
          <w:tcPr>
            <w:tcW w:w="6525" w:type="dxa"/>
            <w:tcBorders>
              <w:top w:val="nil"/>
              <w:left w:val="single" w:sz="8" w:space="0" w:color="auto"/>
              <w:bottom w:val="single" w:sz="8" w:space="0" w:color="auto"/>
              <w:right w:val="single" w:sz="8" w:space="0" w:color="auto"/>
            </w:tcBorders>
            <w:shd w:val="clear" w:color="auto" w:fill="auto"/>
            <w:noWrap/>
            <w:vAlign w:val="center"/>
            <w:hideMark/>
          </w:tcPr>
          <w:p w14:paraId="6D747A51" w14:textId="77777777" w:rsidR="00D83C5A" w:rsidRPr="00DC37D6" w:rsidRDefault="00D83C5A" w:rsidP="00D83C5A">
            <w:pPr>
              <w:jc w:val="right"/>
              <w:rPr>
                <w:rFonts w:ascii="Barlow" w:hAnsi="Barlow" w:cs="Arial"/>
                <w:i/>
                <w:iCs/>
                <w:color w:val="000000"/>
                <w:sz w:val="20"/>
                <w:szCs w:val="20"/>
                <w:lang w:eastAsia="es-MX"/>
              </w:rPr>
            </w:pPr>
            <w:r w:rsidRPr="00DC37D6">
              <w:rPr>
                <w:rFonts w:ascii="Barlow" w:hAnsi="Barlow" w:cs="Arial"/>
                <w:i/>
                <w:iCs/>
                <w:color w:val="000000"/>
                <w:sz w:val="20"/>
                <w:szCs w:val="20"/>
                <w:lang w:eastAsia="es-MX"/>
              </w:rPr>
              <w:t>ISR por Salarios</w:t>
            </w:r>
          </w:p>
        </w:tc>
        <w:tc>
          <w:tcPr>
            <w:tcW w:w="1973" w:type="dxa"/>
            <w:tcBorders>
              <w:top w:val="nil"/>
              <w:left w:val="nil"/>
              <w:bottom w:val="single" w:sz="8" w:space="0" w:color="auto"/>
              <w:right w:val="single" w:sz="8" w:space="0" w:color="auto"/>
            </w:tcBorders>
            <w:shd w:val="clear" w:color="auto" w:fill="auto"/>
            <w:vAlign w:val="center"/>
            <w:hideMark/>
          </w:tcPr>
          <w:p w14:paraId="28855F73" w14:textId="0844077C" w:rsidR="00D83C5A" w:rsidRPr="00DC37D6" w:rsidRDefault="00D83C5A" w:rsidP="00E8328A">
            <w:pPr>
              <w:jc w:val="right"/>
              <w:rPr>
                <w:rFonts w:ascii="Barlow" w:hAnsi="Barlow" w:cs="Arial"/>
                <w:i/>
                <w:iCs/>
                <w:color w:val="000000"/>
                <w:sz w:val="20"/>
                <w:szCs w:val="20"/>
                <w:lang w:eastAsia="es-MX"/>
              </w:rPr>
            </w:pPr>
            <w:r w:rsidRPr="00DC37D6">
              <w:rPr>
                <w:rFonts w:ascii="Barlow" w:hAnsi="Barlow" w:cs="Arial"/>
                <w:i/>
                <w:iCs/>
                <w:color w:val="000000"/>
                <w:sz w:val="20"/>
                <w:szCs w:val="20"/>
                <w:lang w:eastAsia="es-MX"/>
              </w:rPr>
              <w:t>$</w:t>
            </w:r>
            <w:r w:rsidR="00B137C5" w:rsidRPr="00DC37D6">
              <w:rPr>
                <w:rFonts w:ascii="Barlow" w:hAnsi="Barlow" w:cs="Arial"/>
                <w:i/>
                <w:iCs/>
                <w:color w:val="000000"/>
                <w:sz w:val="20"/>
                <w:szCs w:val="20"/>
                <w:lang w:eastAsia="es-MX"/>
              </w:rPr>
              <w:t>87</w:t>
            </w:r>
            <w:r w:rsidRPr="00DC37D6">
              <w:rPr>
                <w:rFonts w:ascii="Barlow" w:hAnsi="Barlow" w:cs="Arial"/>
                <w:i/>
                <w:iCs/>
                <w:color w:val="000000"/>
                <w:sz w:val="20"/>
                <w:szCs w:val="20"/>
                <w:lang w:eastAsia="es-MX"/>
              </w:rPr>
              <w:t>,</w:t>
            </w:r>
            <w:r w:rsidR="00B137C5" w:rsidRPr="00DC37D6">
              <w:rPr>
                <w:rFonts w:ascii="Barlow" w:hAnsi="Barlow" w:cs="Arial"/>
                <w:i/>
                <w:iCs/>
                <w:color w:val="000000"/>
                <w:sz w:val="20"/>
                <w:szCs w:val="20"/>
                <w:lang w:eastAsia="es-MX"/>
              </w:rPr>
              <w:t>059</w:t>
            </w:r>
            <w:r w:rsidR="002D3C95" w:rsidRPr="00DC37D6">
              <w:rPr>
                <w:rFonts w:ascii="Barlow" w:hAnsi="Barlow" w:cs="Arial"/>
                <w:i/>
                <w:iCs/>
                <w:color w:val="000000"/>
                <w:sz w:val="20"/>
                <w:szCs w:val="20"/>
                <w:lang w:eastAsia="es-MX"/>
              </w:rPr>
              <w:t>.</w:t>
            </w:r>
            <w:r w:rsidR="00E8328A" w:rsidRPr="00DC37D6">
              <w:rPr>
                <w:rFonts w:ascii="Barlow" w:hAnsi="Barlow" w:cs="Arial"/>
                <w:i/>
                <w:iCs/>
                <w:color w:val="000000"/>
                <w:sz w:val="20"/>
                <w:szCs w:val="20"/>
                <w:lang w:eastAsia="es-MX"/>
              </w:rPr>
              <w:t>20</w:t>
            </w:r>
          </w:p>
        </w:tc>
      </w:tr>
      <w:tr w:rsidR="00D83C5A" w:rsidRPr="00DC37D6" w14:paraId="5D90691E" w14:textId="77777777" w:rsidTr="000B4A0B">
        <w:trPr>
          <w:trHeight w:val="298"/>
          <w:jc w:val="center"/>
        </w:trPr>
        <w:tc>
          <w:tcPr>
            <w:tcW w:w="6525" w:type="dxa"/>
            <w:tcBorders>
              <w:top w:val="nil"/>
              <w:left w:val="single" w:sz="8" w:space="0" w:color="auto"/>
              <w:bottom w:val="single" w:sz="8" w:space="0" w:color="auto"/>
              <w:right w:val="single" w:sz="8" w:space="0" w:color="auto"/>
            </w:tcBorders>
            <w:shd w:val="clear" w:color="auto" w:fill="auto"/>
            <w:noWrap/>
            <w:vAlign w:val="center"/>
            <w:hideMark/>
          </w:tcPr>
          <w:p w14:paraId="152D3585" w14:textId="77777777" w:rsidR="00D83C5A" w:rsidRPr="00DC37D6" w:rsidRDefault="00D83C5A" w:rsidP="00D83C5A">
            <w:pPr>
              <w:jc w:val="right"/>
              <w:rPr>
                <w:rFonts w:ascii="Barlow" w:hAnsi="Barlow" w:cs="Arial"/>
                <w:i/>
                <w:iCs/>
                <w:color w:val="000000"/>
                <w:sz w:val="20"/>
                <w:szCs w:val="20"/>
                <w:lang w:eastAsia="es-MX"/>
              </w:rPr>
            </w:pPr>
            <w:r w:rsidRPr="00DC37D6">
              <w:rPr>
                <w:rFonts w:ascii="Barlow" w:hAnsi="Barlow" w:cs="Arial"/>
                <w:i/>
                <w:iCs/>
                <w:color w:val="000000"/>
                <w:sz w:val="20"/>
                <w:szCs w:val="20"/>
                <w:lang w:eastAsia="es-MX"/>
              </w:rPr>
              <w:t>ISR Asimilables a Salarios</w:t>
            </w:r>
          </w:p>
        </w:tc>
        <w:tc>
          <w:tcPr>
            <w:tcW w:w="1973" w:type="dxa"/>
            <w:tcBorders>
              <w:top w:val="nil"/>
              <w:left w:val="nil"/>
              <w:bottom w:val="single" w:sz="8" w:space="0" w:color="auto"/>
              <w:right w:val="single" w:sz="8" w:space="0" w:color="auto"/>
            </w:tcBorders>
            <w:shd w:val="clear" w:color="auto" w:fill="auto"/>
            <w:vAlign w:val="center"/>
            <w:hideMark/>
          </w:tcPr>
          <w:p w14:paraId="026AFD9F" w14:textId="384B6F4A" w:rsidR="00D83C5A" w:rsidRPr="00DC37D6" w:rsidRDefault="00D83C5A" w:rsidP="009C4DD8">
            <w:pPr>
              <w:jc w:val="right"/>
              <w:rPr>
                <w:rFonts w:ascii="Barlow" w:hAnsi="Barlow" w:cs="Arial"/>
                <w:i/>
                <w:iCs/>
                <w:color w:val="000000"/>
                <w:sz w:val="20"/>
                <w:szCs w:val="20"/>
                <w:lang w:eastAsia="es-MX"/>
              </w:rPr>
            </w:pPr>
            <w:r w:rsidRPr="00DC37D6">
              <w:rPr>
                <w:rFonts w:ascii="Barlow" w:hAnsi="Barlow" w:cs="Arial"/>
                <w:i/>
                <w:iCs/>
                <w:color w:val="000000"/>
                <w:sz w:val="20"/>
                <w:szCs w:val="20"/>
                <w:lang w:eastAsia="es-MX"/>
              </w:rPr>
              <w:t>$.</w:t>
            </w:r>
            <w:r w:rsidR="002D3C95" w:rsidRPr="00DC37D6">
              <w:rPr>
                <w:rFonts w:ascii="Barlow" w:hAnsi="Barlow" w:cs="Arial"/>
                <w:i/>
                <w:iCs/>
                <w:color w:val="000000"/>
                <w:sz w:val="20"/>
                <w:szCs w:val="20"/>
                <w:lang w:eastAsia="es-MX"/>
              </w:rPr>
              <w:t>02</w:t>
            </w:r>
          </w:p>
        </w:tc>
      </w:tr>
      <w:tr w:rsidR="00D83C5A" w:rsidRPr="00DC37D6" w14:paraId="2A16C9D4" w14:textId="77777777" w:rsidTr="000B4A0B">
        <w:trPr>
          <w:trHeight w:val="298"/>
          <w:jc w:val="center"/>
        </w:trPr>
        <w:tc>
          <w:tcPr>
            <w:tcW w:w="6525" w:type="dxa"/>
            <w:tcBorders>
              <w:top w:val="nil"/>
              <w:left w:val="single" w:sz="8" w:space="0" w:color="auto"/>
              <w:bottom w:val="single" w:sz="8" w:space="0" w:color="auto"/>
              <w:right w:val="single" w:sz="8" w:space="0" w:color="auto"/>
            </w:tcBorders>
            <w:shd w:val="clear" w:color="auto" w:fill="auto"/>
            <w:noWrap/>
            <w:vAlign w:val="center"/>
            <w:hideMark/>
          </w:tcPr>
          <w:p w14:paraId="081D9220" w14:textId="77777777" w:rsidR="00D83C5A" w:rsidRPr="00DC37D6" w:rsidRDefault="00D83C5A" w:rsidP="00D83C5A">
            <w:pPr>
              <w:jc w:val="right"/>
              <w:rPr>
                <w:rFonts w:ascii="Barlow" w:hAnsi="Barlow" w:cs="Arial"/>
                <w:i/>
                <w:iCs/>
                <w:color w:val="000000"/>
                <w:sz w:val="20"/>
                <w:szCs w:val="20"/>
                <w:lang w:eastAsia="es-MX"/>
              </w:rPr>
            </w:pPr>
            <w:r w:rsidRPr="00DC37D6">
              <w:rPr>
                <w:rFonts w:ascii="Barlow" w:hAnsi="Barlow" w:cs="Arial"/>
                <w:i/>
                <w:iCs/>
                <w:color w:val="000000"/>
                <w:sz w:val="20"/>
                <w:szCs w:val="20"/>
                <w:lang w:eastAsia="es-MX"/>
              </w:rPr>
              <w:t>10% ISR por Servicios Profesionales</w:t>
            </w:r>
          </w:p>
        </w:tc>
        <w:tc>
          <w:tcPr>
            <w:tcW w:w="1973" w:type="dxa"/>
            <w:tcBorders>
              <w:top w:val="nil"/>
              <w:left w:val="nil"/>
              <w:bottom w:val="single" w:sz="8" w:space="0" w:color="auto"/>
              <w:right w:val="single" w:sz="8" w:space="0" w:color="auto"/>
            </w:tcBorders>
            <w:shd w:val="clear" w:color="auto" w:fill="auto"/>
            <w:vAlign w:val="center"/>
            <w:hideMark/>
          </w:tcPr>
          <w:p w14:paraId="717B8128" w14:textId="05F19F2A" w:rsidR="00D83C5A" w:rsidRPr="00DC37D6" w:rsidRDefault="00D83C5A" w:rsidP="00E8328A">
            <w:pPr>
              <w:jc w:val="right"/>
              <w:rPr>
                <w:rFonts w:ascii="Barlow" w:hAnsi="Barlow" w:cs="Arial"/>
                <w:i/>
                <w:iCs/>
                <w:color w:val="000000"/>
                <w:sz w:val="20"/>
                <w:szCs w:val="20"/>
                <w:lang w:eastAsia="es-MX"/>
              </w:rPr>
            </w:pPr>
            <w:r w:rsidRPr="00DC37D6">
              <w:rPr>
                <w:rFonts w:ascii="Barlow" w:hAnsi="Barlow" w:cs="Arial"/>
                <w:i/>
                <w:iCs/>
                <w:color w:val="000000"/>
                <w:sz w:val="20"/>
                <w:szCs w:val="20"/>
                <w:lang w:eastAsia="es-MX"/>
              </w:rPr>
              <w:t>$</w:t>
            </w:r>
            <w:r w:rsidR="001C3714" w:rsidRPr="00DC37D6">
              <w:rPr>
                <w:rFonts w:ascii="Barlow" w:hAnsi="Barlow" w:cs="Arial"/>
                <w:i/>
                <w:iCs/>
                <w:color w:val="000000"/>
                <w:sz w:val="20"/>
                <w:szCs w:val="20"/>
                <w:lang w:eastAsia="es-MX"/>
              </w:rPr>
              <w:t>2</w:t>
            </w:r>
            <w:r w:rsidR="00B137C5" w:rsidRPr="00DC37D6">
              <w:rPr>
                <w:rFonts w:ascii="Barlow" w:hAnsi="Barlow" w:cs="Arial"/>
                <w:i/>
                <w:iCs/>
                <w:color w:val="000000"/>
                <w:sz w:val="20"/>
                <w:szCs w:val="20"/>
                <w:lang w:eastAsia="es-MX"/>
              </w:rPr>
              <w:t>1</w:t>
            </w:r>
            <w:r w:rsidR="001C3714" w:rsidRPr="00DC37D6">
              <w:rPr>
                <w:rFonts w:ascii="Barlow" w:hAnsi="Barlow" w:cs="Arial"/>
                <w:i/>
                <w:iCs/>
                <w:color w:val="000000"/>
                <w:sz w:val="20"/>
                <w:szCs w:val="20"/>
                <w:lang w:eastAsia="es-MX"/>
              </w:rPr>
              <w:t>,</w:t>
            </w:r>
            <w:r w:rsidR="00E8328A" w:rsidRPr="00DC37D6">
              <w:rPr>
                <w:rFonts w:ascii="Barlow" w:hAnsi="Barlow" w:cs="Arial"/>
                <w:i/>
                <w:iCs/>
                <w:color w:val="000000"/>
                <w:sz w:val="20"/>
                <w:szCs w:val="20"/>
                <w:lang w:eastAsia="es-MX"/>
              </w:rPr>
              <w:t>764</w:t>
            </w:r>
            <w:r w:rsidRPr="00DC37D6">
              <w:rPr>
                <w:rFonts w:ascii="Barlow" w:hAnsi="Barlow" w:cs="Arial"/>
                <w:i/>
                <w:iCs/>
                <w:color w:val="000000"/>
                <w:sz w:val="20"/>
                <w:szCs w:val="20"/>
                <w:lang w:eastAsia="es-MX"/>
              </w:rPr>
              <w:t>.</w:t>
            </w:r>
            <w:r w:rsidR="00E8328A" w:rsidRPr="00DC37D6">
              <w:rPr>
                <w:rFonts w:ascii="Barlow" w:hAnsi="Barlow" w:cs="Arial"/>
                <w:i/>
                <w:iCs/>
                <w:color w:val="000000"/>
                <w:sz w:val="20"/>
                <w:szCs w:val="20"/>
                <w:lang w:eastAsia="es-MX"/>
              </w:rPr>
              <w:t>30</w:t>
            </w:r>
          </w:p>
        </w:tc>
      </w:tr>
      <w:tr w:rsidR="00D83C5A" w:rsidRPr="00DC37D6" w14:paraId="5BFF85CF" w14:textId="77777777" w:rsidTr="000B4A0B">
        <w:trPr>
          <w:trHeight w:val="298"/>
          <w:jc w:val="center"/>
        </w:trPr>
        <w:tc>
          <w:tcPr>
            <w:tcW w:w="6525" w:type="dxa"/>
            <w:tcBorders>
              <w:top w:val="nil"/>
              <w:left w:val="single" w:sz="8" w:space="0" w:color="auto"/>
              <w:bottom w:val="single" w:sz="8" w:space="0" w:color="auto"/>
              <w:right w:val="single" w:sz="8" w:space="0" w:color="auto"/>
            </w:tcBorders>
            <w:shd w:val="clear" w:color="auto" w:fill="auto"/>
            <w:noWrap/>
            <w:vAlign w:val="center"/>
            <w:hideMark/>
          </w:tcPr>
          <w:p w14:paraId="47498BE1" w14:textId="77777777" w:rsidR="00D83C5A" w:rsidRPr="00DC37D6" w:rsidRDefault="00D83C5A" w:rsidP="00D83C5A">
            <w:pPr>
              <w:jc w:val="right"/>
              <w:rPr>
                <w:rFonts w:ascii="Barlow" w:hAnsi="Barlow" w:cs="Arial"/>
                <w:i/>
                <w:iCs/>
                <w:color w:val="000000"/>
                <w:sz w:val="20"/>
                <w:szCs w:val="20"/>
                <w:lang w:eastAsia="es-MX"/>
              </w:rPr>
            </w:pPr>
            <w:r w:rsidRPr="00DC37D6">
              <w:rPr>
                <w:rFonts w:ascii="Barlow" w:hAnsi="Barlow" w:cs="Arial"/>
                <w:i/>
                <w:iCs/>
                <w:color w:val="000000"/>
                <w:sz w:val="20"/>
                <w:szCs w:val="20"/>
                <w:lang w:eastAsia="es-MX"/>
              </w:rPr>
              <w:t>10.67% IVA Retenido</w:t>
            </w:r>
          </w:p>
        </w:tc>
        <w:tc>
          <w:tcPr>
            <w:tcW w:w="1973" w:type="dxa"/>
            <w:tcBorders>
              <w:top w:val="nil"/>
              <w:left w:val="nil"/>
              <w:bottom w:val="single" w:sz="8" w:space="0" w:color="auto"/>
              <w:right w:val="single" w:sz="8" w:space="0" w:color="auto"/>
            </w:tcBorders>
            <w:shd w:val="clear" w:color="auto" w:fill="auto"/>
            <w:vAlign w:val="center"/>
            <w:hideMark/>
          </w:tcPr>
          <w:p w14:paraId="6B88039D" w14:textId="68AEDABE" w:rsidR="00D83C5A" w:rsidRPr="00DC37D6" w:rsidRDefault="00D83C5A" w:rsidP="00E8328A">
            <w:pPr>
              <w:jc w:val="right"/>
              <w:rPr>
                <w:rFonts w:ascii="Barlow" w:hAnsi="Barlow" w:cs="Arial"/>
                <w:i/>
                <w:iCs/>
                <w:color w:val="000000"/>
                <w:sz w:val="20"/>
                <w:szCs w:val="20"/>
                <w:lang w:eastAsia="es-MX"/>
              </w:rPr>
            </w:pPr>
            <w:r w:rsidRPr="00DC37D6">
              <w:rPr>
                <w:rFonts w:ascii="Barlow" w:hAnsi="Barlow" w:cs="Arial"/>
                <w:i/>
                <w:iCs/>
                <w:color w:val="000000"/>
                <w:sz w:val="20"/>
                <w:szCs w:val="20"/>
                <w:lang w:eastAsia="es-MX"/>
              </w:rPr>
              <w:t>$</w:t>
            </w:r>
            <w:r w:rsidR="00B137C5" w:rsidRPr="00DC37D6">
              <w:rPr>
                <w:rFonts w:ascii="Barlow" w:hAnsi="Barlow" w:cs="Arial"/>
                <w:i/>
                <w:iCs/>
                <w:color w:val="000000"/>
                <w:sz w:val="20"/>
                <w:szCs w:val="20"/>
                <w:lang w:eastAsia="es-MX"/>
              </w:rPr>
              <w:t>33</w:t>
            </w:r>
            <w:r w:rsidR="009C4DD8" w:rsidRPr="00DC37D6">
              <w:rPr>
                <w:rFonts w:ascii="Barlow" w:hAnsi="Barlow" w:cs="Arial"/>
                <w:i/>
                <w:iCs/>
                <w:color w:val="000000"/>
                <w:sz w:val="20"/>
                <w:szCs w:val="20"/>
                <w:lang w:eastAsia="es-MX"/>
              </w:rPr>
              <w:t>,</w:t>
            </w:r>
            <w:r w:rsidR="001C3714" w:rsidRPr="00DC37D6">
              <w:rPr>
                <w:rFonts w:ascii="Barlow" w:hAnsi="Barlow" w:cs="Arial"/>
                <w:i/>
                <w:iCs/>
                <w:color w:val="000000"/>
                <w:sz w:val="20"/>
                <w:szCs w:val="20"/>
                <w:lang w:eastAsia="es-MX"/>
              </w:rPr>
              <w:t>5</w:t>
            </w:r>
            <w:r w:rsidR="00B137C5" w:rsidRPr="00DC37D6">
              <w:rPr>
                <w:rFonts w:ascii="Barlow" w:hAnsi="Barlow" w:cs="Arial"/>
                <w:i/>
                <w:iCs/>
                <w:color w:val="000000"/>
                <w:sz w:val="20"/>
                <w:szCs w:val="20"/>
                <w:lang w:eastAsia="es-MX"/>
              </w:rPr>
              <w:t>8</w:t>
            </w:r>
            <w:r w:rsidR="00C07A77" w:rsidRPr="00DC37D6">
              <w:rPr>
                <w:rFonts w:ascii="Barlow" w:hAnsi="Barlow" w:cs="Arial"/>
                <w:i/>
                <w:iCs/>
                <w:color w:val="000000"/>
                <w:sz w:val="20"/>
                <w:szCs w:val="20"/>
                <w:lang w:eastAsia="es-MX"/>
              </w:rPr>
              <w:t>7</w:t>
            </w:r>
            <w:r w:rsidRPr="00DC37D6">
              <w:rPr>
                <w:rFonts w:ascii="Barlow" w:hAnsi="Barlow" w:cs="Arial"/>
                <w:i/>
                <w:iCs/>
                <w:color w:val="000000"/>
                <w:sz w:val="20"/>
                <w:szCs w:val="20"/>
                <w:lang w:eastAsia="es-MX"/>
              </w:rPr>
              <w:t>.</w:t>
            </w:r>
            <w:r w:rsidR="00E8328A" w:rsidRPr="00DC37D6">
              <w:rPr>
                <w:rFonts w:ascii="Barlow" w:hAnsi="Barlow" w:cs="Arial"/>
                <w:i/>
                <w:iCs/>
                <w:color w:val="000000"/>
                <w:sz w:val="20"/>
                <w:szCs w:val="20"/>
                <w:lang w:eastAsia="es-MX"/>
              </w:rPr>
              <w:t>17</w:t>
            </w:r>
          </w:p>
        </w:tc>
      </w:tr>
      <w:tr w:rsidR="00D83C5A" w:rsidRPr="00DC37D6" w14:paraId="592A4294" w14:textId="77777777" w:rsidTr="000B4A0B">
        <w:trPr>
          <w:trHeight w:val="298"/>
          <w:jc w:val="center"/>
        </w:trPr>
        <w:tc>
          <w:tcPr>
            <w:tcW w:w="6525" w:type="dxa"/>
            <w:tcBorders>
              <w:top w:val="nil"/>
              <w:left w:val="single" w:sz="8" w:space="0" w:color="auto"/>
              <w:bottom w:val="single" w:sz="8" w:space="0" w:color="auto"/>
              <w:right w:val="single" w:sz="8" w:space="0" w:color="auto"/>
            </w:tcBorders>
            <w:shd w:val="clear" w:color="auto" w:fill="auto"/>
            <w:noWrap/>
            <w:vAlign w:val="center"/>
            <w:hideMark/>
          </w:tcPr>
          <w:p w14:paraId="74BD4610" w14:textId="77777777" w:rsidR="00D83C5A" w:rsidRPr="00DC37D6" w:rsidRDefault="00D83C5A" w:rsidP="00D83C5A">
            <w:pPr>
              <w:jc w:val="right"/>
              <w:rPr>
                <w:rFonts w:ascii="Barlow" w:hAnsi="Barlow" w:cs="Arial"/>
                <w:i/>
                <w:iCs/>
                <w:color w:val="000000"/>
                <w:sz w:val="20"/>
                <w:szCs w:val="20"/>
                <w:lang w:eastAsia="es-MX"/>
              </w:rPr>
            </w:pPr>
            <w:r w:rsidRPr="00DC37D6">
              <w:rPr>
                <w:rFonts w:ascii="Barlow" w:hAnsi="Barlow" w:cs="Arial"/>
                <w:i/>
                <w:iCs/>
                <w:color w:val="000000"/>
                <w:sz w:val="20"/>
                <w:szCs w:val="20"/>
                <w:lang w:eastAsia="es-MX"/>
              </w:rPr>
              <w:t>8% ISSTEY Retenido- Prestaciones Médicas</w:t>
            </w:r>
          </w:p>
        </w:tc>
        <w:tc>
          <w:tcPr>
            <w:tcW w:w="1973" w:type="dxa"/>
            <w:tcBorders>
              <w:top w:val="nil"/>
              <w:left w:val="nil"/>
              <w:bottom w:val="single" w:sz="8" w:space="0" w:color="auto"/>
              <w:right w:val="single" w:sz="8" w:space="0" w:color="auto"/>
            </w:tcBorders>
            <w:shd w:val="clear" w:color="auto" w:fill="auto"/>
            <w:vAlign w:val="center"/>
            <w:hideMark/>
          </w:tcPr>
          <w:p w14:paraId="1C35DB49" w14:textId="75525E9B" w:rsidR="00D83C5A" w:rsidRPr="00DC37D6" w:rsidRDefault="00D83C5A" w:rsidP="009C4DD8">
            <w:pPr>
              <w:jc w:val="right"/>
              <w:rPr>
                <w:rFonts w:ascii="Barlow" w:hAnsi="Barlow" w:cs="Arial"/>
                <w:i/>
                <w:iCs/>
                <w:color w:val="000000"/>
                <w:sz w:val="20"/>
                <w:szCs w:val="20"/>
                <w:lang w:eastAsia="es-MX"/>
              </w:rPr>
            </w:pPr>
            <w:r w:rsidRPr="00DC37D6">
              <w:rPr>
                <w:rFonts w:ascii="Barlow" w:hAnsi="Barlow" w:cs="Arial"/>
                <w:i/>
                <w:iCs/>
                <w:color w:val="000000"/>
                <w:sz w:val="20"/>
                <w:szCs w:val="20"/>
                <w:lang w:eastAsia="es-MX"/>
              </w:rPr>
              <w:t>$</w:t>
            </w:r>
            <w:r w:rsidR="00B137C5" w:rsidRPr="00DC37D6">
              <w:rPr>
                <w:rFonts w:ascii="Barlow" w:hAnsi="Barlow" w:cs="Arial"/>
                <w:i/>
                <w:iCs/>
                <w:color w:val="000000"/>
                <w:sz w:val="20"/>
                <w:szCs w:val="20"/>
                <w:lang w:eastAsia="es-MX"/>
              </w:rPr>
              <w:t>20</w:t>
            </w:r>
            <w:r w:rsidRPr="00DC37D6">
              <w:rPr>
                <w:rFonts w:ascii="Barlow" w:hAnsi="Barlow" w:cs="Arial"/>
                <w:i/>
                <w:iCs/>
                <w:color w:val="000000"/>
                <w:sz w:val="20"/>
                <w:szCs w:val="20"/>
                <w:lang w:eastAsia="es-MX"/>
              </w:rPr>
              <w:t>,</w:t>
            </w:r>
            <w:r w:rsidR="00B137C5" w:rsidRPr="00DC37D6">
              <w:rPr>
                <w:rFonts w:ascii="Barlow" w:hAnsi="Barlow" w:cs="Arial"/>
                <w:i/>
                <w:iCs/>
                <w:color w:val="000000"/>
                <w:sz w:val="20"/>
                <w:szCs w:val="20"/>
                <w:lang w:eastAsia="es-MX"/>
              </w:rPr>
              <w:t>370</w:t>
            </w:r>
            <w:r w:rsidRPr="00DC37D6">
              <w:rPr>
                <w:rFonts w:ascii="Barlow" w:hAnsi="Barlow" w:cs="Arial"/>
                <w:i/>
                <w:iCs/>
                <w:color w:val="000000"/>
                <w:sz w:val="20"/>
                <w:szCs w:val="20"/>
                <w:lang w:eastAsia="es-MX"/>
              </w:rPr>
              <w:t>.</w:t>
            </w:r>
            <w:r w:rsidR="00B137C5" w:rsidRPr="00DC37D6">
              <w:rPr>
                <w:rFonts w:ascii="Barlow" w:hAnsi="Barlow" w:cs="Arial"/>
                <w:i/>
                <w:iCs/>
                <w:color w:val="000000"/>
                <w:sz w:val="20"/>
                <w:szCs w:val="20"/>
                <w:lang w:eastAsia="es-MX"/>
              </w:rPr>
              <w:t>68</w:t>
            </w:r>
          </w:p>
        </w:tc>
      </w:tr>
      <w:tr w:rsidR="00D83C5A" w:rsidRPr="00DC37D6" w14:paraId="36059CC2" w14:textId="77777777" w:rsidTr="000B4A0B">
        <w:trPr>
          <w:trHeight w:val="298"/>
          <w:jc w:val="center"/>
        </w:trPr>
        <w:tc>
          <w:tcPr>
            <w:tcW w:w="6525" w:type="dxa"/>
            <w:tcBorders>
              <w:top w:val="nil"/>
              <w:left w:val="single" w:sz="8" w:space="0" w:color="auto"/>
              <w:bottom w:val="single" w:sz="8" w:space="0" w:color="auto"/>
              <w:right w:val="single" w:sz="8" w:space="0" w:color="auto"/>
            </w:tcBorders>
            <w:shd w:val="clear" w:color="auto" w:fill="auto"/>
            <w:noWrap/>
            <w:vAlign w:val="center"/>
            <w:hideMark/>
          </w:tcPr>
          <w:p w14:paraId="45491769" w14:textId="77777777" w:rsidR="00D83C5A" w:rsidRPr="00DC37D6" w:rsidRDefault="00D83C5A" w:rsidP="00D83C5A">
            <w:pPr>
              <w:jc w:val="right"/>
              <w:rPr>
                <w:rFonts w:ascii="Barlow" w:hAnsi="Barlow" w:cs="Arial"/>
                <w:i/>
                <w:iCs/>
                <w:color w:val="000000"/>
                <w:sz w:val="20"/>
                <w:szCs w:val="20"/>
                <w:lang w:eastAsia="es-MX"/>
              </w:rPr>
            </w:pPr>
            <w:r w:rsidRPr="00DC37D6">
              <w:rPr>
                <w:rFonts w:ascii="Barlow" w:hAnsi="Barlow" w:cs="Arial"/>
                <w:i/>
                <w:iCs/>
                <w:color w:val="000000"/>
                <w:sz w:val="20"/>
                <w:szCs w:val="20"/>
                <w:lang w:eastAsia="es-MX"/>
              </w:rPr>
              <w:t>Descuento Préstamos ISSTEY</w:t>
            </w:r>
          </w:p>
        </w:tc>
        <w:tc>
          <w:tcPr>
            <w:tcW w:w="1973" w:type="dxa"/>
            <w:tcBorders>
              <w:top w:val="nil"/>
              <w:left w:val="nil"/>
              <w:bottom w:val="single" w:sz="8" w:space="0" w:color="auto"/>
              <w:right w:val="single" w:sz="8" w:space="0" w:color="auto"/>
            </w:tcBorders>
            <w:shd w:val="clear" w:color="auto" w:fill="auto"/>
            <w:vAlign w:val="center"/>
            <w:hideMark/>
          </w:tcPr>
          <w:p w14:paraId="2013E359" w14:textId="63856C16" w:rsidR="00D83C5A" w:rsidRPr="00DC37D6" w:rsidRDefault="00D83C5A" w:rsidP="009C4DD8">
            <w:pPr>
              <w:jc w:val="right"/>
              <w:rPr>
                <w:rFonts w:ascii="Barlow" w:hAnsi="Barlow" w:cs="Arial"/>
                <w:i/>
                <w:iCs/>
                <w:color w:val="000000"/>
                <w:sz w:val="20"/>
                <w:szCs w:val="20"/>
                <w:lang w:eastAsia="es-MX"/>
              </w:rPr>
            </w:pPr>
            <w:r w:rsidRPr="00DC37D6">
              <w:rPr>
                <w:rFonts w:ascii="Barlow" w:hAnsi="Barlow" w:cs="Arial"/>
                <w:i/>
                <w:iCs/>
                <w:color w:val="000000"/>
                <w:sz w:val="20"/>
                <w:szCs w:val="20"/>
                <w:lang w:eastAsia="es-MX"/>
              </w:rPr>
              <w:t>$</w:t>
            </w:r>
            <w:r w:rsidR="009C4DD8" w:rsidRPr="00DC37D6">
              <w:rPr>
                <w:rFonts w:ascii="Barlow" w:hAnsi="Barlow" w:cs="Arial"/>
                <w:i/>
                <w:iCs/>
                <w:color w:val="000000"/>
                <w:sz w:val="20"/>
                <w:szCs w:val="20"/>
                <w:lang w:eastAsia="es-MX"/>
              </w:rPr>
              <w:t>2</w:t>
            </w:r>
            <w:r w:rsidRPr="00DC37D6">
              <w:rPr>
                <w:rFonts w:ascii="Barlow" w:hAnsi="Barlow" w:cs="Arial"/>
                <w:i/>
                <w:iCs/>
                <w:color w:val="000000"/>
                <w:sz w:val="20"/>
                <w:szCs w:val="20"/>
                <w:lang w:eastAsia="es-MX"/>
              </w:rPr>
              <w:t>,</w:t>
            </w:r>
            <w:r w:rsidR="009C4DD8" w:rsidRPr="00DC37D6">
              <w:rPr>
                <w:rFonts w:ascii="Barlow" w:hAnsi="Barlow" w:cs="Arial"/>
                <w:i/>
                <w:iCs/>
                <w:color w:val="000000"/>
                <w:sz w:val="20"/>
                <w:szCs w:val="20"/>
                <w:lang w:eastAsia="es-MX"/>
              </w:rPr>
              <w:t>972.22</w:t>
            </w:r>
          </w:p>
        </w:tc>
      </w:tr>
      <w:tr w:rsidR="0040576C" w:rsidRPr="00DC37D6" w14:paraId="2046320A" w14:textId="77777777" w:rsidTr="000B4A0B">
        <w:trPr>
          <w:trHeight w:val="298"/>
          <w:jc w:val="center"/>
        </w:trPr>
        <w:tc>
          <w:tcPr>
            <w:tcW w:w="6525" w:type="dxa"/>
            <w:tcBorders>
              <w:top w:val="nil"/>
              <w:left w:val="single" w:sz="8" w:space="0" w:color="auto"/>
              <w:bottom w:val="single" w:sz="8" w:space="0" w:color="auto"/>
              <w:right w:val="single" w:sz="8" w:space="0" w:color="auto"/>
            </w:tcBorders>
            <w:shd w:val="clear" w:color="auto" w:fill="auto"/>
            <w:noWrap/>
            <w:vAlign w:val="center"/>
          </w:tcPr>
          <w:p w14:paraId="3C3D921B" w14:textId="16EA3202" w:rsidR="0040576C" w:rsidRPr="00DC37D6" w:rsidRDefault="0040576C" w:rsidP="00D83C5A">
            <w:pPr>
              <w:jc w:val="right"/>
              <w:rPr>
                <w:rFonts w:ascii="Barlow" w:hAnsi="Barlow" w:cs="Arial"/>
                <w:i/>
                <w:iCs/>
                <w:color w:val="000000"/>
                <w:sz w:val="20"/>
                <w:szCs w:val="20"/>
                <w:lang w:eastAsia="es-MX"/>
              </w:rPr>
            </w:pPr>
            <w:r w:rsidRPr="00DC37D6">
              <w:rPr>
                <w:rFonts w:ascii="Barlow" w:hAnsi="Barlow" w:cs="Arial"/>
                <w:i/>
                <w:iCs/>
                <w:color w:val="000000"/>
                <w:sz w:val="20"/>
                <w:szCs w:val="20"/>
                <w:lang w:eastAsia="es-MX"/>
              </w:rPr>
              <w:t>Descuento Bicicletas ISSTEY</w:t>
            </w:r>
          </w:p>
        </w:tc>
        <w:tc>
          <w:tcPr>
            <w:tcW w:w="1973" w:type="dxa"/>
            <w:tcBorders>
              <w:top w:val="nil"/>
              <w:left w:val="nil"/>
              <w:bottom w:val="single" w:sz="8" w:space="0" w:color="auto"/>
              <w:right w:val="single" w:sz="8" w:space="0" w:color="auto"/>
            </w:tcBorders>
            <w:shd w:val="clear" w:color="auto" w:fill="auto"/>
            <w:vAlign w:val="center"/>
          </w:tcPr>
          <w:p w14:paraId="211AE815" w14:textId="2C329C00" w:rsidR="0040576C" w:rsidRPr="00DC37D6" w:rsidRDefault="0040576C" w:rsidP="00D83C5A">
            <w:pPr>
              <w:jc w:val="right"/>
              <w:rPr>
                <w:rFonts w:ascii="Barlow" w:hAnsi="Barlow" w:cs="Arial"/>
                <w:i/>
                <w:iCs/>
                <w:color w:val="000000"/>
                <w:sz w:val="20"/>
                <w:szCs w:val="20"/>
                <w:lang w:eastAsia="es-MX"/>
              </w:rPr>
            </w:pPr>
            <w:r w:rsidRPr="00DC37D6">
              <w:rPr>
                <w:rFonts w:ascii="Barlow" w:hAnsi="Barlow" w:cs="Arial"/>
                <w:i/>
                <w:iCs/>
                <w:color w:val="000000"/>
                <w:sz w:val="20"/>
                <w:szCs w:val="20"/>
                <w:lang w:eastAsia="es-MX"/>
              </w:rPr>
              <w:t>$</w:t>
            </w:r>
            <w:r w:rsidR="002D3C95" w:rsidRPr="00DC37D6">
              <w:rPr>
                <w:rFonts w:ascii="Barlow" w:hAnsi="Barlow" w:cs="Arial"/>
                <w:i/>
                <w:iCs/>
                <w:color w:val="000000"/>
                <w:sz w:val="20"/>
                <w:szCs w:val="20"/>
                <w:lang w:eastAsia="es-MX"/>
              </w:rPr>
              <w:t>1,265</w:t>
            </w:r>
            <w:r w:rsidRPr="00DC37D6">
              <w:rPr>
                <w:rFonts w:ascii="Barlow" w:hAnsi="Barlow" w:cs="Arial"/>
                <w:i/>
                <w:iCs/>
                <w:color w:val="000000"/>
                <w:sz w:val="20"/>
                <w:szCs w:val="20"/>
                <w:lang w:eastAsia="es-MX"/>
              </w:rPr>
              <w:t>.</w:t>
            </w:r>
            <w:r w:rsidR="002D3C95" w:rsidRPr="00DC37D6">
              <w:rPr>
                <w:rFonts w:ascii="Barlow" w:hAnsi="Barlow" w:cs="Arial"/>
                <w:i/>
                <w:iCs/>
                <w:color w:val="000000"/>
                <w:sz w:val="20"/>
                <w:szCs w:val="20"/>
                <w:lang w:eastAsia="es-MX"/>
              </w:rPr>
              <w:t>49</w:t>
            </w:r>
          </w:p>
        </w:tc>
      </w:tr>
      <w:tr w:rsidR="00D83C5A" w:rsidRPr="00DC37D6" w14:paraId="5DB85346" w14:textId="77777777" w:rsidTr="000B4A0B">
        <w:trPr>
          <w:trHeight w:val="298"/>
          <w:jc w:val="center"/>
        </w:trPr>
        <w:tc>
          <w:tcPr>
            <w:tcW w:w="6525" w:type="dxa"/>
            <w:tcBorders>
              <w:top w:val="nil"/>
              <w:left w:val="single" w:sz="8" w:space="0" w:color="auto"/>
              <w:bottom w:val="single" w:sz="8" w:space="0" w:color="auto"/>
              <w:right w:val="single" w:sz="8" w:space="0" w:color="auto"/>
            </w:tcBorders>
            <w:shd w:val="clear" w:color="auto" w:fill="auto"/>
            <w:noWrap/>
            <w:vAlign w:val="center"/>
            <w:hideMark/>
          </w:tcPr>
          <w:p w14:paraId="105B86A3" w14:textId="77777777" w:rsidR="00D83C5A" w:rsidRPr="00DC37D6" w:rsidRDefault="00D83C5A" w:rsidP="00D83C5A">
            <w:pPr>
              <w:jc w:val="right"/>
              <w:rPr>
                <w:rFonts w:ascii="Barlow" w:hAnsi="Barlow" w:cs="Arial"/>
                <w:i/>
                <w:iCs/>
                <w:color w:val="000000"/>
                <w:sz w:val="20"/>
                <w:szCs w:val="20"/>
                <w:lang w:eastAsia="es-MX"/>
              </w:rPr>
            </w:pPr>
            <w:r w:rsidRPr="00DC37D6">
              <w:rPr>
                <w:rFonts w:ascii="Barlow" w:hAnsi="Barlow" w:cs="Arial"/>
                <w:i/>
                <w:iCs/>
                <w:color w:val="000000"/>
                <w:sz w:val="20"/>
                <w:szCs w:val="20"/>
                <w:lang w:eastAsia="es-MX"/>
              </w:rPr>
              <w:t>4% Impuesto sobre Nómina Estatal</w:t>
            </w:r>
          </w:p>
        </w:tc>
        <w:tc>
          <w:tcPr>
            <w:tcW w:w="1973" w:type="dxa"/>
            <w:tcBorders>
              <w:top w:val="nil"/>
              <w:left w:val="nil"/>
              <w:bottom w:val="single" w:sz="8" w:space="0" w:color="auto"/>
              <w:right w:val="single" w:sz="8" w:space="0" w:color="auto"/>
            </w:tcBorders>
            <w:shd w:val="clear" w:color="auto" w:fill="auto"/>
            <w:vAlign w:val="center"/>
            <w:hideMark/>
          </w:tcPr>
          <w:p w14:paraId="2248CB9F" w14:textId="7CFC4877" w:rsidR="00D83C5A" w:rsidRPr="00DC37D6" w:rsidRDefault="00D83C5A" w:rsidP="00E8328A">
            <w:pPr>
              <w:jc w:val="right"/>
              <w:rPr>
                <w:rFonts w:ascii="Barlow" w:hAnsi="Barlow" w:cs="Arial"/>
                <w:i/>
                <w:iCs/>
                <w:color w:val="000000"/>
                <w:sz w:val="20"/>
                <w:szCs w:val="20"/>
                <w:lang w:eastAsia="es-MX"/>
              </w:rPr>
            </w:pPr>
            <w:r w:rsidRPr="00DC37D6">
              <w:rPr>
                <w:rFonts w:ascii="Barlow" w:hAnsi="Barlow" w:cs="Arial"/>
                <w:i/>
                <w:iCs/>
                <w:color w:val="000000"/>
                <w:sz w:val="20"/>
                <w:szCs w:val="20"/>
                <w:lang w:eastAsia="es-MX"/>
              </w:rPr>
              <w:t>$</w:t>
            </w:r>
            <w:r w:rsidR="00543DE1" w:rsidRPr="00DC37D6">
              <w:rPr>
                <w:rFonts w:ascii="Barlow" w:hAnsi="Barlow" w:cs="Arial"/>
                <w:i/>
                <w:iCs/>
                <w:color w:val="000000"/>
                <w:sz w:val="20"/>
                <w:szCs w:val="20"/>
                <w:lang w:eastAsia="es-MX"/>
              </w:rPr>
              <w:t>21</w:t>
            </w:r>
            <w:r w:rsidR="0040576C" w:rsidRPr="00DC37D6">
              <w:rPr>
                <w:rFonts w:ascii="Barlow" w:hAnsi="Barlow" w:cs="Arial"/>
                <w:i/>
                <w:iCs/>
                <w:color w:val="000000"/>
                <w:sz w:val="20"/>
                <w:szCs w:val="20"/>
                <w:lang w:eastAsia="es-MX"/>
              </w:rPr>
              <w:t>,</w:t>
            </w:r>
            <w:r w:rsidR="00543DE1" w:rsidRPr="00DC37D6">
              <w:rPr>
                <w:rFonts w:ascii="Barlow" w:hAnsi="Barlow" w:cs="Arial"/>
                <w:i/>
                <w:iCs/>
                <w:color w:val="000000"/>
                <w:sz w:val="20"/>
                <w:szCs w:val="20"/>
                <w:lang w:eastAsia="es-MX"/>
              </w:rPr>
              <w:t>48</w:t>
            </w:r>
            <w:r w:rsidR="00C07A77" w:rsidRPr="00DC37D6">
              <w:rPr>
                <w:rFonts w:ascii="Barlow" w:hAnsi="Barlow" w:cs="Arial"/>
                <w:i/>
                <w:iCs/>
                <w:color w:val="000000"/>
                <w:sz w:val="20"/>
                <w:szCs w:val="20"/>
                <w:lang w:eastAsia="es-MX"/>
              </w:rPr>
              <w:t>2</w:t>
            </w:r>
            <w:r w:rsidR="0095427B" w:rsidRPr="00DC37D6">
              <w:rPr>
                <w:rFonts w:ascii="Barlow" w:hAnsi="Barlow" w:cs="Arial"/>
                <w:i/>
                <w:iCs/>
                <w:color w:val="000000"/>
                <w:sz w:val="20"/>
                <w:szCs w:val="20"/>
                <w:lang w:eastAsia="es-MX"/>
              </w:rPr>
              <w:t>.</w:t>
            </w:r>
            <w:r w:rsidR="00E8328A" w:rsidRPr="00DC37D6">
              <w:rPr>
                <w:rFonts w:ascii="Barlow" w:hAnsi="Barlow" w:cs="Arial"/>
                <w:i/>
                <w:iCs/>
                <w:color w:val="000000"/>
                <w:sz w:val="20"/>
                <w:szCs w:val="20"/>
                <w:lang w:eastAsia="es-MX"/>
              </w:rPr>
              <w:t>79</w:t>
            </w:r>
          </w:p>
        </w:tc>
      </w:tr>
      <w:tr w:rsidR="00D83C5A" w:rsidRPr="00DC37D6" w14:paraId="1FCBC613" w14:textId="77777777" w:rsidTr="000B4A0B">
        <w:trPr>
          <w:trHeight w:val="298"/>
          <w:jc w:val="center"/>
        </w:trPr>
        <w:tc>
          <w:tcPr>
            <w:tcW w:w="6525" w:type="dxa"/>
            <w:tcBorders>
              <w:top w:val="nil"/>
              <w:left w:val="single" w:sz="8" w:space="0" w:color="auto"/>
              <w:bottom w:val="single" w:sz="8" w:space="0" w:color="auto"/>
              <w:right w:val="single" w:sz="8" w:space="0" w:color="auto"/>
            </w:tcBorders>
            <w:shd w:val="clear" w:color="000000" w:fill="9BBB59"/>
            <w:noWrap/>
            <w:vAlign w:val="center"/>
            <w:hideMark/>
          </w:tcPr>
          <w:p w14:paraId="035F8D55" w14:textId="77777777" w:rsidR="00D83C5A" w:rsidRPr="00DC37D6" w:rsidRDefault="00D83C5A" w:rsidP="00D83C5A">
            <w:pPr>
              <w:jc w:val="center"/>
              <w:rPr>
                <w:rFonts w:ascii="Barlow" w:hAnsi="Barlow" w:cs="Arial"/>
                <w:b/>
                <w:bCs/>
                <w:color w:val="000000"/>
                <w:sz w:val="20"/>
                <w:szCs w:val="20"/>
                <w:lang w:eastAsia="es-MX"/>
              </w:rPr>
            </w:pPr>
            <w:r w:rsidRPr="00DC37D6">
              <w:rPr>
                <w:rFonts w:ascii="Barlow" w:hAnsi="Barlow" w:cs="Arial"/>
                <w:b/>
                <w:bCs/>
                <w:color w:val="000000"/>
                <w:sz w:val="20"/>
                <w:szCs w:val="20"/>
                <w:lang w:eastAsia="es-MX"/>
              </w:rPr>
              <w:t>TOTAL</w:t>
            </w:r>
          </w:p>
        </w:tc>
        <w:tc>
          <w:tcPr>
            <w:tcW w:w="1973" w:type="dxa"/>
            <w:tcBorders>
              <w:top w:val="nil"/>
              <w:left w:val="nil"/>
              <w:bottom w:val="single" w:sz="8" w:space="0" w:color="auto"/>
              <w:right w:val="single" w:sz="8" w:space="0" w:color="auto"/>
            </w:tcBorders>
            <w:shd w:val="clear" w:color="000000" w:fill="9BBB59"/>
            <w:vAlign w:val="center"/>
            <w:hideMark/>
          </w:tcPr>
          <w:p w14:paraId="03BDB4BF" w14:textId="26C0AF6C" w:rsidR="00D83C5A" w:rsidRPr="00DC37D6" w:rsidRDefault="00D83C5A" w:rsidP="007D1B33">
            <w:pPr>
              <w:jc w:val="right"/>
              <w:rPr>
                <w:rFonts w:ascii="Barlow" w:hAnsi="Barlow" w:cs="Arial"/>
                <w:b/>
                <w:bCs/>
                <w:color w:val="000000"/>
                <w:sz w:val="20"/>
                <w:szCs w:val="20"/>
                <w:lang w:eastAsia="es-MX"/>
              </w:rPr>
            </w:pPr>
            <w:r w:rsidRPr="00DC37D6">
              <w:rPr>
                <w:rFonts w:ascii="Barlow" w:hAnsi="Barlow" w:cs="Arial"/>
                <w:b/>
                <w:bCs/>
                <w:color w:val="000000"/>
                <w:sz w:val="20"/>
                <w:szCs w:val="20"/>
                <w:lang w:eastAsia="es-MX"/>
              </w:rPr>
              <w:t>$</w:t>
            </w:r>
            <w:r w:rsidR="007D1B33" w:rsidRPr="00DC37D6">
              <w:rPr>
                <w:rFonts w:ascii="Barlow" w:hAnsi="Barlow" w:cs="Arial"/>
                <w:b/>
                <w:bCs/>
                <w:color w:val="000000"/>
                <w:sz w:val="20"/>
                <w:szCs w:val="20"/>
                <w:lang w:eastAsia="es-MX"/>
              </w:rPr>
              <w:t>573</w:t>
            </w:r>
            <w:r w:rsidRPr="00DC37D6">
              <w:rPr>
                <w:rFonts w:ascii="Barlow" w:hAnsi="Barlow" w:cs="Arial"/>
                <w:b/>
                <w:bCs/>
                <w:color w:val="000000"/>
                <w:sz w:val="20"/>
                <w:szCs w:val="20"/>
                <w:lang w:eastAsia="es-MX"/>
              </w:rPr>
              <w:t>,</w:t>
            </w:r>
            <w:r w:rsidR="007D1B33" w:rsidRPr="00DC37D6">
              <w:rPr>
                <w:rFonts w:ascii="Barlow" w:hAnsi="Barlow" w:cs="Arial"/>
                <w:b/>
                <w:bCs/>
                <w:color w:val="000000"/>
                <w:sz w:val="20"/>
                <w:szCs w:val="20"/>
                <w:lang w:eastAsia="es-MX"/>
              </w:rPr>
              <w:t>100</w:t>
            </w:r>
            <w:r w:rsidRPr="00DC37D6">
              <w:rPr>
                <w:rFonts w:ascii="Barlow" w:hAnsi="Barlow" w:cs="Arial"/>
                <w:b/>
                <w:bCs/>
                <w:color w:val="000000"/>
                <w:sz w:val="20"/>
                <w:szCs w:val="20"/>
                <w:lang w:eastAsia="es-MX"/>
              </w:rPr>
              <w:t>.</w:t>
            </w:r>
            <w:r w:rsidR="007D1B33" w:rsidRPr="00DC37D6">
              <w:rPr>
                <w:rFonts w:ascii="Barlow" w:hAnsi="Barlow" w:cs="Arial"/>
                <w:b/>
                <w:bCs/>
                <w:color w:val="000000"/>
                <w:sz w:val="20"/>
                <w:szCs w:val="20"/>
                <w:lang w:eastAsia="es-MX"/>
              </w:rPr>
              <w:t>59</w:t>
            </w:r>
          </w:p>
        </w:tc>
      </w:tr>
    </w:tbl>
    <w:p w14:paraId="59351472" w14:textId="1D706772" w:rsidR="00A578A6" w:rsidRPr="00DC37D6" w:rsidRDefault="00A578A6" w:rsidP="00D83C5A">
      <w:pPr>
        <w:autoSpaceDE w:val="0"/>
        <w:autoSpaceDN w:val="0"/>
        <w:adjustRightInd w:val="0"/>
        <w:spacing w:line="360" w:lineRule="auto"/>
        <w:jc w:val="center"/>
        <w:rPr>
          <w:rFonts w:ascii="Barlow" w:hAnsi="Barlow" w:cs="Arial"/>
          <w:b/>
          <w:sz w:val="20"/>
          <w:szCs w:val="20"/>
        </w:rPr>
      </w:pPr>
    </w:p>
    <w:p w14:paraId="7C3D3982" w14:textId="63DF4328" w:rsidR="00526302" w:rsidRPr="00DC37D6" w:rsidRDefault="00526302" w:rsidP="00C4137E">
      <w:pPr>
        <w:autoSpaceDE w:val="0"/>
        <w:autoSpaceDN w:val="0"/>
        <w:adjustRightInd w:val="0"/>
        <w:spacing w:line="360" w:lineRule="auto"/>
        <w:jc w:val="both"/>
        <w:rPr>
          <w:rFonts w:ascii="Barlow" w:hAnsi="Barlow" w:cs="Arial"/>
          <w:sz w:val="20"/>
          <w:szCs w:val="20"/>
        </w:rPr>
      </w:pPr>
      <w:r w:rsidRPr="00DC37D6">
        <w:rPr>
          <w:rFonts w:ascii="Barlow" w:hAnsi="Barlow" w:cs="Arial"/>
          <w:bCs/>
          <w:sz w:val="20"/>
          <w:szCs w:val="20"/>
        </w:rPr>
        <w:lastRenderedPageBreak/>
        <w:t xml:space="preserve">2.- </w:t>
      </w:r>
      <w:r w:rsidRPr="00DC37D6">
        <w:rPr>
          <w:rFonts w:ascii="Barlow" w:hAnsi="Barlow" w:cs="Arial"/>
          <w:sz w:val="20"/>
          <w:szCs w:val="20"/>
        </w:rPr>
        <w:t>La Secretaría Ejecutiva del Sistema Estatal Anticorrupción no cuenta con Bienes en Fondo de Terceros.</w:t>
      </w:r>
    </w:p>
    <w:p w14:paraId="07204A59" w14:textId="77777777" w:rsidR="00E328EF" w:rsidRPr="00DC37D6" w:rsidRDefault="00E328EF" w:rsidP="00C4137E">
      <w:pPr>
        <w:autoSpaceDE w:val="0"/>
        <w:autoSpaceDN w:val="0"/>
        <w:adjustRightInd w:val="0"/>
        <w:spacing w:line="360" w:lineRule="auto"/>
        <w:jc w:val="both"/>
        <w:rPr>
          <w:rFonts w:ascii="Barlow" w:hAnsi="Barlow" w:cs="Arial"/>
          <w:sz w:val="20"/>
          <w:szCs w:val="20"/>
        </w:rPr>
      </w:pPr>
    </w:p>
    <w:p w14:paraId="5B90CA38" w14:textId="486E96A7" w:rsidR="00E328EF" w:rsidRPr="00DC37D6" w:rsidRDefault="00526302" w:rsidP="00C4137E">
      <w:pPr>
        <w:autoSpaceDE w:val="0"/>
        <w:autoSpaceDN w:val="0"/>
        <w:adjustRightInd w:val="0"/>
        <w:spacing w:line="360" w:lineRule="auto"/>
        <w:jc w:val="both"/>
        <w:rPr>
          <w:rFonts w:ascii="Barlow" w:hAnsi="Barlow" w:cs="Arial"/>
          <w:b/>
          <w:sz w:val="20"/>
          <w:szCs w:val="20"/>
        </w:rPr>
      </w:pPr>
      <w:r w:rsidRPr="00DC37D6">
        <w:rPr>
          <w:rFonts w:ascii="Barlow" w:hAnsi="Barlow" w:cs="Arial"/>
          <w:sz w:val="20"/>
          <w:szCs w:val="20"/>
        </w:rPr>
        <w:t>3.- La Secretaría Ejecutiva del Sistema Estatal Anticorrupción no cuenta con Pasivos Diferidos.</w:t>
      </w:r>
    </w:p>
    <w:p w14:paraId="41B06099" w14:textId="2DC5E994" w:rsidR="002C6FDE" w:rsidRPr="00DC37D6" w:rsidRDefault="00455288" w:rsidP="00C4137E">
      <w:pPr>
        <w:autoSpaceDE w:val="0"/>
        <w:autoSpaceDN w:val="0"/>
        <w:adjustRightInd w:val="0"/>
        <w:spacing w:line="360" w:lineRule="auto"/>
        <w:jc w:val="both"/>
        <w:rPr>
          <w:rFonts w:ascii="Barlow" w:hAnsi="Barlow" w:cs="Arial"/>
          <w:b/>
          <w:sz w:val="20"/>
          <w:szCs w:val="20"/>
        </w:rPr>
      </w:pPr>
      <w:r w:rsidRPr="00DC37D6">
        <w:rPr>
          <w:rFonts w:ascii="Barlow" w:hAnsi="Barlow" w:cs="Arial"/>
          <w:b/>
          <w:sz w:val="20"/>
          <w:szCs w:val="20"/>
        </w:rPr>
        <w:t>II) NOTAS AL ESTADO DE ACTIVIDADES</w:t>
      </w:r>
    </w:p>
    <w:p w14:paraId="1C9EA710" w14:textId="77777777" w:rsidR="00AE56E0" w:rsidRPr="00DC37D6" w:rsidRDefault="00AE56E0" w:rsidP="00C4137E">
      <w:pPr>
        <w:autoSpaceDE w:val="0"/>
        <w:autoSpaceDN w:val="0"/>
        <w:adjustRightInd w:val="0"/>
        <w:spacing w:line="360" w:lineRule="auto"/>
        <w:jc w:val="both"/>
        <w:rPr>
          <w:rFonts w:ascii="Barlow" w:hAnsi="Barlow" w:cs="Arial"/>
          <w:b/>
          <w:sz w:val="20"/>
          <w:szCs w:val="20"/>
        </w:rPr>
      </w:pPr>
    </w:p>
    <w:p w14:paraId="30D09A1A" w14:textId="188B298E" w:rsidR="0048331C" w:rsidRPr="00DC37D6" w:rsidRDefault="00F67ABD" w:rsidP="00C4137E">
      <w:pPr>
        <w:autoSpaceDE w:val="0"/>
        <w:autoSpaceDN w:val="0"/>
        <w:adjustRightInd w:val="0"/>
        <w:spacing w:line="360" w:lineRule="auto"/>
        <w:jc w:val="both"/>
        <w:rPr>
          <w:rFonts w:ascii="Barlow" w:hAnsi="Barlow" w:cs="Arial"/>
          <w:b/>
          <w:sz w:val="20"/>
          <w:szCs w:val="20"/>
        </w:rPr>
      </w:pPr>
      <w:r w:rsidRPr="00DC37D6">
        <w:rPr>
          <w:rFonts w:ascii="Barlow" w:hAnsi="Barlow" w:cs="Arial"/>
          <w:b/>
          <w:sz w:val="20"/>
          <w:szCs w:val="20"/>
        </w:rPr>
        <w:t>Ingresos de Gestión</w:t>
      </w:r>
      <w:r w:rsidR="001E4DA7" w:rsidRPr="00DC37D6">
        <w:rPr>
          <w:rFonts w:ascii="Barlow" w:hAnsi="Barlow" w:cs="Arial"/>
          <w:b/>
          <w:sz w:val="20"/>
          <w:szCs w:val="20"/>
        </w:rPr>
        <w:t xml:space="preserve"> </w:t>
      </w:r>
    </w:p>
    <w:p w14:paraId="2BFEE259" w14:textId="7A5E5951" w:rsidR="003B2B5E" w:rsidRPr="00DC37D6" w:rsidRDefault="00FD0761" w:rsidP="003B2B5E">
      <w:pPr>
        <w:jc w:val="both"/>
        <w:rPr>
          <w:rFonts w:ascii="Barlow" w:hAnsi="Barlow" w:cs="Arial"/>
          <w:b/>
          <w:bCs/>
          <w:sz w:val="20"/>
          <w:szCs w:val="20"/>
          <w:lang w:eastAsia="es-MX"/>
        </w:rPr>
      </w:pPr>
      <w:r w:rsidRPr="00DC37D6">
        <w:rPr>
          <w:rFonts w:ascii="Barlow" w:hAnsi="Barlow" w:cs="Arial"/>
          <w:sz w:val="20"/>
          <w:szCs w:val="20"/>
        </w:rPr>
        <w:t xml:space="preserve">El monto de los ingresos reflejados en dicho estado, representan las aportaciones estatales, los ingresos propios ordinarios y extraordinarios de la Entidad los cuales </w:t>
      </w:r>
      <w:r w:rsidR="00171882" w:rsidRPr="00DC37D6">
        <w:rPr>
          <w:rFonts w:ascii="Barlow" w:hAnsi="Barlow" w:cs="Arial"/>
          <w:sz w:val="20"/>
          <w:szCs w:val="20"/>
        </w:rPr>
        <w:t xml:space="preserve">al </w:t>
      </w:r>
      <w:r w:rsidR="003C4EDA" w:rsidRPr="00DC37D6">
        <w:rPr>
          <w:rFonts w:ascii="Barlow" w:hAnsi="Barlow" w:cs="Arial"/>
          <w:sz w:val="20"/>
          <w:szCs w:val="20"/>
        </w:rPr>
        <w:t>31</w:t>
      </w:r>
      <w:r w:rsidR="00F220BA" w:rsidRPr="00DC37D6">
        <w:rPr>
          <w:rFonts w:ascii="Barlow" w:hAnsi="Barlow" w:cs="Arial"/>
          <w:sz w:val="20"/>
          <w:szCs w:val="20"/>
        </w:rPr>
        <w:t xml:space="preserve"> </w:t>
      </w:r>
      <w:r w:rsidR="00171882" w:rsidRPr="00DC37D6">
        <w:rPr>
          <w:rFonts w:ascii="Barlow" w:hAnsi="Barlow" w:cs="Arial"/>
          <w:sz w:val="20"/>
          <w:szCs w:val="20"/>
        </w:rPr>
        <w:t xml:space="preserve">de </w:t>
      </w:r>
      <w:r w:rsidR="003C4EDA" w:rsidRPr="00DC37D6">
        <w:rPr>
          <w:rFonts w:ascii="Barlow" w:hAnsi="Barlow" w:cs="Arial"/>
          <w:sz w:val="20"/>
          <w:szCs w:val="20"/>
        </w:rPr>
        <w:t>marz</w:t>
      </w:r>
      <w:r w:rsidR="00A045DE" w:rsidRPr="00DC37D6">
        <w:rPr>
          <w:rFonts w:ascii="Barlow" w:hAnsi="Barlow" w:cs="Arial"/>
          <w:sz w:val="20"/>
          <w:szCs w:val="20"/>
        </w:rPr>
        <w:t>o</w:t>
      </w:r>
      <w:r w:rsidR="00171882" w:rsidRPr="00DC37D6">
        <w:rPr>
          <w:rFonts w:ascii="Barlow" w:hAnsi="Barlow" w:cs="Arial"/>
          <w:sz w:val="20"/>
          <w:szCs w:val="20"/>
        </w:rPr>
        <w:t xml:space="preserve"> de 202</w:t>
      </w:r>
      <w:r w:rsidR="00A045DE" w:rsidRPr="00DC37D6">
        <w:rPr>
          <w:rFonts w:ascii="Barlow" w:hAnsi="Barlow" w:cs="Arial"/>
          <w:sz w:val="20"/>
          <w:szCs w:val="20"/>
        </w:rPr>
        <w:t>2</w:t>
      </w:r>
      <w:r w:rsidR="00171882" w:rsidRPr="00DC37D6">
        <w:rPr>
          <w:rFonts w:ascii="Barlow" w:hAnsi="Barlow" w:cs="Arial"/>
          <w:sz w:val="20"/>
          <w:szCs w:val="20"/>
        </w:rPr>
        <w:t xml:space="preserve"> </w:t>
      </w:r>
      <w:r w:rsidR="009C7500" w:rsidRPr="00DC37D6">
        <w:rPr>
          <w:rFonts w:ascii="Barlow" w:hAnsi="Barlow" w:cs="Arial"/>
          <w:sz w:val="20"/>
          <w:szCs w:val="20"/>
        </w:rPr>
        <w:t xml:space="preserve">ascienden a un total de </w:t>
      </w:r>
      <w:r w:rsidR="009C7500" w:rsidRPr="00DC37D6">
        <w:rPr>
          <w:rFonts w:ascii="Barlow" w:hAnsi="Barlow" w:cs="Arial"/>
          <w:b/>
          <w:bCs/>
          <w:sz w:val="20"/>
          <w:szCs w:val="20"/>
        </w:rPr>
        <w:t>$</w:t>
      </w:r>
      <w:r w:rsidR="003C4EDA" w:rsidRPr="00DC37D6">
        <w:rPr>
          <w:rFonts w:ascii="Barlow" w:hAnsi="Barlow" w:cs="Arial"/>
          <w:b/>
          <w:bCs/>
          <w:sz w:val="20"/>
          <w:szCs w:val="20"/>
        </w:rPr>
        <w:t>3</w:t>
      </w:r>
      <w:r w:rsidR="00691EA2" w:rsidRPr="00DC37D6">
        <w:rPr>
          <w:rFonts w:ascii="Barlow" w:hAnsi="Barlow" w:cs="Arial"/>
          <w:b/>
          <w:bCs/>
          <w:sz w:val="20"/>
          <w:szCs w:val="20"/>
          <w:lang w:eastAsia="es-MX"/>
        </w:rPr>
        <w:t>,</w:t>
      </w:r>
      <w:r w:rsidR="003C4EDA" w:rsidRPr="00DC37D6">
        <w:rPr>
          <w:rFonts w:ascii="Barlow" w:hAnsi="Barlow" w:cs="Arial"/>
          <w:b/>
          <w:bCs/>
          <w:sz w:val="20"/>
          <w:szCs w:val="20"/>
          <w:lang w:eastAsia="es-MX"/>
        </w:rPr>
        <w:t>752</w:t>
      </w:r>
      <w:r w:rsidR="00691EA2" w:rsidRPr="00DC37D6">
        <w:rPr>
          <w:rFonts w:ascii="Barlow" w:hAnsi="Barlow" w:cs="Arial"/>
          <w:b/>
          <w:bCs/>
          <w:sz w:val="20"/>
          <w:szCs w:val="20"/>
          <w:lang w:eastAsia="es-MX"/>
        </w:rPr>
        <w:t>,</w:t>
      </w:r>
      <w:r w:rsidR="003C4EDA" w:rsidRPr="00DC37D6">
        <w:rPr>
          <w:rFonts w:ascii="Barlow" w:hAnsi="Barlow" w:cs="Arial"/>
          <w:b/>
          <w:bCs/>
          <w:sz w:val="20"/>
          <w:szCs w:val="20"/>
          <w:lang w:eastAsia="es-MX"/>
        </w:rPr>
        <w:t>336</w:t>
      </w:r>
      <w:r w:rsidR="00691EA2" w:rsidRPr="00DC37D6">
        <w:rPr>
          <w:rFonts w:ascii="Barlow" w:hAnsi="Barlow" w:cs="Arial"/>
          <w:b/>
          <w:bCs/>
          <w:sz w:val="20"/>
          <w:szCs w:val="20"/>
          <w:lang w:eastAsia="es-MX"/>
        </w:rPr>
        <w:t>.</w:t>
      </w:r>
      <w:r w:rsidR="003C4EDA" w:rsidRPr="00DC37D6">
        <w:rPr>
          <w:rFonts w:ascii="Barlow" w:hAnsi="Barlow" w:cs="Arial"/>
          <w:b/>
          <w:bCs/>
          <w:sz w:val="20"/>
          <w:szCs w:val="20"/>
          <w:lang w:eastAsia="es-MX"/>
        </w:rPr>
        <w:t>31</w:t>
      </w:r>
    </w:p>
    <w:p w14:paraId="260825F4" w14:textId="77777777" w:rsidR="00FD0761" w:rsidRPr="00DC37D6" w:rsidRDefault="00FD0761" w:rsidP="00C4137E">
      <w:pPr>
        <w:autoSpaceDE w:val="0"/>
        <w:autoSpaceDN w:val="0"/>
        <w:adjustRightInd w:val="0"/>
        <w:spacing w:line="360" w:lineRule="auto"/>
        <w:jc w:val="both"/>
        <w:rPr>
          <w:rFonts w:ascii="Barlow" w:hAnsi="Barlow" w:cs="Arial"/>
          <w:b/>
          <w:sz w:val="20"/>
          <w:szCs w:val="20"/>
        </w:rPr>
      </w:pPr>
    </w:p>
    <w:p w14:paraId="4BE99657" w14:textId="42545729" w:rsidR="00455288" w:rsidRPr="00DC37D6" w:rsidRDefault="00455288" w:rsidP="00640D59">
      <w:pPr>
        <w:autoSpaceDE w:val="0"/>
        <w:autoSpaceDN w:val="0"/>
        <w:adjustRightInd w:val="0"/>
        <w:spacing w:line="360" w:lineRule="auto"/>
        <w:jc w:val="both"/>
        <w:rPr>
          <w:rFonts w:ascii="Barlow" w:hAnsi="Barlow" w:cs="Arial"/>
          <w:bCs/>
          <w:sz w:val="20"/>
          <w:szCs w:val="20"/>
        </w:rPr>
      </w:pPr>
      <w:r w:rsidRPr="00DC37D6">
        <w:rPr>
          <w:rFonts w:ascii="Barlow" w:hAnsi="Barlow" w:cs="Arial"/>
          <w:bCs/>
          <w:sz w:val="20"/>
          <w:szCs w:val="20"/>
        </w:rPr>
        <w:t xml:space="preserve">1.- </w:t>
      </w:r>
      <w:r w:rsidR="00036FF4" w:rsidRPr="00DC37D6">
        <w:rPr>
          <w:rFonts w:ascii="Barlow" w:hAnsi="Barlow" w:cs="Arial"/>
          <w:bCs/>
          <w:sz w:val="20"/>
          <w:szCs w:val="20"/>
        </w:rPr>
        <w:t xml:space="preserve">Los ingresos </w:t>
      </w:r>
      <w:r w:rsidR="001E4DA7" w:rsidRPr="00DC37D6">
        <w:rPr>
          <w:rFonts w:ascii="Barlow" w:hAnsi="Barlow" w:cs="Arial"/>
          <w:bCs/>
          <w:sz w:val="20"/>
          <w:szCs w:val="20"/>
        </w:rPr>
        <w:t xml:space="preserve">de gestión </w:t>
      </w:r>
      <w:r w:rsidR="00036FF4" w:rsidRPr="00DC37D6">
        <w:rPr>
          <w:rFonts w:ascii="Barlow" w:hAnsi="Barlow" w:cs="Arial"/>
          <w:bCs/>
          <w:sz w:val="20"/>
          <w:szCs w:val="20"/>
        </w:rPr>
        <w:t xml:space="preserve">se </w:t>
      </w:r>
      <w:r w:rsidR="00B151AE" w:rsidRPr="00DC37D6">
        <w:rPr>
          <w:rFonts w:ascii="Barlow" w:hAnsi="Barlow" w:cs="Arial"/>
          <w:bCs/>
          <w:sz w:val="20"/>
          <w:szCs w:val="20"/>
        </w:rPr>
        <w:t>integran como</w:t>
      </w:r>
      <w:r w:rsidR="00036FF4" w:rsidRPr="00DC37D6">
        <w:rPr>
          <w:rFonts w:ascii="Barlow" w:hAnsi="Barlow" w:cs="Arial"/>
          <w:bCs/>
          <w:sz w:val="20"/>
          <w:szCs w:val="20"/>
        </w:rPr>
        <w:t xml:space="preserve"> se detalla a continuación</w:t>
      </w:r>
      <w:r w:rsidRPr="00DC37D6">
        <w:rPr>
          <w:rFonts w:ascii="Barlow" w:hAnsi="Barlow" w:cs="Arial"/>
          <w:bCs/>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5"/>
        <w:gridCol w:w="2867"/>
      </w:tblGrid>
      <w:tr w:rsidR="00C9717D" w:rsidRPr="00DC37D6" w14:paraId="3B2C8D31" w14:textId="57735917" w:rsidTr="00C9717D">
        <w:trPr>
          <w:jc w:val="center"/>
        </w:trPr>
        <w:tc>
          <w:tcPr>
            <w:tcW w:w="10881" w:type="dxa"/>
            <w:shd w:val="clear" w:color="auto" w:fill="9BBB59" w:themeFill="accent3"/>
          </w:tcPr>
          <w:p w14:paraId="4225B20E" w14:textId="3C09344B" w:rsidR="00C9717D" w:rsidRPr="00DC37D6" w:rsidRDefault="00C9717D" w:rsidP="00C4137E">
            <w:pPr>
              <w:autoSpaceDE w:val="0"/>
              <w:autoSpaceDN w:val="0"/>
              <w:adjustRightInd w:val="0"/>
              <w:spacing w:line="360" w:lineRule="auto"/>
              <w:jc w:val="both"/>
              <w:rPr>
                <w:rFonts w:ascii="Barlow" w:hAnsi="Barlow" w:cs="Arial"/>
                <w:b/>
                <w:bCs/>
                <w:sz w:val="20"/>
                <w:szCs w:val="20"/>
              </w:rPr>
            </w:pPr>
            <w:bookmarkStart w:id="9" w:name="m12"/>
            <w:bookmarkEnd w:id="9"/>
            <w:r w:rsidRPr="00DC37D6">
              <w:rPr>
                <w:rFonts w:ascii="Barlow" w:hAnsi="Barlow" w:cs="Arial"/>
                <w:b/>
                <w:bCs/>
                <w:sz w:val="20"/>
                <w:szCs w:val="20"/>
              </w:rPr>
              <w:t xml:space="preserve">INGRESOS </w:t>
            </w:r>
            <w:r w:rsidR="008F1B71" w:rsidRPr="00DC37D6">
              <w:rPr>
                <w:rFonts w:ascii="Barlow" w:hAnsi="Barlow" w:cs="Arial"/>
                <w:b/>
                <w:bCs/>
                <w:sz w:val="20"/>
                <w:szCs w:val="20"/>
              </w:rPr>
              <w:t>DE GESTIÓN</w:t>
            </w:r>
          </w:p>
        </w:tc>
        <w:tc>
          <w:tcPr>
            <w:tcW w:w="2907" w:type="dxa"/>
            <w:shd w:val="clear" w:color="auto" w:fill="9BBB59" w:themeFill="accent3"/>
          </w:tcPr>
          <w:p w14:paraId="7F2DB067" w14:textId="77777777" w:rsidR="00C9717D" w:rsidRPr="00DC37D6" w:rsidRDefault="00C9717D" w:rsidP="00C4137E">
            <w:pPr>
              <w:autoSpaceDE w:val="0"/>
              <w:autoSpaceDN w:val="0"/>
              <w:adjustRightInd w:val="0"/>
              <w:spacing w:line="360" w:lineRule="auto"/>
              <w:jc w:val="both"/>
              <w:rPr>
                <w:rFonts w:ascii="Barlow" w:hAnsi="Barlow" w:cs="Arial"/>
                <w:b/>
                <w:bCs/>
                <w:sz w:val="20"/>
                <w:szCs w:val="20"/>
              </w:rPr>
            </w:pPr>
          </w:p>
        </w:tc>
      </w:tr>
      <w:tr w:rsidR="00E921BE" w:rsidRPr="00DC37D6" w14:paraId="5A40F375" w14:textId="49BCEA9C" w:rsidTr="009F5565">
        <w:trPr>
          <w:jc w:val="center"/>
        </w:trPr>
        <w:tc>
          <w:tcPr>
            <w:tcW w:w="10881" w:type="dxa"/>
            <w:shd w:val="clear" w:color="auto" w:fill="auto"/>
          </w:tcPr>
          <w:p w14:paraId="05EC6DE7" w14:textId="7E46F79F" w:rsidR="00E921BE" w:rsidRPr="00DC37D6" w:rsidRDefault="00E921BE" w:rsidP="00E921BE">
            <w:pPr>
              <w:autoSpaceDE w:val="0"/>
              <w:autoSpaceDN w:val="0"/>
              <w:adjustRightInd w:val="0"/>
              <w:spacing w:line="360" w:lineRule="auto"/>
              <w:rPr>
                <w:rFonts w:ascii="Barlow" w:hAnsi="Barlow" w:cs="Arial"/>
                <w:bCs/>
                <w:sz w:val="20"/>
                <w:szCs w:val="20"/>
              </w:rPr>
            </w:pPr>
            <w:r w:rsidRPr="00DC37D6">
              <w:rPr>
                <w:rFonts w:ascii="Barlow" w:hAnsi="Barlow" w:cs="Arial"/>
                <w:bCs/>
                <w:sz w:val="20"/>
                <w:szCs w:val="20"/>
              </w:rPr>
              <w:t xml:space="preserve">PRODUCTOS DE TIPO CORRIENTE </w:t>
            </w:r>
            <w:r w:rsidRPr="00DC37D6">
              <w:rPr>
                <w:rFonts w:ascii="Barlow" w:hAnsi="Barlow" w:cs="Arial"/>
                <w:b/>
                <w:i/>
                <w:iCs/>
                <w:sz w:val="20"/>
                <w:szCs w:val="20"/>
              </w:rPr>
              <w:t>(Intereses ganados en cuentas bancarias).</w:t>
            </w:r>
          </w:p>
        </w:tc>
        <w:tc>
          <w:tcPr>
            <w:tcW w:w="2907" w:type="dxa"/>
          </w:tcPr>
          <w:p w14:paraId="6F813850" w14:textId="1B1C0A3D" w:rsidR="00E921BE" w:rsidRPr="00DC37D6" w:rsidRDefault="00E921BE" w:rsidP="00AF3DFB">
            <w:pPr>
              <w:autoSpaceDE w:val="0"/>
              <w:autoSpaceDN w:val="0"/>
              <w:adjustRightInd w:val="0"/>
              <w:spacing w:line="360" w:lineRule="auto"/>
              <w:jc w:val="right"/>
              <w:rPr>
                <w:rFonts w:ascii="Barlow" w:hAnsi="Barlow" w:cs="Arial"/>
                <w:bCs/>
                <w:sz w:val="20"/>
                <w:szCs w:val="20"/>
              </w:rPr>
            </w:pPr>
            <w:r w:rsidRPr="00DC37D6">
              <w:rPr>
                <w:rFonts w:ascii="Barlow" w:hAnsi="Barlow" w:cs="Arial"/>
                <w:bCs/>
                <w:sz w:val="20"/>
                <w:szCs w:val="20"/>
              </w:rPr>
              <w:t>$</w:t>
            </w:r>
            <w:r w:rsidR="003C4EDA" w:rsidRPr="00DC37D6">
              <w:rPr>
                <w:rFonts w:ascii="Barlow" w:hAnsi="Barlow" w:cs="Arial"/>
                <w:bCs/>
                <w:sz w:val="20"/>
                <w:szCs w:val="20"/>
              </w:rPr>
              <w:t>563</w:t>
            </w:r>
            <w:r w:rsidRPr="00DC37D6">
              <w:rPr>
                <w:rFonts w:ascii="Barlow" w:hAnsi="Barlow" w:cs="Arial"/>
                <w:bCs/>
                <w:sz w:val="20"/>
                <w:szCs w:val="20"/>
              </w:rPr>
              <w:t>.</w:t>
            </w:r>
            <w:r w:rsidR="003C4EDA" w:rsidRPr="00DC37D6">
              <w:rPr>
                <w:rFonts w:ascii="Barlow" w:hAnsi="Barlow" w:cs="Arial"/>
                <w:bCs/>
                <w:sz w:val="20"/>
                <w:szCs w:val="20"/>
              </w:rPr>
              <w:t>31</w:t>
            </w:r>
          </w:p>
        </w:tc>
      </w:tr>
      <w:tr w:rsidR="00E921BE" w:rsidRPr="00DC37D6" w14:paraId="491857FD" w14:textId="43154345" w:rsidTr="009F5565">
        <w:trPr>
          <w:jc w:val="center"/>
        </w:trPr>
        <w:tc>
          <w:tcPr>
            <w:tcW w:w="10881" w:type="dxa"/>
            <w:shd w:val="clear" w:color="auto" w:fill="9BBB59" w:themeFill="accent3"/>
          </w:tcPr>
          <w:p w14:paraId="7316B485" w14:textId="5CAEC6D6" w:rsidR="00E921BE" w:rsidRPr="00DC37D6" w:rsidRDefault="00E921BE" w:rsidP="006C1DD6">
            <w:pPr>
              <w:autoSpaceDE w:val="0"/>
              <w:autoSpaceDN w:val="0"/>
              <w:adjustRightInd w:val="0"/>
              <w:spacing w:line="360" w:lineRule="auto"/>
              <w:jc w:val="center"/>
              <w:rPr>
                <w:rFonts w:ascii="Barlow" w:hAnsi="Barlow" w:cs="Arial"/>
                <w:bCs/>
                <w:sz w:val="20"/>
                <w:szCs w:val="20"/>
              </w:rPr>
            </w:pPr>
            <w:r w:rsidRPr="00DC37D6">
              <w:rPr>
                <w:rFonts w:ascii="Barlow" w:hAnsi="Barlow" w:cs="Arial"/>
                <w:b/>
                <w:bCs/>
                <w:sz w:val="20"/>
                <w:szCs w:val="20"/>
              </w:rPr>
              <w:t>TOTAL</w:t>
            </w:r>
          </w:p>
        </w:tc>
        <w:tc>
          <w:tcPr>
            <w:tcW w:w="2907" w:type="dxa"/>
            <w:shd w:val="clear" w:color="auto" w:fill="9BBB59" w:themeFill="accent3"/>
          </w:tcPr>
          <w:p w14:paraId="21C29672" w14:textId="272B8BD2" w:rsidR="00E921BE" w:rsidRPr="00DC37D6" w:rsidRDefault="00E921BE" w:rsidP="00AF3DFB">
            <w:pPr>
              <w:autoSpaceDE w:val="0"/>
              <w:autoSpaceDN w:val="0"/>
              <w:adjustRightInd w:val="0"/>
              <w:spacing w:line="360" w:lineRule="auto"/>
              <w:jc w:val="right"/>
              <w:rPr>
                <w:rFonts w:ascii="Barlow" w:hAnsi="Barlow" w:cs="Arial"/>
                <w:b/>
                <w:bCs/>
                <w:sz w:val="20"/>
                <w:szCs w:val="20"/>
              </w:rPr>
            </w:pPr>
            <w:r w:rsidRPr="00DC37D6">
              <w:rPr>
                <w:rFonts w:ascii="Barlow" w:hAnsi="Barlow" w:cs="Arial"/>
                <w:b/>
                <w:bCs/>
                <w:sz w:val="20"/>
                <w:szCs w:val="20"/>
              </w:rPr>
              <w:t>$</w:t>
            </w:r>
            <w:r w:rsidR="003C4EDA" w:rsidRPr="00DC37D6">
              <w:rPr>
                <w:rFonts w:ascii="Barlow" w:hAnsi="Barlow" w:cs="Arial"/>
                <w:b/>
                <w:bCs/>
                <w:sz w:val="20"/>
                <w:szCs w:val="20"/>
              </w:rPr>
              <w:t>563</w:t>
            </w:r>
            <w:r w:rsidR="000C7C9B" w:rsidRPr="00DC37D6">
              <w:rPr>
                <w:rFonts w:ascii="Barlow" w:hAnsi="Barlow" w:cs="Arial"/>
                <w:b/>
                <w:bCs/>
                <w:sz w:val="20"/>
                <w:szCs w:val="20"/>
              </w:rPr>
              <w:t>.</w:t>
            </w:r>
            <w:r w:rsidR="003C4EDA" w:rsidRPr="00DC37D6">
              <w:rPr>
                <w:rFonts w:ascii="Barlow" w:hAnsi="Barlow" w:cs="Arial"/>
                <w:b/>
                <w:bCs/>
                <w:sz w:val="20"/>
                <w:szCs w:val="20"/>
              </w:rPr>
              <w:t>31</w:t>
            </w:r>
          </w:p>
        </w:tc>
      </w:tr>
    </w:tbl>
    <w:p w14:paraId="01A75DEB" w14:textId="77777777" w:rsidR="006C6095" w:rsidRPr="00DC37D6" w:rsidRDefault="006C6095" w:rsidP="00C4137E">
      <w:pPr>
        <w:autoSpaceDE w:val="0"/>
        <w:autoSpaceDN w:val="0"/>
        <w:adjustRightInd w:val="0"/>
        <w:spacing w:line="360" w:lineRule="auto"/>
        <w:jc w:val="both"/>
        <w:rPr>
          <w:rFonts w:ascii="Barlow" w:hAnsi="Barlow" w:cs="Arial"/>
          <w:b/>
          <w:sz w:val="20"/>
          <w:szCs w:val="20"/>
        </w:rPr>
      </w:pPr>
    </w:p>
    <w:p w14:paraId="35AB3050" w14:textId="49C67E8F" w:rsidR="00640D59" w:rsidRPr="00DC37D6" w:rsidRDefault="002A0480" w:rsidP="006C6095">
      <w:pPr>
        <w:autoSpaceDE w:val="0"/>
        <w:autoSpaceDN w:val="0"/>
        <w:adjustRightInd w:val="0"/>
        <w:jc w:val="both"/>
        <w:rPr>
          <w:rFonts w:ascii="Barlow" w:hAnsi="Barlow" w:cs="Arial"/>
          <w:b/>
          <w:sz w:val="20"/>
          <w:szCs w:val="20"/>
        </w:rPr>
      </w:pPr>
      <w:r w:rsidRPr="00DC37D6">
        <w:rPr>
          <w:rFonts w:ascii="Barlow" w:hAnsi="Barlow" w:cs="Arial"/>
          <w:b/>
          <w:sz w:val="20"/>
          <w:szCs w:val="20"/>
        </w:rPr>
        <w:t>Participaciones, Aportaciones, Convenios</w:t>
      </w:r>
      <w:r w:rsidR="00640D59" w:rsidRPr="00DC37D6">
        <w:rPr>
          <w:rFonts w:ascii="Barlow" w:hAnsi="Barlow" w:cs="Arial"/>
          <w:b/>
          <w:sz w:val="20"/>
          <w:szCs w:val="20"/>
        </w:rPr>
        <w:t>, incentivos derivados de la colaboración fiscal</w:t>
      </w:r>
      <w:r w:rsidR="00D15AF6" w:rsidRPr="00DC37D6">
        <w:rPr>
          <w:rFonts w:ascii="Barlow" w:hAnsi="Barlow" w:cs="Arial"/>
          <w:b/>
          <w:sz w:val="20"/>
          <w:szCs w:val="20"/>
        </w:rPr>
        <w:t>.</w:t>
      </w:r>
    </w:p>
    <w:p w14:paraId="5EF210EF" w14:textId="77777777" w:rsidR="006C6095" w:rsidRPr="00DC37D6" w:rsidRDefault="006C6095" w:rsidP="006C6095">
      <w:pPr>
        <w:autoSpaceDE w:val="0"/>
        <w:autoSpaceDN w:val="0"/>
        <w:adjustRightInd w:val="0"/>
        <w:jc w:val="both"/>
        <w:rPr>
          <w:rFonts w:ascii="Barlow" w:hAnsi="Barlow" w:cs="Arial"/>
          <w:b/>
          <w:sz w:val="20"/>
          <w:szCs w:val="20"/>
        </w:rPr>
      </w:pPr>
    </w:p>
    <w:p w14:paraId="761A3CE2" w14:textId="454A2D6B" w:rsidR="00640D59" w:rsidRPr="00DC37D6" w:rsidRDefault="00A97F8A" w:rsidP="006C6095">
      <w:pPr>
        <w:autoSpaceDE w:val="0"/>
        <w:autoSpaceDN w:val="0"/>
        <w:adjustRightInd w:val="0"/>
        <w:jc w:val="both"/>
        <w:rPr>
          <w:rFonts w:ascii="Barlow" w:hAnsi="Barlow" w:cs="Arial"/>
          <w:bCs/>
          <w:sz w:val="20"/>
          <w:szCs w:val="20"/>
        </w:rPr>
      </w:pPr>
      <w:r w:rsidRPr="00DC37D6">
        <w:rPr>
          <w:rFonts w:ascii="Barlow" w:hAnsi="Barlow" w:cs="Arial"/>
          <w:bCs/>
          <w:sz w:val="20"/>
          <w:szCs w:val="20"/>
        </w:rPr>
        <w:t>2.- Los ingresos por pa</w:t>
      </w:r>
      <w:r w:rsidR="009C7500" w:rsidRPr="00DC37D6">
        <w:rPr>
          <w:rFonts w:ascii="Barlow" w:hAnsi="Barlow" w:cs="Arial"/>
          <w:bCs/>
          <w:sz w:val="20"/>
          <w:szCs w:val="20"/>
        </w:rPr>
        <w:t>rticipaciones, asignaciones y subsidios se integran como se detalla a continuación: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7"/>
        <w:gridCol w:w="2875"/>
      </w:tblGrid>
      <w:tr w:rsidR="001E4DA7" w:rsidRPr="00DC37D6" w14:paraId="322F4300" w14:textId="77777777" w:rsidTr="009F5565">
        <w:trPr>
          <w:jc w:val="center"/>
        </w:trPr>
        <w:tc>
          <w:tcPr>
            <w:tcW w:w="10881" w:type="dxa"/>
            <w:shd w:val="clear" w:color="auto" w:fill="9BBB59" w:themeFill="accent3"/>
          </w:tcPr>
          <w:p w14:paraId="32F71401" w14:textId="1C4CF574" w:rsidR="001E4DA7" w:rsidRPr="00DC37D6" w:rsidRDefault="008F1B71" w:rsidP="009F5565">
            <w:pPr>
              <w:autoSpaceDE w:val="0"/>
              <w:autoSpaceDN w:val="0"/>
              <w:adjustRightInd w:val="0"/>
              <w:spacing w:line="360" w:lineRule="auto"/>
              <w:jc w:val="both"/>
              <w:rPr>
                <w:rFonts w:ascii="Barlow" w:hAnsi="Barlow" w:cs="Arial"/>
                <w:b/>
                <w:sz w:val="20"/>
                <w:szCs w:val="20"/>
              </w:rPr>
            </w:pPr>
            <w:r w:rsidRPr="00DC37D6">
              <w:rPr>
                <w:rFonts w:ascii="Barlow" w:hAnsi="Barlow" w:cs="Arial"/>
                <w:b/>
                <w:sz w:val="20"/>
                <w:szCs w:val="20"/>
              </w:rPr>
              <w:t>PARTICIPACIONES, APORTACIONES, CONVENIOS, INCENTIVOS</w:t>
            </w:r>
            <w:r w:rsidR="002A0480" w:rsidRPr="00DC37D6">
              <w:rPr>
                <w:rFonts w:ascii="Barlow" w:hAnsi="Barlow" w:cs="Arial"/>
                <w:b/>
                <w:sz w:val="20"/>
                <w:szCs w:val="20"/>
              </w:rPr>
              <w:t xml:space="preserve"> DERIVADOS DE COLABORACIÓN FISCAL</w:t>
            </w:r>
          </w:p>
        </w:tc>
        <w:tc>
          <w:tcPr>
            <w:tcW w:w="2907" w:type="dxa"/>
            <w:shd w:val="clear" w:color="auto" w:fill="9BBB59" w:themeFill="accent3"/>
          </w:tcPr>
          <w:p w14:paraId="4BC726FB" w14:textId="77777777" w:rsidR="001E4DA7" w:rsidRPr="00DC37D6" w:rsidRDefault="001E4DA7" w:rsidP="009F5565">
            <w:pPr>
              <w:autoSpaceDE w:val="0"/>
              <w:autoSpaceDN w:val="0"/>
              <w:adjustRightInd w:val="0"/>
              <w:spacing w:line="360" w:lineRule="auto"/>
              <w:jc w:val="both"/>
              <w:rPr>
                <w:rFonts w:ascii="Barlow" w:hAnsi="Barlow" w:cs="Arial"/>
                <w:b/>
                <w:bCs/>
                <w:sz w:val="20"/>
                <w:szCs w:val="20"/>
              </w:rPr>
            </w:pPr>
          </w:p>
        </w:tc>
      </w:tr>
      <w:tr w:rsidR="00A97F8A" w:rsidRPr="00DC37D6" w14:paraId="09C207C6" w14:textId="77777777" w:rsidTr="009F5565">
        <w:trPr>
          <w:jc w:val="center"/>
        </w:trPr>
        <w:tc>
          <w:tcPr>
            <w:tcW w:w="13788" w:type="dxa"/>
            <w:gridSpan w:val="2"/>
            <w:shd w:val="clear" w:color="auto" w:fill="auto"/>
          </w:tcPr>
          <w:p w14:paraId="074C00A9" w14:textId="634A0415" w:rsidR="00A97F8A" w:rsidRPr="00DC37D6" w:rsidRDefault="00A97F8A" w:rsidP="00A97F8A">
            <w:pPr>
              <w:autoSpaceDE w:val="0"/>
              <w:autoSpaceDN w:val="0"/>
              <w:adjustRightInd w:val="0"/>
              <w:spacing w:line="360" w:lineRule="auto"/>
              <w:rPr>
                <w:rFonts w:ascii="Barlow" w:hAnsi="Barlow" w:cs="Arial"/>
                <w:b/>
                <w:sz w:val="20"/>
                <w:szCs w:val="20"/>
              </w:rPr>
            </w:pPr>
            <w:r w:rsidRPr="00DC37D6">
              <w:rPr>
                <w:rFonts w:ascii="Barlow" w:hAnsi="Barlow" w:cs="Arial"/>
                <w:bCs/>
                <w:sz w:val="20"/>
                <w:szCs w:val="20"/>
              </w:rPr>
              <w:t>TRANSFERENCIAS, ASIGNACIONES, SUBSIDIOS Y OTRAS AYUDAS</w:t>
            </w:r>
            <w:r w:rsidRPr="00DC37D6">
              <w:rPr>
                <w:rFonts w:ascii="Barlow" w:hAnsi="Barlow" w:cs="Arial"/>
                <w:b/>
                <w:i/>
                <w:iCs/>
                <w:sz w:val="20"/>
                <w:szCs w:val="20"/>
              </w:rPr>
              <w:t xml:space="preserve"> (Transferencias de SAF)</w:t>
            </w:r>
          </w:p>
        </w:tc>
      </w:tr>
      <w:tr w:rsidR="001E4DA7" w:rsidRPr="00DC37D6" w14:paraId="537B3614" w14:textId="77777777" w:rsidTr="006C6095">
        <w:trPr>
          <w:trHeight w:val="255"/>
          <w:jc w:val="center"/>
        </w:trPr>
        <w:tc>
          <w:tcPr>
            <w:tcW w:w="10881" w:type="dxa"/>
            <w:shd w:val="clear" w:color="auto" w:fill="auto"/>
          </w:tcPr>
          <w:p w14:paraId="64EC8BA6" w14:textId="0C22FC37" w:rsidR="001E4DA7" w:rsidRPr="00DC37D6" w:rsidRDefault="006C61B0" w:rsidP="00460093">
            <w:pPr>
              <w:autoSpaceDE w:val="0"/>
              <w:autoSpaceDN w:val="0"/>
              <w:adjustRightInd w:val="0"/>
              <w:spacing w:line="360" w:lineRule="auto"/>
              <w:jc w:val="right"/>
              <w:rPr>
                <w:rFonts w:ascii="Barlow" w:hAnsi="Barlow" w:cs="Arial"/>
                <w:bCs/>
                <w:i/>
                <w:iCs/>
                <w:sz w:val="20"/>
                <w:szCs w:val="20"/>
              </w:rPr>
            </w:pPr>
            <w:r w:rsidRPr="00DC37D6">
              <w:rPr>
                <w:rFonts w:ascii="Barlow" w:hAnsi="Barlow" w:cs="Arial"/>
                <w:bCs/>
                <w:i/>
                <w:iCs/>
                <w:sz w:val="20"/>
                <w:szCs w:val="20"/>
              </w:rPr>
              <w:t xml:space="preserve">Fuente de </w:t>
            </w:r>
            <w:r w:rsidR="001E4DA7" w:rsidRPr="00DC37D6">
              <w:rPr>
                <w:rFonts w:ascii="Barlow" w:hAnsi="Barlow" w:cs="Arial"/>
                <w:bCs/>
                <w:i/>
                <w:iCs/>
                <w:sz w:val="20"/>
                <w:szCs w:val="20"/>
              </w:rPr>
              <w:t>F</w:t>
            </w:r>
            <w:r w:rsidRPr="00DC37D6">
              <w:rPr>
                <w:rFonts w:ascii="Barlow" w:hAnsi="Barlow" w:cs="Arial"/>
                <w:bCs/>
                <w:i/>
                <w:iCs/>
                <w:sz w:val="20"/>
                <w:szCs w:val="20"/>
              </w:rPr>
              <w:t>inanciamiento</w:t>
            </w:r>
            <w:r w:rsidR="001E4DA7" w:rsidRPr="00DC37D6">
              <w:rPr>
                <w:rFonts w:ascii="Barlow" w:hAnsi="Barlow" w:cs="Arial"/>
                <w:bCs/>
                <w:i/>
                <w:iCs/>
                <w:sz w:val="20"/>
                <w:szCs w:val="20"/>
              </w:rPr>
              <w:t xml:space="preserve"> 1 (</w:t>
            </w:r>
            <w:r w:rsidR="00A51DF1" w:rsidRPr="00DC37D6">
              <w:rPr>
                <w:rFonts w:ascii="Barlow" w:hAnsi="Barlow" w:cs="Arial"/>
                <w:bCs/>
                <w:i/>
                <w:iCs/>
                <w:sz w:val="20"/>
                <w:szCs w:val="20"/>
              </w:rPr>
              <w:t>Recursos Propios</w:t>
            </w:r>
            <w:r w:rsidR="001E4DA7" w:rsidRPr="00DC37D6">
              <w:rPr>
                <w:rFonts w:ascii="Barlow" w:hAnsi="Barlow" w:cs="Arial"/>
                <w:bCs/>
                <w:i/>
                <w:iCs/>
                <w:sz w:val="20"/>
                <w:szCs w:val="20"/>
              </w:rPr>
              <w:t>)</w:t>
            </w:r>
          </w:p>
        </w:tc>
        <w:tc>
          <w:tcPr>
            <w:tcW w:w="2907" w:type="dxa"/>
          </w:tcPr>
          <w:p w14:paraId="00ABA23A" w14:textId="786C7203" w:rsidR="001E4DA7" w:rsidRPr="00DC37D6" w:rsidRDefault="001E4DA7" w:rsidP="00320378">
            <w:pPr>
              <w:jc w:val="right"/>
              <w:rPr>
                <w:rFonts w:ascii="Barlow" w:hAnsi="Barlow" w:cs="Arial"/>
                <w:color w:val="000000"/>
                <w:sz w:val="20"/>
                <w:szCs w:val="20"/>
                <w:lang w:eastAsia="es-MX"/>
              </w:rPr>
            </w:pPr>
            <w:r w:rsidRPr="00DC37D6">
              <w:rPr>
                <w:rFonts w:ascii="Barlow" w:hAnsi="Barlow" w:cs="Arial"/>
                <w:color w:val="000000"/>
                <w:sz w:val="20"/>
                <w:szCs w:val="20"/>
              </w:rPr>
              <w:t xml:space="preserve">     </w:t>
            </w:r>
            <w:r w:rsidR="00DF2762" w:rsidRPr="00DC37D6">
              <w:rPr>
                <w:rFonts w:ascii="Barlow" w:hAnsi="Barlow" w:cs="Arial"/>
                <w:color w:val="000000"/>
                <w:sz w:val="20"/>
                <w:szCs w:val="20"/>
              </w:rPr>
              <w:t>$</w:t>
            </w:r>
            <w:r w:rsidR="003C4EDA" w:rsidRPr="00DC37D6">
              <w:rPr>
                <w:rFonts w:ascii="Barlow" w:hAnsi="Barlow" w:cs="Arial"/>
                <w:color w:val="000000"/>
                <w:sz w:val="20"/>
                <w:szCs w:val="20"/>
              </w:rPr>
              <w:t>3</w:t>
            </w:r>
            <w:r w:rsidR="00D83C5A" w:rsidRPr="00DC37D6">
              <w:rPr>
                <w:rFonts w:ascii="Barlow" w:hAnsi="Barlow" w:cs="Arial"/>
                <w:color w:val="000000"/>
                <w:sz w:val="20"/>
                <w:szCs w:val="20"/>
              </w:rPr>
              <w:t>,</w:t>
            </w:r>
            <w:r w:rsidR="003C4EDA" w:rsidRPr="00DC37D6">
              <w:rPr>
                <w:rFonts w:ascii="Barlow" w:hAnsi="Barlow" w:cs="Arial"/>
                <w:color w:val="000000"/>
                <w:sz w:val="20"/>
                <w:szCs w:val="20"/>
              </w:rPr>
              <w:t>751</w:t>
            </w:r>
            <w:r w:rsidRPr="00DC37D6">
              <w:rPr>
                <w:rFonts w:ascii="Barlow" w:hAnsi="Barlow" w:cs="Arial"/>
                <w:color w:val="000000"/>
                <w:sz w:val="20"/>
                <w:szCs w:val="20"/>
              </w:rPr>
              <w:t>,</w:t>
            </w:r>
            <w:r w:rsidR="003C4EDA" w:rsidRPr="00DC37D6">
              <w:rPr>
                <w:rFonts w:ascii="Barlow" w:hAnsi="Barlow" w:cs="Arial"/>
                <w:color w:val="000000"/>
                <w:sz w:val="20"/>
                <w:szCs w:val="20"/>
              </w:rPr>
              <w:t>77</w:t>
            </w:r>
            <w:r w:rsidR="000C7C9B" w:rsidRPr="00DC37D6">
              <w:rPr>
                <w:rFonts w:ascii="Barlow" w:hAnsi="Barlow" w:cs="Arial"/>
                <w:color w:val="000000"/>
                <w:sz w:val="20"/>
                <w:szCs w:val="20"/>
              </w:rPr>
              <w:t>3</w:t>
            </w:r>
            <w:r w:rsidRPr="00DC37D6">
              <w:rPr>
                <w:rFonts w:ascii="Barlow" w:hAnsi="Barlow" w:cs="Arial"/>
                <w:color w:val="000000"/>
                <w:sz w:val="20"/>
                <w:szCs w:val="20"/>
              </w:rPr>
              <w:t xml:space="preserve">.00 </w:t>
            </w:r>
          </w:p>
        </w:tc>
      </w:tr>
      <w:tr w:rsidR="008F1B71" w:rsidRPr="00DC37D6" w14:paraId="7ED29527" w14:textId="77777777" w:rsidTr="009F5565">
        <w:trPr>
          <w:jc w:val="center"/>
        </w:trPr>
        <w:tc>
          <w:tcPr>
            <w:tcW w:w="10881" w:type="dxa"/>
            <w:shd w:val="clear" w:color="auto" w:fill="9BBB59" w:themeFill="accent3"/>
          </w:tcPr>
          <w:p w14:paraId="3B041349" w14:textId="51C1FE88" w:rsidR="008F1B71" w:rsidRPr="00DC37D6" w:rsidRDefault="008F1B71" w:rsidP="00FB1288">
            <w:pPr>
              <w:autoSpaceDE w:val="0"/>
              <w:autoSpaceDN w:val="0"/>
              <w:adjustRightInd w:val="0"/>
              <w:spacing w:line="360" w:lineRule="auto"/>
              <w:jc w:val="center"/>
              <w:rPr>
                <w:rFonts w:ascii="Barlow" w:hAnsi="Barlow" w:cs="Arial"/>
                <w:b/>
                <w:sz w:val="20"/>
                <w:szCs w:val="20"/>
              </w:rPr>
            </w:pPr>
            <w:r w:rsidRPr="00DC37D6">
              <w:rPr>
                <w:rFonts w:ascii="Barlow" w:hAnsi="Barlow" w:cs="Arial"/>
                <w:b/>
                <w:sz w:val="20"/>
                <w:szCs w:val="20"/>
              </w:rPr>
              <w:t>TOTAL</w:t>
            </w:r>
          </w:p>
        </w:tc>
        <w:tc>
          <w:tcPr>
            <w:tcW w:w="2907" w:type="dxa"/>
            <w:shd w:val="clear" w:color="auto" w:fill="9BBB59" w:themeFill="accent3"/>
          </w:tcPr>
          <w:p w14:paraId="2664A9CB" w14:textId="7E856201" w:rsidR="008F1B71" w:rsidRPr="00DC37D6" w:rsidRDefault="008F1B71" w:rsidP="00AF3DFB">
            <w:pPr>
              <w:autoSpaceDE w:val="0"/>
              <w:autoSpaceDN w:val="0"/>
              <w:adjustRightInd w:val="0"/>
              <w:spacing w:line="360" w:lineRule="auto"/>
              <w:jc w:val="right"/>
              <w:rPr>
                <w:rFonts w:ascii="Barlow" w:hAnsi="Barlow" w:cs="Arial"/>
                <w:b/>
                <w:bCs/>
                <w:sz w:val="20"/>
                <w:szCs w:val="20"/>
              </w:rPr>
            </w:pPr>
            <w:r w:rsidRPr="00DC37D6">
              <w:rPr>
                <w:rFonts w:ascii="Barlow" w:hAnsi="Barlow" w:cs="Arial"/>
                <w:b/>
                <w:sz w:val="20"/>
                <w:szCs w:val="20"/>
              </w:rPr>
              <w:t>$</w:t>
            </w:r>
            <w:r w:rsidR="003C4EDA" w:rsidRPr="00DC37D6">
              <w:rPr>
                <w:rFonts w:ascii="Barlow" w:hAnsi="Barlow" w:cs="Arial"/>
                <w:b/>
                <w:sz w:val="20"/>
                <w:szCs w:val="20"/>
              </w:rPr>
              <w:t>3</w:t>
            </w:r>
            <w:r w:rsidRPr="00DC37D6">
              <w:rPr>
                <w:rFonts w:ascii="Barlow" w:hAnsi="Barlow" w:cs="Arial"/>
                <w:b/>
                <w:sz w:val="20"/>
                <w:szCs w:val="20"/>
              </w:rPr>
              <w:t>,</w:t>
            </w:r>
            <w:r w:rsidR="003C4EDA" w:rsidRPr="00DC37D6">
              <w:rPr>
                <w:rFonts w:ascii="Barlow" w:hAnsi="Barlow" w:cs="Arial"/>
                <w:b/>
                <w:sz w:val="20"/>
                <w:szCs w:val="20"/>
              </w:rPr>
              <w:t>751</w:t>
            </w:r>
            <w:r w:rsidR="007F26C1" w:rsidRPr="00DC37D6">
              <w:rPr>
                <w:rFonts w:ascii="Barlow" w:hAnsi="Barlow" w:cs="Arial"/>
                <w:b/>
                <w:sz w:val="20"/>
                <w:szCs w:val="20"/>
              </w:rPr>
              <w:t>,</w:t>
            </w:r>
            <w:r w:rsidR="003C4EDA" w:rsidRPr="00DC37D6">
              <w:rPr>
                <w:rFonts w:ascii="Barlow" w:hAnsi="Barlow" w:cs="Arial"/>
                <w:b/>
                <w:sz w:val="20"/>
                <w:szCs w:val="20"/>
              </w:rPr>
              <w:t>773</w:t>
            </w:r>
            <w:r w:rsidRPr="00DC37D6">
              <w:rPr>
                <w:rFonts w:ascii="Barlow" w:hAnsi="Barlow" w:cs="Arial"/>
                <w:b/>
                <w:sz w:val="20"/>
                <w:szCs w:val="20"/>
              </w:rPr>
              <w:t>.00</w:t>
            </w:r>
          </w:p>
        </w:tc>
      </w:tr>
    </w:tbl>
    <w:p w14:paraId="7BAD7F7B" w14:textId="77777777" w:rsidR="00A97069" w:rsidRPr="00DC37D6" w:rsidRDefault="00A97069" w:rsidP="00C4137E">
      <w:pPr>
        <w:autoSpaceDE w:val="0"/>
        <w:autoSpaceDN w:val="0"/>
        <w:adjustRightInd w:val="0"/>
        <w:spacing w:line="360" w:lineRule="auto"/>
        <w:jc w:val="both"/>
        <w:rPr>
          <w:rFonts w:ascii="Barlow" w:hAnsi="Barlow" w:cs="Arial"/>
          <w:b/>
          <w:sz w:val="20"/>
          <w:szCs w:val="20"/>
        </w:rPr>
      </w:pPr>
    </w:p>
    <w:p w14:paraId="37E8FE92" w14:textId="40A7AD3B" w:rsidR="00986ADE" w:rsidRPr="00DC37D6" w:rsidRDefault="00986ADE" w:rsidP="00C4137E">
      <w:pPr>
        <w:autoSpaceDE w:val="0"/>
        <w:autoSpaceDN w:val="0"/>
        <w:adjustRightInd w:val="0"/>
        <w:spacing w:line="360" w:lineRule="auto"/>
        <w:jc w:val="both"/>
        <w:rPr>
          <w:rFonts w:ascii="Barlow" w:hAnsi="Barlow" w:cs="Arial"/>
          <w:b/>
          <w:sz w:val="20"/>
          <w:szCs w:val="20"/>
        </w:rPr>
      </w:pPr>
      <w:r w:rsidRPr="00DC37D6">
        <w:rPr>
          <w:rFonts w:ascii="Barlow" w:hAnsi="Barlow" w:cs="Arial"/>
          <w:b/>
          <w:sz w:val="20"/>
          <w:szCs w:val="20"/>
        </w:rPr>
        <w:t>Otros Ingresos y Beneficios</w:t>
      </w:r>
    </w:p>
    <w:p w14:paraId="79F3832A" w14:textId="3FECC404" w:rsidR="00A83FA3" w:rsidRPr="00DC37D6" w:rsidRDefault="00986ADE" w:rsidP="00C4137E">
      <w:pPr>
        <w:autoSpaceDE w:val="0"/>
        <w:autoSpaceDN w:val="0"/>
        <w:adjustRightInd w:val="0"/>
        <w:spacing w:line="360" w:lineRule="auto"/>
        <w:jc w:val="both"/>
        <w:rPr>
          <w:rFonts w:ascii="Barlow" w:hAnsi="Barlow" w:cs="Arial"/>
          <w:b/>
          <w:sz w:val="20"/>
          <w:szCs w:val="20"/>
        </w:rPr>
      </w:pPr>
      <w:r w:rsidRPr="00DC37D6">
        <w:rPr>
          <w:rFonts w:ascii="Barlow" w:hAnsi="Barlow" w:cs="Arial"/>
          <w:bCs/>
          <w:sz w:val="20"/>
          <w:szCs w:val="20"/>
        </w:rPr>
        <w:lastRenderedPageBreak/>
        <w:t>3</w:t>
      </w:r>
      <w:r w:rsidRPr="00DC37D6">
        <w:rPr>
          <w:rFonts w:ascii="Barlow" w:hAnsi="Barlow" w:cs="Arial"/>
          <w:b/>
          <w:sz w:val="20"/>
          <w:szCs w:val="20"/>
        </w:rPr>
        <w:t xml:space="preserve">.- </w:t>
      </w:r>
      <w:r w:rsidRPr="00DC37D6">
        <w:rPr>
          <w:rFonts w:ascii="Barlow" w:hAnsi="Barlow" w:cs="Arial"/>
          <w:sz w:val="20"/>
          <w:szCs w:val="20"/>
        </w:rPr>
        <w:t>La Secretaría Ejecutiva del Sistema Estatal Anticorrupción no cuenta con Otros Ingresos y beneficios.</w:t>
      </w:r>
    </w:p>
    <w:p w14:paraId="0DFBED8E" w14:textId="77777777" w:rsidR="00A83FA3" w:rsidRPr="00DC37D6" w:rsidRDefault="00A83FA3" w:rsidP="00C4137E">
      <w:pPr>
        <w:autoSpaceDE w:val="0"/>
        <w:autoSpaceDN w:val="0"/>
        <w:adjustRightInd w:val="0"/>
        <w:spacing w:line="360" w:lineRule="auto"/>
        <w:jc w:val="both"/>
        <w:rPr>
          <w:rFonts w:ascii="Barlow" w:hAnsi="Barlow" w:cs="Arial"/>
          <w:b/>
          <w:sz w:val="20"/>
          <w:szCs w:val="20"/>
        </w:rPr>
      </w:pPr>
    </w:p>
    <w:p w14:paraId="26F7921E" w14:textId="0102B0C6" w:rsidR="0034445C" w:rsidRPr="00DC37D6" w:rsidRDefault="0034445C" w:rsidP="00C4137E">
      <w:pPr>
        <w:autoSpaceDE w:val="0"/>
        <w:autoSpaceDN w:val="0"/>
        <w:adjustRightInd w:val="0"/>
        <w:spacing w:line="360" w:lineRule="auto"/>
        <w:jc w:val="both"/>
        <w:rPr>
          <w:rFonts w:ascii="Barlow" w:hAnsi="Barlow" w:cs="Arial"/>
          <w:b/>
          <w:sz w:val="20"/>
          <w:szCs w:val="20"/>
        </w:rPr>
      </w:pPr>
      <w:r w:rsidRPr="00DC37D6">
        <w:rPr>
          <w:rFonts w:ascii="Barlow" w:hAnsi="Barlow" w:cs="Arial"/>
          <w:b/>
          <w:sz w:val="20"/>
          <w:szCs w:val="20"/>
        </w:rPr>
        <w:t>Gastos y Otras Pérdidas</w:t>
      </w:r>
    </w:p>
    <w:p w14:paraId="02AD563A" w14:textId="2FE51575" w:rsidR="002F3704" w:rsidRPr="00DC37D6" w:rsidRDefault="002F3704" w:rsidP="00D17CB7">
      <w:pPr>
        <w:pStyle w:val="Prrafodelista"/>
        <w:numPr>
          <w:ilvl w:val="0"/>
          <w:numId w:val="12"/>
        </w:numPr>
        <w:autoSpaceDE w:val="0"/>
        <w:autoSpaceDN w:val="0"/>
        <w:adjustRightInd w:val="0"/>
        <w:spacing w:line="360" w:lineRule="auto"/>
        <w:jc w:val="both"/>
        <w:rPr>
          <w:rFonts w:ascii="Barlow" w:hAnsi="Barlow" w:cs="Arial"/>
          <w:bCs/>
          <w:sz w:val="20"/>
          <w:szCs w:val="20"/>
        </w:rPr>
      </w:pPr>
      <w:r w:rsidRPr="00DC37D6">
        <w:rPr>
          <w:rFonts w:ascii="Barlow" w:hAnsi="Barlow" w:cs="Arial"/>
          <w:bCs/>
          <w:sz w:val="20"/>
          <w:szCs w:val="20"/>
        </w:rPr>
        <w:t>Gastos de funcionamiento: Son todos aquellos Gastos que tienen por objeto atender la administración de la Entidad.</w:t>
      </w:r>
    </w:p>
    <w:p w14:paraId="4A21109C" w14:textId="792893E2" w:rsidR="00CD505B" w:rsidRPr="00DC37D6" w:rsidRDefault="00347B8E" w:rsidP="00CD505B">
      <w:pPr>
        <w:pStyle w:val="Prrafodelista"/>
        <w:autoSpaceDE w:val="0"/>
        <w:autoSpaceDN w:val="0"/>
        <w:adjustRightInd w:val="0"/>
        <w:spacing w:line="360" w:lineRule="auto"/>
        <w:jc w:val="both"/>
        <w:rPr>
          <w:rFonts w:ascii="Barlow" w:hAnsi="Barlow" w:cs="Arial"/>
          <w:bCs/>
          <w:sz w:val="20"/>
          <w:szCs w:val="20"/>
        </w:rPr>
      </w:pPr>
      <w:r w:rsidRPr="00DC37D6">
        <w:rPr>
          <w:rFonts w:ascii="Barlow" w:hAnsi="Barlow" w:cs="Arial"/>
          <w:bCs/>
          <w:sz w:val="20"/>
          <w:szCs w:val="20"/>
        </w:rPr>
        <w:t>Otros Gastos y Pérdidas Extraordinarias: Son gastos derivados de las estimaciones, depreciaciones, disminuciones de inventarios, bajas de activos y otros gastos.</w:t>
      </w:r>
    </w:p>
    <w:p w14:paraId="24BE3B6A" w14:textId="77777777" w:rsidR="006C6095" w:rsidRPr="00DC37D6" w:rsidRDefault="006C6095" w:rsidP="00CD505B">
      <w:pPr>
        <w:pStyle w:val="Prrafodelista"/>
        <w:autoSpaceDE w:val="0"/>
        <w:autoSpaceDN w:val="0"/>
        <w:adjustRightInd w:val="0"/>
        <w:spacing w:line="360" w:lineRule="auto"/>
        <w:jc w:val="both"/>
        <w:rPr>
          <w:rFonts w:ascii="Barlow" w:hAnsi="Barlow" w:cs="Arial"/>
          <w:bCs/>
          <w:sz w:val="20"/>
          <w:szCs w:val="20"/>
        </w:rPr>
      </w:pPr>
    </w:p>
    <w:p w14:paraId="4ED1B3EE" w14:textId="7A44AB5C" w:rsidR="002F3704" w:rsidRPr="00DC37D6" w:rsidRDefault="00CD505B" w:rsidP="006C6095">
      <w:pPr>
        <w:pStyle w:val="Prrafodelista"/>
        <w:autoSpaceDE w:val="0"/>
        <w:autoSpaceDN w:val="0"/>
        <w:adjustRightInd w:val="0"/>
        <w:spacing w:line="360" w:lineRule="auto"/>
        <w:jc w:val="both"/>
        <w:rPr>
          <w:rFonts w:ascii="Barlow" w:hAnsi="Barlow" w:cs="Arial"/>
          <w:bCs/>
          <w:sz w:val="20"/>
          <w:szCs w:val="20"/>
        </w:rPr>
      </w:pPr>
      <w:r w:rsidRPr="00DC37D6">
        <w:rPr>
          <w:rFonts w:ascii="Barlow" w:hAnsi="Barlow" w:cs="Arial"/>
          <w:bCs/>
          <w:sz w:val="20"/>
          <w:szCs w:val="20"/>
        </w:rPr>
        <w:t>Los gastos de funcionamiento se integran como se detalla a continuación:</w:t>
      </w:r>
    </w:p>
    <w:p w14:paraId="376EF045" w14:textId="77777777" w:rsidR="00BB64A2" w:rsidRPr="00DC37D6" w:rsidRDefault="00BB64A2" w:rsidP="006C6095">
      <w:pPr>
        <w:pStyle w:val="Prrafodelista"/>
        <w:autoSpaceDE w:val="0"/>
        <w:autoSpaceDN w:val="0"/>
        <w:adjustRightInd w:val="0"/>
        <w:spacing w:line="360" w:lineRule="auto"/>
        <w:jc w:val="both"/>
        <w:rPr>
          <w:rFonts w:ascii="Barlow" w:hAnsi="Barlow" w:cs="Arial"/>
          <w:bCs/>
          <w:sz w:val="20"/>
          <w:szCs w:val="20"/>
        </w:rPr>
      </w:pPr>
    </w:p>
    <w:tbl>
      <w:tblPr>
        <w:tblStyle w:val="Tablaconcuadrcula"/>
        <w:tblW w:w="0" w:type="auto"/>
        <w:jc w:val="center"/>
        <w:tblLook w:val="04A0" w:firstRow="1" w:lastRow="0" w:firstColumn="1" w:lastColumn="0" w:noHBand="0" w:noVBand="1"/>
      </w:tblPr>
      <w:tblGrid>
        <w:gridCol w:w="6044"/>
        <w:gridCol w:w="2472"/>
      </w:tblGrid>
      <w:tr w:rsidR="002B05A5" w:rsidRPr="00DC37D6" w14:paraId="3141EFAD" w14:textId="77777777" w:rsidTr="00B9608D">
        <w:trPr>
          <w:trHeight w:val="314"/>
          <w:jc w:val="center"/>
        </w:trPr>
        <w:tc>
          <w:tcPr>
            <w:tcW w:w="8516" w:type="dxa"/>
            <w:gridSpan w:val="2"/>
            <w:shd w:val="clear" w:color="auto" w:fill="9BBB59" w:themeFill="accent3"/>
            <w:noWrap/>
            <w:hideMark/>
          </w:tcPr>
          <w:p w14:paraId="6FB2966E" w14:textId="7DD62DD9" w:rsidR="00347B8E" w:rsidRPr="00DC37D6" w:rsidRDefault="00347B8E" w:rsidP="00347B8E">
            <w:pPr>
              <w:autoSpaceDE w:val="0"/>
              <w:autoSpaceDN w:val="0"/>
              <w:adjustRightInd w:val="0"/>
              <w:spacing w:line="360" w:lineRule="auto"/>
              <w:rPr>
                <w:rFonts w:ascii="Barlow" w:hAnsi="Barlow" w:cs="Arial"/>
                <w:b/>
                <w:bCs/>
                <w:sz w:val="20"/>
                <w:szCs w:val="20"/>
              </w:rPr>
            </w:pPr>
            <w:r w:rsidRPr="00DC37D6">
              <w:rPr>
                <w:rFonts w:ascii="Barlow" w:hAnsi="Barlow" w:cs="Arial"/>
                <w:b/>
                <w:bCs/>
                <w:sz w:val="20"/>
                <w:szCs w:val="20"/>
              </w:rPr>
              <w:t>GASTOS DE FUNCIONAMIENTO</w:t>
            </w:r>
          </w:p>
        </w:tc>
      </w:tr>
      <w:tr w:rsidR="000744B7" w:rsidRPr="00DC37D6" w14:paraId="0C3099A5" w14:textId="77777777" w:rsidTr="00B9608D">
        <w:trPr>
          <w:trHeight w:val="314"/>
          <w:jc w:val="center"/>
        </w:trPr>
        <w:tc>
          <w:tcPr>
            <w:tcW w:w="6044" w:type="dxa"/>
            <w:noWrap/>
          </w:tcPr>
          <w:p w14:paraId="2658188D" w14:textId="37D4BD0B" w:rsidR="00460EF3" w:rsidRPr="00DC37D6" w:rsidRDefault="00460EF3" w:rsidP="00460EF3">
            <w:pPr>
              <w:autoSpaceDE w:val="0"/>
              <w:autoSpaceDN w:val="0"/>
              <w:adjustRightInd w:val="0"/>
              <w:spacing w:line="360" w:lineRule="auto"/>
              <w:jc w:val="both"/>
              <w:rPr>
                <w:rFonts w:ascii="Barlow" w:hAnsi="Barlow" w:cs="Arial"/>
                <w:bCs/>
                <w:sz w:val="20"/>
                <w:szCs w:val="20"/>
              </w:rPr>
            </w:pPr>
            <w:r w:rsidRPr="00DC37D6">
              <w:rPr>
                <w:rFonts w:ascii="Barlow" w:hAnsi="Barlow" w:cs="Arial"/>
                <w:bCs/>
                <w:sz w:val="20"/>
                <w:szCs w:val="20"/>
              </w:rPr>
              <w:t>Servicios Personales</w:t>
            </w:r>
          </w:p>
        </w:tc>
        <w:tc>
          <w:tcPr>
            <w:tcW w:w="2471" w:type="dxa"/>
            <w:noWrap/>
          </w:tcPr>
          <w:p w14:paraId="1CB2A354" w14:textId="49EF6579" w:rsidR="00460EF3" w:rsidRPr="00DC37D6" w:rsidRDefault="00460EF3" w:rsidP="00AF3DFB">
            <w:pPr>
              <w:autoSpaceDE w:val="0"/>
              <w:autoSpaceDN w:val="0"/>
              <w:adjustRightInd w:val="0"/>
              <w:spacing w:line="360" w:lineRule="auto"/>
              <w:jc w:val="right"/>
              <w:rPr>
                <w:rFonts w:ascii="Barlow" w:hAnsi="Barlow" w:cs="Arial"/>
                <w:bCs/>
                <w:sz w:val="20"/>
                <w:szCs w:val="20"/>
              </w:rPr>
            </w:pPr>
            <w:r w:rsidRPr="00DC37D6">
              <w:rPr>
                <w:rFonts w:ascii="Barlow" w:hAnsi="Barlow" w:cs="Arial"/>
                <w:sz w:val="20"/>
                <w:szCs w:val="20"/>
              </w:rPr>
              <w:t xml:space="preserve">                </w:t>
            </w:r>
            <w:r w:rsidR="00292C87" w:rsidRPr="00DC37D6">
              <w:rPr>
                <w:rFonts w:ascii="Barlow" w:hAnsi="Barlow" w:cs="Arial"/>
                <w:sz w:val="20"/>
                <w:szCs w:val="20"/>
              </w:rPr>
              <w:t>$</w:t>
            </w:r>
            <w:r w:rsidR="003C4EDA" w:rsidRPr="00DC37D6">
              <w:rPr>
                <w:rFonts w:ascii="Barlow" w:hAnsi="Barlow" w:cs="Arial"/>
                <w:sz w:val="20"/>
                <w:szCs w:val="20"/>
              </w:rPr>
              <w:t>2</w:t>
            </w:r>
            <w:r w:rsidR="00245338" w:rsidRPr="00DC37D6">
              <w:rPr>
                <w:rFonts w:ascii="Barlow" w:hAnsi="Barlow" w:cs="Arial"/>
                <w:sz w:val="20"/>
                <w:szCs w:val="20"/>
              </w:rPr>
              <w:t>,</w:t>
            </w:r>
            <w:r w:rsidR="003C4EDA" w:rsidRPr="00DC37D6">
              <w:rPr>
                <w:rFonts w:ascii="Barlow" w:hAnsi="Barlow" w:cs="Arial"/>
                <w:sz w:val="20"/>
                <w:szCs w:val="20"/>
              </w:rPr>
              <w:t>190</w:t>
            </w:r>
            <w:r w:rsidR="00AF3DFB" w:rsidRPr="00DC37D6">
              <w:rPr>
                <w:rFonts w:ascii="Barlow" w:hAnsi="Barlow" w:cs="Arial"/>
                <w:sz w:val="20"/>
                <w:szCs w:val="20"/>
              </w:rPr>
              <w:t>,</w:t>
            </w:r>
            <w:r w:rsidR="003C4EDA" w:rsidRPr="00DC37D6">
              <w:rPr>
                <w:rFonts w:ascii="Barlow" w:hAnsi="Barlow" w:cs="Arial"/>
                <w:sz w:val="20"/>
                <w:szCs w:val="20"/>
              </w:rPr>
              <w:t>673</w:t>
            </w:r>
            <w:r w:rsidR="00292C87" w:rsidRPr="00DC37D6">
              <w:rPr>
                <w:rFonts w:ascii="Barlow" w:hAnsi="Barlow" w:cs="Arial"/>
                <w:sz w:val="20"/>
                <w:szCs w:val="20"/>
              </w:rPr>
              <w:t>.</w:t>
            </w:r>
            <w:r w:rsidR="003C4EDA" w:rsidRPr="00DC37D6">
              <w:rPr>
                <w:rFonts w:ascii="Barlow" w:hAnsi="Barlow" w:cs="Arial"/>
                <w:sz w:val="20"/>
                <w:szCs w:val="20"/>
              </w:rPr>
              <w:t>39</w:t>
            </w:r>
            <w:r w:rsidRPr="00DC37D6">
              <w:rPr>
                <w:rFonts w:ascii="Barlow" w:hAnsi="Barlow" w:cs="Arial"/>
                <w:sz w:val="20"/>
                <w:szCs w:val="20"/>
              </w:rPr>
              <w:t xml:space="preserve">     </w:t>
            </w:r>
          </w:p>
        </w:tc>
      </w:tr>
      <w:tr w:rsidR="000744B7" w:rsidRPr="00DC37D6" w14:paraId="21107BED" w14:textId="77777777" w:rsidTr="00B9608D">
        <w:trPr>
          <w:trHeight w:val="314"/>
          <w:jc w:val="center"/>
        </w:trPr>
        <w:tc>
          <w:tcPr>
            <w:tcW w:w="6044" w:type="dxa"/>
            <w:noWrap/>
            <w:hideMark/>
          </w:tcPr>
          <w:p w14:paraId="4994811C" w14:textId="77777777" w:rsidR="00460EF3" w:rsidRPr="00DC37D6" w:rsidRDefault="00460EF3" w:rsidP="00460EF3">
            <w:pPr>
              <w:autoSpaceDE w:val="0"/>
              <w:autoSpaceDN w:val="0"/>
              <w:adjustRightInd w:val="0"/>
              <w:spacing w:line="360" w:lineRule="auto"/>
              <w:jc w:val="both"/>
              <w:rPr>
                <w:rFonts w:ascii="Barlow" w:hAnsi="Barlow" w:cs="Arial"/>
                <w:bCs/>
                <w:sz w:val="20"/>
                <w:szCs w:val="20"/>
              </w:rPr>
            </w:pPr>
            <w:r w:rsidRPr="00DC37D6">
              <w:rPr>
                <w:rFonts w:ascii="Barlow" w:hAnsi="Barlow" w:cs="Arial"/>
                <w:bCs/>
                <w:sz w:val="20"/>
                <w:szCs w:val="20"/>
              </w:rPr>
              <w:t>Materiales y Suministros</w:t>
            </w:r>
          </w:p>
        </w:tc>
        <w:tc>
          <w:tcPr>
            <w:tcW w:w="2471" w:type="dxa"/>
            <w:noWrap/>
            <w:hideMark/>
          </w:tcPr>
          <w:p w14:paraId="6129F107" w14:textId="08288735" w:rsidR="00460EF3" w:rsidRPr="00DC37D6" w:rsidRDefault="00460EF3" w:rsidP="00AF3DFB">
            <w:pPr>
              <w:autoSpaceDE w:val="0"/>
              <w:autoSpaceDN w:val="0"/>
              <w:adjustRightInd w:val="0"/>
              <w:spacing w:line="360" w:lineRule="auto"/>
              <w:jc w:val="right"/>
              <w:rPr>
                <w:rFonts w:ascii="Barlow" w:hAnsi="Barlow" w:cs="Arial"/>
                <w:bCs/>
                <w:sz w:val="20"/>
                <w:szCs w:val="20"/>
              </w:rPr>
            </w:pPr>
            <w:r w:rsidRPr="00DC37D6">
              <w:rPr>
                <w:rFonts w:ascii="Barlow" w:hAnsi="Barlow" w:cs="Arial"/>
                <w:sz w:val="20"/>
                <w:szCs w:val="20"/>
              </w:rPr>
              <w:t xml:space="preserve">                  </w:t>
            </w:r>
            <w:r w:rsidR="00292C87" w:rsidRPr="00DC37D6">
              <w:rPr>
                <w:rFonts w:ascii="Barlow" w:hAnsi="Barlow" w:cs="Arial"/>
                <w:sz w:val="20"/>
                <w:szCs w:val="20"/>
              </w:rPr>
              <w:t>$</w:t>
            </w:r>
            <w:r w:rsidR="003C4EDA" w:rsidRPr="00DC37D6">
              <w:rPr>
                <w:rFonts w:ascii="Barlow" w:hAnsi="Barlow" w:cs="Arial"/>
                <w:sz w:val="20"/>
                <w:szCs w:val="20"/>
              </w:rPr>
              <w:t>77</w:t>
            </w:r>
            <w:r w:rsidR="00292C87" w:rsidRPr="00DC37D6">
              <w:rPr>
                <w:rFonts w:ascii="Barlow" w:hAnsi="Barlow" w:cs="Arial"/>
                <w:sz w:val="20"/>
                <w:szCs w:val="20"/>
              </w:rPr>
              <w:t>,</w:t>
            </w:r>
            <w:r w:rsidR="003C4EDA" w:rsidRPr="00DC37D6">
              <w:rPr>
                <w:rFonts w:ascii="Barlow" w:hAnsi="Barlow" w:cs="Arial"/>
                <w:sz w:val="20"/>
                <w:szCs w:val="20"/>
              </w:rPr>
              <w:t>122</w:t>
            </w:r>
            <w:r w:rsidR="00292C87" w:rsidRPr="00DC37D6">
              <w:rPr>
                <w:rFonts w:ascii="Barlow" w:hAnsi="Barlow" w:cs="Arial"/>
                <w:sz w:val="20"/>
                <w:szCs w:val="20"/>
              </w:rPr>
              <w:t>.</w:t>
            </w:r>
            <w:r w:rsidR="003C4EDA" w:rsidRPr="00DC37D6">
              <w:rPr>
                <w:rFonts w:ascii="Barlow" w:hAnsi="Barlow" w:cs="Arial"/>
                <w:sz w:val="20"/>
                <w:szCs w:val="20"/>
              </w:rPr>
              <w:t>22</w:t>
            </w:r>
            <w:r w:rsidRPr="00DC37D6">
              <w:rPr>
                <w:rFonts w:ascii="Barlow" w:hAnsi="Barlow" w:cs="Arial"/>
                <w:sz w:val="20"/>
                <w:szCs w:val="20"/>
              </w:rPr>
              <w:t xml:space="preserve">     </w:t>
            </w:r>
          </w:p>
        </w:tc>
      </w:tr>
      <w:tr w:rsidR="000744B7" w:rsidRPr="00DC37D6" w14:paraId="7F65C3A0" w14:textId="77777777" w:rsidTr="00B9608D">
        <w:trPr>
          <w:trHeight w:val="314"/>
          <w:jc w:val="center"/>
        </w:trPr>
        <w:tc>
          <w:tcPr>
            <w:tcW w:w="6044" w:type="dxa"/>
            <w:noWrap/>
            <w:hideMark/>
          </w:tcPr>
          <w:p w14:paraId="106EF989" w14:textId="77777777" w:rsidR="00460EF3" w:rsidRPr="00DC37D6" w:rsidRDefault="00460EF3" w:rsidP="00460EF3">
            <w:pPr>
              <w:autoSpaceDE w:val="0"/>
              <w:autoSpaceDN w:val="0"/>
              <w:adjustRightInd w:val="0"/>
              <w:spacing w:line="360" w:lineRule="auto"/>
              <w:jc w:val="both"/>
              <w:rPr>
                <w:rFonts w:ascii="Barlow" w:hAnsi="Barlow" w:cs="Arial"/>
                <w:bCs/>
                <w:sz w:val="20"/>
                <w:szCs w:val="20"/>
              </w:rPr>
            </w:pPr>
            <w:r w:rsidRPr="00DC37D6">
              <w:rPr>
                <w:rFonts w:ascii="Barlow" w:hAnsi="Barlow" w:cs="Arial"/>
                <w:bCs/>
                <w:sz w:val="20"/>
                <w:szCs w:val="20"/>
              </w:rPr>
              <w:t>Servicios Generales</w:t>
            </w:r>
          </w:p>
        </w:tc>
        <w:tc>
          <w:tcPr>
            <w:tcW w:w="2471" w:type="dxa"/>
            <w:noWrap/>
            <w:hideMark/>
          </w:tcPr>
          <w:p w14:paraId="0C67A65C" w14:textId="7A939EE6" w:rsidR="00460EF3" w:rsidRPr="00DC37D6" w:rsidRDefault="00460EF3" w:rsidP="00AF3DFB">
            <w:pPr>
              <w:autoSpaceDE w:val="0"/>
              <w:autoSpaceDN w:val="0"/>
              <w:adjustRightInd w:val="0"/>
              <w:spacing w:line="360" w:lineRule="auto"/>
              <w:jc w:val="right"/>
              <w:rPr>
                <w:rFonts w:ascii="Barlow" w:hAnsi="Barlow" w:cs="Arial"/>
                <w:bCs/>
                <w:sz w:val="20"/>
                <w:szCs w:val="20"/>
              </w:rPr>
            </w:pPr>
            <w:r w:rsidRPr="00DC37D6">
              <w:rPr>
                <w:rFonts w:ascii="Barlow" w:hAnsi="Barlow" w:cs="Arial"/>
                <w:sz w:val="20"/>
                <w:szCs w:val="20"/>
              </w:rPr>
              <w:t xml:space="preserve">                   </w:t>
            </w:r>
            <w:r w:rsidR="00292C87" w:rsidRPr="00DC37D6">
              <w:rPr>
                <w:rFonts w:ascii="Barlow" w:hAnsi="Barlow" w:cs="Arial"/>
                <w:sz w:val="20"/>
                <w:szCs w:val="20"/>
              </w:rPr>
              <w:t>$</w:t>
            </w:r>
            <w:r w:rsidR="003C4EDA" w:rsidRPr="00DC37D6">
              <w:rPr>
                <w:rFonts w:ascii="Barlow" w:hAnsi="Barlow" w:cs="Arial"/>
                <w:sz w:val="20"/>
                <w:szCs w:val="20"/>
              </w:rPr>
              <w:t>1,355</w:t>
            </w:r>
            <w:r w:rsidR="00442F7A" w:rsidRPr="00DC37D6">
              <w:rPr>
                <w:rFonts w:ascii="Barlow" w:hAnsi="Barlow" w:cs="Arial"/>
                <w:sz w:val="20"/>
                <w:szCs w:val="20"/>
              </w:rPr>
              <w:t>,</w:t>
            </w:r>
            <w:r w:rsidR="003C4EDA" w:rsidRPr="00DC37D6">
              <w:rPr>
                <w:rFonts w:ascii="Barlow" w:hAnsi="Barlow" w:cs="Arial"/>
                <w:sz w:val="20"/>
                <w:szCs w:val="20"/>
              </w:rPr>
              <w:t>508</w:t>
            </w:r>
            <w:r w:rsidR="00292C87" w:rsidRPr="00DC37D6">
              <w:rPr>
                <w:rFonts w:ascii="Barlow" w:hAnsi="Barlow" w:cs="Arial"/>
                <w:sz w:val="20"/>
                <w:szCs w:val="20"/>
              </w:rPr>
              <w:t>.</w:t>
            </w:r>
            <w:r w:rsidR="003C4EDA" w:rsidRPr="00DC37D6">
              <w:rPr>
                <w:rFonts w:ascii="Barlow" w:hAnsi="Barlow" w:cs="Arial"/>
                <w:sz w:val="20"/>
                <w:szCs w:val="20"/>
              </w:rPr>
              <w:t>65</w:t>
            </w:r>
            <w:r w:rsidRPr="00DC37D6">
              <w:rPr>
                <w:rFonts w:ascii="Barlow" w:hAnsi="Barlow" w:cs="Arial"/>
                <w:sz w:val="20"/>
                <w:szCs w:val="20"/>
              </w:rPr>
              <w:t xml:space="preserve"> </w:t>
            </w:r>
          </w:p>
        </w:tc>
      </w:tr>
      <w:tr w:rsidR="002B05A5" w:rsidRPr="00DC37D6" w14:paraId="41954025" w14:textId="77777777" w:rsidTr="00B9608D">
        <w:trPr>
          <w:trHeight w:val="314"/>
          <w:jc w:val="center"/>
        </w:trPr>
        <w:tc>
          <w:tcPr>
            <w:tcW w:w="8516" w:type="dxa"/>
            <w:gridSpan w:val="2"/>
            <w:shd w:val="clear" w:color="auto" w:fill="9BBB59" w:themeFill="accent3"/>
            <w:noWrap/>
          </w:tcPr>
          <w:p w14:paraId="081FA8A4" w14:textId="42F7AE2A" w:rsidR="00347B8E" w:rsidRPr="00DC37D6" w:rsidRDefault="00347B8E" w:rsidP="00EC437B">
            <w:pPr>
              <w:autoSpaceDE w:val="0"/>
              <w:autoSpaceDN w:val="0"/>
              <w:adjustRightInd w:val="0"/>
              <w:spacing w:line="360" w:lineRule="auto"/>
              <w:rPr>
                <w:rFonts w:ascii="Barlow" w:hAnsi="Barlow" w:cs="Arial"/>
                <w:b/>
                <w:bCs/>
                <w:sz w:val="20"/>
                <w:szCs w:val="20"/>
              </w:rPr>
            </w:pPr>
            <w:r w:rsidRPr="00DC37D6">
              <w:rPr>
                <w:rFonts w:ascii="Barlow" w:hAnsi="Barlow" w:cs="Arial"/>
                <w:b/>
                <w:bCs/>
                <w:sz w:val="20"/>
                <w:szCs w:val="20"/>
              </w:rPr>
              <w:t>OTROS GASTOS Y PÉRDIDAS EXTRAORDINARIAS</w:t>
            </w:r>
          </w:p>
        </w:tc>
      </w:tr>
      <w:tr w:rsidR="000744B7" w:rsidRPr="00DC37D6" w14:paraId="1D585E5F" w14:textId="77777777" w:rsidTr="00B9608D">
        <w:trPr>
          <w:trHeight w:val="314"/>
          <w:jc w:val="center"/>
        </w:trPr>
        <w:tc>
          <w:tcPr>
            <w:tcW w:w="6044" w:type="dxa"/>
            <w:noWrap/>
          </w:tcPr>
          <w:p w14:paraId="7E0ED7C5" w14:textId="77777777" w:rsidR="00347B8E" w:rsidRPr="00DC37D6" w:rsidRDefault="00347B8E" w:rsidP="00347B8E">
            <w:pPr>
              <w:autoSpaceDE w:val="0"/>
              <w:autoSpaceDN w:val="0"/>
              <w:adjustRightInd w:val="0"/>
              <w:spacing w:line="360" w:lineRule="auto"/>
              <w:jc w:val="both"/>
              <w:rPr>
                <w:rFonts w:ascii="Barlow" w:hAnsi="Barlow" w:cs="Arial"/>
                <w:bCs/>
                <w:sz w:val="20"/>
                <w:szCs w:val="20"/>
              </w:rPr>
            </w:pPr>
            <w:r w:rsidRPr="00DC37D6">
              <w:rPr>
                <w:rFonts w:ascii="Barlow" w:hAnsi="Barlow" w:cs="Arial"/>
                <w:bCs/>
                <w:sz w:val="20"/>
                <w:szCs w:val="20"/>
              </w:rPr>
              <w:t>Estimaciones, depreciaciones, deterioros, obsolescencias, amortizaciones y provisiones.</w:t>
            </w:r>
          </w:p>
        </w:tc>
        <w:tc>
          <w:tcPr>
            <w:tcW w:w="2471" w:type="dxa"/>
            <w:noWrap/>
          </w:tcPr>
          <w:p w14:paraId="7C83D2D0" w14:textId="77777777" w:rsidR="00347B8E" w:rsidRPr="00DC37D6" w:rsidRDefault="00347B8E" w:rsidP="00347B8E">
            <w:pPr>
              <w:autoSpaceDE w:val="0"/>
              <w:autoSpaceDN w:val="0"/>
              <w:adjustRightInd w:val="0"/>
              <w:spacing w:line="360" w:lineRule="auto"/>
              <w:jc w:val="both"/>
              <w:rPr>
                <w:rFonts w:ascii="Barlow" w:hAnsi="Barlow" w:cs="Arial"/>
                <w:bCs/>
                <w:sz w:val="20"/>
                <w:szCs w:val="20"/>
              </w:rPr>
            </w:pPr>
            <w:r w:rsidRPr="00DC37D6">
              <w:rPr>
                <w:rFonts w:ascii="Barlow" w:hAnsi="Barlow" w:cs="Arial"/>
                <w:bCs/>
                <w:sz w:val="20"/>
                <w:szCs w:val="20"/>
              </w:rPr>
              <w:t xml:space="preserve">                         </w:t>
            </w:r>
          </w:p>
          <w:p w14:paraId="1A788A25" w14:textId="012209DE" w:rsidR="00347B8E" w:rsidRPr="00DC37D6" w:rsidRDefault="00CF51A7" w:rsidP="00691EA2">
            <w:pPr>
              <w:autoSpaceDE w:val="0"/>
              <w:autoSpaceDN w:val="0"/>
              <w:adjustRightInd w:val="0"/>
              <w:spacing w:line="360" w:lineRule="auto"/>
              <w:jc w:val="right"/>
              <w:rPr>
                <w:rFonts w:ascii="Barlow" w:hAnsi="Barlow" w:cs="Arial"/>
                <w:bCs/>
                <w:sz w:val="20"/>
                <w:szCs w:val="20"/>
              </w:rPr>
            </w:pPr>
            <w:r w:rsidRPr="00DC37D6">
              <w:rPr>
                <w:rFonts w:ascii="Barlow" w:hAnsi="Barlow" w:cs="Arial"/>
                <w:bCs/>
                <w:sz w:val="20"/>
                <w:szCs w:val="20"/>
              </w:rPr>
              <w:t>$</w:t>
            </w:r>
            <w:r w:rsidR="003C4EDA" w:rsidRPr="00DC37D6">
              <w:rPr>
                <w:rFonts w:ascii="Barlow" w:hAnsi="Barlow" w:cs="Arial"/>
                <w:bCs/>
                <w:sz w:val="20"/>
                <w:szCs w:val="20"/>
              </w:rPr>
              <w:t>77</w:t>
            </w:r>
            <w:r w:rsidRPr="00DC37D6">
              <w:rPr>
                <w:rFonts w:ascii="Barlow" w:hAnsi="Barlow" w:cs="Arial"/>
                <w:bCs/>
                <w:sz w:val="20"/>
                <w:szCs w:val="20"/>
              </w:rPr>
              <w:t>,</w:t>
            </w:r>
            <w:r w:rsidR="00C05F00" w:rsidRPr="00DC37D6">
              <w:rPr>
                <w:rFonts w:ascii="Barlow" w:hAnsi="Barlow" w:cs="Arial"/>
                <w:bCs/>
                <w:sz w:val="20"/>
                <w:szCs w:val="20"/>
              </w:rPr>
              <w:t>246</w:t>
            </w:r>
            <w:r w:rsidR="00EA380A" w:rsidRPr="00DC37D6">
              <w:rPr>
                <w:rFonts w:ascii="Barlow" w:hAnsi="Barlow" w:cs="Arial"/>
                <w:bCs/>
                <w:sz w:val="20"/>
                <w:szCs w:val="20"/>
              </w:rPr>
              <w:t>.</w:t>
            </w:r>
            <w:r w:rsidR="00C05F00" w:rsidRPr="00DC37D6">
              <w:rPr>
                <w:rFonts w:ascii="Barlow" w:hAnsi="Barlow" w:cs="Arial"/>
                <w:bCs/>
                <w:sz w:val="20"/>
                <w:szCs w:val="20"/>
              </w:rPr>
              <w:t>00</w:t>
            </w:r>
          </w:p>
        </w:tc>
      </w:tr>
      <w:tr w:rsidR="000744B7" w:rsidRPr="00DC37D6" w14:paraId="7419D514" w14:textId="77777777" w:rsidTr="00B9608D">
        <w:trPr>
          <w:trHeight w:val="314"/>
          <w:jc w:val="center"/>
        </w:trPr>
        <w:tc>
          <w:tcPr>
            <w:tcW w:w="6044" w:type="dxa"/>
            <w:shd w:val="clear" w:color="auto" w:fill="9BBB59" w:themeFill="accent3"/>
            <w:noWrap/>
          </w:tcPr>
          <w:p w14:paraId="1E237516" w14:textId="380ED4B6" w:rsidR="00D15AF6" w:rsidRPr="00DC37D6" w:rsidRDefault="00347B8E" w:rsidP="006C1DD6">
            <w:pPr>
              <w:autoSpaceDE w:val="0"/>
              <w:autoSpaceDN w:val="0"/>
              <w:adjustRightInd w:val="0"/>
              <w:spacing w:line="360" w:lineRule="auto"/>
              <w:jc w:val="center"/>
              <w:rPr>
                <w:rFonts w:ascii="Barlow" w:hAnsi="Barlow" w:cs="Arial"/>
                <w:b/>
                <w:bCs/>
                <w:sz w:val="20"/>
                <w:szCs w:val="20"/>
              </w:rPr>
            </w:pPr>
            <w:r w:rsidRPr="00DC37D6">
              <w:rPr>
                <w:rFonts w:ascii="Barlow" w:hAnsi="Barlow" w:cs="Arial"/>
                <w:b/>
                <w:bCs/>
                <w:sz w:val="20"/>
                <w:szCs w:val="20"/>
              </w:rPr>
              <w:t>TOTAL</w:t>
            </w:r>
          </w:p>
        </w:tc>
        <w:tc>
          <w:tcPr>
            <w:tcW w:w="2471" w:type="dxa"/>
            <w:shd w:val="clear" w:color="auto" w:fill="9BBB59" w:themeFill="accent3"/>
            <w:noWrap/>
          </w:tcPr>
          <w:p w14:paraId="514F8E7B" w14:textId="0F75F763" w:rsidR="00347B8E" w:rsidRPr="00DC37D6" w:rsidRDefault="00347B8E" w:rsidP="00691EA2">
            <w:pPr>
              <w:autoSpaceDE w:val="0"/>
              <w:autoSpaceDN w:val="0"/>
              <w:adjustRightInd w:val="0"/>
              <w:spacing w:line="360" w:lineRule="auto"/>
              <w:jc w:val="right"/>
              <w:rPr>
                <w:rFonts w:ascii="Barlow" w:hAnsi="Barlow" w:cs="Arial"/>
                <w:b/>
                <w:bCs/>
                <w:sz w:val="20"/>
                <w:szCs w:val="20"/>
              </w:rPr>
            </w:pPr>
            <w:r w:rsidRPr="00DC37D6">
              <w:rPr>
                <w:rFonts w:ascii="Barlow" w:hAnsi="Barlow" w:cs="Arial"/>
                <w:b/>
                <w:bCs/>
                <w:sz w:val="20"/>
                <w:szCs w:val="20"/>
              </w:rPr>
              <w:t>$</w:t>
            </w:r>
            <w:r w:rsidR="003C4EDA" w:rsidRPr="00DC37D6">
              <w:rPr>
                <w:rFonts w:ascii="Barlow" w:hAnsi="Barlow" w:cs="Arial"/>
                <w:b/>
                <w:bCs/>
                <w:sz w:val="20"/>
                <w:szCs w:val="20"/>
              </w:rPr>
              <w:t>3</w:t>
            </w:r>
            <w:r w:rsidR="00E159B8" w:rsidRPr="00DC37D6">
              <w:rPr>
                <w:rFonts w:ascii="Barlow" w:hAnsi="Barlow" w:cs="Arial"/>
                <w:b/>
                <w:bCs/>
                <w:sz w:val="20"/>
                <w:szCs w:val="20"/>
              </w:rPr>
              <w:t>,</w:t>
            </w:r>
            <w:r w:rsidR="003C4EDA" w:rsidRPr="00DC37D6">
              <w:rPr>
                <w:rFonts w:ascii="Barlow" w:hAnsi="Barlow" w:cs="Arial"/>
                <w:b/>
                <w:bCs/>
                <w:sz w:val="20"/>
                <w:szCs w:val="20"/>
              </w:rPr>
              <w:t>700</w:t>
            </w:r>
            <w:r w:rsidR="00E159B8" w:rsidRPr="00DC37D6">
              <w:rPr>
                <w:rFonts w:ascii="Barlow" w:hAnsi="Barlow" w:cs="Arial"/>
                <w:b/>
                <w:bCs/>
                <w:sz w:val="20"/>
                <w:szCs w:val="20"/>
              </w:rPr>
              <w:t>,</w:t>
            </w:r>
            <w:r w:rsidR="00C05F00" w:rsidRPr="00DC37D6">
              <w:rPr>
                <w:rFonts w:ascii="Barlow" w:hAnsi="Barlow" w:cs="Arial"/>
                <w:b/>
                <w:bCs/>
                <w:sz w:val="20"/>
                <w:szCs w:val="20"/>
              </w:rPr>
              <w:t>550</w:t>
            </w:r>
            <w:r w:rsidR="00E54260" w:rsidRPr="00DC37D6">
              <w:rPr>
                <w:rFonts w:ascii="Barlow" w:hAnsi="Barlow" w:cs="Arial"/>
                <w:b/>
                <w:bCs/>
                <w:sz w:val="20"/>
                <w:szCs w:val="20"/>
              </w:rPr>
              <w:t>.</w:t>
            </w:r>
            <w:r w:rsidR="00C05F00" w:rsidRPr="00DC37D6">
              <w:rPr>
                <w:rFonts w:ascii="Barlow" w:hAnsi="Barlow" w:cs="Arial"/>
                <w:b/>
                <w:bCs/>
                <w:sz w:val="20"/>
                <w:szCs w:val="20"/>
              </w:rPr>
              <w:t>26</w:t>
            </w:r>
          </w:p>
        </w:tc>
      </w:tr>
    </w:tbl>
    <w:p w14:paraId="55F05B61" w14:textId="77777777" w:rsidR="006C6095" w:rsidRPr="00DC37D6" w:rsidRDefault="006C6095" w:rsidP="00947157">
      <w:pPr>
        <w:autoSpaceDE w:val="0"/>
        <w:autoSpaceDN w:val="0"/>
        <w:adjustRightInd w:val="0"/>
        <w:spacing w:line="360" w:lineRule="auto"/>
        <w:jc w:val="both"/>
        <w:rPr>
          <w:rFonts w:ascii="Barlow" w:hAnsi="Barlow" w:cs="Arial"/>
          <w:b/>
          <w:sz w:val="20"/>
          <w:szCs w:val="20"/>
        </w:rPr>
      </w:pPr>
    </w:p>
    <w:p w14:paraId="016C5CDC" w14:textId="36409540" w:rsidR="00386CC1" w:rsidRPr="00DC37D6" w:rsidRDefault="00051C2B" w:rsidP="006C6095">
      <w:pPr>
        <w:autoSpaceDE w:val="0"/>
        <w:autoSpaceDN w:val="0"/>
        <w:adjustRightInd w:val="0"/>
        <w:rPr>
          <w:rFonts w:ascii="Barlow" w:hAnsi="Barlow" w:cs="Arial"/>
          <w:sz w:val="20"/>
          <w:szCs w:val="20"/>
        </w:rPr>
      </w:pPr>
      <w:r w:rsidRPr="00DC37D6">
        <w:rPr>
          <w:rFonts w:ascii="Barlow" w:hAnsi="Barlow" w:cs="Arial"/>
          <w:b/>
          <w:sz w:val="20"/>
          <w:szCs w:val="20"/>
        </w:rPr>
        <w:t>III) NOTAS AL ESTADO DE VARIACIONES EN LA HACIENDA PÚBLICA.</w:t>
      </w:r>
      <w:bookmarkStart w:id="10" w:name="m11"/>
      <w:bookmarkEnd w:id="10"/>
      <w:r w:rsidR="00E54C8B" w:rsidRPr="00DC37D6">
        <w:rPr>
          <w:rFonts w:ascii="Barlow" w:hAnsi="Barlow" w:cs="Arial"/>
          <w:sz w:val="20"/>
          <w:szCs w:val="20"/>
        </w:rPr>
        <w:t xml:space="preserve"> </w:t>
      </w:r>
    </w:p>
    <w:p w14:paraId="66AA88DF" w14:textId="77777777" w:rsidR="006C6095" w:rsidRPr="00DC37D6" w:rsidRDefault="006C6095" w:rsidP="006C6095">
      <w:pPr>
        <w:autoSpaceDE w:val="0"/>
        <w:autoSpaceDN w:val="0"/>
        <w:adjustRightInd w:val="0"/>
        <w:rPr>
          <w:rFonts w:ascii="Barlow" w:hAnsi="Barlow" w:cs="Arial"/>
          <w:sz w:val="20"/>
          <w:szCs w:val="20"/>
        </w:rPr>
      </w:pPr>
    </w:p>
    <w:p w14:paraId="345D3986" w14:textId="14B2F8F8" w:rsidR="00AB5346" w:rsidRPr="00DC37D6" w:rsidRDefault="00AB5346" w:rsidP="006C6095">
      <w:pPr>
        <w:autoSpaceDE w:val="0"/>
        <w:autoSpaceDN w:val="0"/>
        <w:adjustRightInd w:val="0"/>
        <w:rPr>
          <w:rFonts w:ascii="Barlow" w:hAnsi="Barlow" w:cs="Arial"/>
          <w:sz w:val="20"/>
          <w:szCs w:val="20"/>
        </w:rPr>
      </w:pPr>
      <w:r w:rsidRPr="00DC37D6">
        <w:rPr>
          <w:rFonts w:ascii="Barlow" w:hAnsi="Barlow" w:cs="Arial"/>
          <w:sz w:val="20"/>
          <w:szCs w:val="20"/>
        </w:rPr>
        <w:t>1.- La Secretaría Ejecutiva del Sistema Estatal Anticorrupción no presenta modificaciones al patrimonio contribuido.</w:t>
      </w:r>
    </w:p>
    <w:p w14:paraId="3105ED07" w14:textId="77777777" w:rsidR="006C6095" w:rsidRPr="00DC37D6" w:rsidRDefault="006C6095" w:rsidP="006C6095">
      <w:pPr>
        <w:autoSpaceDE w:val="0"/>
        <w:autoSpaceDN w:val="0"/>
        <w:adjustRightInd w:val="0"/>
        <w:rPr>
          <w:rFonts w:ascii="Barlow" w:hAnsi="Barlow" w:cs="Arial"/>
          <w:sz w:val="20"/>
          <w:szCs w:val="20"/>
        </w:rPr>
      </w:pPr>
    </w:p>
    <w:p w14:paraId="396CCF25" w14:textId="77777777" w:rsidR="0097373C" w:rsidRPr="00DC37D6" w:rsidRDefault="00CE1A8B" w:rsidP="00464F3F">
      <w:pPr>
        <w:autoSpaceDE w:val="0"/>
        <w:autoSpaceDN w:val="0"/>
        <w:adjustRightInd w:val="0"/>
        <w:spacing w:line="360" w:lineRule="auto"/>
        <w:rPr>
          <w:rFonts w:ascii="Barlow" w:hAnsi="Barlow" w:cs="Arial"/>
          <w:sz w:val="20"/>
          <w:szCs w:val="20"/>
        </w:rPr>
      </w:pPr>
      <w:r w:rsidRPr="00DC37D6">
        <w:rPr>
          <w:rFonts w:ascii="Barlow" w:hAnsi="Barlow" w:cs="Arial"/>
          <w:sz w:val="20"/>
          <w:szCs w:val="20"/>
        </w:rPr>
        <w:lastRenderedPageBreak/>
        <w:t xml:space="preserve">2.- La modificación al patrimonio generado </w:t>
      </w:r>
      <w:r w:rsidR="003534CD" w:rsidRPr="00DC37D6">
        <w:rPr>
          <w:rFonts w:ascii="Barlow" w:hAnsi="Barlow" w:cs="Arial"/>
          <w:sz w:val="20"/>
          <w:szCs w:val="20"/>
        </w:rPr>
        <w:t xml:space="preserve">corresponde al Resultado del Ejercicio (Ahorro/Desahorro) </w:t>
      </w:r>
      <w:r w:rsidR="00FD2383" w:rsidRPr="00DC37D6">
        <w:rPr>
          <w:rFonts w:ascii="Barlow" w:hAnsi="Barlow" w:cs="Arial"/>
          <w:sz w:val="20"/>
          <w:szCs w:val="20"/>
        </w:rPr>
        <w:t xml:space="preserve">que al periodo que se informa asciende </w:t>
      </w:r>
      <w:r w:rsidR="00151DC3" w:rsidRPr="00DC37D6">
        <w:rPr>
          <w:rFonts w:ascii="Barlow" w:hAnsi="Barlow" w:cs="Arial"/>
          <w:sz w:val="20"/>
          <w:szCs w:val="20"/>
        </w:rPr>
        <w:t>a</w:t>
      </w:r>
    </w:p>
    <w:p w14:paraId="2A124327" w14:textId="2FD08A39" w:rsidR="001458C8" w:rsidRPr="00DC37D6" w:rsidRDefault="0097373C" w:rsidP="00464F3F">
      <w:pPr>
        <w:autoSpaceDE w:val="0"/>
        <w:autoSpaceDN w:val="0"/>
        <w:adjustRightInd w:val="0"/>
        <w:spacing w:line="360" w:lineRule="auto"/>
        <w:rPr>
          <w:rFonts w:ascii="Barlow" w:hAnsi="Barlow" w:cs="Arial"/>
          <w:b/>
          <w:bCs/>
          <w:sz w:val="20"/>
          <w:szCs w:val="20"/>
        </w:rPr>
      </w:pPr>
      <w:r w:rsidRPr="00DC37D6">
        <w:rPr>
          <w:rFonts w:ascii="Barlow" w:hAnsi="Barlow" w:cs="Arial"/>
          <w:sz w:val="20"/>
          <w:szCs w:val="20"/>
        </w:rPr>
        <w:t xml:space="preserve"> </w:t>
      </w:r>
      <w:r w:rsidR="00FD2383" w:rsidRPr="00DC37D6">
        <w:rPr>
          <w:rFonts w:ascii="Barlow" w:hAnsi="Barlow" w:cs="Arial"/>
          <w:sz w:val="20"/>
          <w:szCs w:val="20"/>
        </w:rPr>
        <w:t xml:space="preserve"> </w:t>
      </w:r>
      <w:r w:rsidR="00FD2383" w:rsidRPr="00DC37D6">
        <w:rPr>
          <w:rFonts w:ascii="Barlow" w:hAnsi="Barlow" w:cs="Arial"/>
          <w:b/>
          <w:bCs/>
          <w:sz w:val="20"/>
          <w:szCs w:val="20"/>
        </w:rPr>
        <w:t>$</w:t>
      </w:r>
      <w:r w:rsidR="003C4EDA" w:rsidRPr="00DC37D6">
        <w:rPr>
          <w:rFonts w:ascii="Barlow" w:hAnsi="Barlow" w:cs="Arial"/>
          <w:b/>
          <w:bCs/>
          <w:sz w:val="20"/>
          <w:szCs w:val="20"/>
        </w:rPr>
        <w:t>51</w:t>
      </w:r>
      <w:r w:rsidR="00F45FFD" w:rsidRPr="00DC37D6">
        <w:rPr>
          <w:rFonts w:ascii="Barlow" w:hAnsi="Barlow" w:cs="Arial"/>
          <w:b/>
          <w:bCs/>
          <w:sz w:val="20"/>
          <w:szCs w:val="20"/>
        </w:rPr>
        <w:t>,</w:t>
      </w:r>
      <w:r w:rsidR="00C05F00" w:rsidRPr="00DC37D6">
        <w:rPr>
          <w:rFonts w:ascii="Barlow" w:hAnsi="Barlow" w:cs="Arial"/>
          <w:b/>
          <w:bCs/>
          <w:sz w:val="20"/>
          <w:szCs w:val="20"/>
        </w:rPr>
        <w:t>786.05</w:t>
      </w:r>
    </w:p>
    <w:p w14:paraId="3061FEF9" w14:textId="77777777" w:rsidR="006C6095" w:rsidRPr="00DC37D6" w:rsidRDefault="006C6095" w:rsidP="00464F3F">
      <w:pPr>
        <w:autoSpaceDE w:val="0"/>
        <w:autoSpaceDN w:val="0"/>
        <w:adjustRightInd w:val="0"/>
        <w:spacing w:line="360" w:lineRule="auto"/>
        <w:rPr>
          <w:rFonts w:ascii="Barlow" w:hAnsi="Barlow" w:cs="Arial"/>
          <w:sz w:val="20"/>
          <w:szCs w:val="20"/>
        </w:rPr>
      </w:pPr>
    </w:p>
    <w:p w14:paraId="3EF25108" w14:textId="5329E9F4" w:rsidR="008273DF" w:rsidRPr="00DC37D6" w:rsidRDefault="00C850B8" w:rsidP="00827B79">
      <w:pPr>
        <w:spacing w:after="200" w:line="276" w:lineRule="auto"/>
        <w:rPr>
          <w:rFonts w:ascii="Barlow" w:hAnsi="Barlow" w:cs="Arial"/>
          <w:b/>
          <w:sz w:val="20"/>
          <w:szCs w:val="20"/>
        </w:rPr>
      </w:pPr>
      <w:r w:rsidRPr="00DC37D6">
        <w:rPr>
          <w:rFonts w:ascii="Barlow" w:hAnsi="Barlow" w:cs="Arial"/>
          <w:b/>
          <w:sz w:val="20"/>
          <w:szCs w:val="20"/>
        </w:rPr>
        <w:t>IV) NOTAS AL ESTADO DE FLUJO DE EFECTIVO</w:t>
      </w:r>
    </w:p>
    <w:p w14:paraId="3FBCFDCF" w14:textId="66094FDD" w:rsidR="00DC546C" w:rsidRPr="00DC37D6" w:rsidRDefault="00B27C12" w:rsidP="00827B79">
      <w:pPr>
        <w:spacing w:after="200" w:line="276" w:lineRule="auto"/>
        <w:rPr>
          <w:rFonts w:ascii="Barlow" w:hAnsi="Barlow" w:cs="Arial"/>
          <w:b/>
          <w:sz w:val="20"/>
          <w:szCs w:val="20"/>
        </w:rPr>
      </w:pPr>
      <w:r w:rsidRPr="00DC37D6">
        <w:rPr>
          <w:rFonts w:ascii="Barlow" w:hAnsi="Barlow" w:cs="Arial"/>
          <w:b/>
          <w:sz w:val="20"/>
          <w:szCs w:val="20"/>
        </w:rPr>
        <w:t>Efectivo y Equivalentes</w:t>
      </w:r>
    </w:p>
    <w:p w14:paraId="5148CC20" w14:textId="0FDAC9B8" w:rsidR="00696C9D" w:rsidRPr="00DC37D6" w:rsidRDefault="008273DF" w:rsidP="00930506">
      <w:pPr>
        <w:autoSpaceDE w:val="0"/>
        <w:autoSpaceDN w:val="0"/>
        <w:adjustRightInd w:val="0"/>
        <w:spacing w:line="360" w:lineRule="auto"/>
        <w:ind w:left="708"/>
        <w:jc w:val="both"/>
        <w:rPr>
          <w:rFonts w:ascii="Barlow" w:hAnsi="Barlow" w:cs="Arial"/>
          <w:bCs/>
          <w:sz w:val="20"/>
          <w:szCs w:val="20"/>
        </w:rPr>
      </w:pPr>
      <w:r w:rsidRPr="00DC37D6">
        <w:rPr>
          <w:rFonts w:ascii="Barlow" w:hAnsi="Barlow" w:cs="Arial"/>
          <w:bCs/>
          <w:sz w:val="20"/>
          <w:szCs w:val="20"/>
        </w:rPr>
        <w:t>1.- El análisis de los saldos inicial y final que figuran en la última parte del estado de flujo de efectivo en la cuenta de efectivo y equivalentes es como sigue:</w:t>
      </w:r>
      <w:bookmarkStart w:id="11" w:name="m13"/>
      <w:bookmarkEnd w:id="11"/>
    </w:p>
    <w:tbl>
      <w:tblPr>
        <w:tblW w:w="5553" w:type="dxa"/>
        <w:jc w:val="center"/>
        <w:tblCellMar>
          <w:left w:w="70" w:type="dxa"/>
          <w:right w:w="70" w:type="dxa"/>
        </w:tblCellMar>
        <w:tblLook w:val="04A0" w:firstRow="1" w:lastRow="0" w:firstColumn="1" w:lastColumn="0" w:noHBand="0" w:noVBand="1"/>
      </w:tblPr>
      <w:tblGrid>
        <w:gridCol w:w="3037"/>
        <w:gridCol w:w="1152"/>
        <w:gridCol w:w="1364"/>
      </w:tblGrid>
      <w:tr w:rsidR="00696C9D" w:rsidRPr="00DC37D6" w14:paraId="2592FD8A" w14:textId="77777777" w:rsidTr="00BB64A2">
        <w:trPr>
          <w:trHeight w:val="290"/>
          <w:jc w:val="center"/>
        </w:trPr>
        <w:tc>
          <w:tcPr>
            <w:tcW w:w="3037" w:type="dxa"/>
            <w:tcBorders>
              <w:top w:val="single" w:sz="8" w:space="0" w:color="auto"/>
              <w:left w:val="single" w:sz="8" w:space="0" w:color="auto"/>
              <w:bottom w:val="single" w:sz="8" w:space="0" w:color="auto"/>
              <w:right w:val="single" w:sz="8" w:space="0" w:color="auto"/>
            </w:tcBorders>
            <w:shd w:val="clear" w:color="000000" w:fill="92D050"/>
            <w:vAlign w:val="center"/>
            <w:hideMark/>
          </w:tcPr>
          <w:p w14:paraId="54FE4AC4" w14:textId="77777777" w:rsidR="00696C9D" w:rsidRPr="00DC37D6" w:rsidRDefault="00696C9D" w:rsidP="00696C9D">
            <w:pPr>
              <w:jc w:val="center"/>
              <w:rPr>
                <w:rFonts w:ascii="Barlow" w:hAnsi="Barlow" w:cs="Arial"/>
                <w:b/>
                <w:bCs/>
                <w:color w:val="000000"/>
                <w:sz w:val="20"/>
                <w:szCs w:val="20"/>
                <w:lang w:eastAsia="es-MX"/>
              </w:rPr>
            </w:pPr>
            <w:r w:rsidRPr="00DC37D6">
              <w:rPr>
                <w:rFonts w:ascii="Barlow" w:hAnsi="Barlow" w:cs="Arial"/>
                <w:b/>
                <w:bCs/>
                <w:color w:val="000000"/>
                <w:sz w:val="20"/>
                <w:szCs w:val="20"/>
                <w:lang w:eastAsia="es-MX"/>
              </w:rPr>
              <w:t>Concepto</w:t>
            </w:r>
          </w:p>
        </w:tc>
        <w:tc>
          <w:tcPr>
            <w:tcW w:w="1152" w:type="dxa"/>
            <w:tcBorders>
              <w:top w:val="single" w:sz="8" w:space="0" w:color="auto"/>
              <w:left w:val="nil"/>
              <w:bottom w:val="single" w:sz="8" w:space="0" w:color="auto"/>
              <w:right w:val="single" w:sz="8" w:space="0" w:color="auto"/>
            </w:tcBorders>
            <w:shd w:val="clear" w:color="000000" w:fill="92D050"/>
            <w:vAlign w:val="center"/>
            <w:hideMark/>
          </w:tcPr>
          <w:p w14:paraId="3A8733B2" w14:textId="3E566296" w:rsidR="00696C9D" w:rsidRPr="00DC37D6" w:rsidRDefault="00696C9D" w:rsidP="00696C9D">
            <w:pPr>
              <w:jc w:val="center"/>
              <w:rPr>
                <w:rFonts w:ascii="Barlow" w:hAnsi="Barlow" w:cs="Arial"/>
                <w:b/>
                <w:bCs/>
                <w:color w:val="000000"/>
                <w:sz w:val="20"/>
                <w:szCs w:val="20"/>
                <w:lang w:eastAsia="es-MX"/>
              </w:rPr>
            </w:pPr>
            <w:r w:rsidRPr="00DC37D6">
              <w:rPr>
                <w:rFonts w:ascii="Barlow" w:hAnsi="Barlow" w:cs="Arial"/>
                <w:b/>
                <w:bCs/>
                <w:color w:val="000000"/>
                <w:sz w:val="20"/>
                <w:szCs w:val="20"/>
                <w:lang w:eastAsia="es-MX"/>
              </w:rPr>
              <w:t>202</w:t>
            </w:r>
            <w:r w:rsidR="004255A9" w:rsidRPr="00DC37D6">
              <w:rPr>
                <w:rFonts w:ascii="Barlow" w:hAnsi="Barlow" w:cs="Arial"/>
                <w:b/>
                <w:bCs/>
                <w:color w:val="000000"/>
                <w:sz w:val="20"/>
                <w:szCs w:val="20"/>
                <w:lang w:eastAsia="es-MX"/>
              </w:rPr>
              <w:t>2</w:t>
            </w:r>
          </w:p>
        </w:tc>
        <w:tc>
          <w:tcPr>
            <w:tcW w:w="1364" w:type="dxa"/>
            <w:tcBorders>
              <w:top w:val="single" w:sz="8" w:space="0" w:color="auto"/>
              <w:left w:val="nil"/>
              <w:bottom w:val="single" w:sz="8" w:space="0" w:color="auto"/>
              <w:right w:val="single" w:sz="8" w:space="0" w:color="auto"/>
            </w:tcBorders>
            <w:shd w:val="clear" w:color="000000" w:fill="92D050"/>
            <w:vAlign w:val="center"/>
            <w:hideMark/>
          </w:tcPr>
          <w:p w14:paraId="6FD6FC1E" w14:textId="276BA111" w:rsidR="00696C9D" w:rsidRPr="00DC37D6" w:rsidRDefault="00696C9D" w:rsidP="00696C9D">
            <w:pPr>
              <w:jc w:val="center"/>
              <w:rPr>
                <w:rFonts w:ascii="Barlow" w:hAnsi="Barlow" w:cs="Arial"/>
                <w:b/>
                <w:bCs/>
                <w:color w:val="000000"/>
                <w:sz w:val="20"/>
                <w:szCs w:val="20"/>
                <w:lang w:eastAsia="es-MX"/>
              </w:rPr>
            </w:pPr>
            <w:r w:rsidRPr="00DC37D6">
              <w:rPr>
                <w:rFonts w:ascii="Barlow" w:hAnsi="Barlow" w:cs="Arial"/>
                <w:b/>
                <w:bCs/>
                <w:color w:val="000000"/>
                <w:sz w:val="20"/>
                <w:szCs w:val="20"/>
                <w:lang w:eastAsia="es-MX"/>
              </w:rPr>
              <w:t>202</w:t>
            </w:r>
            <w:r w:rsidR="004255A9" w:rsidRPr="00DC37D6">
              <w:rPr>
                <w:rFonts w:ascii="Barlow" w:hAnsi="Barlow" w:cs="Arial"/>
                <w:b/>
                <w:bCs/>
                <w:color w:val="000000"/>
                <w:sz w:val="20"/>
                <w:szCs w:val="20"/>
                <w:lang w:eastAsia="es-MX"/>
              </w:rPr>
              <w:t>1</w:t>
            </w:r>
          </w:p>
        </w:tc>
      </w:tr>
      <w:tr w:rsidR="00696C9D" w:rsidRPr="00DC37D6" w14:paraId="2DF82F8B" w14:textId="77777777" w:rsidTr="00BB64A2">
        <w:trPr>
          <w:trHeight w:val="290"/>
          <w:jc w:val="center"/>
        </w:trPr>
        <w:tc>
          <w:tcPr>
            <w:tcW w:w="3037" w:type="dxa"/>
            <w:tcBorders>
              <w:top w:val="nil"/>
              <w:left w:val="single" w:sz="8" w:space="0" w:color="auto"/>
              <w:bottom w:val="single" w:sz="8" w:space="0" w:color="auto"/>
              <w:right w:val="single" w:sz="8" w:space="0" w:color="auto"/>
            </w:tcBorders>
            <w:shd w:val="clear" w:color="auto" w:fill="auto"/>
            <w:vAlign w:val="center"/>
            <w:hideMark/>
          </w:tcPr>
          <w:p w14:paraId="13156DAE" w14:textId="77777777" w:rsidR="00696C9D" w:rsidRPr="00DC37D6" w:rsidRDefault="00696C9D" w:rsidP="00696C9D">
            <w:pPr>
              <w:jc w:val="both"/>
              <w:rPr>
                <w:rFonts w:ascii="Barlow" w:hAnsi="Barlow" w:cs="Arial"/>
                <w:color w:val="000000"/>
                <w:sz w:val="20"/>
                <w:szCs w:val="20"/>
                <w:lang w:eastAsia="es-MX"/>
              </w:rPr>
            </w:pPr>
            <w:r w:rsidRPr="00DC37D6">
              <w:rPr>
                <w:rFonts w:ascii="Barlow" w:hAnsi="Barlow" w:cs="Arial"/>
                <w:color w:val="000000"/>
                <w:sz w:val="20"/>
                <w:szCs w:val="20"/>
                <w:lang w:eastAsia="es-MX"/>
              </w:rPr>
              <w:t>Efectivo</w:t>
            </w:r>
          </w:p>
        </w:tc>
        <w:tc>
          <w:tcPr>
            <w:tcW w:w="1152" w:type="dxa"/>
            <w:tcBorders>
              <w:top w:val="nil"/>
              <w:left w:val="nil"/>
              <w:bottom w:val="single" w:sz="8" w:space="0" w:color="auto"/>
              <w:right w:val="single" w:sz="8" w:space="0" w:color="auto"/>
            </w:tcBorders>
            <w:shd w:val="clear" w:color="auto" w:fill="auto"/>
            <w:vAlign w:val="center"/>
            <w:hideMark/>
          </w:tcPr>
          <w:p w14:paraId="381D57D2" w14:textId="77777777" w:rsidR="00696C9D" w:rsidRPr="00DC37D6" w:rsidRDefault="00696C9D" w:rsidP="00696C9D">
            <w:pPr>
              <w:jc w:val="right"/>
              <w:rPr>
                <w:rFonts w:ascii="Barlow" w:hAnsi="Barlow" w:cs="Arial"/>
                <w:color w:val="000000"/>
                <w:sz w:val="20"/>
                <w:szCs w:val="20"/>
                <w:lang w:eastAsia="es-MX"/>
              </w:rPr>
            </w:pPr>
            <w:r w:rsidRPr="00DC37D6">
              <w:rPr>
                <w:rFonts w:ascii="Barlow" w:hAnsi="Barlow" w:cs="Arial"/>
                <w:color w:val="000000"/>
                <w:sz w:val="20"/>
                <w:szCs w:val="20"/>
                <w:lang w:eastAsia="es-MX"/>
              </w:rPr>
              <w:t xml:space="preserve">0.00 </w:t>
            </w:r>
          </w:p>
        </w:tc>
        <w:tc>
          <w:tcPr>
            <w:tcW w:w="1364" w:type="dxa"/>
            <w:tcBorders>
              <w:top w:val="nil"/>
              <w:left w:val="nil"/>
              <w:bottom w:val="single" w:sz="8" w:space="0" w:color="auto"/>
              <w:right w:val="single" w:sz="8" w:space="0" w:color="auto"/>
            </w:tcBorders>
            <w:shd w:val="clear" w:color="auto" w:fill="auto"/>
            <w:vAlign w:val="center"/>
            <w:hideMark/>
          </w:tcPr>
          <w:p w14:paraId="58BEE230" w14:textId="77777777" w:rsidR="00696C9D" w:rsidRPr="00DC37D6" w:rsidRDefault="00696C9D" w:rsidP="00696C9D">
            <w:pPr>
              <w:jc w:val="right"/>
              <w:rPr>
                <w:rFonts w:ascii="Barlow" w:hAnsi="Barlow" w:cs="Arial"/>
                <w:color w:val="000000"/>
                <w:sz w:val="20"/>
                <w:szCs w:val="20"/>
                <w:lang w:eastAsia="es-MX"/>
              </w:rPr>
            </w:pPr>
            <w:r w:rsidRPr="00DC37D6">
              <w:rPr>
                <w:rFonts w:ascii="Barlow" w:hAnsi="Barlow" w:cs="Arial"/>
                <w:color w:val="000000"/>
                <w:sz w:val="20"/>
                <w:szCs w:val="20"/>
                <w:lang w:eastAsia="es-MX"/>
              </w:rPr>
              <w:t xml:space="preserve">0.00 </w:t>
            </w:r>
          </w:p>
        </w:tc>
      </w:tr>
      <w:tr w:rsidR="00696C9D" w:rsidRPr="00DC37D6" w14:paraId="7F5D9036" w14:textId="77777777" w:rsidTr="00BB64A2">
        <w:trPr>
          <w:trHeight w:val="290"/>
          <w:jc w:val="center"/>
        </w:trPr>
        <w:tc>
          <w:tcPr>
            <w:tcW w:w="3037" w:type="dxa"/>
            <w:tcBorders>
              <w:top w:val="nil"/>
              <w:left w:val="single" w:sz="8" w:space="0" w:color="auto"/>
              <w:bottom w:val="single" w:sz="8" w:space="0" w:color="auto"/>
              <w:right w:val="single" w:sz="8" w:space="0" w:color="auto"/>
            </w:tcBorders>
            <w:shd w:val="clear" w:color="auto" w:fill="auto"/>
            <w:vAlign w:val="center"/>
            <w:hideMark/>
          </w:tcPr>
          <w:p w14:paraId="2544B4C0" w14:textId="77777777" w:rsidR="00696C9D" w:rsidRPr="00DC37D6" w:rsidRDefault="00696C9D" w:rsidP="00696C9D">
            <w:pPr>
              <w:jc w:val="both"/>
              <w:rPr>
                <w:rFonts w:ascii="Barlow" w:hAnsi="Barlow" w:cs="Arial"/>
                <w:color w:val="000000"/>
                <w:sz w:val="20"/>
                <w:szCs w:val="20"/>
                <w:lang w:eastAsia="es-MX"/>
              </w:rPr>
            </w:pPr>
            <w:r w:rsidRPr="00DC37D6">
              <w:rPr>
                <w:rFonts w:ascii="Barlow" w:hAnsi="Barlow" w:cs="Arial"/>
                <w:color w:val="000000"/>
                <w:sz w:val="20"/>
                <w:szCs w:val="20"/>
                <w:lang w:eastAsia="es-MX"/>
              </w:rPr>
              <w:t>Bancos/Tesorería</w:t>
            </w:r>
          </w:p>
        </w:tc>
        <w:tc>
          <w:tcPr>
            <w:tcW w:w="1152" w:type="dxa"/>
            <w:tcBorders>
              <w:top w:val="nil"/>
              <w:left w:val="nil"/>
              <w:bottom w:val="single" w:sz="8" w:space="0" w:color="auto"/>
              <w:right w:val="single" w:sz="8" w:space="0" w:color="auto"/>
            </w:tcBorders>
            <w:shd w:val="clear" w:color="auto" w:fill="auto"/>
            <w:vAlign w:val="center"/>
            <w:hideMark/>
          </w:tcPr>
          <w:p w14:paraId="57D6E7A4" w14:textId="2C00C9D2" w:rsidR="00696C9D" w:rsidRPr="00DC37D6" w:rsidRDefault="00142465" w:rsidP="00505E04">
            <w:pPr>
              <w:jc w:val="right"/>
              <w:rPr>
                <w:rFonts w:ascii="Barlow" w:hAnsi="Barlow" w:cs="Arial"/>
                <w:color w:val="000000"/>
                <w:sz w:val="20"/>
                <w:szCs w:val="20"/>
                <w:lang w:eastAsia="es-MX"/>
              </w:rPr>
            </w:pPr>
            <w:r w:rsidRPr="00DC37D6">
              <w:rPr>
                <w:rFonts w:ascii="Barlow" w:hAnsi="Barlow" w:cs="Arial"/>
                <w:color w:val="000000"/>
                <w:sz w:val="20"/>
                <w:szCs w:val="20"/>
                <w:lang w:eastAsia="es-MX"/>
              </w:rPr>
              <w:t>702</w:t>
            </w:r>
            <w:r w:rsidR="005C5B36" w:rsidRPr="00DC37D6">
              <w:rPr>
                <w:rFonts w:ascii="Barlow" w:hAnsi="Barlow" w:cs="Arial"/>
                <w:color w:val="000000"/>
                <w:sz w:val="20"/>
                <w:szCs w:val="20"/>
                <w:lang w:eastAsia="es-MX"/>
              </w:rPr>
              <w:t>,</w:t>
            </w:r>
            <w:r w:rsidRPr="00DC37D6">
              <w:rPr>
                <w:rFonts w:ascii="Barlow" w:hAnsi="Barlow" w:cs="Arial"/>
                <w:color w:val="000000"/>
                <w:sz w:val="20"/>
                <w:szCs w:val="20"/>
                <w:lang w:eastAsia="es-MX"/>
              </w:rPr>
              <w:t>254</w:t>
            </w:r>
            <w:r w:rsidR="00B407A2" w:rsidRPr="00DC37D6">
              <w:rPr>
                <w:rFonts w:ascii="Barlow" w:hAnsi="Barlow" w:cs="Arial"/>
                <w:color w:val="000000"/>
                <w:sz w:val="20"/>
                <w:szCs w:val="20"/>
                <w:lang w:eastAsia="es-MX"/>
              </w:rPr>
              <w:t>.</w:t>
            </w:r>
            <w:r w:rsidRPr="00DC37D6">
              <w:rPr>
                <w:rFonts w:ascii="Barlow" w:hAnsi="Barlow" w:cs="Arial"/>
                <w:color w:val="000000"/>
                <w:sz w:val="20"/>
                <w:szCs w:val="20"/>
                <w:lang w:eastAsia="es-MX"/>
              </w:rPr>
              <w:t>93</w:t>
            </w:r>
          </w:p>
        </w:tc>
        <w:tc>
          <w:tcPr>
            <w:tcW w:w="1364" w:type="dxa"/>
            <w:tcBorders>
              <w:top w:val="nil"/>
              <w:left w:val="nil"/>
              <w:bottom w:val="single" w:sz="8" w:space="0" w:color="auto"/>
              <w:right w:val="single" w:sz="8" w:space="0" w:color="auto"/>
            </w:tcBorders>
            <w:shd w:val="clear" w:color="auto" w:fill="auto"/>
            <w:vAlign w:val="center"/>
            <w:hideMark/>
          </w:tcPr>
          <w:p w14:paraId="6A8159C3" w14:textId="3D1346EF" w:rsidR="00696C9D" w:rsidRPr="00DC37D6" w:rsidRDefault="00E159B8" w:rsidP="00696C9D">
            <w:pPr>
              <w:jc w:val="right"/>
              <w:rPr>
                <w:rFonts w:ascii="Barlow" w:hAnsi="Barlow" w:cs="Arial"/>
                <w:color w:val="000000"/>
                <w:sz w:val="20"/>
                <w:szCs w:val="20"/>
                <w:lang w:eastAsia="es-MX"/>
              </w:rPr>
            </w:pPr>
            <w:r w:rsidRPr="00DC37D6">
              <w:rPr>
                <w:rFonts w:ascii="Barlow" w:hAnsi="Barlow" w:cs="Arial"/>
                <w:color w:val="000000"/>
                <w:sz w:val="20"/>
                <w:szCs w:val="20"/>
                <w:lang w:eastAsia="es-MX"/>
              </w:rPr>
              <w:t>956,782</w:t>
            </w:r>
            <w:r w:rsidR="00696C9D" w:rsidRPr="00DC37D6">
              <w:rPr>
                <w:rFonts w:ascii="Barlow" w:hAnsi="Barlow" w:cs="Arial"/>
                <w:color w:val="000000"/>
                <w:sz w:val="20"/>
                <w:szCs w:val="20"/>
                <w:lang w:eastAsia="es-MX"/>
              </w:rPr>
              <w:t>.</w:t>
            </w:r>
            <w:r w:rsidRPr="00DC37D6">
              <w:rPr>
                <w:rFonts w:ascii="Barlow" w:hAnsi="Barlow" w:cs="Arial"/>
                <w:color w:val="000000"/>
                <w:sz w:val="20"/>
                <w:szCs w:val="20"/>
                <w:lang w:eastAsia="es-MX"/>
              </w:rPr>
              <w:t>31</w:t>
            </w:r>
          </w:p>
        </w:tc>
      </w:tr>
      <w:tr w:rsidR="00696C9D" w:rsidRPr="00DC37D6" w14:paraId="3D3A8245" w14:textId="77777777" w:rsidTr="00BB64A2">
        <w:trPr>
          <w:trHeight w:val="290"/>
          <w:jc w:val="center"/>
        </w:trPr>
        <w:tc>
          <w:tcPr>
            <w:tcW w:w="3037" w:type="dxa"/>
            <w:tcBorders>
              <w:top w:val="nil"/>
              <w:left w:val="single" w:sz="8" w:space="0" w:color="auto"/>
              <w:bottom w:val="single" w:sz="8" w:space="0" w:color="auto"/>
              <w:right w:val="single" w:sz="8" w:space="0" w:color="auto"/>
            </w:tcBorders>
            <w:shd w:val="clear" w:color="auto" w:fill="auto"/>
            <w:vAlign w:val="center"/>
            <w:hideMark/>
          </w:tcPr>
          <w:p w14:paraId="437269EB" w14:textId="77777777" w:rsidR="00696C9D" w:rsidRPr="00DC37D6" w:rsidRDefault="00696C9D" w:rsidP="00696C9D">
            <w:pPr>
              <w:jc w:val="both"/>
              <w:rPr>
                <w:rFonts w:ascii="Barlow" w:hAnsi="Barlow" w:cs="Arial"/>
                <w:color w:val="000000"/>
                <w:sz w:val="20"/>
                <w:szCs w:val="20"/>
                <w:lang w:eastAsia="es-MX"/>
              </w:rPr>
            </w:pPr>
            <w:r w:rsidRPr="00DC37D6">
              <w:rPr>
                <w:rFonts w:ascii="Barlow" w:hAnsi="Barlow" w:cs="Arial"/>
                <w:color w:val="000000"/>
                <w:sz w:val="20"/>
                <w:szCs w:val="20"/>
                <w:lang w:eastAsia="es-MX"/>
              </w:rPr>
              <w:t>Bancos/Dependencias y Otros (NA)</w:t>
            </w:r>
          </w:p>
        </w:tc>
        <w:tc>
          <w:tcPr>
            <w:tcW w:w="1152" w:type="dxa"/>
            <w:tcBorders>
              <w:top w:val="nil"/>
              <w:left w:val="nil"/>
              <w:bottom w:val="single" w:sz="8" w:space="0" w:color="auto"/>
              <w:right w:val="single" w:sz="8" w:space="0" w:color="auto"/>
            </w:tcBorders>
            <w:shd w:val="clear" w:color="auto" w:fill="auto"/>
            <w:vAlign w:val="center"/>
            <w:hideMark/>
          </w:tcPr>
          <w:p w14:paraId="1756316B" w14:textId="77777777" w:rsidR="00696C9D" w:rsidRPr="00DC37D6" w:rsidRDefault="00696C9D" w:rsidP="00696C9D">
            <w:pPr>
              <w:jc w:val="right"/>
              <w:rPr>
                <w:rFonts w:ascii="Barlow" w:hAnsi="Barlow" w:cs="Arial"/>
                <w:color w:val="000000"/>
                <w:sz w:val="20"/>
                <w:szCs w:val="20"/>
                <w:lang w:eastAsia="es-MX"/>
              </w:rPr>
            </w:pPr>
            <w:r w:rsidRPr="00DC37D6">
              <w:rPr>
                <w:rFonts w:ascii="Barlow" w:hAnsi="Barlow" w:cs="Arial"/>
                <w:color w:val="000000"/>
                <w:sz w:val="20"/>
                <w:szCs w:val="20"/>
                <w:lang w:eastAsia="es-MX"/>
              </w:rPr>
              <w:t xml:space="preserve">0.00 </w:t>
            </w:r>
          </w:p>
        </w:tc>
        <w:tc>
          <w:tcPr>
            <w:tcW w:w="1364" w:type="dxa"/>
            <w:tcBorders>
              <w:top w:val="nil"/>
              <w:left w:val="nil"/>
              <w:bottom w:val="single" w:sz="8" w:space="0" w:color="auto"/>
              <w:right w:val="single" w:sz="8" w:space="0" w:color="auto"/>
            </w:tcBorders>
            <w:shd w:val="clear" w:color="auto" w:fill="auto"/>
            <w:vAlign w:val="center"/>
            <w:hideMark/>
          </w:tcPr>
          <w:p w14:paraId="60B28F90" w14:textId="77777777" w:rsidR="00696C9D" w:rsidRPr="00DC37D6" w:rsidRDefault="00696C9D" w:rsidP="00696C9D">
            <w:pPr>
              <w:jc w:val="right"/>
              <w:rPr>
                <w:rFonts w:ascii="Barlow" w:hAnsi="Barlow" w:cs="Arial"/>
                <w:color w:val="000000"/>
                <w:sz w:val="20"/>
                <w:szCs w:val="20"/>
                <w:lang w:eastAsia="es-MX"/>
              </w:rPr>
            </w:pPr>
            <w:r w:rsidRPr="00DC37D6">
              <w:rPr>
                <w:rFonts w:ascii="Barlow" w:hAnsi="Barlow" w:cs="Arial"/>
                <w:color w:val="000000"/>
                <w:sz w:val="20"/>
                <w:szCs w:val="20"/>
                <w:lang w:eastAsia="es-MX"/>
              </w:rPr>
              <w:t xml:space="preserve">0.00 </w:t>
            </w:r>
          </w:p>
        </w:tc>
      </w:tr>
      <w:tr w:rsidR="00696C9D" w:rsidRPr="00DC37D6" w14:paraId="6C2829A2" w14:textId="77777777" w:rsidTr="00BB64A2">
        <w:trPr>
          <w:trHeight w:val="456"/>
          <w:jc w:val="center"/>
        </w:trPr>
        <w:tc>
          <w:tcPr>
            <w:tcW w:w="3037" w:type="dxa"/>
            <w:tcBorders>
              <w:top w:val="nil"/>
              <w:left w:val="single" w:sz="8" w:space="0" w:color="auto"/>
              <w:bottom w:val="single" w:sz="8" w:space="0" w:color="auto"/>
              <w:right w:val="single" w:sz="8" w:space="0" w:color="auto"/>
            </w:tcBorders>
            <w:shd w:val="clear" w:color="auto" w:fill="auto"/>
            <w:vAlign w:val="center"/>
            <w:hideMark/>
          </w:tcPr>
          <w:p w14:paraId="08A46DAE" w14:textId="77777777" w:rsidR="00696C9D" w:rsidRPr="00DC37D6" w:rsidRDefault="00696C9D" w:rsidP="00696C9D">
            <w:pPr>
              <w:jc w:val="both"/>
              <w:rPr>
                <w:rFonts w:ascii="Barlow" w:hAnsi="Barlow" w:cs="Arial"/>
                <w:color w:val="000000"/>
                <w:sz w:val="20"/>
                <w:szCs w:val="20"/>
                <w:lang w:eastAsia="es-MX"/>
              </w:rPr>
            </w:pPr>
            <w:r w:rsidRPr="00DC37D6">
              <w:rPr>
                <w:rFonts w:ascii="Barlow" w:hAnsi="Barlow" w:cs="Arial"/>
                <w:color w:val="000000"/>
                <w:sz w:val="20"/>
                <w:szCs w:val="20"/>
                <w:lang w:eastAsia="es-MX"/>
              </w:rPr>
              <w:t>Inversiones Temporales (Hasta 3 meses) (NA)</w:t>
            </w:r>
          </w:p>
        </w:tc>
        <w:tc>
          <w:tcPr>
            <w:tcW w:w="1152" w:type="dxa"/>
            <w:tcBorders>
              <w:top w:val="nil"/>
              <w:left w:val="nil"/>
              <w:bottom w:val="single" w:sz="8" w:space="0" w:color="auto"/>
              <w:right w:val="single" w:sz="8" w:space="0" w:color="auto"/>
            </w:tcBorders>
            <w:shd w:val="clear" w:color="auto" w:fill="auto"/>
            <w:vAlign w:val="center"/>
            <w:hideMark/>
          </w:tcPr>
          <w:p w14:paraId="2710732B" w14:textId="77777777" w:rsidR="00696C9D" w:rsidRPr="00DC37D6" w:rsidRDefault="00696C9D" w:rsidP="00696C9D">
            <w:pPr>
              <w:jc w:val="right"/>
              <w:rPr>
                <w:rFonts w:ascii="Barlow" w:hAnsi="Barlow" w:cs="Arial"/>
                <w:color w:val="000000"/>
                <w:sz w:val="20"/>
                <w:szCs w:val="20"/>
                <w:lang w:eastAsia="es-MX"/>
              </w:rPr>
            </w:pPr>
            <w:r w:rsidRPr="00DC37D6">
              <w:rPr>
                <w:rFonts w:ascii="Barlow" w:hAnsi="Barlow" w:cs="Arial"/>
                <w:color w:val="000000"/>
                <w:sz w:val="20"/>
                <w:szCs w:val="20"/>
                <w:lang w:eastAsia="es-MX"/>
              </w:rPr>
              <w:t xml:space="preserve">0.00 </w:t>
            </w:r>
          </w:p>
        </w:tc>
        <w:tc>
          <w:tcPr>
            <w:tcW w:w="1364" w:type="dxa"/>
            <w:tcBorders>
              <w:top w:val="nil"/>
              <w:left w:val="nil"/>
              <w:bottom w:val="single" w:sz="8" w:space="0" w:color="auto"/>
              <w:right w:val="single" w:sz="8" w:space="0" w:color="auto"/>
            </w:tcBorders>
            <w:shd w:val="clear" w:color="auto" w:fill="auto"/>
            <w:vAlign w:val="center"/>
            <w:hideMark/>
          </w:tcPr>
          <w:p w14:paraId="3D1F12FC" w14:textId="77777777" w:rsidR="00696C9D" w:rsidRPr="00DC37D6" w:rsidRDefault="00696C9D" w:rsidP="00696C9D">
            <w:pPr>
              <w:jc w:val="right"/>
              <w:rPr>
                <w:rFonts w:ascii="Barlow" w:hAnsi="Barlow" w:cs="Arial"/>
                <w:color w:val="000000"/>
                <w:sz w:val="20"/>
                <w:szCs w:val="20"/>
                <w:lang w:eastAsia="es-MX"/>
              </w:rPr>
            </w:pPr>
            <w:r w:rsidRPr="00DC37D6">
              <w:rPr>
                <w:rFonts w:ascii="Barlow" w:hAnsi="Barlow" w:cs="Arial"/>
                <w:color w:val="000000"/>
                <w:sz w:val="20"/>
                <w:szCs w:val="20"/>
                <w:lang w:eastAsia="es-MX"/>
              </w:rPr>
              <w:t xml:space="preserve">0.00 </w:t>
            </w:r>
          </w:p>
        </w:tc>
      </w:tr>
      <w:tr w:rsidR="00696C9D" w:rsidRPr="00DC37D6" w14:paraId="41AE8898" w14:textId="77777777" w:rsidTr="00BB64A2">
        <w:trPr>
          <w:trHeight w:val="456"/>
          <w:jc w:val="center"/>
        </w:trPr>
        <w:tc>
          <w:tcPr>
            <w:tcW w:w="3037" w:type="dxa"/>
            <w:tcBorders>
              <w:top w:val="nil"/>
              <w:left w:val="single" w:sz="8" w:space="0" w:color="auto"/>
              <w:bottom w:val="single" w:sz="8" w:space="0" w:color="auto"/>
              <w:right w:val="single" w:sz="8" w:space="0" w:color="auto"/>
            </w:tcBorders>
            <w:shd w:val="clear" w:color="auto" w:fill="auto"/>
            <w:vAlign w:val="center"/>
            <w:hideMark/>
          </w:tcPr>
          <w:p w14:paraId="5BD20EC1" w14:textId="77777777" w:rsidR="00696C9D" w:rsidRPr="00DC37D6" w:rsidRDefault="00696C9D" w:rsidP="00696C9D">
            <w:pPr>
              <w:jc w:val="both"/>
              <w:rPr>
                <w:rFonts w:ascii="Barlow" w:hAnsi="Barlow" w:cs="Arial"/>
                <w:color w:val="000000"/>
                <w:sz w:val="20"/>
                <w:szCs w:val="20"/>
                <w:lang w:eastAsia="es-MX"/>
              </w:rPr>
            </w:pPr>
            <w:r w:rsidRPr="00DC37D6">
              <w:rPr>
                <w:rFonts w:ascii="Barlow" w:hAnsi="Barlow" w:cs="Arial"/>
                <w:color w:val="000000"/>
                <w:sz w:val="20"/>
                <w:szCs w:val="20"/>
                <w:lang w:eastAsia="es-MX"/>
              </w:rPr>
              <w:t>Fondos con Afectación Específica (NA)</w:t>
            </w:r>
          </w:p>
        </w:tc>
        <w:tc>
          <w:tcPr>
            <w:tcW w:w="1152" w:type="dxa"/>
            <w:tcBorders>
              <w:top w:val="nil"/>
              <w:left w:val="nil"/>
              <w:bottom w:val="single" w:sz="8" w:space="0" w:color="auto"/>
              <w:right w:val="single" w:sz="8" w:space="0" w:color="auto"/>
            </w:tcBorders>
            <w:shd w:val="clear" w:color="auto" w:fill="auto"/>
            <w:vAlign w:val="center"/>
            <w:hideMark/>
          </w:tcPr>
          <w:p w14:paraId="248CF954" w14:textId="77777777" w:rsidR="00696C9D" w:rsidRPr="00DC37D6" w:rsidRDefault="00696C9D" w:rsidP="00696C9D">
            <w:pPr>
              <w:jc w:val="right"/>
              <w:rPr>
                <w:rFonts w:ascii="Barlow" w:hAnsi="Barlow" w:cs="Arial"/>
                <w:color w:val="000000"/>
                <w:sz w:val="20"/>
                <w:szCs w:val="20"/>
                <w:lang w:eastAsia="es-MX"/>
              </w:rPr>
            </w:pPr>
            <w:r w:rsidRPr="00DC37D6">
              <w:rPr>
                <w:rFonts w:ascii="Barlow" w:hAnsi="Barlow" w:cs="Arial"/>
                <w:color w:val="000000"/>
                <w:sz w:val="20"/>
                <w:szCs w:val="20"/>
                <w:lang w:eastAsia="es-MX"/>
              </w:rPr>
              <w:t xml:space="preserve">0.00 </w:t>
            </w:r>
          </w:p>
        </w:tc>
        <w:tc>
          <w:tcPr>
            <w:tcW w:w="1364" w:type="dxa"/>
            <w:tcBorders>
              <w:top w:val="nil"/>
              <w:left w:val="nil"/>
              <w:bottom w:val="single" w:sz="8" w:space="0" w:color="auto"/>
              <w:right w:val="single" w:sz="8" w:space="0" w:color="auto"/>
            </w:tcBorders>
            <w:shd w:val="clear" w:color="auto" w:fill="auto"/>
            <w:vAlign w:val="center"/>
            <w:hideMark/>
          </w:tcPr>
          <w:p w14:paraId="4F45BE9E" w14:textId="77777777" w:rsidR="00696C9D" w:rsidRPr="00DC37D6" w:rsidRDefault="00696C9D" w:rsidP="00696C9D">
            <w:pPr>
              <w:jc w:val="right"/>
              <w:rPr>
                <w:rFonts w:ascii="Barlow" w:hAnsi="Barlow" w:cs="Arial"/>
                <w:color w:val="000000"/>
                <w:sz w:val="20"/>
                <w:szCs w:val="20"/>
                <w:lang w:eastAsia="es-MX"/>
              </w:rPr>
            </w:pPr>
            <w:r w:rsidRPr="00DC37D6">
              <w:rPr>
                <w:rFonts w:ascii="Barlow" w:hAnsi="Barlow" w:cs="Arial"/>
                <w:color w:val="000000"/>
                <w:sz w:val="20"/>
                <w:szCs w:val="20"/>
                <w:lang w:eastAsia="es-MX"/>
              </w:rPr>
              <w:t xml:space="preserve">0.00 </w:t>
            </w:r>
          </w:p>
        </w:tc>
      </w:tr>
      <w:tr w:rsidR="00696C9D" w:rsidRPr="00DC37D6" w14:paraId="5DD4FF9F" w14:textId="77777777" w:rsidTr="00BB64A2">
        <w:trPr>
          <w:trHeight w:val="456"/>
          <w:jc w:val="center"/>
        </w:trPr>
        <w:tc>
          <w:tcPr>
            <w:tcW w:w="3037" w:type="dxa"/>
            <w:tcBorders>
              <w:top w:val="nil"/>
              <w:left w:val="single" w:sz="8" w:space="0" w:color="auto"/>
              <w:bottom w:val="single" w:sz="8" w:space="0" w:color="auto"/>
              <w:right w:val="single" w:sz="8" w:space="0" w:color="auto"/>
            </w:tcBorders>
            <w:shd w:val="clear" w:color="auto" w:fill="auto"/>
            <w:vAlign w:val="center"/>
            <w:hideMark/>
          </w:tcPr>
          <w:p w14:paraId="5FBAF6D9" w14:textId="77777777" w:rsidR="00696C9D" w:rsidRPr="00DC37D6" w:rsidRDefault="00696C9D" w:rsidP="00696C9D">
            <w:pPr>
              <w:jc w:val="both"/>
              <w:rPr>
                <w:rFonts w:ascii="Barlow" w:hAnsi="Barlow" w:cs="Arial"/>
                <w:color w:val="000000"/>
                <w:sz w:val="20"/>
                <w:szCs w:val="20"/>
                <w:lang w:eastAsia="es-MX"/>
              </w:rPr>
            </w:pPr>
            <w:r w:rsidRPr="00DC37D6">
              <w:rPr>
                <w:rFonts w:ascii="Barlow" w:hAnsi="Barlow" w:cs="Arial"/>
                <w:color w:val="000000"/>
                <w:sz w:val="20"/>
                <w:szCs w:val="20"/>
                <w:lang w:eastAsia="es-MX"/>
              </w:rPr>
              <w:t>Depósitos de Fondos de Terceros en Garantía y/o Administración</w:t>
            </w:r>
          </w:p>
        </w:tc>
        <w:tc>
          <w:tcPr>
            <w:tcW w:w="1152" w:type="dxa"/>
            <w:tcBorders>
              <w:top w:val="nil"/>
              <w:left w:val="nil"/>
              <w:bottom w:val="single" w:sz="8" w:space="0" w:color="auto"/>
              <w:right w:val="single" w:sz="8" w:space="0" w:color="auto"/>
            </w:tcBorders>
            <w:shd w:val="clear" w:color="auto" w:fill="auto"/>
            <w:vAlign w:val="center"/>
            <w:hideMark/>
          </w:tcPr>
          <w:p w14:paraId="229CD58D" w14:textId="77777777" w:rsidR="00696C9D" w:rsidRPr="00DC37D6" w:rsidRDefault="00696C9D" w:rsidP="00696C9D">
            <w:pPr>
              <w:jc w:val="right"/>
              <w:rPr>
                <w:rFonts w:ascii="Barlow" w:hAnsi="Barlow" w:cs="Arial"/>
                <w:color w:val="000000"/>
                <w:sz w:val="20"/>
                <w:szCs w:val="20"/>
                <w:lang w:eastAsia="es-MX"/>
              </w:rPr>
            </w:pPr>
            <w:r w:rsidRPr="00DC37D6">
              <w:rPr>
                <w:rFonts w:ascii="Barlow" w:hAnsi="Barlow" w:cs="Arial"/>
                <w:color w:val="000000"/>
                <w:sz w:val="20"/>
                <w:szCs w:val="20"/>
                <w:lang w:eastAsia="es-MX"/>
              </w:rPr>
              <w:t xml:space="preserve">0.00 </w:t>
            </w:r>
          </w:p>
        </w:tc>
        <w:tc>
          <w:tcPr>
            <w:tcW w:w="1364" w:type="dxa"/>
            <w:tcBorders>
              <w:top w:val="nil"/>
              <w:left w:val="nil"/>
              <w:bottom w:val="single" w:sz="8" w:space="0" w:color="auto"/>
              <w:right w:val="single" w:sz="8" w:space="0" w:color="auto"/>
            </w:tcBorders>
            <w:shd w:val="clear" w:color="auto" w:fill="auto"/>
            <w:vAlign w:val="center"/>
            <w:hideMark/>
          </w:tcPr>
          <w:p w14:paraId="75B93938" w14:textId="77777777" w:rsidR="00696C9D" w:rsidRPr="00DC37D6" w:rsidRDefault="00696C9D" w:rsidP="00696C9D">
            <w:pPr>
              <w:jc w:val="right"/>
              <w:rPr>
                <w:rFonts w:ascii="Barlow" w:hAnsi="Barlow" w:cs="Arial"/>
                <w:color w:val="000000"/>
                <w:sz w:val="20"/>
                <w:szCs w:val="20"/>
                <w:lang w:eastAsia="es-MX"/>
              </w:rPr>
            </w:pPr>
            <w:r w:rsidRPr="00DC37D6">
              <w:rPr>
                <w:rFonts w:ascii="Barlow" w:hAnsi="Barlow" w:cs="Arial"/>
                <w:color w:val="000000"/>
                <w:sz w:val="20"/>
                <w:szCs w:val="20"/>
                <w:lang w:eastAsia="es-MX"/>
              </w:rPr>
              <w:t xml:space="preserve">0.00 </w:t>
            </w:r>
          </w:p>
        </w:tc>
      </w:tr>
      <w:tr w:rsidR="00696C9D" w:rsidRPr="00DC37D6" w14:paraId="1DFEB887" w14:textId="77777777" w:rsidTr="00BB64A2">
        <w:trPr>
          <w:trHeight w:val="290"/>
          <w:jc w:val="center"/>
        </w:trPr>
        <w:tc>
          <w:tcPr>
            <w:tcW w:w="3037" w:type="dxa"/>
            <w:tcBorders>
              <w:top w:val="nil"/>
              <w:left w:val="single" w:sz="8" w:space="0" w:color="auto"/>
              <w:bottom w:val="single" w:sz="8" w:space="0" w:color="auto"/>
              <w:right w:val="single" w:sz="8" w:space="0" w:color="auto"/>
            </w:tcBorders>
            <w:shd w:val="clear" w:color="auto" w:fill="auto"/>
            <w:vAlign w:val="center"/>
            <w:hideMark/>
          </w:tcPr>
          <w:p w14:paraId="4F5F4E5A" w14:textId="77777777" w:rsidR="00696C9D" w:rsidRPr="00DC37D6" w:rsidRDefault="00696C9D" w:rsidP="00696C9D">
            <w:pPr>
              <w:jc w:val="both"/>
              <w:rPr>
                <w:rFonts w:ascii="Barlow" w:hAnsi="Barlow" w:cs="Arial"/>
                <w:color w:val="000000"/>
                <w:sz w:val="20"/>
                <w:szCs w:val="20"/>
                <w:lang w:eastAsia="es-MX"/>
              </w:rPr>
            </w:pPr>
            <w:r w:rsidRPr="00DC37D6">
              <w:rPr>
                <w:rFonts w:ascii="Barlow" w:hAnsi="Barlow" w:cs="Arial"/>
                <w:color w:val="000000"/>
                <w:sz w:val="20"/>
                <w:szCs w:val="20"/>
                <w:lang w:eastAsia="es-MX"/>
              </w:rPr>
              <w:t>Otros Efectivos y Equivalentes</w:t>
            </w:r>
          </w:p>
        </w:tc>
        <w:tc>
          <w:tcPr>
            <w:tcW w:w="1152" w:type="dxa"/>
            <w:tcBorders>
              <w:top w:val="nil"/>
              <w:left w:val="nil"/>
              <w:bottom w:val="single" w:sz="8" w:space="0" w:color="auto"/>
              <w:right w:val="single" w:sz="8" w:space="0" w:color="auto"/>
            </w:tcBorders>
            <w:shd w:val="clear" w:color="auto" w:fill="auto"/>
            <w:vAlign w:val="center"/>
            <w:hideMark/>
          </w:tcPr>
          <w:p w14:paraId="164DB980" w14:textId="77777777" w:rsidR="00696C9D" w:rsidRPr="00DC37D6" w:rsidRDefault="00696C9D" w:rsidP="00696C9D">
            <w:pPr>
              <w:jc w:val="right"/>
              <w:rPr>
                <w:rFonts w:ascii="Barlow" w:hAnsi="Barlow" w:cs="Arial"/>
                <w:color w:val="000000"/>
                <w:sz w:val="20"/>
                <w:szCs w:val="20"/>
                <w:lang w:eastAsia="es-MX"/>
              </w:rPr>
            </w:pPr>
            <w:r w:rsidRPr="00DC37D6">
              <w:rPr>
                <w:rFonts w:ascii="Barlow" w:hAnsi="Barlow" w:cs="Arial"/>
                <w:color w:val="000000"/>
                <w:sz w:val="20"/>
                <w:szCs w:val="20"/>
                <w:lang w:eastAsia="es-MX"/>
              </w:rPr>
              <w:t xml:space="preserve">0.00 </w:t>
            </w:r>
          </w:p>
        </w:tc>
        <w:tc>
          <w:tcPr>
            <w:tcW w:w="1364" w:type="dxa"/>
            <w:tcBorders>
              <w:top w:val="nil"/>
              <w:left w:val="nil"/>
              <w:bottom w:val="single" w:sz="8" w:space="0" w:color="auto"/>
              <w:right w:val="single" w:sz="8" w:space="0" w:color="auto"/>
            </w:tcBorders>
            <w:shd w:val="clear" w:color="auto" w:fill="auto"/>
            <w:vAlign w:val="center"/>
            <w:hideMark/>
          </w:tcPr>
          <w:p w14:paraId="3ED21F12" w14:textId="77777777" w:rsidR="00696C9D" w:rsidRPr="00DC37D6" w:rsidRDefault="00696C9D" w:rsidP="00696C9D">
            <w:pPr>
              <w:jc w:val="right"/>
              <w:rPr>
                <w:rFonts w:ascii="Barlow" w:hAnsi="Barlow" w:cs="Arial"/>
                <w:color w:val="000000"/>
                <w:sz w:val="20"/>
                <w:szCs w:val="20"/>
                <w:lang w:eastAsia="es-MX"/>
              </w:rPr>
            </w:pPr>
            <w:r w:rsidRPr="00DC37D6">
              <w:rPr>
                <w:rFonts w:ascii="Barlow" w:hAnsi="Barlow" w:cs="Arial"/>
                <w:color w:val="000000"/>
                <w:sz w:val="20"/>
                <w:szCs w:val="20"/>
                <w:lang w:eastAsia="es-MX"/>
              </w:rPr>
              <w:t xml:space="preserve">0.00 </w:t>
            </w:r>
          </w:p>
        </w:tc>
      </w:tr>
      <w:tr w:rsidR="00696C9D" w:rsidRPr="00DC37D6" w14:paraId="71CB0C58" w14:textId="77777777" w:rsidTr="00BB64A2">
        <w:trPr>
          <w:trHeight w:val="290"/>
          <w:jc w:val="center"/>
        </w:trPr>
        <w:tc>
          <w:tcPr>
            <w:tcW w:w="3037" w:type="dxa"/>
            <w:tcBorders>
              <w:top w:val="nil"/>
              <w:left w:val="single" w:sz="8" w:space="0" w:color="auto"/>
              <w:bottom w:val="single" w:sz="8" w:space="0" w:color="auto"/>
              <w:right w:val="single" w:sz="8" w:space="0" w:color="auto"/>
            </w:tcBorders>
            <w:shd w:val="clear" w:color="auto" w:fill="auto"/>
            <w:vAlign w:val="center"/>
            <w:hideMark/>
          </w:tcPr>
          <w:p w14:paraId="4FF9D55B" w14:textId="77777777" w:rsidR="00696C9D" w:rsidRPr="00DC37D6" w:rsidRDefault="00696C9D" w:rsidP="00696C9D">
            <w:pPr>
              <w:jc w:val="both"/>
              <w:rPr>
                <w:rFonts w:ascii="Barlow" w:hAnsi="Barlow" w:cs="Arial"/>
                <w:b/>
                <w:bCs/>
                <w:color w:val="000000"/>
                <w:sz w:val="20"/>
                <w:szCs w:val="20"/>
                <w:lang w:eastAsia="es-MX"/>
              </w:rPr>
            </w:pPr>
            <w:r w:rsidRPr="00DC37D6">
              <w:rPr>
                <w:rFonts w:ascii="Barlow" w:hAnsi="Barlow" w:cs="Arial"/>
                <w:b/>
                <w:bCs/>
                <w:color w:val="000000"/>
                <w:sz w:val="20"/>
                <w:szCs w:val="20"/>
                <w:lang w:eastAsia="es-MX"/>
              </w:rPr>
              <w:t>Total de Efectivo y Equivalentes</w:t>
            </w:r>
          </w:p>
        </w:tc>
        <w:tc>
          <w:tcPr>
            <w:tcW w:w="1152" w:type="dxa"/>
            <w:tcBorders>
              <w:top w:val="nil"/>
              <w:left w:val="nil"/>
              <w:bottom w:val="single" w:sz="8" w:space="0" w:color="auto"/>
              <w:right w:val="single" w:sz="8" w:space="0" w:color="auto"/>
            </w:tcBorders>
            <w:shd w:val="clear" w:color="auto" w:fill="auto"/>
            <w:vAlign w:val="center"/>
            <w:hideMark/>
          </w:tcPr>
          <w:p w14:paraId="3E7AD462" w14:textId="00F05D4E" w:rsidR="00696C9D" w:rsidRPr="00DC37D6" w:rsidRDefault="00142465" w:rsidP="00505E04">
            <w:pPr>
              <w:jc w:val="right"/>
              <w:rPr>
                <w:rFonts w:ascii="Barlow" w:hAnsi="Barlow" w:cs="Arial"/>
                <w:b/>
                <w:bCs/>
                <w:color w:val="000000"/>
                <w:sz w:val="20"/>
                <w:szCs w:val="20"/>
                <w:lang w:eastAsia="es-MX"/>
              </w:rPr>
            </w:pPr>
            <w:r w:rsidRPr="00DC37D6">
              <w:rPr>
                <w:rFonts w:ascii="Barlow" w:hAnsi="Barlow" w:cs="Arial"/>
                <w:b/>
                <w:bCs/>
                <w:color w:val="000000"/>
                <w:sz w:val="20"/>
                <w:szCs w:val="20"/>
                <w:lang w:eastAsia="es-MX"/>
              </w:rPr>
              <w:t>702</w:t>
            </w:r>
            <w:r w:rsidR="004051AF" w:rsidRPr="00DC37D6">
              <w:rPr>
                <w:rFonts w:ascii="Barlow" w:hAnsi="Barlow" w:cs="Arial"/>
                <w:b/>
                <w:bCs/>
                <w:color w:val="000000"/>
                <w:sz w:val="20"/>
                <w:szCs w:val="20"/>
                <w:lang w:eastAsia="es-MX"/>
              </w:rPr>
              <w:t>,</w:t>
            </w:r>
            <w:r w:rsidRPr="00DC37D6">
              <w:rPr>
                <w:rFonts w:ascii="Barlow" w:hAnsi="Barlow" w:cs="Arial"/>
                <w:b/>
                <w:bCs/>
                <w:color w:val="000000"/>
                <w:sz w:val="20"/>
                <w:szCs w:val="20"/>
                <w:lang w:eastAsia="es-MX"/>
              </w:rPr>
              <w:t>254</w:t>
            </w:r>
            <w:r w:rsidR="00696C9D" w:rsidRPr="00DC37D6">
              <w:rPr>
                <w:rFonts w:ascii="Barlow" w:hAnsi="Barlow" w:cs="Arial"/>
                <w:b/>
                <w:bCs/>
                <w:color w:val="000000"/>
                <w:sz w:val="20"/>
                <w:szCs w:val="20"/>
                <w:lang w:eastAsia="es-MX"/>
              </w:rPr>
              <w:t>.</w:t>
            </w:r>
            <w:r w:rsidRPr="00DC37D6">
              <w:rPr>
                <w:rFonts w:ascii="Barlow" w:hAnsi="Barlow" w:cs="Arial"/>
                <w:b/>
                <w:bCs/>
                <w:color w:val="000000"/>
                <w:sz w:val="20"/>
                <w:szCs w:val="20"/>
                <w:lang w:eastAsia="es-MX"/>
              </w:rPr>
              <w:t>93</w:t>
            </w:r>
          </w:p>
        </w:tc>
        <w:tc>
          <w:tcPr>
            <w:tcW w:w="1364" w:type="dxa"/>
            <w:tcBorders>
              <w:top w:val="nil"/>
              <w:left w:val="nil"/>
              <w:bottom w:val="single" w:sz="8" w:space="0" w:color="auto"/>
              <w:right w:val="single" w:sz="8" w:space="0" w:color="auto"/>
            </w:tcBorders>
            <w:shd w:val="clear" w:color="auto" w:fill="auto"/>
            <w:vAlign w:val="center"/>
            <w:hideMark/>
          </w:tcPr>
          <w:p w14:paraId="093282A8" w14:textId="595BF086" w:rsidR="00696C9D" w:rsidRPr="00DC37D6" w:rsidRDefault="00E159B8" w:rsidP="00696C9D">
            <w:pPr>
              <w:jc w:val="right"/>
              <w:rPr>
                <w:rFonts w:ascii="Barlow" w:hAnsi="Barlow" w:cs="Arial"/>
                <w:b/>
                <w:bCs/>
                <w:color w:val="000000"/>
                <w:sz w:val="20"/>
                <w:szCs w:val="20"/>
                <w:lang w:eastAsia="es-MX"/>
              </w:rPr>
            </w:pPr>
            <w:r w:rsidRPr="00DC37D6">
              <w:rPr>
                <w:rFonts w:ascii="Barlow" w:hAnsi="Barlow" w:cs="Arial"/>
                <w:b/>
                <w:bCs/>
                <w:color w:val="000000"/>
                <w:sz w:val="20"/>
                <w:szCs w:val="20"/>
                <w:lang w:eastAsia="es-MX"/>
              </w:rPr>
              <w:t>956</w:t>
            </w:r>
            <w:r w:rsidR="00696C9D" w:rsidRPr="00DC37D6">
              <w:rPr>
                <w:rFonts w:ascii="Barlow" w:hAnsi="Barlow" w:cs="Arial"/>
                <w:b/>
                <w:bCs/>
                <w:color w:val="000000"/>
                <w:sz w:val="20"/>
                <w:szCs w:val="20"/>
                <w:lang w:eastAsia="es-MX"/>
              </w:rPr>
              <w:t>,</w:t>
            </w:r>
            <w:r w:rsidRPr="00DC37D6">
              <w:rPr>
                <w:rFonts w:ascii="Barlow" w:hAnsi="Barlow" w:cs="Arial"/>
                <w:b/>
                <w:bCs/>
                <w:color w:val="000000"/>
                <w:sz w:val="20"/>
                <w:szCs w:val="20"/>
                <w:lang w:eastAsia="es-MX"/>
              </w:rPr>
              <w:t>782</w:t>
            </w:r>
            <w:r w:rsidR="00696C9D" w:rsidRPr="00DC37D6">
              <w:rPr>
                <w:rFonts w:ascii="Barlow" w:hAnsi="Barlow" w:cs="Arial"/>
                <w:b/>
                <w:bCs/>
                <w:color w:val="000000"/>
                <w:sz w:val="20"/>
                <w:szCs w:val="20"/>
                <w:lang w:eastAsia="es-MX"/>
              </w:rPr>
              <w:t>.</w:t>
            </w:r>
            <w:r w:rsidRPr="00DC37D6">
              <w:rPr>
                <w:rFonts w:ascii="Barlow" w:hAnsi="Barlow" w:cs="Arial"/>
                <w:b/>
                <w:bCs/>
                <w:color w:val="000000"/>
                <w:sz w:val="20"/>
                <w:szCs w:val="20"/>
                <w:lang w:eastAsia="es-MX"/>
              </w:rPr>
              <w:t>31</w:t>
            </w:r>
          </w:p>
        </w:tc>
      </w:tr>
    </w:tbl>
    <w:p w14:paraId="5E681DF3" w14:textId="0408F856" w:rsidR="00DA59B7" w:rsidRPr="00DC37D6" w:rsidRDefault="00DA59B7" w:rsidP="00696C9D">
      <w:pPr>
        <w:autoSpaceDE w:val="0"/>
        <w:autoSpaceDN w:val="0"/>
        <w:adjustRightInd w:val="0"/>
        <w:spacing w:line="360" w:lineRule="auto"/>
        <w:ind w:left="708"/>
        <w:jc w:val="center"/>
        <w:rPr>
          <w:rFonts w:ascii="Barlow" w:hAnsi="Barlow" w:cs="Arial"/>
          <w:bCs/>
          <w:sz w:val="20"/>
          <w:szCs w:val="20"/>
        </w:rPr>
      </w:pPr>
    </w:p>
    <w:p w14:paraId="40F359FF" w14:textId="77777777" w:rsidR="00DC37D6" w:rsidRDefault="00DC37D6" w:rsidP="00D3544A">
      <w:pPr>
        <w:autoSpaceDE w:val="0"/>
        <w:autoSpaceDN w:val="0"/>
        <w:adjustRightInd w:val="0"/>
        <w:spacing w:line="360" w:lineRule="auto"/>
        <w:ind w:left="708"/>
        <w:jc w:val="both"/>
        <w:rPr>
          <w:rFonts w:ascii="Barlow" w:hAnsi="Barlow" w:cs="Arial"/>
          <w:bCs/>
          <w:sz w:val="20"/>
          <w:szCs w:val="20"/>
        </w:rPr>
      </w:pPr>
    </w:p>
    <w:p w14:paraId="08B39185" w14:textId="77777777" w:rsidR="00DC37D6" w:rsidRDefault="00DC37D6" w:rsidP="00D3544A">
      <w:pPr>
        <w:autoSpaceDE w:val="0"/>
        <w:autoSpaceDN w:val="0"/>
        <w:adjustRightInd w:val="0"/>
        <w:spacing w:line="360" w:lineRule="auto"/>
        <w:ind w:left="708"/>
        <w:jc w:val="both"/>
        <w:rPr>
          <w:rFonts w:ascii="Barlow" w:hAnsi="Barlow" w:cs="Arial"/>
          <w:bCs/>
          <w:sz w:val="20"/>
          <w:szCs w:val="20"/>
        </w:rPr>
      </w:pPr>
    </w:p>
    <w:p w14:paraId="1A86C223" w14:textId="77777777" w:rsidR="00DC37D6" w:rsidRDefault="00DC37D6" w:rsidP="00D3544A">
      <w:pPr>
        <w:autoSpaceDE w:val="0"/>
        <w:autoSpaceDN w:val="0"/>
        <w:adjustRightInd w:val="0"/>
        <w:spacing w:line="360" w:lineRule="auto"/>
        <w:ind w:left="708"/>
        <w:jc w:val="both"/>
        <w:rPr>
          <w:rFonts w:ascii="Barlow" w:hAnsi="Barlow" w:cs="Arial"/>
          <w:bCs/>
          <w:sz w:val="20"/>
          <w:szCs w:val="20"/>
        </w:rPr>
      </w:pPr>
    </w:p>
    <w:p w14:paraId="757D9C7F" w14:textId="77777777" w:rsidR="00DC37D6" w:rsidRDefault="00DC37D6" w:rsidP="00D3544A">
      <w:pPr>
        <w:autoSpaceDE w:val="0"/>
        <w:autoSpaceDN w:val="0"/>
        <w:adjustRightInd w:val="0"/>
        <w:spacing w:line="360" w:lineRule="auto"/>
        <w:ind w:left="708"/>
        <w:jc w:val="both"/>
        <w:rPr>
          <w:rFonts w:ascii="Barlow" w:hAnsi="Barlow" w:cs="Arial"/>
          <w:bCs/>
          <w:sz w:val="20"/>
          <w:szCs w:val="20"/>
        </w:rPr>
      </w:pPr>
    </w:p>
    <w:p w14:paraId="2F972980" w14:textId="77777777" w:rsidR="00DC37D6" w:rsidRDefault="00DC37D6" w:rsidP="00D3544A">
      <w:pPr>
        <w:autoSpaceDE w:val="0"/>
        <w:autoSpaceDN w:val="0"/>
        <w:adjustRightInd w:val="0"/>
        <w:spacing w:line="360" w:lineRule="auto"/>
        <w:ind w:left="708"/>
        <w:jc w:val="both"/>
        <w:rPr>
          <w:rFonts w:ascii="Barlow" w:hAnsi="Barlow" w:cs="Arial"/>
          <w:bCs/>
          <w:sz w:val="20"/>
          <w:szCs w:val="20"/>
        </w:rPr>
      </w:pPr>
    </w:p>
    <w:p w14:paraId="07406DD0" w14:textId="6A6B4085" w:rsidR="00DA59B7" w:rsidRPr="00DC37D6" w:rsidRDefault="00E55DC0" w:rsidP="00D3544A">
      <w:pPr>
        <w:autoSpaceDE w:val="0"/>
        <w:autoSpaceDN w:val="0"/>
        <w:adjustRightInd w:val="0"/>
        <w:spacing w:line="360" w:lineRule="auto"/>
        <w:ind w:left="708"/>
        <w:jc w:val="both"/>
        <w:rPr>
          <w:rFonts w:ascii="Barlow" w:hAnsi="Barlow" w:cs="Arial"/>
          <w:bCs/>
          <w:sz w:val="20"/>
          <w:szCs w:val="20"/>
        </w:rPr>
      </w:pPr>
      <w:r w:rsidRPr="00DC37D6">
        <w:rPr>
          <w:rFonts w:ascii="Barlow" w:hAnsi="Barlow" w:cs="Arial"/>
          <w:bCs/>
          <w:sz w:val="20"/>
          <w:szCs w:val="20"/>
        </w:rPr>
        <w:t>2</w:t>
      </w:r>
      <w:r w:rsidR="00261E6D" w:rsidRPr="00DC37D6">
        <w:rPr>
          <w:rFonts w:ascii="Barlow" w:hAnsi="Barlow" w:cs="Arial"/>
          <w:bCs/>
          <w:sz w:val="20"/>
          <w:szCs w:val="20"/>
        </w:rPr>
        <w:t xml:space="preserve">.- </w:t>
      </w:r>
      <w:r w:rsidR="002E3D66" w:rsidRPr="00DC37D6">
        <w:rPr>
          <w:rFonts w:ascii="Barlow" w:hAnsi="Barlow" w:cs="Arial"/>
          <w:bCs/>
          <w:sz w:val="20"/>
          <w:szCs w:val="20"/>
        </w:rPr>
        <w:t xml:space="preserve">Conciliación de los Flujos de Efectivo Netos de las Actividades de Operación y la cuenta de Ahorro/Desahorro antes de Rubros Extraordinarios: </w:t>
      </w:r>
    </w:p>
    <w:tbl>
      <w:tblPr>
        <w:tblW w:w="5693" w:type="dxa"/>
        <w:jc w:val="center"/>
        <w:tblCellMar>
          <w:left w:w="70" w:type="dxa"/>
          <w:right w:w="70" w:type="dxa"/>
        </w:tblCellMar>
        <w:tblLook w:val="04A0" w:firstRow="1" w:lastRow="0" w:firstColumn="1" w:lastColumn="0" w:noHBand="0" w:noVBand="1"/>
      </w:tblPr>
      <w:tblGrid>
        <w:gridCol w:w="3245"/>
        <w:gridCol w:w="1234"/>
        <w:gridCol w:w="1214"/>
      </w:tblGrid>
      <w:tr w:rsidR="00696C9D" w:rsidRPr="00DC37D6" w14:paraId="4254A51A" w14:textId="77777777" w:rsidTr="00BB64A2">
        <w:trPr>
          <w:trHeight w:val="294"/>
          <w:jc w:val="center"/>
        </w:trPr>
        <w:tc>
          <w:tcPr>
            <w:tcW w:w="3245" w:type="dxa"/>
            <w:tcBorders>
              <w:top w:val="single" w:sz="8" w:space="0" w:color="auto"/>
              <w:left w:val="single" w:sz="8" w:space="0" w:color="auto"/>
              <w:bottom w:val="single" w:sz="8" w:space="0" w:color="auto"/>
              <w:right w:val="single" w:sz="8" w:space="0" w:color="auto"/>
            </w:tcBorders>
            <w:shd w:val="clear" w:color="000000" w:fill="92D050"/>
            <w:vAlign w:val="center"/>
            <w:hideMark/>
          </w:tcPr>
          <w:p w14:paraId="046E254E" w14:textId="77777777" w:rsidR="00696C9D" w:rsidRPr="00DC37D6" w:rsidRDefault="00696C9D" w:rsidP="00696C9D">
            <w:pPr>
              <w:jc w:val="center"/>
              <w:rPr>
                <w:rFonts w:ascii="Barlow" w:hAnsi="Barlow" w:cs="Arial"/>
                <w:b/>
                <w:bCs/>
                <w:color w:val="000000"/>
                <w:sz w:val="20"/>
                <w:szCs w:val="20"/>
                <w:lang w:eastAsia="es-MX"/>
              </w:rPr>
            </w:pPr>
            <w:r w:rsidRPr="00DC37D6">
              <w:rPr>
                <w:rFonts w:ascii="Barlow" w:hAnsi="Barlow" w:cs="Arial"/>
                <w:b/>
                <w:bCs/>
                <w:color w:val="000000"/>
                <w:sz w:val="20"/>
                <w:szCs w:val="20"/>
                <w:lang w:eastAsia="es-MX"/>
              </w:rPr>
              <w:t>Concepto</w:t>
            </w:r>
          </w:p>
        </w:tc>
        <w:tc>
          <w:tcPr>
            <w:tcW w:w="1234" w:type="dxa"/>
            <w:tcBorders>
              <w:top w:val="single" w:sz="8" w:space="0" w:color="auto"/>
              <w:left w:val="nil"/>
              <w:bottom w:val="single" w:sz="8" w:space="0" w:color="auto"/>
              <w:right w:val="single" w:sz="8" w:space="0" w:color="auto"/>
            </w:tcBorders>
            <w:shd w:val="clear" w:color="000000" w:fill="92D050"/>
            <w:vAlign w:val="center"/>
            <w:hideMark/>
          </w:tcPr>
          <w:p w14:paraId="1099C7DA" w14:textId="65FAEDA2" w:rsidR="00696C9D" w:rsidRPr="00DC37D6" w:rsidRDefault="00696C9D" w:rsidP="00696C9D">
            <w:pPr>
              <w:jc w:val="center"/>
              <w:rPr>
                <w:rFonts w:ascii="Barlow" w:hAnsi="Barlow" w:cs="Arial"/>
                <w:b/>
                <w:bCs/>
                <w:color w:val="000000"/>
                <w:sz w:val="20"/>
                <w:szCs w:val="20"/>
                <w:lang w:eastAsia="es-MX"/>
              </w:rPr>
            </w:pPr>
            <w:r w:rsidRPr="00DC37D6">
              <w:rPr>
                <w:rFonts w:ascii="Barlow" w:hAnsi="Barlow" w:cs="Arial"/>
                <w:b/>
                <w:bCs/>
                <w:color w:val="000000"/>
                <w:sz w:val="20"/>
                <w:szCs w:val="20"/>
                <w:lang w:eastAsia="es-MX"/>
              </w:rPr>
              <w:t>202</w:t>
            </w:r>
            <w:r w:rsidR="00DD5C27" w:rsidRPr="00DC37D6">
              <w:rPr>
                <w:rFonts w:ascii="Barlow" w:hAnsi="Barlow" w:cs="Arial"/>
                <w:b/>
                <w:bCs/>
                <w:color w:val="000000"/>
                <w:sz w:val="20"/>
                <w:szCs w:val="20"/>
                <w:lang w:eastAsia="es-MX"/>
              </w:rPr>
              <w:t>2</w:t>
            </w:r>
          </w:p>
        </w:tc>
        <w:tc>
          <w:tcPr>
            <w:tcW w:w="1214" w:type="dxa"/>
            <w:tcBorders>
              <w:top w:val="single" w:sz="8" w:space="0" w:color="auto"/>
              <w:left w:val="nil"/>
              <w:bottom w:val="single" w:sz="8" w:space="0" w:color="auto"/>
              <w:right w:val="single" w:sz="8" w:space="0" w:color="auto"/>
            </w:tcBorders>
            <w:shd w:val="clear" w:color="000000" w:fill="92D050"/>
            <w:vAlign w:val="center"/>
            <w:hideMark/>
          </w:tcPr>
          <w:p w14:paraId="7694B79B" w14:textId="45510389" w:rsidR="00696C9D" w:rsidRPr="00DC37D6" w:rsidRDefault="00696C9D" w:rsidP="00696C9D">
            <w:pPr>
              <w:jc w:val="center"/>
              <w:rPr>
                <w:rFonts w:ascii="Barlow" w:hAnsi="Barlow" w:cs="Arial"/>
                <w:b/>
                <w:bCs/>
                <w:color w:val="000000"/>
                <w:sz w:val="20"/>
                <w:szCs w:val="20"/>
                <w:lang w:eastAsia="es-MX"/>
              </w:rPr>
            </w:pPr>
            <w:r w:rsidRPr="00DC37D6">
              <w:rPr>
                <w:rFonts w:ascii="Barlow" w:hAnsi="Barlow" w:cs="Arial"/>
                <w:b/>
                <w:bCs/>
                <w:color w:val="000000"/>
                <w:sz w:val="20"/>
                <w:szCs w:val="20"/>
                <w:lang w:eastAsia="es-MX"/>
              </w:rPr>
              <w:t>202</w:t>
            </w:r>
            <w:r w:rsidR="00DD5C27" w:rsidRPr="00DC37D6">
              <w:rPr>
                <w:rFonts w:ascii="Barlow" w:hAnsi="Barlow" w:cs="Arial"/>
                <w:b/>
                <w:bCs/>
                <w:color w:val="000000"/>
                <w:sz w:val="20"/>
                <w:szCs w:val="20"/>
                <w:lang w:eastAsia="es-MX"/>
              </w:rPr>
              <w:t>1</w:t>
            </w:r>
          </w:p>
        </w:tc>
      </w:tr>
      <w:tr w:rsidR="00DD5C27" w:rsidRPr="00DC37D6" w14:paraId="6ACBF5D6" w14:textId="77777777" w:rsidTr="00BB64A2">
        <w:trPr>
          <w:trHeight w:val="463"/>
          <w:jc w:val="center"/>
        </w:trPr>
        <w:tc>
          <w:tcPr>
            <w:tcW w:w="3245" w:type="dxa"/>
            <w:tcBorders>
              <w:top w:val="nil"/>
              <w:left w:val="single" w:sz="8" w:space="0" w:color="auto"/>
              <w:bottom w:val="single" w:sz="8" w:space="0" w:color="auto"/>
              <w:right w:val="single" w:sz="8" w:space="0" w:color="auto"/>
            </w:tcBorders>
            <w:shd w:val="clear" w:color="auto" w:fill="auto"/>
            <w:vAlign w:val="center"/>
            <w:hideMark/>
          </w:tcPr>
          <w:p w14:paraId="444EB096" w14:textId="77777777" w:rsidR="00DD5C27" w:rsidRPr="00DC37D6" w:rsidRDefault="00DD5C27" w:rsidP="00DD5C27">
            <w:pPr>
              <w:jc w:val="both"/>
              <w:rPr>
                <w:rFonts w:ascii="Barlow" w:hAnsi="Barlow" w:cs="Arial"/>
                <w:b/>
                <w:bCs/>
                <w:color w:val="000000"/>
                <w:sz w:val="20"/>
                <w:szCs w:val="20"/>
                <w:lang w:eastAsia="es-MX"/>
              </w:rPr>
            </w:pPr>
            <w:r w:rsidRPr="00DC37D6">
              <w:rPr>
                <w:rFonts w:ascii="Barlow" w:hAnsi="Barlow" w:cs="Arial"/>
                <w:b/>
                <w:bCs/>
                <w:color w:val="000000"/>
                <w:sz w:val="20"/>
                <w:szCs w:val="20"/>
                <w:lang w:eastAsia="es-MX"/>
              </w:rPr>
              <w:t>Resultados del Ejercicio Ahorro/Desahorro</w:t>
            </w:r>
          </w:p>
        </w:tc>
        <w:tc>
          <w:tcPr>
            <w:tcW w:w="1234" w:type="dxa"/>
            <w:tcBorders>
              <w:top w:val="nil"/>
              <w:left w:val="nil"/>
              <w:bottom w:val="single" w:sz="8" w:space="0" w:color="auto"/>
              <w:right w:val="single" w:sz="8" w:space="0" w:color="auto"/>
            </w:tcBorders>
            <w:shd w:val="clear" w:color="auto" w:fill="auto"/>
            <w:vAlign w:val="center"/>
            <w:hideMark/>
          </w:tcPr>
          <w:p w14:paraId="19D931AD" w14:textId="191EAF6A" w:rsidR="00DD5C27" w:rsidRPr="00DC37D6" w:rsidRDefault="00142465" w:rsidP="00DD5C27">
            <w:pPr>
              <w:jc w:val="right"/>
              <w:rPr>
                <w:rFonts w:ascii="Barlow" w:hAnsi="Barlow" w:cs="Arial"/>
                <w:b/>
                <w:bCs/>
                <w:color w:val="000000"/>
                <w:sz w:val="20"/>
                <w:szCs w:val="20"/>
                <w:lang w:eastAsia="es-MX"/>
              </w:rPr>
            </w:pPr>
            <w:r w:rsidRPr="00DC37D6">
              <w:rPr>
                <w:rFonts w:ascii="Barlow" w:hAnsi="Barlow" w:cs="Arial"/>
                <w:b/>
                <w:bCs/>
                <w:color w:val="000000"/>
                <w:sz w:val="20"/>
                <w:szCs w:val="20"/>
                <w:lang w:eastAsia="es-MX"/>
              </w:rPr>
              <w:t>51</w:t>
            </w:r>
            <w:r w:rsidR="00D47EFC" w:rsidRPr="00DC37D6">
              <w:rPr>
                <w:rFonts w:ascii="Barlow" w:hAnsi="Barlow" w:cs="Arial"/>
                <w:b/>
                <w:bCs/>
                <w:color w:val="000000"/>
                <w:sz w:val="20"/>
                <w:szCs w:val="20"/>
                <w:lang w:eastAsia="es-MX"/>
              </w:rPr>
              <w:t>,</w:t>
            </w:r>
            <w:r w:rsidR="00C05F00" w:rsidRPr="00DC37D6">
              <w:rPr>
                <w:rFonts w:ascii="Barlow" w:hAnsi="Barlow" w:cs="Arial"/>
                <w:b/>
                <w:bCs/>
                <w:color w:val="000000"/>
                <w:sz w:val="20"/>
                <w:szCs w:val="20"/>
                <w:lang w:eastAsia="es-MX"/>
              </w:rPr>
              <w:t>786.05</w:t>
            </w:r>
          </w:p>
        </w:tc>
        <w:tc>
          <w:tcPr>
            <w:tcW w:w="1214" w:type="dxa"/>
            <w:tcBorders>
              <w:top w:val="nil"/>
              <w:left w:val="nil"/>
              <w:bottom w:val="single" w:sz="8" w:space="0" w:color="auto"/>
              <w:right w:val="single" w:sz="8" w:space="0" w:color="auto"/>
            </w:tcBorders>
            <w:shd w:val="clear" w:color="auto" w:fill="auto"/>
            <w:vAlign w:val="center"/>
            <w:hideMark/>
          </w:tcPr>
          <w:p w14:paraId="3C5382C1" w14:textId="14CDB068" w:rsidR="00DD5C27" w:rsidRPr="00DC37D6" w:rsidRDefault="00DD5C27" w:rsidP="00DD5C27">
            <w:pPr>
              <w:jc w:val="right"/>
              <w:rPr>
                <w:rFonts w:ascii="Barlow" w:hAnsi="Barlow" w:cs="Arial"/>
                <w:b/>
                <w:bCs/>
                <w:color w:val="000000"/>
                <w:sz w:val="20"/>
                <w:szCs w:val="20"/>
                <w:lang w:eastAsia="es-MX"/>
              </w:rPr>
            </w:pPr>
            <w:r w:rsidRPr="00DC37D6">
              <w:rPr>
                <w:rFonts w:ascii="Barlow" w:hAnsi="Barlow" w:cs="Arial"/>
                <w:b/>
                <w:bCs/>
                <w:color w:val="000000"/>
                <w:sz w:val="20"/>
                <w:szCs w:val="20"/>
                <w:lang w:eastAsia="es-MX"/>
              </w:rPr>
              <w:t>-19,688.53</w:t>
            </w:r>
          </w:p>
        </w:tc>
      </w:tr>
      <w:tr w:rsidR="00DD5C27" w:rsidRPr="00DC37D6" w14:paraId="2CD047FB" w14:textId="77777777" w:rsidTr="00BB64A2">
        <w:trPr>
          <w:trHeight w:val="463"/>
          <w:jc w:val="center"/>
        </w:trPr>
        <w:tc>
          <w:tcPr>
            <w:tcW w:w="3245" w:type="dxa"/>
            <w:tcBorders>
              <w:top w:val="nil"/>
              <w:left w:val="single" w:sz="8" w:space="0" w:color="auto"/>
              <w:bottom w:val="single" w:sz="8" w:space="0" w:color="auto"/>
              <w:right w:val="single" w:sz="8" w:space="0" w:color="auto"/>
            </w:tcBorders>
            <w:shd w:val="clear" w:color="auto" w:fill="auto"/>
            <w:vAlign w:val="center"/>
            <w:hideMark/>
          </w:tcPr>
          <w:p w14:paraId="2DA2F6C6" w14:textId="77777777" w:rsidR="00DD5C27" w:rsidRPr="00DC37D6" w:rsidRDefault="00DD5C27" w:rsidP="00DD5C27">
            <w:pPr>
              <w:jc w:val="both"/>
              <w:rPr>
                <w:rFonts w:ascii="Barlow" w:hAnsi="Barlow" w:cs="Arial"/>
                <w:b/>
                <w:bCs/>
                <w:color w:val="000000"/>
                <w:sz w:val="20"/>
                <w:szCs w:val="20"/>
                <w:lang w:eastAsia="es-MX"/>
              </w:rPr>
            </w:pPr>
            <w:r w:rsidRPr="00DC37D6">
              <w:rPr>
                <w:rFonts w:ascii="Barlow" w:hAnsi="Barlow" w:cs="Arial"/>
                <w:b/>
                <w:bCs/>
                <w:color w:val="000000"/>
                <w:sz w:val="20"/>
                <w:szCs w:val="20"/>
                <w:lang w:eastAsia="es-MX"/>
              </w:rPr>
              <w:t>Movimientos de partidas (o rubros) que no afectan al efectivo</w:t>
            </w:r>
          </w:p>
        </w:tc>
        <w:tc>
          <w:tcPr>
            <w:tcW w:w="1234" w:type="dxa"/>
            <w:tcBorders>
              <w:top w:val="nil"/>
              <w:left w:val="nil"/>
              <w:bottom w:val="single" w:sz="8" w:space="0" w:color="auto"/>
              <w:right w:val="single" w:sz="8" w:space="0" w:color="auto"/>
            </w:tcBorders>
            <w:shd w:val="clear" w:color="auto" w:fill="auto"/>
            <w:vAlign w:val="center"/>
            <w:hideMark/>
          </w:tcPr>
          <w:p w14:paraId="5FE1D049" w14:textId="67E7FF9B" w:rsidR="00DD5C27" w:rsidRPr="00DC37D6" w:rsidRDefault="00DD5C27" w:rsidP="00DD5C27">
            <w:pPr>
              <w:jc w:val="right"/>
              <w:rPr>
                <w:rFonts w:ascii="Barlow" w:hAnsi="Barlow" w:cs="Arial"/>
                <w:b/>
                <w:bCs/>
                <w:color w:val="000000"/>
                <w:sz w:val="20"/>
                <w:szCs w:val="20"/>
                <w:lang w:eastAsia="es-MX"/>
              </w:rPr>
            </w:pPr>
            <w:r w:rsidRPr="00DC37D6">
              <w:rPr>
                <w:rFonts w:ascii="Barlow" w:hAnsi="Barlow" w:cs="Arial"/>
                <w:b/>
                <w:bCs/>
                <w:color w:val="000000"/>
                <w:sz w:val="20"/>
                <w:szCs w:val="20"/>
                <w:lang w:eastAsia="es-MX"/>
              </w:rPr>
              <w:t xml:space="preserve">      </w:t>
            </w:r>
            <w:r w:rsidR="006302B5" w:rsidRPr="00DC37D6">
              <w:rPr>
                <w:rFonts w:ascii="Barlow" w:hAnsi="Barlow" w:cs="Arial"/>
                <w:b/>
                <w:bCs/>
                <w:color w:val="000000"/>
                <w:sz w:val="20"/>
                <w:szCs w:val="20"/>
                <w:lang w:eastAsia="es-MX"/>
              </w:rPr>
              <w:t>77</w:t>
            </w:r>
            <w:r w:rsidRPr="00DC37D6">
              <w:rPr>
                <w:rFonts w:ascii="Barlow" w:hAnsi="Barlow" w:cs="Arial"/>
                <w:b/>
                <w:bCs/>
                <w:color w:val="000000"/>
                <w:sz w:val="20"/>
                <w:szCs w:val="20"/>
                <w:lang w:eastAsia="es-MX"/>
              </w:rPr>
              <w:t>,</w:t>
            </w:r>
            <w:r w:rsidR="002241AF" w:rsidRPr="00DC37D6">
              <w:rPr>
                <w:rFonts w:ascii="Barlow" w:hAnsi="Barlow" w:cs="Arial"/>
                <w:b/>
                <w:bCs/>
                <w:color w:val="000000"/>
                <w:sz w:val="20"/>
                <w:szCs w:val="20"/>
                <w:lang w:eastAsia="es-MX"/>
              </w:rPr>
              <w:t>246.00</w:t>
            </w:r>
            <w:r w:rsidRPr="00DC37D6">
              <w:rPr>
                <w:rFonts w:ascii="Barlow" w:hAnsi="Barlow" w:cs="Arial"/>
                <w:b/>
                <w:bCs/>
                <w:color w:val="000000"/>
                <w:sz w:val="20"/>
                <w:szCs w:val="20"/>
                <w:lang w:eastAsia="es-MX"/>
              </w:rPr>
              <w:t xml:space="preserve"> </w:t>
            </w:r>
          </w:p>
        </w:tc>
        <w:tc>
          <w:tcPr>
            <w:tcW w:w="1214" w:type="dxa"/>
            <w:tcBorders>
              <w:top w:val="nil"/>
              <w:left w:val="nil"/>
              <w:bottom w:val="single" w:sz="8" w:space="0" w:color="auto"/>
              <w:right w:val="single" w:sz="8" w:space="0" w:color="auto"/>
            </w:tcBorders>
            <w:shd w:val="clear" w:color="auto" w:fill="auto"/>
            <w:vAlign w:val="center"/>
            <w:hideMark/>
          </w:tcPr>
          <w:p w14:paraId="75006FDC" w14:textId="2B5CBFB7" w:rsidR="00DD5C27" w:rsidRPr="00DC37D6" w:rsidRDefault="00DD5C27" w:rsidP="00DD5C27">
            <w:pPr>
              <w:jc w:val="right"/>
              <w:rPr>
                <w:rFonts w:ascii="Barlow" w:hAnsi="Barlow" w:cs="Arial"/>
                <w:b/>
                <w:bCs/>
                <w:color w:val="000000"/>
                <w:sz w:val="20"/>
                <w:szCs w:val="20"/>
                <w:lang w:eastAsia="es-MX"/>
              </w:rPr>
            </w:pPr>
            <w:r w:rsidRPr="00DC37D6">
              <w:rPr>
                <w:rFonts w:ascii="Barlow" w:hAnsi="Barlow" w:cs="Arial"/>
                <w:b/>
                <w:bCs/>
                <w:color w:val="000000"/>
                <w:sz w:val="20"/>
                <w:szCs w:val="20"/>
                <w:lang w:eastAsia="es-MX"/>
              </w:rPr>
              <w:t xml:space="preserve">      527,296.03 </w:t>
            </w:r>
          </w:p>
        </w:tc>
      </w:tr>
      <w:tr w:rsidR="00DD5C27" w:rsidRPr="00DC37D6" w14:paraId="65847E87" w14:textId="77777777" w:rsidTr="00BB64A2">
        <w:trPr>
          <w:trHeight w:val="294"/>
          <w:jc w:val="center"/>
        </w:trPr>
        <w:tc>
          <w:tcPr>
            <w:tcW w:w="3245" w:type="dxa"/>
            <w:tcBorders>
              <w:top w:val="nil"/>
              <w:left w:val="single" w:sz="8" w:space="0" w:color="auto"/>
              <w:bottom w:val="single" w:sz="8" w:space="0" w:color="auto"/>
              <w:right w:val="single" w:sz="8" w:space="0" w:color="auto"/>
            </w:tcBorders>
            <w:shd w:val="clear" w:color="auto" w:fill="auto"/>
            <w:vAlign w:val="center"/>
            <w:hideMark/>
          </w:tcPr>
          <w:p w14:paraId="4D6621CE" w14:textId="77777777" w:rsidR="00DD5C27" w:rsidRPr="00DC37D6" w:rsidRDefault="00DD5C27" w:rsidP="00DD5C27">
            <w:pPr>
              <w:jc w:val="both"/>
              <w:rPr>
                <w:rFonts w:ascii="Barlow" w:hAnsi="Barlow" w:cs="Arial"/>
                <w:color w:val="000000"/>
                <w:sz w:val="20"/>
                <w:szCs w:val="20"/>
                <w:lang w:eastAsia="es-MX"/>
              </w:rPr>
            </w:pPr>
            <w:r w:rsidRPr="00DC37D6">
              <w:rPr>
                <w:rFonts w:ascii="Barlow" w:hAnsi="Barlow" w:cs="Arial"/>
                <w:color w:val="000000"/>
                <w:sz w:val="20"/>
                <w:szCs w:val="20"/>
                <w:lang w:eastAsia="es-MX"/>
              </w:rPr>
              <w:t>Depreciación</w:t>
            </w:r>
          </w:p>
        </w:tc>
        <w:tc>
          <w:tcPr>
            <w:tcW w:w="1234" w:type="dxa"/>
            <w:tcBorders>
              <w:top w:val="nil"/>
              <w:left w:val="nil"/>
              <w:bottom w:val="single" w:sz="8" w:space="0" w:color="auto"/>
              <w:right w:val="single" w:sz="8" w:space="0" w:color="auto"/>
            </w:tcBorders>
            <w:shd w:val="clear" w:color="auto" w:fill="auto"/>
            <w:vAlign w:val="center"/>
            <w:hideMark/>
          </w:tcPr>
          <w:p w14:paraId="622BA976" w14:textId="2655E4CD" w:rsidR="00DD5C27" w:rsidRPr="00DC37D6" w:rsidRDefault="00142465" w:rsidP="00DD5C27">
            <w:pPr>
              <w:jc w:val="right"/>
              <w:rPr>
                <w:rFonts w:ascii="Barlow" w:hAnsi="Barlow" w:cs="Arial"/>
                <w:color w:val="000000"/>
                <w:sz w:val="20"/>
                <w:szCs w:val="20"/>
                <w:lang w:eastAsia="es-MX"/>
              </w:rPr>
            </w:pPr>
            <w:r w:rsidRPr="00DC37D6">
              <w:rPr>
                <w:rFonts w:ascii="Barlow" w:hAnsi="Barlow" w:cs="Arial"/>
                <w:color w:val="000000"/>
                <w:sz w:val="20"/>
                <w:szCs w:val="20"/>
                <w:lang w:eastAsia="es-MX"/>
              </w:rPr>
              <w:t>65</w:t>
            </w:r>
            <w:r w:rsidR="00DD5C27" w:rsidRPr="00DC37D6">
              <w:rPr>
                <w:rFonts w:ascii="Barlow" w:hAnsi="Barlow" w:cs="Arial"/>
                <w:color w:val="000000"/>
                <w:sz w:val="20"/>
                <w:szCs w:val="20"/>
                <w:lang w:eastAsia="es-MX"/>
              </w:rPr>
              <w:t>,</w:t>
            </w:r>
            <w:r w:rsidR="002241AF" w:rsidRPr="00DC37D6">
              <w:rPr>
                <w:rFonts w:ascii="Barlow" w:hAnsi="Barlow" w:cs="Arial"/>
                <w:color w:val="000000"/>
                <w:sz w:val="20"/>
                <w:szCs w:val="20"/>
                <w:lang w:eastAsia="es-MX"/>
              </w:rPr>
              <w:t>151</w:t>
            </w:r>
            <w:r w:rsidR="00DD5C27" w:rsidRPr="00DC37D6">
              <w:rPr>
                <w:rFonts w:ascii="Barlow" w:hAnsi="Barlow" w:cs="Arial"/>
                <w:color w:val="000000"/>
                <w:sz w:val="20"/>
                <w:szCs w:val="20"/>
                <w:lang w:eastAsia="es-MX"/>
              </w:rPr>
              <w:t>.</w:t>
            </w:r>
            <w:r w:rsidR="002241AF" w:rsidRPr="00DC37D6">
              <w:rPr>
                <w:rFonts w:ascii="Barlow" w:hAnsi="Barlow" w:cs="Arial"/>
                <w:color w:val="000000"/>
                <w:sz w:val="20"/>
                <w:szCs w:val="20"/>
                <w:lang w:eastAsia="es-MX"/>
              </w:rPr>
              <w:t>74</w:t>
            </w:r>
          </w:p>
        </w:tc>
        <w:tc>
          <w:tcPr>
            <w:tcW w:w="1214" w:type="dxa"/>
            <w:tcBorders>
              <w:top w:val="nil"/>
              <w:left w:val="nil"/>
              <w:bottom w:val="single" w:sz="8" w:space="0" w:color="auto"/>
              <w:right w:val="single" w:sz="8" w:space="0" w:color="auto"/>
            </w:tcBorders>
            <w:shd w:val="clear" w:color="auto" w:fill="auto"/>
            <w:vAlign w:val="center"/>
            <w:hideMark/>
          </w:tcPr>
          <w:p w14:paraId="4010F49A" w14:textId="7510ED34" w:rsidR="00DD5C27" w:rsidRPr="00DC37D6" w:rsidRDefault="00DD5C27" w:rsidP="00DD5C27">
            <w:pPr>
              <w:jc w:val="right"/>
              <w:rPr>
                <w:rFonts w:ascii="Barlow" w:hAnsi="Barlow" w:cs="Arial"/>
                <w:color w:val="000000"/>
                <w:sz w:val="20"/>
                <w:szCs w:val="20"/>
                <w:lang w:eastAsia="es-MX"/>
              </w:rPr>
            </w:pPr>
            <w:r w:rsidRPr="00DC37D6">
              <w:rPr>
                <w:rFonts w:ascii="Barlow" w:hAnsi="Barlow" w:cs="Arial"/>
                <w:color w:val="000000"/>
                <w:sz w:val="20"/>
                <w:szCs w:val="20"/>
                <w:lang w:eastAsia="es-MX"/>
              </w:rPr>
              <w:t>488,685.85</w:t>
            </w:r>
          </w:p>
        </w:tc>
      </w:tr>
      <w:tr w:rsidR="00DD5C27" w:rsidRPr="00DC37D6" w14:paraId="265EFCF7" w14:textId="77777777" w:rsidTr="00BB64A2">
        <w:trPr>
          <w:trHeight w:val="294"/>
          <w:jc w:val="center"/>
        </w:trPr>
        <w:tc>
          <w:tcPr>
            <w:tcW w:w="3245" w:type="dxa"/>
            <w:tcBorders>
              <w:top w:val="nil"/>
              <w:left w:val="single" w:sz="8" w:space="0" w:color="auto"/>
              <w:bottom w:val="single" w:sz="8" w:space="0" w:color="auto"/>
              <w:right w:val="single" w:sz="8" w:space="0" w:color="auto"/>
            </w:tcBorders>
            <w:shd w:val="clear" w:color="auto" w:fill="auto"/>
            <w:vAlign w:val="center"/>
            <w:hideMark/>
          </w:tcPr>
          <w:p w14:paraId="26F6DEEE" w14:textId="77777777" w:rsidR="00DD5C27" w:rsidRPr="00DC37D6" w:rsidRDefault="00DD5C27" w:rsidP="00DD5C27">
            <w:pPr>
              <w:jc w:val="both"/>
              <w:rPr>
                <w:rFonts w:ascii="Barlow" w:hAnsi="Barlow" w:cs="Arial"/>
                <w:color w:val="000000"/>
                <w:sz w:val="20"/>
                <w:szCs w:val="20"/>
                <w:lang w:eastAsia="es-MX"/>
              </w:rPr>
            </w:pPr>
            <w:r w:rsidRPr="00DC37D6">
              <w:rPr>
                <w:rFonts w:ascii="Barlow" w:hAnsi="Barlow" w:cs="Arial"/>
                <w:color w:val="000000"/>
                <w:sz w:val="20"/>
                <w:szCs w:val="20"/>
                <w:lang w:eastAsia="es-MX"/>
              </w:rPr>
              <w:t>Amortización</w:t>
            </w:r>
          </w:p>
        </w:tc>
        <w:tc>
          <w:tcPr>
            <w:tcW w:w="1234" w:type="dxa"/>
            <w:tcBorders>
              <w:top w:val="nil"/>
              <w:left w:val="nil"/>
              <w:bottom w:val="single" w:sz="8" w:space="0" w:color="auto"/>
              <w:right w:val="single" w:sz="8" w:space="0" w:color="auto"/>
            </w:tcBorders>
            <w:shd w:val="clear" w:color="auto" w:fill="auto"/>
            <w:vAlign w:val="center"/>
            <w:hideMark/>
          </w:tcPr>
          <w:p w14:paraId="67D31ACA" w14:textId="7DF304FE" w:rsidR="00DD5C27" w:rsidRPr="00DC37D6" w:rsidRDefault="00142465" w:rsidP="00DD5C27">
            <w:pPr>
              <w:jc w:val="right"/>
              <w:rPr>
                <w:rFonts w:ascii="Barlow" w:hAnsi="Barlow" w:cs="Arial"/>
                <w:color w:val="000000"/>
                <w:sz w:val="20"/>
                <w:szCs w:val="20"/>
                <w:lang w:eastAsia="es-MX"/>
              </w:rPr>
            </w:pPr>
            <w:r w:rsidRPr="00DC37D6">
              <w:rPr>
                <w:rFonts w:ascii="Barlow" w:hAnsi="Barlow" w:cs="Arial"/>
                <w:color w:val="000000"/>
                <w:sz w:val="20"/>
                <w:szCs w:val="20"/>
                <w:lang w:eastAsia="es-MX"/>
              </w:rPr>
              <w:t>12</w:t>
            </w:r>
            <w:r w:rsidR="00DD5C27" w:rsidRPr="00DC37D6">
              <w:rPr>
                <w:rFonts w:ascii="Barlow" w:hAnsi="Barlow" w:cs="Arial"/>
                <w:color w:val="000000"/>
                <w:sz w:val="20"/>
                <w:szCs w:val="20"/>
                <w:lang w:eastAsia="es-MX"/>
              </w:rPr>
              <w:t>,</w:t>
            </w:r>
            <w:r w:rsidRPr="00DC37D6">
              <w:rPr>
                <w:rFonts w:ascii="Barlow" w:hAnsi="Barlow" w:cs="Arial"/>
                <w:color w:val="000000"/>
                <w:sz w:val="20"/>
                <w:szCs w:val="20"/>
                <w:lang w:eastAsia="es-MX"/>
              </w:rPr>
              <w:t>094</w:t>
            </w:r>
            <w:r w:rsidR="00DD5C27" w:rsidRPr="00DC37D6">
              <w:rPr>
                <w:rFonts w:ascii="Barlow" w:hAnsi="Barlow" w:cs="Arial"/>
                <w:color w:val="000000"/>
                <w:sz w:val="20"/>
                <w:szCs w:val="20"/>
                <w:lang w:eastAsia="es-MX"/>
              </w:rPr>
              <w:t>.</w:t>
            </w:r>
            <w:r w:rsidRPr="00DC37D6">
              <w:rPr>
                <w:rFonts w:ascii="Barlow" w:hAnsi="Barlow" w:cs="Arial"/>
                <w:color w:val="000000"/>
                <w:sz w:val="20"/>
                <w:szCs w:val="20"/>
                <w:lang w:eastAsia="es-MX"/>
              </w:rPr>
              <w:t>26</w:t>
            </w:r>
          </w:p>
        </w:tc>
        <w:tc>
          <w:tcPr>
            <w:tcW w:w="1214" w:type="dxa"/>
            <w:tcBorders>
              <w:top w:val="nil"/>
              <w:left w:val="nil"/>
              <w:bottom w:val="single" w:sz="8" w:space="0" w:color="auto"/>
              <w:right w:val="single" w:sz="8" w:space="0" w:color="auto"/>
            </w:tcBorders>
            <w:shd w:val="clear" w:color="auto" w:fill="auto"/>
            <w:vAlign w:val="center"/>
            <w:hideMark/>
          </w:tcPr>
          <w:p w14:paraId="28B7986B" w14:textId="44E9341F" w:rsidR="00DD5C27" w:rsidRPr="00DC37D6" w:rsidRDefault="00DD5C27" w:rsidP="00DD5C27">
            <w:pPr>
              <w:jc w:val="right"/>
              <w:rPr>
                <w:rFonts w:ascii="Barlow" w:hAnsi="Barlow" w:cs="Arial"/>
                <w:color w:val="000000"/>
                <w:sz w:val="20"/>
                <w:szCs w:val="20"/>
                <w:lang w:eastAsia="es-MX"/>
              </w:rPr>
            </w:pPr>
            <w:r w:rsidRPr="00DC37D6">
              <w:rPr>
                <w:rFonts w:ascii="Barlow" w:hAnsi="Barlow" w:cs="Arial"/>
                <w:color w:val="000000"/>
                <w:sz w:val="20"/>
                <w:szCs w:val="20"/>
                <w:lang w:eastAsia="es-MX"/>
              </w:rPr>
              <w:t>38,610.18</w:t>
            </w:r>
          </w:p>
        </w:tc>
      </w:tr>
      <w:tr w:rsidR="00DD5C27" w:rsidRPr="00DC37D6" w14:paraId="320A59CB" w14:textId="77777777" w:rsidTr="00BB64A2">
        <w:trPr>
          <w:trHeight w:val="294"/>
          <w:jc w:val="center"/>
        </w:trPr>
        <w:tc>
          <w:tcPr>
            <w:tcW w:w="3245" w:type="dxa"/>
            <w:tcBorders>
              <w:top w:val="nil"/>
              <w:left w:val="single" w:sz="8" w:space="0" w:color="auto"/>
              <w:bottom w:val="single" w:sz="8" w:space="0" w:color="auto"/>
              <w:right w:val="single" w:sz="8" w:space="0" w:color="auto"/>
            </w:tcBorders>
            <w:shd w:val="clear" w:color="auto" w:fill="auto"/>
            <w:vAlign w:val="center"/>
            <w:hideMark/>
          </w:tcPr>
          <w:p w14:paraId="251B5D22" w14:textId="77777777" w:rsidR="00DD5C27" w:rsidRPr="00DC37D6" w:rsidRDefault="00DD5C27" w:rsidP="00DD5C27">
            <w:pPr>
              <w:jc w:val="both"/>
              <w:rPr>
                <w:rFonts w:ascii="Barlow" w:hAnsi="Barlow" w:cs="Arial"/>
                <w:color w:val="000000"/>
                <w:sz w:val="20"/>
                <w:szCs w:val="20"/>
                <w:lang w:eastAsia="es-MX"/>
              </w:rPr>
            </w:pPr>
            <w:r w:rsidRPr="00DC37D6">
              <w:rPr>
                <w:rFonts w:ascii="Barlow" w:hAnsi="Barlow" w:cs="Arial"/>
                <w:color w:val="000000"/>
                <w:sz w:val="20"/>
                <w:szCs w:val="20"/>
                <w:lang w:eastAsia="es-MX"/>
              </w:rPr>
              <w:t>Incrementos en las provisiones (NA)</w:t>
            </w:r>
          </w:p>
        </w:tc>
        <w:tc>
          <w:tcPr>
            <w:tcW w:w="1234" w:type="dxa"/>
            <w:tcBorders>
              <w:top w:val="nil"/>
              <w:left w:val="nil"/>
              <w:bottom w:val="single" w:sz="8" w:space="0" w:color="auto"/>
              <w:right w:val="single" w:sz="8" w:space="0" w:color="auto"/>
            </w:tcBorders>
            <w:shd w:val="clear" w:color="auto" w:fill="auto"/>
            <w:vAlign w:val="center"/>
            <w:hideMark/>
          </w:tcPr>
          <w:p w14:paraId="25D0AD2E" w14:textId="77777777" w:rsidR="00DD5C27" w:rsidRPr="00DC37D6" w:rsidRDefault="00DD5C27" w:rsidP="00DD5C27">
            <w:pPr>
              <w:jc w:val="right"/>
              <w:rPr>
                <w:rFonts w:ascii="Barlow" w:hAnsi="Barlow" w:cs="Arial"/>
                <w:color w:val="000000"/>
                <w:sz w:val="20"/>
                <w:szCs w:val="20"/>
                <w:lang w:eastAsia="es-MX"/>
              </w:rPr>
            </w:pPr>
            <w:r w:rsidRPr="00DC37D6">
              <w:rPr>
                <w:rFonts w:ascii="Barlow" w:hAnsi="Barlow" w:cs="Arial"/>
                <w:color w:val="000000"/>
                <w:sz w:val="20"/>
                <w:szCs w:val="20"/>
                <w:lang w:eastAsia="es-MX"/>
              </w:rPr>
              <w:t xml:space="preserve">0.00 </w:t>
            </w:r>
          </w:p>
        </w:tc>
        <w:tc>
          <w:tcPr>
            <w:tcW w:w="1214" w:type="dxa"/>
            <w:tcBorders>
              <w:top w:val="nil"/>
              <w:left w:val="nil"/>
              <w:bottom w:val="single" w:sz="8" w:space="0" w:color="auto"/>
              <w:right w:val="single" w:sz="8" w:space="0" w:color="auto"/>
            </w:tcBorders>
            <w:shd w:val="clear" w:color="auto" w:fill="auto"/>
            <w:vAlign w:val="center"/>
            <w:hideMark/>
          </w:tcPr>
          <w:p w14:paraId="519090A8" w14:textId="77777777" w:rsidR="00DD5C27" w:rsidRPr="00DC37D6" w:rsidRDefault="00DD5C27" w:rsidP="00DD5C27">
            <w:pPr>
              <w:jc w:val="right"/>
              <w:rPr>
                <w:rFonts w:ascii="Barlow" w:hAnsi="Barlow" w:cs="Arial"/>
                <w:color w:val="000000"/>
                <w:sz w:val="20"/>
                <w:szCs w:val="20"/>
                <w:lang w:eastAsia="es-MX"/>
              </w:rPr>
            </w:pPr>
            <w:r w:rsidRPr="00DC37D6">
              <w:rPr>
                <w:rFonts w:ascii="Barlow" w:hAnsi="Barlow" w:cs="Arial"/>
                <w:color w:val="000000"/>
                <w:sz w:val="20"/>
                <w:szCs w:val="20"/>
                <w:lang w:eastAsia="es-MX"/>
              </w:rPr>
              <w:t xml:space="preserve">0.00 </w:t>
            </w:r>
          </w:p>
        </w:tc>
      </w:tr>
      <w:tr w:rsidR="00DD5C27" w:rsidRPr="00DC37D6" w14:paraId="5999C325" w14:textId="77777777" w:rsidTr="00BB64A2">
        <w:trPr>
          <w:trHeight w:val="463"/>
          <w:jc w:val="center"/>
        </w:trPr>
        <w:tc>
          <w:tcPr>
            <w:tcW w:w="3245" w:type="dxa"/>
            <w:tcBorders>
              <w:top w:val="nil"/>
              <w:left w:val="single" w:sz="8" w:space="0" w:color="auto"/>
              <w:bottom w:val="single" w:sz="8" w:space="0" w:color="auto"/>
              <w:right w:val="single" w:sz="8" w:space="0" w:color="auto"/>
            </w:tcBorders>
            <w:shd w:val="clear" w:color="auto" w:fill="auto"/>
            <w:vAlign w:val="center"/>
            <w:hideMark/>
          </w:tcPr>
          <w:p w14:paraId="522395A4" w14:textId="77777777" w:rsidR="00DD5C27" w:rsidRPr="00DC37D6" w:rsidRDefault="00DD5C27" w:rsidP="00DD5C27">
            <w:pPr>
              <w:jc w:val="both"/>
              <w:rPr>
                <w:rFonts w:ascii="Barlow" w:hAnsi="Barlow" w:cs="Arial"/>
                <w:color w:val="000000"/>
                <w:sz w:val="20"/>
                <w:szCs w:val="20"/>
                <w:lang w:eastAsia="es-MX"/>
              </w:rPr>
            </w:pPr>
            <w:r w:rsidRPr="00DC37D6">
              <w:rPr>
                <w:rFonts w:ascii="Barlow" w:hAnsi="Barlow" w:cs="Arial"/>
                <w:color w:val="000000"/>
                <w:sz w:val="20"/>
                <w:szCs w:val="20"/>
                <w:lang w:eastAsia="es-MX"/>
              </w:rPr>
              <w:t>Incremento en inversiones producido por revaluación (NA)</w:t>
            </w:r>
          </w:p>
        </w:tc>
        <w:tc>
          <w:tcPr>
            <w:tcW w:w="1234" w:type="dxa"/>
            <w:tcBorders>
              <w:top w:val="nil"/>
              <w:left w:val="nil"/>
              <w:bottom w:val="single" w:sz="8" w:space="0" w:color="auto"/>
              <w:right w:val="single" w:sz="8" w:space="0" w:color="auto"/>
            </w:tcBorders>
            <w:shd w:val="clear" w:color="auto" w:fill="auto"/>
            <w:vAlign w:val="center"/>
            <w:hideMark/>
          </w:tcPr>
          <w:p w14:paraId="3A3086B3" w14:textId="77777777" w:rsidR="00DD5C27" w:rsidRPr="00DC37D6" w:rsidRDefault="00DD5C27" w:rsidP="00DD5C27">
            <w:pPr>
              <w:jc w:val="right"/>
              <w:rPr>
                <w:rFonts w:ascii="Barlow" w:hAnsi="Barlow" w:cs="Arial"/>
                <w:color w:val="000000"/>
                <w:sz w:val="20"/>
                <w:szCs w:val="20"/>
                <w:lang w:eastAsia="es-MX"/>
              </w:rPr>
            </w:pPr>
            <w:r w:rsidRPr="00DC37D6">
              <w:rPr>
                <w:rFonts w:ascii="Barlow" w:hAnsi="Barlow" w:cs="Arial"/>
                <w:color w:val="000000"/>
                <w:sz w:val="20"/>
                <w:szCs w:val="20"/>
                <w:lang w:eastAsia="es-MX"/>
              </w:rPr>
              <w:t xml:space="preserve">0.00 </w:t>
            </w:r>
          </w:p>
        </w:tc>
        <w:tc>
          <w:tcPr>
            <w:tcW w:w="1214" w:type="dxa"/>
            <w:tcBorders>
              <w:top w:val="nil"/>
              <w:left w:val="nil"/>
              <w:bottom w:val="single" w:sz="8" w:space="0" w:color="auto"/>
              <w:right w:val="single" w:sz="8" w:space="0" w:color="auto"/>
            </w:tcBorders>
            <w:shd w:val="clear" w:color="auto" w:fill="auto"/>
            <w:vAlign w:val="center"/>
            <w:hideMark/>
          </w:tcPr>
          <w:p w14:paraId="72AC5DDC" w14:textId="77777777" w:rsidR="00DD5C27" w:rsidRPr="00DC37D6" w:rsidRDefault="00DD5C27" w:rsidP="00DD5C27">
            <w:pPr>
              <w:jc w:val="right"/>
              <w:rPr>
                <w:rFonts w:ascii="Barlow" w:hAnsi="Barlow" w:cs="Arial"/>
                <w:color w:val="000000"/>
                <w:sz w:val="20"/>
                <w:szCs w:val="20"/>
                <w:lang w:eastAsia="es-MX"/>
              </w:rPr>
            </w:pPr>
            <w:r w:rsidRPr="00DC37D6">
              <w:rPr>
                <w:rFonts w:ascii="Barlow" w:hAnsi="Barlow" w:cs="Arial"/>
                <w:color w:val="000000"/>
                <w:sz w:val="20"/>
                <w:szCs w:val="20"/>
                <w:lang w:eastAsia="es-MX"/>
              </w:rPr>
              <w:t xml:space="preserve">0.00 </w:t>
            </w:r>
          </w:p>
        </w:tc>
      </w:tr>
      <w:tr w:rsidR="00DD5C27" w:rsidRPr="00DC37D6" w14:paraId="1123F0F0" w14:textId="77777777" w:rsidTr="00BB64A2">
        <w:trPr>
          <w:trHeight w:val="688"/>
          <w:jc w:val="center"/>
        </w:trPr>
        <w:tc>
          <w:tcPr>
            <w:tcW w:w="3245" w:type="dxa"/>
            <w:tcBorders>
              <w:top w:val="nil"/>
              <w:left w:val="single" w:sz="8" w:space="0" w:color="auto"/>
              <w:bottom w:val="single" w:sz="8" w:space="0" w:color="auto"/>
              <w:right w:val="single" w:sz="8" w:space="0" w:color="auto"/>
            </w:tcBorders>
            <w:shd w:val="clear" w:color="auto" w:fill="auto"/>
            <w:vAlign w:val="center"/>
            <w:hideMark/>
          </w:tcPr>
          <w:p w14:paraId="7AE056F4" w14:textId="77777777" w:rsidR="00DD5C27" w:rsidRPr="00DC37D6" w:rsidRDefault="00DD5C27" w:rsidP="00DD5C27">
            <w:pPr>
              <w:jc w:val="both"/>
              <w:rPr>
                <w:rFonts w:ascii="Barlow" w:hAnsi="Barlow" w:cs="Arial"/>
                <w:color w:val="000000"/>
                <w:sz w:val="20"/>
                <w:szCs w:val="20"/>
                <w:lang w:eastAsia="es-MX"/>
              </w:rPr>
            </w:pPr>
            <w:r w:rsidRPr="00DC37D6">
              <w:rPr>
                <w:rFonts w:ascii="Barlow" w:hAnsi="Barlow" w:cs="Arial"/>
                <w:color w:val="000000"/>
                <w:sz w:val="20"/>
                <w:szCs w:val="20"/>
                <w:lang w:eastAsia="es-MX"/>
              </w:rPr>
              <w:t>Ganancia/pérdida en venta de bienes muebles, inmuebles e intangibles (NA)</w:t>
            </w:r>
          </w:p>
        </w:tc>
        <w:tc>
          <w:tcPr>
            <w:tcW w:w="1234" w:type="dxa"/>
            <w:tcBorders>
              <w:top w:val="nil"/>
              <w:left w:val="nil"/>
              <w:bottom w:val="single" w:sz="8" w:space="0" w:color="auto"/>
              <w:right w:val="single" w:sz="8" w:space="0" w:color="auto"/>
            </w:tcBorders>
            <w:shd w:val="clear" w:color="auto" w:fill="auto"/>
            <w:vAlign w:val="center"/>
            <w:hideMark/>
          </w:tcPr>
          <w:p w14:paraId="0B74B9CB" w14:textId="77777777" w:rsidR="00DD5C27" w:rsidRPr="00DC37D6" w:rsidRDefault="00DD5C27" w:rsidP="00DD5C27">
            <w:pPr>
              <w:jc w:val="right"/>
              <w:rPr>
                <w:rFonts w:ascii="Barlow" w:hAnsi="Barlow" w:cs="Arial"/>
                <w:color w:val="000000"/>
                <w:sz w:val="20"/>
                <w:szCs w:val="20"/>
                <w:lang w:eastAsia="es-MX"/>
              </w:rPr>
            </w:pPr>
            <w:r w:rsidRPr="00DC37D6">
              <w:rPr>
                <w:rFonts w:ascii="Barlow" w:hAnsi="Barlow" w:cs="Arial"/>
                <w:color w:val="000000"/>
                <w:sz w:val="20"/>
                <w:szCs w:val="20"/>
                <w:lang w:eastAsia="es-MX"/>
              </w:rPr>
              <w:t xml:space="preserve">0.00 </w:t>
            </w:r>
          </w:p>
        </w:tc>
        <w:tc>
          <w:tcPr>
            <w:tcW w:w="1214" w:type="dxa"/>
            <w:tcBorders>
              <w:top w:val="nil"/>
              <w:left w:val="nil"/>
              <w:bottom w:val="single" w:sz="8" w:space="0" w:color="auto"/>
              <w:right w:val="single" w:sz="8" w:space="0" w:color="auto"/>
            </w:tcBorders>
            <w:shd w:val="clear" w:color="auto" w:fill="auto"/>
            <w:vAlign w:val="center"/>
            <w:hideMark/>
          </w:tcPr>
          <w:p w14:paraId="18084AA2" w14:textId="77777777" w:rsidR="00DD5C27" w:rsidRPr="00DC37D6" w:rsidRDefault="00DD5C27" w:rsidP="00DD5C27">
            <w:pPr>
              <w:jc w:val="right"/>
              <w:rPr>
                <w:rFonts w:ascii="Barlow" w:hAnsi="Barlow" w:cs="Arial"/>
                <w:color w:val="000000"/>
                <w:sz w:val="20"/>
                <w:szCs w:val="20"/>
                <w:lang w:eastAsia="es-MX"/>
              </w:rPr>
            </w:pPr>
            <w:r w:rsidRPr="00DC37D6">
              <w:rPr>
                <w:rFonts w:ascii="Barlow" w:hAnsi="Barlow" w:cs="Arial"/>
                <w:color w:val="000000"/>
                <w:sz w:val="20"/>
                <w:szCs w:val="20"/>
                <w:lang w:eastAsia="es-MX"/>
              </w:rPr>
              <w:t xml:space="preserve">0.00 </w:t>
            </w:r>
          </w:p>
        </w:tc>
      </w:tr>
      <w:tr w:rsidR="00DD5C27" w:rsidRPr="00DC37D6" w14:paraId="3F8855C0" w14:textId="77777777" w:rsidTr="00BB64A2">
        <w:trPr>
          <w:trHeight w:val="294"/>
          <w:jc w:val="center"/>
        </w:trPr>
        <w:tc>
          <w:tcPr>
            <w:tcW w:w="3245" w:type="dxa"/>
            <w:tcBorders>
              <w:top w:val="nil"/>
              <w:left w:val="single" w:sz="8" w:space="0" w:color="auto"/>
              <w:bottom w:val="single" w:sz="8" w:space="0" w:color="auto"/>
              <w:right w:val="single" w:sz="8" w:space="0" w:color="auto"/>
            </w:tcBorders>
            <w:shd w:val="clear" w:color="auto" w:fill="auto"/>
            <w:vAlign w:val="center"/>
            <w:hideMark/>
          </w:tcPr>
          <w:p w14:paraId="2ADED0A0" w14:textId="77777777" w:rsidR="00DD5C27" w:rsidRPr="00DC37D6" w:rsidRDefault="00DD5C27" w:rsidP="00DD5C27">
            <w:pPr>
              <w:jc w:val="both"/>
              <w:rPr>
                <w:rFonts w:ascii="Barlow" w:hAnsi="Barlow" w:cs="Arial"/>
                <w:color w:val="000000"/>
                <w:sz w:val="20"/>
                <w:szCs w:val="20"/>
                <w:lang w:eastAsia="es-MX"/>
              </w:rPr>
            </w:pPr>
            <w:r w:rsidRPr="00DC37D6">
              <w:rPr>
                <w:rFonts w:ascii="Barlow" w:hAnsi="Barlow" w:cs="Arial"/>
                <w:color w:val="000000"/>
                <w:sz w:val="20"/>
                <w:szCs w:val="20"/>
                <w:lang w:eastAsia="es-MX"/>
              </w:rPr>
              <w:t>Incremento en cuentas por cobrar</w:t>
            </w:r>
          </w:p>
        </w:tc>
        <w:tc>
          <w:tcPr>
            <w:tcW w:w="1234" w:type="dxa"/>
            <w:tcBorders>
              <w:top w:val="nil"/>
              <w:left w:val="nil"/>
              <w:bottom w:val="single" w:sz="8" w:space="0" w:color="auto"/>
              <w:right w:val="single" w:sz="8" w:space="0" w:color="auto"/>
            </w:tcBorders>
            <w:shd w:val="clear" w:color="auto" w:fill="auto"/>
            <w:vAlign w:val="center"/>
            <w:hideMark/>
          </w:tcPr>
          <w:p w14:paraId="40F64EC2" w14:textId="77777777" w:rsidR="00DD5C27" w:rsidRPr="00DC37D6" w:rsidRDefault="00DD5C27" w:rsidP="00DD5C27">
            <w:pPr>
              <w:jc w:val="right"/>
              <w:rPr>
                <w:rFonts w:ascii="Barlow" w:hAnsi="Barlow" w:cs="Arial"/>
                <w:color w:val="000000"/>
                <w:sz w:val="20"/>
                <w:szCs w:val="20"/>
                <w:lang w:eastAsia="es-MX"/>
              </w:rPr>
            </w:pPr>
            <w:r w:rsidRPr="00DC37D6">
              <w:rPr>
                <w:rFonts w:ascii="Barlow" w:hAnsi="Barlow" w:cs="Arial"/>
                <w:color w:val="000000"/>
                <w:sz w:val="20"/>
                <w:szCs w:val="20"/>
                <w:lang w:eastAsia="es-MX"/>
              </w:rPr>
              <w:t xml:space="preserve">0.00 </w:t>
            </w:r>
          </w:p>
        </w:tc>
        <w:tc>
          <w:tcPr>
            <w:tcW w:w="1214" w:type="dxa"/>
            <w:tcBorders>
              <w:top w:val="nil"/>
              <w:left w:val="nil"/>
              <w:bottom w:val="single" w:sz="8" w:space="0" w:color="auto"/>
              <w:right w:val="single" w:sz="8" w:space="0" w:color="auto"/>
            </w:tcBorders>
            <w:shd w:val="clear" w:color="auto" w:fill="auto"/>
            <w:vAlign w:val="center"/>
            <w:hideMark/>
          </w:tcPr>
          <w:p w14:paraId="44385100" w14:textId="77777777" w:rsidR="00DD5C27" w:rsidRPr="00DC37D6" w:rsidRDefault="00DD5C27" w:rsidP="00DD5C27">
            <w:pPr>
              <w:jc w:val="right"/>
              <w:rPr>
                <w:rFonts w:ascii="Barlow" w:hAnsi="Barlow" w:cs="Arial"/>
                <w:color w:val="000000"/>
                <w:sz w:val="20"/>
                <w:szCs w:val="20"/>
                <w:lang w:eastAsia="es-MX"/>
              </w:rPr>
            </w:pPr>
            <w:r w:rsidRPr="00DC37D6">
              <w:rPr>
                <w:rFonts w:ascii="Barlow" w:hAnsi="Barlow" w:cs="Arial"/>
                <w:color w:val="000000"/>
                <w:sz w:val="20"/>
                <w:szCs w:val="20"/>
                <w:lang w:eastAsia="es-MX"/>
              </w:rPr>
              <w:t xml:space="preserve">0.00 </w:t>
            </w:r>
          </w:p>
        </w:tc>
      </w:tr>
      <w:tr w:rsidR="00DD5C27" w:rsidRPr="00DC37D6" w14:paraId="687E0FA7" w14:textId="77777777" w:rsidTr="00BB64A2">
        <w:trPr>
          <w:trHeight w:val="463"/>
          <w:jc w:val="center"/>
        </w:trPr>
        <w:tc>
          <w:tcPr>
            <w:tcW w:w="3245" w:type="dxa"/>
            <w:tcBorders>
              <w:top w:val="nil"/>
              <w:left w:val="single" w:sz="8" w:space="0" w:color="auto"/>
              <w:bottom w:val="single" w:sz="8" w:space="0" w:color="auto"/>
              <w:right w:val="single" w:sz="8" w:space="0" w:color="auto"/>
            </w:tcBorders>
            <w:shd w:val="clear" w:color="auto" w:fill="auto"/>
            <w:vAlign w:val="center"/>
            <w:hideMark/>
          </w:tcPr>
          <w:p w14:paraId="6C4E7E0A" w14:textId="77777777" w:rsidR="00DD5C27" w:rsidRPr="00DC37D6" w:rsidRDefault="00DD5C27" w:rsidP="00DD5C27">
            <w:pPr>
              <w:jc w:val="both"/>
              <w:rPr>
                <w:rFonts w:ascii="Barlow" w:hAnsi="Barlow" w:cs="Arial"/>
                <w:b/>
                <w:bCs/>
                <w:color w:val="000000"/>
                <w:sz w:val="20"/>
                <w:szCs w:val="20"/>
                <w:lang w:eastAsia="es-MX"/>
              </w:rPr>
            </w:pPr>
            <w:r w:rsidRPr="00DC37D6">
              <w:rPr>
                <w:rFonts w:ascii="Barlow" w:hAnsi="Barlow" w:cs="Arial"/>
                <w:b/>
                <w:bCs/>
                <w:color w:val="000000"/>
                <w:sz w:val="20"/>
                <w:szCs w:val="20"/>
                <w:lang w:eastAsia="es-MX"/>
              </w:rPr>
              <w:t>Flujos de Efectivo Netos de las Actividades de Operación</w:t>
            </w:r>
          </w:p>
        </w:tc>
        <w:tc>
          <w:tcPr>
            <w:tcW w:w="1234" w:type="dxa"/>
            <w:tcBorders>
              <w:top w:val="nil"/>
              <w:left w:val="nil"/>
              <w:bottom w:val="single" w:sz="8" w:space="0" w:color="auto"/>
              <w:right w:val="single" w:sz="8" w:space="0" w:color="auto"/>
            </w:tcBorders>
            <w:shd w:val="clear" w:color="auto" w:fill="auto"/>
            <w:vAlign w:val="center"/>
            <w:hideMark/>
          </w:tcPr>
          <w:p w14:paraId="1A4636ED" w14:textId="573768D3" w:rsidR="00DD5C27" w:rsidRPr="00DC37D6" w:rsidRDefault="00DD5C27" w:rsidP="00DD5C27">
            <w:pPr>
              <w:jc w:val="right"/>
              <w:rPr>
                <w:rFonts w:ascii="Barlow" w:hAnsi="Barlow" w:cs="Arial"/>
                <w:b/>
                <w:bCs/>
                <w:color w:val="000000"/>
                <w:sz w:val="20"/>
                <w:szCs w:val="20"/>
                <w:highlight w:val="yellow"/>
                <w:lang w:eastAsia="es-MX"/>
              </w:rPr>
            </w:pPr>
            <w:r w:rsidRPr="00DC37D6">
              <w:rPr>
                <w:rFonts w:ascii="Barlow" w:hAnsi="Barlow" w:cs="Arial"/>
                <w:b/>
                <w:bCs/>
                <w:color w:val="000000"/>
                <w:sz w:val="20"/>
                <w:szCs w:val="20"/>
                <w:lang w:eastAsia="es-MX"/>
              </w:rPr>
              <w:t>-</w:t>
            </w:r>
            <w:r w:rsidR="006302B5" w:rsidRPr="00DC37D6">
              <w:rPr>
                <w:rFonts w:ascii="Barlow" w:hAnsi="Barlow" w:cs="Arial"/>
                <w:b/>
                <w:bCs/>
                <w:color w:val="000000"/>
                <w:sz w:val="20"/>
                <w:szCs w:val="20"/>
                <w:lang w:eastAsia="es-MX"/>
              </w:rPr>
              <w:t>254</w:t>
            </w:r>
            <w:r w:rsidRPr="00DC37D6">
              <w:rPr>
                <w:rFonts w:ascii="Barlow" w:hAnsi="Barlow" w:cs="Arial"/>
                <w:b/>
                <w:bCs/>
                <w:color w:val="000000"/>
                <w:sz w:val="20"/>
                <w:szCs w:val="20"/>
                <w:lang w:eastAsia="es-MX"/>
              </w:rPr>
              <w:t>,</w:t>
            </w:r>
            <w:r w:rsidR="006302B5" w:rsidRPr="00DC37D6">
              <w:rPr>
                <w:rFonts w:ascii="Barlow" w:hAnsi="Barlow" w:cs="Arial"/>
                <w:b/>
                <w:bCs/>
                <w:color w:val="000000"/>
                <w:sz w:val="20"/>
                <w:szCs w:val="20"/>
                <w:lang w:eastAsia="es-MX"/>
              </w:rPr>
              <w:t>527</w:t>
            </w:r>
            <w:r w:rsidRPr="00DC37D6">
              <w:rPr>
                <w:rFonts w:ascii="Barlow" w:hAnsi="Barlow" w:cs="Arial"/>
                <w:b/>
                <w:bCs/>
                <w:color w:val="000000"/>
                <w:sz w:val="20"/>
                <w:szCs w:val="20"/>
                <w:lang w:eastAsia="es-MX"/>
              </w:rPr>
              <w:t>.</w:t>
            </w:r>
            <w:r w:rsidR="006302B5" w:rsidRPr="00DC37D6">
              <w:rPr>
                <w:rFonts w:ascii="Barlow" w:hAnsi="Barlow" w:cs="Arial"/>
                <w:b/>
                <w:bCs/>
                <w:color w:val="000000"/>
                <w:sz w:val="20"/>
                <w:szCs w:val="20"/>
                <w:lang w:eastAsia="es-MX"/>
              </w:rPr>
              <w:t>38</w:t>
            </w:r>
          </w:p>
        </w:tc>
        <w:tc>
          <w:tcPr>
            <w:tcW w:w="1214" w:type="dxa"/>
            <w:tcBorders>
              <w:top w:val="nil"/>
              <w:left w:val="nil"/>
              <w:bottom w:val="single" w:sz="8" w:space="0" w:color="auto"/>
              <w:right w:val="single" w:sz="8" w:space="0" w:color="auto"/>
            </w:tcBorders>
            <w:shd w:val="clear" w:color="auto" w:fill="auto"/>
            <w:vAlign w:val="center"/>
            <w:hideMark/>
          </w:tcPr>
          <w:p w14:paraId="12B5EE27" w14:textId="2D99A78A" w:rsidR="00DD5C27" w:rsidRPr="00DC37D6" w:rsidRDefault="00DD5C27" w:rsidP="00DD5C27">
            <w:pPr>
              <w:jc w:val="right"/>
              <w:rPr>
                <w:rFonts w:ascii="Barlow" w:hAnsi="Barlow" w:cs="Arial"/>
                <w:b/>
                <w:bCs/>
                <w:color w:val="000000"/>
                <w:sz w:val="20"/>
                <w:szCs w:val="20"/>
                <w:lang w:eastAsia="es-MX"/>
              </w:rPr>
            </w:pPr>
            <w:r w:rsidRPr="00DC37D6">
              <w:rPr>
                <w:rFonts w:ascii="Barlow" w:hAnsi="Barlow" w:cs="Arial"/>
                <w:b/>
                <w:bCs/>
                <w:color w:val="000000"/>
                <w:sz w:val="20"/>
                <w:szCs w:val="20"/>
                <w:lang w:eastAsia="es-MX"/>
              </w:rPr>
              <w:t>-336,125.05</w:t>
            </w:r>
          </w:p>
        </w:tc>
      </w:tr>
    </w:tbl>
    <w:p w14:paraId="4574271D" w14:textId="77777777" w:rsidR="00E55DC0" w:rsidRPr="00DC37D6" w:rsidRDefault="00E55DC0" w:rsidP="00827B79">
      <w:pPr>
        <w:autoSpaceDE w:val="0"/>
        <w:autoSpaceDN w:val="0"/>
        <w:adjustRightInd w:val="0"/>
        <w:spacing w:line="360" w:lineRule="auto"/>
        <w:jc w:val="center"/>
        <w:rPr>
          <w:rFonts w:ascii="Barlow" w:hAnsi="Barlow" w:cs="Arial"/>
          <w:b/>
          <w:sz w:val="20"/>
          <w:szCs w:val="20"/>
        </w:rPr>
      </w:pPr>
    </w:p>
    <w:p w14:paraId="45A0A9BD" w14:textId="77777777" w:rsidR="00DC37D6" w:rsidRDefault="00DC37D6" w:rsidP="00827B79">
      <w:pPr>
        <w:autoSpaceDE w:val="0"/>
        <w:autoSpaceDN w:val="0"/>
        <w:adjustRightInd w:val="0"/>
        <w:spacing w:line="360" w:lineRule="auto"/>
        <w:jc w:val="center"/>
        <w:rPr>
          <w:rFonts w:ascii="Barlow" w:hAnsi="Barlow" w:cs="Arial"/>
          <w:b/>
          <w:sz w:val="20"/>
          <w:szCs w:val="20"/>
        </w:rPr>
      </w:pPr>
    </w:p>
    <w:p w14:paraId="1C012218" w14:textId="77777777" w:rsidR="00DC37D6" w:rsidRDefault="00DC37D6" w:rsidP="00827B79">
      <w:pPr>
        <w:autoSpaceDE w:val="0"/>
        <w:autoSpaceDN w:val="0"/>
        <w:adjustRightInd w:val="0"/>
        <w:spacing w:line="360" w:lineRule="auto"/>
        <w:jc w:val="center"/>
        <w:rPr>
          <w:rFonts w:ascii="Barlow" w:hAnsi="Barlow" w:cs="Arial"/>
          <w:b/>
          <w:sz w:val="20"/>
          <w:szCs w:val="20"/>
        </w:rPr>
      </w:pPr>
    </w:p>
    <w:p w14:paraId="4872E23D" w14:textId="77777777" w:rsidR="00DC37D6" w:rsidRDefault="00DC37D6" w:rsidP="00827B79">
      <w:pPr>
        <w:autoSpaceDE w:val="0"/>
        <w:autoSpaceDN w:val="0"/>
        <w:adjustRightInd w:val="0"/>
        <w:spacing w:line="360" w:lineRule="auto"/>
        <w:jc w:val="center"/>
        <w:rPr>
          <w:rFonts w:ascii="Barlow" w:hAnsi="Barlow" w:cs="Arial"/>
          <w:b/>
          <w:sz w:val="20"/>
          <w:szCs w:val="20"/>
        </w:rPr>
      </w:pPr>
    </w:p>
    <w:p w14:paraId="18C9F34A" w14:textId="77777777" w:rsidR="00DC37D6" w:rsidRDefault="00DC37D6" w:rsidP="00827B79">
      <w:pPr>
        <w:autoSpaceDE w:val="0"/>
        <w:autoSpaceDN w:val="0"/>
        <w:adjustRightInd w:val="0"/>
        <w:spacing w:line="360" w:lineRule="auto"/>
        <w:jc w:val="center"/>
        <w:rPr>
          <w:rFonts w:ascii="Barlow" w:hAnsi="Barlow" w:cs="Arial"/>
          <w:b/>
          <w:sz w:val="20"/>
          <w:szCs w:val="20"/>
        </w:rPr>
      </w:pPr>
    </w:p>
    <w:p w14:paraId="1371C260" w14:textId="77777777" w:rsidR="00DC37D6" w:rsidRDefault="00DC37D6" w:rsidP="00827B79">
      <w:pPr>
        <w:autoSpaceDE w:val="0"/>
        <w:autoSpaceDN w:val="0"/>
        <w:adjustRightInd w:val="0"/>
        <w:spacing w:line="360" w:lineRule="auto"/>
        <w:jc w:val="center"/>
        <w:rPr>
          <w:rFonts w:ascii="Barlow" w:hAnsi="Barlow" w:cs="Arial"/>
          <w:b/>
          <w:sz w:val="20"/>
          <w:szCs w:val="20"/>
        </w:rPr>
      </w:pPr>
    </w:p>
    <w:p w14:paraId="7E5CC055" w14:textId="77777777" w:rsidR="00DC37D6" w:rsidRDefault="00DC37D6" w:rsidP="00827B79">
      <w:pPr>
        <w:autoSpaceDE w:val="0"/>
        <w:autoSpaceDN w:val="0"/>
        <w:adjustRightInd w:val="0"/>
        <w:spacing w:line="360" w:lineRule="auto"/>
        <w:jc w:val="center"/>
        <w:rPr>
          <w:rFonts w:ascii="Barlow" w:hAnsi="Barlow" w:cs="Arial"/>
          <w:b/>
          <w:sz w:val="20"/>
          <w:szCs w:val="20"/>
        </w:rPr>
      </w:pPr>
    </w:p>
    <w:p w14:paraId="1DED1E53" w14:textId="77777777" w:rsidR="00DC37D6" w:rsidRDefault="00DC37D6" w:rsidP="00827B79">
      <w:pPr>
        <w:autoSpaceDE w:val="0"/>
        <w:autoSpaceDN w:val="0"/>
        <w:adjustRightInd w:val="0"/>
        <w:spacing w:line="360" w:lineRule="auto"/>
        <w:jc w:val="center"/>
        <w:rPr>
          <w:rFonts w:ascii="Barlow" w:hAnsi="Barlow" w:cs="Arial"/>
          <w:b/>
          <w:sz w:val="20"/>
          <w:szCs w:val="20"/>
        </w:rPr>
      </w:pPr>
    </w:p>
    <w:p w14:paraId="5ECE696B" w14:textId="49996CBB" w:rsidR="00251A08" w:rsidRPr="00DC37D6" w:rsidRDefault="00251A08" w:rsidP="00827B79">
      <w:pPr>
        <w:autoSpaceDE w:val="0"/>
        <w:autoSpaceDN w:val="0"/>
        <w:adjustRightInd w:val="0"/>
        <w:spacing w:line="360" w:lineRule="auto"/>
        <w:jc w:val="center"/>
        <w:rPr>
          <w:rFonts w:ascii="Barlow" w:hAnsi="Barlow" w:cs="Arial"/>
          <w:b/>
          <w:sz w:val="20"/>
          <w:szCs w:val="20"/>
        </w:rPr>
      </w:pPr>
      <w:r w:rsidRPr="00DC37D6">
        <w:rPr>
          <w:rFonts w:ascii="Barlow" w:hAnsi="Barlow" w:cs="Arial"/>
          <w:b/>
          <w:sz w:val="20"/>
          <w:szCs w:val="20"/>
        </w:rPr>
        <w:t>V) CONCILIACIÓN ENTRE LOS INGRESOS PRESUP</w:t>
      </w:r>
      <w:r w:rsidR="006720EF" w:rsidRPr="00DC37D6">
        <w:rPr>
          <w:rFonts w:ascii="Barlow" w:hAnsi="Barlow" w:cs="Arial"/>
          <w:b/>
          <w:sz w:val="20"/>
          <w:szCs w:val="20"/>
        </w:rPr>
        <w:t>U</w:t>
      </w:r>
      <w:r w:rsidRPr="00DC37D6">
        <w:rPr>
          <w:rFonts w:ascii="Barlow" w:hAnsi="Barlow" w:cs="Arial"/>
          <w:b/>
          <w:sz w:val="20"/>
          <w:szCs w:val="20"/>
        </w:rPr>
        <w:t xml:space="preserve">ESTARIOS Y CONTABLES, </w:t>
      </w:r>
      <w:r w:rsidR="0078778F" w:rsidRPr="00DC37D6">
        <w:rPr>
          <w:rFonts w:ascii="Barlow" w:hAnsi="Barlow" w:cs="Arial"/>
          <w:b/>
          <w:sz w:val="20"/>
          <w:szCs w:val="20"/>
        </w:rPr>
        <w:t>ASÍ</w:t>
      </w:r>
      <w:r w:rsidRPr="00DC37D6">
        <w:rPr>
          <w:rFonts w:ascii="Barlow" w:hAnsi="Barlow" w:cs="Arial"/>
          <w:b/>
          <w:sz w:val="20"/>
          <w:szCs w:val="20"/>
        </w:rPr>
        <w:t xml:space="preserve"> COMO ENTRE LOS EGRESOS PRESUPUESTARIOS Y GASTOS CONTABLES.</w:t>
      </w:r>
    </w:p>
    <w:p w14:paraId="4D00DE67" w14:textId="77777777" w:rsidR="00E55DC0" w:rsidRPr="00DC37D6" w:rsidRDefault="00E55DC0" w:rsidP="00827B79">
      <w:pPr>
        <w:autoSpaceDE w:val="0"/>
        <w:autoSpaceDN w:val="0"/>
        <w:adjustRightInd w:val="0"/>
        <w:spacing w:line="360" w:lineRule="auto"/>
        <w:jc w:val="center"/>
        <w:rPr>
          <w:rFonts w:ascii="Barlow" w:hAnsi="Barlow" w:cs="Arial"/>
          <w:b/>
          <w:sz w:val="20"/>
          <w:szCs w:val="20"/>
        </w:rPr>
      </w:pPr>
    </w:p>
    <w:p w14:paraId="2FAF14AD" w14:textId="782C6A25" w:rsidR="008273DF" w:rsidRPr="00DC37D6" w:rsidRDefault="008273DF" w:rsidP="00691434">
      <w:pPr>
        <w:pStyle w:val="Prrafodelista"/>
        <w:numPr>
          <w:ilvl w:val="0"/>
          <w:numId w:val="26"/>
        </w:numPr>
        <w:autoSpaceDE w:val="0"/>
        <w:autoSpaceDN w:val="0"/>
        <w:adjustRightInd w:val="0"/>
        <w:spacing w:line="360" w:lineRule="auto"/>
        <w:jc w:val="both"/>
        <w:rPr>
          <w:rFonts w:ascii="Barlow" w:hAnsi="Barlow" w:cs="Arial"/>
          <w:bCs/>
          <w:sz w:val="20"/>
          <w:szCs w:val="20"/>
        </w:rPr>
      </w:pPr>
      <w:r w:rsidRPr="00DC37D6">
        <w:rPr>
          <w:rFonts w:ascii="Barlow" w:hAnsi="Barlow" w:cs="Arial"/>
          <w:bCs/>
          <w:sz w:val="20"/>
          <w:szCs w:val="20"/>
        </w:rPr>
        <w:t xml:space="preserve">Conciliación de ingresos presupuestarios y contables del </w:t>
      </w:r>
      <w:r w:rsidR="00FE24FE" w:rsidRPr="00DC37D6">
        <w:rPr>
          <w:rFonts w:ascii="Barlow" w:hAnsi="Barlow" w:cs="Arial"/>
          <w:bCs/>
          <w:sz w:val="20"/>
          <w:szCs w:val="20"/>
        </w:rPr>
        <w:t>0</w:t>
      </w:r>
      <w:r w:rsidRPr="00DC37D6">
        <w:rPr>
          <w:rFonts w:ascii="Barlow" w:hAnsi="Barlow" w:cs="Arial"/>
          <w:bCs/>
          <w:sz w:val="20"/>
          <w:szCs w:val="20"/>
        </w:rPr>
        <w:t xml:space="preserve">1 de enero al </w:t>
      </w:r>
      <w:r w:rsidR="001305E5" w:rsidRPr="00DC37D6">
        <w:rPr>
          <w:rFonts w:ascii="Barlow" w:hAnsi="Barlow" w:cs="Arial"/>
          <w:bCs/>
          <w:sz w:val="20"/>
          <w:szCs w:val="20"/>
        </w:rPr>
        <w:t>31</w:t>
      </w:r>
      <w:r w:rsidR="00AB4463" w:rsidRPr="00DC37D6">
        <w:rPr>
          <w:rFonts w:ascii="Barlow" w:hAnsi="Barlow" w:cs="Arial"/>
          <w:bCs/>
          <w:sz w:val="20"/>
          <w:szCs w:val="20"/>
        </w:rPr>
        <w:t xml:space="preserve"> </w:t>
      </w:r>
      <w:r w:rsidRPr="00DC37D6">
        <w:rPr>
          <w:rFonts w:ascii="Barlow" w:hAnsi="Barlow" w:cs="Arial"/>
          <w:bCs/>
          <w:sz w:val="20"/>
          <w:szCs w:val="20"/>
        </w:rPr>
        <w:t>de</w:t>
      </w:r>
      <w:r w:rsidR="003076BA" w:rsidRPr="00DC37D6">
        <w:rPr>
          <w:rFonts w:ascii="Barlow" w:hAnsi="Barlow" w:cs="Arial"/>
          <w:bCs/>
          <w:sz w:val="20"/>
          <w:szCs w:val="20"/>
        </w:rPr>
        <w:t xml:space="preserve"> </w:t>
      </w:r>
      <w:r w:rsidR="001305E5" w:rsidRPr="00DC37D6">
        <w:rPr>
          <w:rFonts w:ascii="Barlow" w:hAnsi="Barlow" w:cs="Arial"/>
          <w:bCs/>
          <w:sz w:val="20"/>
          <w:szCs w:val="20"/>
        </w:rPr>
        <w:t>marz</w:t>
      </w:r>
      <w:r w:rsidR="00E42BB7" w:rsidRPr="00DC37D6">
        <w:rPr>
          <w:rFonts w:ascii="Barlow" w:hAnsi="Barlow" w:cs="Arial"/>
          <w:bCs/>
          <w:sz w:val="20"/>
          <w:szCs w:val="20"/>
        </w:rPr>
        <w:t>o</w:t>
      </w:r>
      <w:r w:rsidRPr="00DC37D6">
        <w:rPr>
          <w:rFonts w:ascii="Barlow" w:hAnsi="Barlow" w:cs="Arial"/>
          <w:bCs/>
          <w:sz w:val="20"/>
          <w:szCs w:val="20"/>
        </w:rPr>
        <w:t xml:space="preserve"> de</w:t>
      </w:r>
      <w:r w:rsidR="00BC34B1" w:rsidRPr="00DC37D6">
        <w:rPr>
          <w:rFonts w:ascii="Barlow" w:hAnsi="Barlow" w:cs="Arial"/>
          <w:bCs/>
          <w:sz w:val="20"/>
          <w:szCs w:val="20"/>
        </w:rPr>
        <w:t xml:space="preserve"> </w:t>
      </w:r>
      <w:r w:rsidR="00550702" w:rsidRPr="00DC37D6">
        <w:rPr>
          <w:rFonts w:ascii="Barlow" w:hAnsi="Barlow" w:cs="Arial"/>
          <w:bCs/>
          <w:sz w:val="20"/>
          <w:szCs w:val="20"/>
        </w:rPr>
        <w:t>202</w:t>
      </w:r>
      <w:r w:rsidR="00E42BB7" w:rsidRPr="00DC37D6">
        <w:rPr>
          <w:rFonts w:ascii="Barlow" w:hAnsi="Barlow" w:cs="Arial"/>
          <w:bCs/>
          <w:sz w:val="20"/>
          <w:szCs w:val="20"/>
        </w:rPr>
        <w:t>2</w:t>
      </w:r>
      <w:r w:rsidRPr="00DC37D6">
        <w:rPr>
          <w:rFonts w:ascii="Barlow" w:hAnsi="Barlow" w:cs="Arial"/>
          <w:bCs/>
          <w:sz w:val="20"/>
          <w:szCs w:val="20"/>
        </w:rPr>
        <w:t>.</w:t>
      </w:r>
    </w:p>
    <w:p w14:paraId="282557FC" w14:textId="77777777" w:rsidR="00E55DC0" w:rsidRPr="00DC37D6" w:rsidRDefault="00E55DC0" w:rsidP="00153D1E">
      <w:pPr>
        <w:pStyle w:val="Prrafodelista"/>
        <w:autoSpaceDE w:val="0"/>
        <w:autoSpaceDN w:val="0"/>
        <w:adjustRightInd w:val="0"/>
        <w:spacing w:line="360" w:lineRule="auto"/>
        <w:ind w:left="1068"/>
        <w:jc w:val="center"/>
        <w:rPr>
          <w:rFonts w:ascii="Barlow" w:hAnsi="Barlow" w:cs="Arial"/>
          <w:bCs/>
          <w:sz w:val="20"/>
          <w:szCs w:val="20"/>
        </w:rPr>
      </w:pPr>
    </w:p>
    <w:p w14:paraId="1453B624" w14:textId="57494858" w:rsidR="009C003E" w:rsidRPr="00DC37D6" w:rsidRDefault="001305E5" w:rsidP="00153D1E">
      <w:pPr>
        <w:pStyle w:val="Prrafodelista"/>
        <w:autoSpaceDE w:val="0"/>
        <w:autoSpaceDN w:val="0"/>
        <w:adjustRightInd w:val="0"/>
        <w:spacing w:line="360" w:lineRule="auto"/>
        <w:ind w:left="1068"/>
        <w:jc w:val="center"/>
        <w:rPr>
          <w:rFonts w:ascii="Barlow" w:hAnsi="Barlow" w:cs="Arial"/>
          <w:bCs/>
          <w:sz w:val="20"/>
          <w:szCs w:val="20"/>
        </w:rPr>
      </w:pPr>
      <w:r w:rsidRPr="00DC37D6">
        <w:rPr>
          <w:rFonts w:ascii="Barlow" w:hAnsi="Barlow"/>
          <w:noProof/>
          <w:sz w:val="20"/>
          <w:szCs w:val="20"/>
          <w:lang w:eastAsia="es-MX"/>
        </w:rPr>
        <w:drawing>
          <wp:inline distT="0" distB="0" distL="0" distR="0" wp14:anchorId="22AD709E" wp14:editId="56056E58">
            <wp:extent cx="6000750" cy="3368675"/>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4062" cy="3376148"/>
                    </a:xfrm>
                    <a:prstGeom prst="rect">
                      <a:avLst/>
                    </a:prstGeom>
                    <a:noFill/>
                    <a:ln>
                      <a:noFill/>
                    </a:ln>
                  </pic:spPr>
                </pic:pic>
              </a:graphicData>
            </a:graphic>
          </wp:inline>
        </w:drawing>
      </w:r>
    </w:p>
    <w:p w14:paraId="7C0BC122" w14:textId="77777777" w:rsidR="00E55DC0" w:rsidRPr="00DC37D6" w:rsidRDefault="00E55DC0" w:rsidP="00E36C35">
      <w:pPr>
        <w:pStyle w:val="Prrafodelista"/>
        <w:autoSpaceDE w:val="0"/>
        <w:autoSpaceDN w:val="0"/>
        <w:adjustRightInd w:val="0"/>
        <w:spacing w:line="360" w:lineRule="auto"/>
        <w:ind w:left="1068"/>
        <w:jc w:val="center"/>
        <w:rPr>
          <w:rFonts w:ascii="Barlow" w:hAnsi="Barlow" w:cs="Arial"/>
          <w:bCs/>
          <w:sz w:val="20"/>
          <w:szCs w:val="20"/>
        </w:rPr>
      </w:pPr>
    </w:p>
    <w:p w14:paraId="36DF4730" w14:textId="5100FD9F" w:rsidR="00E55DC0" w:rsidRPr="00DC37D6" w:rsidRDefault="008273DF" w:rsidP="00BB30C2">
      <w:pPr>
        <w:pStyle w:val="Prrafodelista"/>
        <w:numPr>
          <w:ilvl w:val="0"/>
          <w:numId w:val="26"/>
        </w:numPr>
        <w:autoSpaceDE w:val="0"/>
        <w:autoSpaceDN w:val="0"/>
        <w:adjustRightInd w:val="0"/>
        <w:rPr>
          <w:rFonts w:ascii="Barlow" w:hAnsi="Barlow" w:cs="Arial"/>
          <w:bCs/>
          <w:sz w:val="20"/>
          <w:szCs w:val="20"/>
        </w:rPr>
      </w:pPr>
      <w:bookmarkStart w:id="12" w:name="m24"/>
      <w:bookmarkEnd w:id="12"/>
      <w:r w:rsidRPr="00DC37D6">
        <w:rPr>
          <w:rFonts w:ascii="Barlow" w:hAnsi="Barlow" w:cs="Arial"/>
          <w:bCs/>
          <w:sz w:val="20"/>
          <w:szCs w:val="20"/>
        </w:rPr>
        <w:t xml:space="preserve">Conciliación de Egresos presupuestarios y gastos contables del </w:t>
      </w:r>
      <w:r w:rsidR="00FE24FE" w:rsidRPr="00DC37D6">
        <w:rPr>
          <w:rFonts w:ascii="Barlow" w:hAnsi="Barlow" w:cs="Arial"/>
          <w:bCs/>
          <w:sz w:val="20"/>
          <w:szCs w:val="20"/>
        </w:rPr>
        <w:t>0</w:t>
      </w:r>
      <w:r w:rsidRPr="00DC37D6">
        <w:rPr>
          <w:rFonts w:ascii="Barlow" w:hAnsi="Barlow" w:cs="Arial"/>
          <w:bCs/>
          <w:sz w:val="20"/>
          <w:szCs w:val="20"/>
        </w:rPr>
        <w:t xml:space="preserve">1 de enero al </w:t>
      </w:r>
      <w:r w:rsidR="00D06E39" w:rsidRPr="00DC37D6">
        <w:rPr>
          <w:rFonts w:ascii="Barlow" w:hAnsi="Barlow" w:cs="Arial"/>
          <w:bCs/>
          <w:sz w:val="20"/>
          <w:szCs w:val="20"/>
        </w:rPr>
        <w:t>31</w:t>
      </w:r>
      <w:r w:rsidR="00A43F59" w:rsidRPr="00DC37D6">
        <w:rPr>
          <w:rFonts w:ascii="Barlow" w:hAnsi="Barlow" w:cs="Arial"/>
          <w:bCs/>
          <w:sz w:val="20"/>
          <w:szCs w:val="20"/>
        </w:rPr>
        <w:t xml:space="preserve"> </w:t>
      </w:r>
      <w:r w:rsidRPr="00DC37D6">
        <w:rPr>
          <w:rFonts w:ascii="Barlow" w:hAnsi="Barlow" w:cs="Arial"/>
          <w:bCs/>
          <w:sz w:val="20"/>
          <w:szCs w:val="20"/>
        </w:rPr>
        <w:t xml:space="preserve">de </w:t>
      </w:r>
      <w:r w:rsidR="00D06E39" w:rsidRPr="00DC37D6">
        <w:rPr>
          <w:rFonts w:ascii="Barlow" w:hAnsi="Barlow" w:cs="Arial"/>
          <w:bCs/>
          <w:sz w:val="20"/>
          <w:szCs w:val="20"/>
        </w:rPr>
        <w:t>marz</w:t>
      </w:r>
      <w:r w:rsidR="0088012C" w:rsidRPr="00DC37D6">
        <w:rPr>
          <w:rFonts w:ascii="Barlow" w:hAnsi="Barlow" w:cs="Arial"/>
          <w:bCs/>
          <w:sz w:val="20"/>
          <w:szCs w:val="20"/>
        </w:rPr>
        <w:t>o</w:t>
      </w:r>
      <w:r w:rsidR="009C68D3" w:rsidRPr="00DC37D6">
        <w:rPr>
          <w:rFonts w:ascii="Barlow" w:hAnsi="Barlow" w:cs="Arial"/>
          <w:bCs/>
          <w:sz w:val="20"/>
          <w:szCs w:val="20"/>
        </w:rPr>
        <w:t xml:space="preserve"> de </w:t>
      </w:r>
      <w:r w:rsidR="00A9585B" w:rsidRPr="00DC37D6">
        <w:rPr>
          <w:rFonts w:ascii="Barlow" w:hAnsi="Barlow" w:cs="Arial"/>
          <w:bCs/>
          <w:sz w:val="20"/>
          <w:szCs w:val="20"/>
        </w:rPr>
        <w:t>202</w:t>
      </w:r>
      <w:r w:rsidR="0088012C" w:rsidRPr="00DC37D6">
        <w:rPr>
          <w:rFonts w:ascii="Barlow" w:hAnsi="Barlow" w:cs="Arial"/>
          <w:bCs/>
          <w:sz w:val="20"/>
          <w:szCs w:val="20"/>
        </w:rPr>
        <w:t>2</w:t>
      </w:r>
      <w:r w:rsidR="004704C1" w:rsidRPr="00DC37D6">
        <w:rPr>
          <w:rFonts w:ascii="Barlow" w:hAnsi="Barlow" w:cs="Arial"/>
          <w:bCs/>
          <w:sz w:val="20"/>
          <w:szCs w:val="20"/>
        </w:rPr>
        <w:t>.</w:t>
      </w:r>
    </w:p>
    <w:p w14:paraId="0FB19F24" w14:textId="77777777" w:rsidR="000359B8" w:rsidRPr="00DC37D6" w:rsidRDefault="000359B8" w:rsidP="000359B8">
      <w:pPr>
        <w:pStyle w:val="Prrafodelista"/>
        <w:autoSpaceDE w:val="0"/>
        <w:autoSpaceDN w:val="0"/>
        <w:adjustRightInd w:val="0"/>
        <w:ind w:left="1068"/>
        <w:rPr>
          <w:rFonts w:ascii="Barlow" w:hAnsi="Barlow" w:cs="Arial"/>
          <w:bCs/>
          <w:sz w:val="20"/>
          <w:szCs w:val="20"/>
        </w:rPr>
      </w:pPr>
    </w:p>
    <w:p w14:paraId="0FCE1D6F" w14:textId="77777777" w:rsidR="009C003E" w:rsidRPr="00DC37D6" w:rsidRDefault="009C003E" w:rsidP="009C003E">
      <w:pPr>
        <w:pStyle w:val="Prrafodelista"/>
        <w:autoSpaceDE w:val="0"/>
        <w:autoSpaceDN w:val="0"/>
        <w:adjustRightInd w:val="0"/>
        <w:ind w:left="1068"/>
        <w:rPr>
          <w:rFonts w:ascii="Barlow" w:hAnsi="Barlow" w:cs="Arial"/>
          <w:bCs/>
          <w:sz w:val="20"/>
          <w:szCs w:val="20"/>
        </w:rPr>
      </w:pPr>
    </w:p>
    <w:p w14:paraId="05CC2DB5" w14:textId="2340EE25" w:rsidR="00A97069" w:rsidRPr="00DC37D6" w:rsidRDefault="003A71C3" w:rsidP="00A97069">
      <w:pPr>
        <w:autoSpaceDE w:val="0"/>
        <w:autoSpaceDN w:val="0"/>
        <w:adjustRightInd w:val="0"/>
        <w:ind w:left="708"/>
        <w:jc w:val="center"/>
        <w:rPr>
          <w:rFonts w:ascii="Barlow" w:hAnsi="Barlow" w:cs="Arial"/>
          <w:bCs/>
          <w:sz w:val="20"/>
          <w:szCs w:val="20"/>
        </w:rPr>
      </w:pPr>
      <w:r w:rsidRPr="00DC37D6">
        <w:rPr>
          <w:rFonts w:ascii="Barlow" w:hAnsi="Barlow"/>
          <w:noProof/>
          <w:sz w:val="20"/>
          <w:szCs w:val="20"/>
          <w:lang w:eastAsia="es-MX"/>
        </w:rPr>
        <w:drawing>
          <wp:inline distT="0" distB="0" distL="0" distR="0" wp14:anchorId="25D5F584" wp14:editId="04306EBB">
            <wp:extent cx="5899354" cy="3724275"/>
            <wp:effectExtent l="0" t="0" r="635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2028" cy="3751215"/>
                    </a:xfrm>
                    <a:prstGeom prst="rect">
                      <a:avLst/>
                    </a:prstGeom>
                    <a:noFill/>
                    <a:ln>
                      <a:noFill/>
                    </a:ln>
                  </pic:spPr>
                </pic:pic>
              </a:graphicData>
            </a:graphic>
          </wp:inline>
        </w:drawing>
      </w:r>
    </w:p>
    <w:p w14:paraId="5D54399C" w14:textId="4BF40881" w:rsidR="00E55DC0" w:rsidRPr="00DC37D6" w:rsidRDefault="00E55DC0" w:rsidP="002762DD">
      <w:pPr>
        <w:autoSpaceDE w:val="0"/>
        <w:autoSpaceDN w:val="0"/>
        <w:adjustRightInd w:val="0"/>
        <w:spacing w:line="360" w:lineRule="auto"/>
        <w:jc w:val="center"/>
        <w:rPr>
          <w:rFonts w:ascii="Barlow" w:hAnsi="Barlow" w:cs="Arial"/>
          <w:b/>
          <w:sz w:val="20"/>
          <w:szCs w:val="20"/>
        </w:rPr>
      </w:pPr>
      <w:bookmarkStart w:id="13" w:name="m25"/>
      <w:bookmarkEnd w:id="13"/>
    </w:p>
    <w:p w14:paraId="6BF726E2" w14:textId="039BAD22" w:rsidR="003A71C3" w:rsidRPr="00DC37D6" w:rsidRDefault="003A71C3" w:rsidP="002762DD">
      <w:pPr>
        <w:autoSpaceDE w:val="0"/>
        <w:autoSpaceDN w:val="0"/>
        <w:adjustRightInd w:val="0"/>
        <w:spacing w:line="360" w:lineRule="auto"/>
        <w:jc w:val="center"/>
        <w:rPr>
          <w:rFonts w:ascii="Barlow" w:hAnsi="Barlow" w:cs="Arial"/>
          <w:b/>
          <w:sz w:val="20"/>
          <w:szCs w:val="20"/>
        </w:rPr>
      </w:pPr>
    </w:p>
    <w:p w14:paraId="17B438CC" w14:textId="2E0E9E65" w:rsidR="00401FD4" w:rsidRPr="00DC37D6" w:rsidRDefault="00CE0570" w:rsidP="002762DD">
      <w:pPr>
        <w:autoSpaceDE w:val="0"/>
        <w:autoSpaceDN w:val="0"/>
        <w:adjustRightInd w:val="0"/>
        <w:spacing w:line="360" w:lineRule="auto"/>
        <w:jc w:val="center"/>
        <w:rPr>
          <w:rFonts w:ascii="Barlow" w:hAnsi="Barlow" w:cs="Arial"/>
          <w:b/>
          <w:sz w:val="20"/>
          <w:szCs w:val="20"/>
        </w:rPr>
      </w:pPr>
      <w:r w:rsidRPr="00DC37D6">
        <w:rPr>
          <w:rFonts w:ascii="Barlow" w:hAnsi="Barlow" w:cs="Arial"/>
          <w:b/>
          <w:sz w:val="20"/>
          <w:szCs w:val="20"/>
        </w:rPr>
        <w:lastRenderedPageBreak/>
        <w:t>b</w:t>
      </w:r>
      <w:r w:rsidR="00251A08" w:rsidRPr="00DC37D6">
        <w:rPr>
          <w:rFonts w:ascii="Barlow" w:hAnsi="Barlow" w:cs="Arial"/>
          <w:b/>
          <w:sz w:val="20"/>
          <w:szCs w:val="20"/>
        </w:rPr>
        <w:t>) NOTAS DE MEMORIA</w:t>
      </w:r>
      <w:r w:rsidRPr="00DC37D6">
        <w:rPr>
          <w:rFonts w:ascii="Barlow" w:hAnsi="Barlow" w:cs="Arial"/>
          <w:b/>
          <w:sz w:val="20"/>
          <w:szCs w:val="20"/>
        </w:rPr>
        <w:t xml:space="preserve"> (CUENTAS DE ORDEN)</w:t>
      </w:r>
    </w:p>
    <w:p w14:paraId="4D201C9E" w14:textId="77777777" w:rsidR="00C55E3D" w:rsidRPr="00DC37D6" w:rsidRDefault="00C55E3D" w:rsidP="002762DD">
      <w:pPr>
        <w:autoSpaceDE w:val="0"/>
        <w:autoSpaceDN w:val="0"/>
        <w:adjustRightInd w:val="0"/>
        <w:spacing w:line="360" w:lineRule="auto"/>
        <w:jc w:val="center"/>
        <w:rPr>
          <w:rFonts w:ascii="Barlow" w:hAnsi="Barlow" w:cs="Arial"/>
          <w:b/>
          <w:sz w:val="20"/>
          <w:szCs w:val="20"/>
        </w:rPr>
      </w:pPr>
    </w:p>
    <w:p w14:paraId="77F39869" w14:textId="6E01F6AB" w:rsidR="00A92B97" w:rsidRPr="00DC37D6" w:rsidRDefault="00251A08" w:rsidP="008C136A">
      <w:pPr>
        <w:autoSpaceDE w:val="0"/>
        <w:autoSpaceDN w:val="0"/>
        <w:adjustRightInd w:val="0"/>
        <w:jc w:val="both"/>
        <w:rPr>
          <w:rFonts w:ascii="Barlow" w:hAnsi="Barlow" w:cs="Arial"/>
          <w:sz w:val="20"/>
          <w:szCs w:val="20"/>
        </w:rPr>
      </w:pPr>
      <w:r w:rsidRPr="00DC37D6">
        <w:rPr>
          <w:rFonts w:ascii="Barlow" w:hAnsi="Barlow" w:cs="Arial"/>
          <w:bCs/>
          <w:sz w:val="20"/>
          <w:szCs w:val="20"/>
        </w:rPr>
        <w:t xml:space="preserve">Los saldos de las cuentas de orden contables y </w:t>
      </w:r>
      <w:r w:rsidR="006D64DF" w:rsidRPr="00DC37D6">
        <w:rPr>
          <w:rFonts w:ascii="Barlow" w:hAnsi="Barlow" w:cs="Arial"/>
          <w:bCs/>
          <w:sz w:val="20"/>
          <w:szCs w:val="20"/>
        </w:rPr>
        <w:t>presupuestales se</w:t>
      </w:r>
      <w:r w:rsidRPr="00DC37D6">
        <w:rPr>
          <w:rFonts w:ascii="Barlow" w:hAnsi="Barlow" w:cs="Arial"/>
          <w:bCs/>
          <w:sz w:val="20"/>
          <w:szCs w:val="20"/>
        </w:rPr>
        <w:t xml:space="preserve"> presentan a continuación</w:t>
      </w:r>
      <w:r w:rsidR="00A92B97" w:rsidRPr="00DC37D6">
        <w:rPr>
          <w:rFonts w:ascii="Barlow" w:hAnsi="Barlow" w:cs="Arial"/>
          <w:sz w:val="20"/>
          <w:szCs w:val="20"/>
        </w:rPr>
        <w:t>:</w:t>
      </w:r>
    </w:p>
    <w:p w14:paraId="5C60DE41" w14:textId="77777777" w:rsidR="008C136A" w:rsidRPr="00DC37D6" w:rsidRDefault="008C136A" w:rsidP="008C136A">
      <w:pPr>
        <w:autoSpaceDE w:val="0"/>
        <w:autoSpaceDN w:val="0"/>
        <w:adjustRightInd w:val="0"/>
        <w:jc w:val="both"/>
        <w:rPr>
          <w:rFonts w:ascii="Barlow" w:hAnsi="Barlow" w:cs="Arial"/>
          <w:sz w:val="20"/>
          <w:szCs w:val="20"/>
        </w:rPr>
      </w:pPr>
    </w:p>
    <w:p w14:paraId="572AFE16" w14:textId="3D3421E2" w:rsidR="00251A08" w:rsidRPr="00DC37D6" w:rsidRDefault="00F053BC" w:rsidP="008C136A">
      <w:pPr>
        <w:numPr>
          <w:ilvl w:val="0"/>
          <w:numId w:val="7"/>
        </w:numPr>
        <w:autoSpaceDE w:val="0"/>
        <w:autoSpaceDN w:val="0"/>
        <w:adjustRightInd w:val="0"/>
        <w:jc w:val="both"/>
        <w:rPr>
          <w:rFonts w:ascii="Barlow" w:hAnsi="Barlow" w:cs="Arial"/>
          <w:b/>
          <w:sz w:val="20"/>
          <w:szCs w:val="20"/>
        </w:rPr>
      </w:pPr>
      <w:r w:rsidRPr="00DC37D6">
        <w:rPr>
          <w:rFonts w:ascii="Barlow" w:hAnsi="Barlow" w:cs="Arial"/>
          <w:b/>
          <w:sz w:val="20"/>
          <w:szCs w:val="20"/>
        </w:rPr>
        <w:t>CUENTAS CONTABLES</w:t>
      </w:r>
    </w:p>
    <w:p w14:paraId="1404A090" w14:textId="77777777" w:rsidR="008C136A" w:rsidRPr="00DC37D6" w:rsidRDefault="008C136A" w:rsidP="008C136A">
      <w:pPr>
        <w:autoSpaceDE w:val="0"/>
        <w:autoSpaceDN w:val="0"/>
        <w:adjustRightInd w:val="0"/>
        <w:ind w:left="720"/>
        <w:jc w:val="both"/>
        <w:rPr>
          <w:rFonts w:ascii="Barlow" w:hAnsi="Barlow" w:cs="Arial"/>
          <w:b/>
          <w:sz w:val="20"/>
          <w:szCs w:val="20"/>
        </w:rPr>
      </w:pPr>
    </w:p>
    <w:p w14:paraId="0FE80952" w14:textId="0B3B3F41" w:rsidR="00F053BC" w:rsidRPr="00DC37D6" w:rsidRDefault="005054A2" w:rsidP="008C136A">
      <w:pPr>
        <w:autoSpaceDE w:val="0"/>
        <w:autoSpaceDN w:val="0"/>
        <w:adjustRightInd w:val="0"/>
        <w:jc w:val="both"/>
        <w:rPr>
          <w:rFonts w:ascii="Barlow" w:hAnsi="Barlow" w:cs="Arial"/>
          <w:sz w:val="20"/>
          <w:szCs w:val="20"/>
        </w:rPr>
      </w:pPr>
      <w:r w:rsidRPr="00DC37D6">
        <w:rPr>
          <w:rFonts w:ascii="Barlow" w:hAnsi="Barlow" w:cs="Arial"/>
          <w:sz w:val="20"/>
          <w:szCs w:val="20"/>
        </w:rPr>
        <w:t>La Secretaría Ejecutiva del Sistema Estatal Anticorrupción no cuenta con Cuentas de Orden Contables</w:t>
      </w:r>
      <w:bookmarkStart w:id="14" w:name="m16"/>
      <w:bookmarkEnd w:id="14"/>
    </w:p>
    <w:p w14:paraId="7AF659B5" w14:textId="77777777" w:rsidR="008C136A" w:rsidRPr="00DC37D6" w:rsidRDefault="008C136A" w:rsidP="008C136A">
      <w:pPr>
        <w:autoSpaceDE w:val="0"/>
        <w:autoSpaceDN w:val="0"/>
        <w:adjustRightInd w:val="0"/>
        <w:jc w:val="both"/>
        <w:rPr>
          <w:rFonts w:ascii="Barlow" w:hAnsi="Barlow" w:cs="Arial"/>
          <w:sz w:val="20"/>
          <w:szCs w:val="20"/>
        </w:rPr>
      </w:pPr>
    </w:p>
    <w:p w14:paraId="58110E66" w14:textId="10907667" w:rsidR="00EE0DE5" w:rsidRPr="00DC37D6" w:rsidRDefault="00F053BC" w:rsidP="008C136A">
      <w:pPr>
        <w:numPr>
          <w:ilvl w:val="0"/>
          <w:numId w:val="7"/>
        </w:numPr>
        <w:autoSpaceDE w:val="0"/>
        <w:autoSpaceDN w:val="0"/>
        <w:adjustRightInd w:val="0"/>
        <w:jc w:val="both"/>
        <w:rPr>
          <w:rFonts w:ascii="Barlow" w:hAnsi="Barlow" w:cs="Arial"/>
          <w:b/>
          <w:sz w:val="20"/>
          <w:szCs w:val="20"/>
        </w:rPr>
      </w:pPr>
      <w:r w:rsidRPr="00DC37D6">
        <w:rPr>
          <w:rFonts w:ascii="Barlow" w:hAnsi="Barlow" w:cs="Arial"/>
          <w:b/>
          <w:sz w:val="20"/>
          <w:szCs w:val="20"/>
        </w:rPr>
        <w:t>CUENTAS PRESUPUESTARIAS</w:t>
      </w:r>
      <w:bookmarkStart w:id="15" w:name="m15"/>
      <w:bookmarkEnd w:id="15"/>
    </w:p>
    <w:p w14:paraId="111B08D7" w14:textId="77777777" w:rsidR="008C136A" w:rsidRPr="00DC37D6" w:rsidRDefault="008C136A" w:rsidP="008C136A">
      <w:pPr>
        <w:autoSpaceDE w:val="0"/>
        <w:autoSpaceDN w:val="0"/>
        <w:adjustRightInd w:val="0"/>
        <w:ind w:left="720"/>
        <w:jc w:val="both"/>
        <w:rPr>
          <w:rFonts w:ascii="Barlow" w:hAnsi="Barlow" w:cs="Arial"/>
          <w:b/>
          <w:sz w:val="20"/>
          <w:szCs w:val="20"/>
        </w:rPr>
      </w:pPr>
    </w:p>
    <w:p w14:paraId="216250A6" w14:textId="05F7EF30" w:rsidR="00B80F73" w:rsidRPr="00DC37D6" w:rsidRDefault="005054A2" w:rsidP="008C136A">
      <w:pPr>
        <w:autoSpaceDE w:val="0"/>
        <w:autoSpaceDN w:val="0"/>
        <w:adjustRightInd w:val="0"/>
        <w:jc w:val="both"/>
        <w:rPr>
          <w:rFonts w:ascii="Barlow" w:hAnsi="Barlow" w:cs="Arial"/>
          <w:bCs/>
          <w:sz w:val="20"/>
          <w:szCs w:val="20"/>
        </w:rPr>
      </w:pPr>
      <w:r w:rsidRPr="00DC37D6">
        <w:rPr>
          <w:rFonts w:ascii="Barlow" w:hAnsi="Barlow" w:cs="Arial"/>
          <w:bCs/>
          <w:sz w:val="20"/>
          <w:szCs w:val="20"/>
        </w:rPr>
        <w:t xml:space="preserve">El saldo de las cuentas presupuestarias al </w:t>
      </w:r>
      <w:r w:rsidR="0015600E" w:rsidRPr="00DC37D6">
        <w:rPr>
          <w:rFonts w:ascii="Barlow" w:hAnsi="Barlow" w:cs="Arial"/>
          <w:bCs/>
          <w:sz w:val="20"/>
          <w:szCs w:val="20"/>
        </w:rPr>
        <w:t>31</w:t>
      </w:r>
      <w:r w:rsidR="00A43F59" w:rsidRPr="00DC37D6">
        <w:rPr>
          <w:rFonts w:ascii="Barlow" w:hAnsi="Barlow" w:cs="Arial"/>
          <w:bCs/>
          <w:sz w:val="20"/>
          <w:szCs w:val="20"/>
        </w:rPr>
        <w:t xml:space="preserve"> </w:t>
      </w:r>
      <w:r w:rsidRPr="00DC37D6">
        <w:rPr>
          <w:rFonts w:ascii="Barlow" w:hAnsi="Barlow" w:cs="Arial"/>
          <w:bCs/>
          <w:sz w:val="20"/>
          <w:szCs w:val="20"/>
        </w:rPr>
        <w:t xml:space="preserve">de </w:t>
      </w:r>
      <w:r w:rsidR="0015600E" w:rsidRPr="00DC37D6">
        <w:rPr>
          <w:rFonts w:ascii="Barlow" w:hAnsi="Barlow" w:cs="Arial"/>
          <w:bCs/>
          <w:sz w:val="20"/>
          <w:szCs w:val="20"/>
        </w:rPr>
        <w:t>marzo</w:t>
      </w:r>
      <w:r w:rsidRPr="00DC37D6">
        <w:rPr>
          <w:rFonts w:ascii="Barlow" w:hAnsi="Barlow" w:cs="Arial"/>
          <w:bCs/>
          <w:sz w:val="20"/>
          <w:szCs w:val="20"/>
        </w:rPr>
        <w:t xml:space="preserve"> de 202</w:t>
      </w:r>
      <w:r w:rsidR="003F4E52" w:rsidRPr="00DC37D6">
        <w:rPr>
          <w:rFonts w:ascii="Barlow" w:hAnsi="Barlow" w:cs="Arial"/>
          <w:bCs/>
          <w:sz w:val="20"/>
          <w:szCs w:val="20"/>
        </w:rPr>
        <w:t>2</w:t>
      </w:r>
      <w:r w:rsidRPr="00DC37D6">
        <w:rPr>
          <w:rFonts w:ascii="Barlow" w:hAnsi="Barlow" w:cs="Arial"/>
          <w:bCs/>
          <w:sz w:val="20"/>
          <w:szCs w:val="20"/>
        </w:rPr>
        <w:t xml:space="preserve"> se detalla a continuación:</w:t>
      </w:r>
    </w:p>
    <w:tbl>
      <w:tblPr>
        <w:tblpPr w:leftFromText="141" w:rightFromText="141" w:vertAnchor="text" w:horzAnchor="margin" w:tblpXSpec="center" w:tblpY="241"/>
        <w:tblW w:w="7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41"/>
        <w:gridCol w:w="2157"/>
      </w:tblGrid>
      <w:tr w:rsidR="00401B15" w:rsidRPr="00DC37D6" w14:paraId="5BFE2B86" w14:textId="77777777" w:rsidTr="004A0FDD">
        <w:trPr>
          <w:trHeight w:val="308"/>
        </w:trPr>
        <w:tc>
          <w:tcPr>
            <w:tcW w:w="0" w:type="auto"/>
            <w:shd w:val="clear" w:color="auto" w:fill="9BBB59" w:themeFill="accent3"/>
            <w:vAlign w:val="center"/>
            <w:hideMark/>
          </w:tcPr>
          <w:p w14:paraId="7E3993D2" w14:textId="650CF567" w:rsidR="0062081A" w:rsidRPr="00DC37D6" w:rsidRDefault="00B23C24" w:rsidP="00B23F84">
            <w:pPr>
              <w:jc w:val="center"/>
              <w:rPr>
                <w:rFonts w:ascii="Barlow" w:hAnsi="Barlow" w:cs="Arial"/>
                <w:b/>
                <w:bCs/>
                <w:color w:val="000000"/>
                <w:sz w:val="20"/>
                <w:szCs w:val="20"/>
                <w:lang w:eastAsia="es-MX"/>
              </w:rPr>
            </w:pPr>
            <w:r w:rsidRPr="00DC37D6">
              <w:rPr>
                <w:rFonts w:ascii="Barlow" w:hAnsi="Barlow" w:cs="Arial"/>
                <w:b/>
                <w:bCs/>
                <w:color w:val="000000"/>
                <w:sz w:val="20"/>
                <w:szCs w:val="20"/>
                <w:lang w:eastAsia="es-MX"/>
              </w:rPr>
              <w:t xml:space="preserve">LEY DE </w:t>
            </w:r>
            <w:r w:rsidR="0062081A" w:rsidRPr="00DC37D6">
              <w:rPr>
                <w:rFonts w:ascii="Barlow" w:hAnsi="Barlow" w:cs="Arial"/>
                <w:b/>
                <w:bCs/>
                <w:color w:val="000000"/>
                <w:sz w:val="20"/>
                <w:szCs w:val="20"/>
                <w:lang w:eastAsia="es-MX"/>
              </w:rPr>
              <w:t>INGRESOS</w:t>
            </w:r>
          </w:p>
        </w:tc>
        <w:tc>
          <w:tcPr>
            <w:tcW w:w="0" w:type="auto"/>
            <w:shd w:val="clear" w:color="auto" w:fill="9BBB59" w:themeFill="accent3"/>
            <w:vAlign w:val="center"/>
            <w:hideMark/>
          </w:tcPr>
          <w:p w14:paraId="01E8D348" w14:textId="77777777" w:rsidR="0062081A" w:rsidRPr="00DC37D6" w:rsidRDefault="0062081A" w:rsidP="00003304">
            <w:pPr>
              <w:jc w:val="right"/>
              <w:rPr>
                <w:rFonts w:ascii="Barlow" w:hAnsi="Barlow" w:cs="Arial"/>
                <w:b/>
                <w:bCs/>
                <w:color w:val="000000"/>
                <w:sz w:val="20"/>
                <w:szCs w:val="20"/>
                <w:lang w:eastAsia="es-MX"/>
              </w:rPr>
            </w:pPr>
          </w:p>
        </w:tc>
      </w:tr>
      <w:tr w:rsidR="00401B15" w:rsidRPr="00DC37D6" w14:paraId="2B27CDB8" w14:textId="77777777" w:rsidTr="004A0FDD">
        <w:trPr>
          <w:trHeight w:val="308"/>
        </w:trPr>
        <w:tc>
          <w:tcPr>
            <w:tcW w:w="0" w:type="auto"/>
            <w:shd w:val="clear" w:color="auto" w:fill="auto"/>
            <w:vAlign w:val="center"/>
            <w:hideMark/>
          </w:tcPr>
          <w:p w14:paraId="40D8A0A1" w14:textId="2ACFDAED" w:rsidR="0062081A" w:rsidRPr="00DC37D6" w:rsidRDefault="00401B15" w:rsidP="00003304">
            <w:pPr>
              <w:rPr>
                <w:rFonts w:ascii="Barlow" w:hAnsi="Barlow" w:cs="Arial"/>
                <w:color w:val="000000"/>
                <w:sz w:val="20"/>
                <w:szCs w:val="20"/>
                <w:lang w:eastAsia="es-MX"/>
              </w:rPr>
            </w:pPr>
            <w:r w:rsidRPr="00DC37D6">
              <w:rPr>
                <w:rFonts w:ascii="Barlow" w:hAnsi="Barlow" w:cs="Arial"/>
                <w:color w:val="000000"/>
                <w:sz w:val="20"/>
                <w:szCs w:val="20"/>
                <w:lang w:eastAsia="es-MX"/>
              </w:rPr>
              <w:t>LEY DE INGRESOS ESTIMADA</w:t>
            </w:r>
          </w:p>
        </w:tc>
        <w:tc>
          <w:tcPr>
            <w:tcW w:w="0" w:type="auto"/>
            <w:shd w:val="clear" w:color="auto" w:fill="auto"/>
            <w:vAlign w:val="center"/>
            <w:hideMark/>
          </w:tcPr>
          <w:p w14:paraId="51970F03" w14:textId="49611747" w:rsidR="0062081A" w:rsidRPr="00DC37D6" w:rsidRDefault="0062081A" w:rsidP="00003304">
            <w:pPr>
              <w:jc w:val="right"/>
              <w:rPr>
                <w:rFonts w:ascii="Barlow" w:hAnsi="Barlow" w:cs="Arial"/>
                <w:color w:val="000000"/>
                <w:sz w:val="20"/>
                <w:szCs w:val="20"/>
                <w:lang w:eastAsia="es-MX"/>
              </w:rPr>
            </w:pPr>
            <w:r w:rsidRPr="00DC37D6">
              <w:rPr>
                <w:rFonts w:ascii="Barlow" w:hAnsi="Barlow" w:cs="Arial"/>
                <w:color w:val="000000"/>
                <w:sz w:val="20"/>
                <w:szCs w:val="20"/>
                <w:lang w:eastAsia="es-MX"/>
              </w:rPr>
              <w:t>$1</w:t>
            </w:r>
            <w:r w:rsidR="006258CB" w:rsidRPr="00DC37D6">
              <w:rPr>
                <w:rFonts w:ascii="Barlow" w:hAnsi="Barlow" w:cs="Arial"/>
                <w:color w:val="000000"/>
                <w:sz w:val="20"/>
                <w:szCs w:val="20"/>
                <w:lang w:eastAsia="es-MX"/>
              </w:rPr>
              <w:t>4</w:t>
            </w:r>
            <w:r w:rsidRPr="00DC37D6">
              <w:rPr>
                <w:rFonts w:ascii="Barlow" w:hAnsi="Barlow" w:cs="Arial"/>
                <w:color w:val="000000"/>
                <w:sz w:val="20"/>
                <w:szCs w:val="20"/>
                <w:lang w:eastAsia="es-MX"/>
              </w:rPr>
              <w:t>,</w:t>
            </w:r>
            <w:r w:rsidR="00802493" w:rsidRPr="00DC37D6">
              <w:rPr>
                <w:rFonts w:ascii="Barlow" w:hAnsi="Barlow" w:cs="Arial"/>
                <w:color w:val="000000"/>
                <w:sz w:val="20"/>
                <w:szCs w:val="20"/>
                <w:lang w:eastAsia="es-MX"/>
              </w:rPr>
              <w:t>988</w:t>
            </w:r>
            <w:r w:rsidRPr="00DC37D6">
              <w:rPr>
                <w:rFonts w:ascii="Barlow" w:hAnsi="Barlow" w:cs="Arial"/>
                <w:color w:val="000000"/>
                <w:sz w:val="20"/>
                <w:szCs w:val="20"/>
                <w:lang w:eastAsia="es-MX"/>
              </w:rPr>
              <w:t>,</w:t>
            </w:r>
            <w:r w:rsidR="00802493" w:rsidRPr="00DC37D6">
              <w:rPr>
                <w:rFonts w:ascii="Barlow" w:hAnsi="Barlow" w:cs="Arial"/>
                <w:color w:val="000000"/>
                <w:sz w:val="20"/>
                <w:szCs w:val="20"/>
                <w:lang w:eastAsia="es-MX"/>
              </w:rPr>
              <w:t>486</w:t>
            </w:r>
            <w:r w:rsidRPr="00DC37D6">
              <w:rPr>
                <w:rFonts w:ascii="Barlow" w:hAnsi="Barlow" w:cs="Arial"/>
                <w:color w:val="000000"/>
                <w:sz w:val="20"/>
                <w:szCs w:val="20"/>
                <w:lang w:eastAsia="es-MX"/>
              </w:rPr>
              <w:t>.00</w:t>
            </w:r>
          </w:p>
        </w:tc>
      </w:tr>
      <w:tr w:rsidR="00401B15" w:rsidRPr="00DC37D6" w14:paraId="4A1DCEB4" w14:textId="77777777" w:rsidTr="004A0FDD">
        <w:trPr>
          <w:trHeight w:val="308"/>
        </w:trPr>
        <w:tc>
          <w:tcPr>
            <w:tcW w:w="0" w:type="auto"/>
            <w:shd w:val="clear" w:color="auto" w:fill="auto"/>
            <w:vAlign w:val="center"/>
          </w:tcPr>
          <w:p w14:paraId="2D546057" w14:textId="10D28136" w:rsidR="00401B15" w:rsidRPr="00DC37D6" w:rsidRDefault="00401B15" w:rsidP="00003304">
            <w:pPr>
              <w:rPr>
                <w:rFonts w:ascii="Barlow" w:hAnsi="Barlow" w:cs="Arial"/>
                <w:color w:val="000000"/>
                <w:sz w:val="20"/>
                <w:szCs w:val="20"/>
                <w:lang w:eastAsia="es-MX"/>
              </w:rPr>
            </w:pPr>
            <w:r w:rsidRPr="00DC37D6">
              <w:rPr>
                <w:rFonts w:ascii="Barlow" w:hAnsi="Barlow" w:cs="Arial"/>
                <w:color w:val="000000"/>
                <w:sz w:val="20"/>
                <w:szCs w:val="20"/>
                <w:lang w:eastAsia="es-MX"/>
              </w:rPr>
              <w:t>LEY DE INGRESOS POR EJECUTAR</w:t>
            </w:r>
          </w:p>
        </w:tc>
        <w:tc>
          <w:tcPr>
            <w:tcW w:w="0" w:type="auto"/>
            <w:shd w:val="clear" w:color="auto" w:fill="auto"/>
            <w:vAlign w:val="center"/>
          </w:tcPr>
          <w:p w14:paraId="1900ADF2" w14:textId="72B92B7D" w:rsidR="00401B15" w:rsidRPr="00DC37D6" w:rsidRDefault="00401B15" w:rsidP="00D64BB6">
            <w:pPr>
              <w:jc w:val="right"/>
              <w:rPr>
                <w:rFonts w:ascii="Barlow" w:hAnsi="Barlow" w:cs="Arial"/>
                <w:color w:val="000000"/>
                <w:sz w:val="20"/>
                <w:szCs w:val="20"/>
                <w:lang w:eastAsia="es-MX"/>
              </w:rPr>
            </w:pPr>
            <w:r w:rsidRPr="00DC37D6">
              <w:rPr>
                <w:rFonts w:ascii="Barlow" w:hAnsi="Barlow" w:cs="Arial"/>
                <w:color w:val="000000"/>
                <w:sz w:val="20"/>
                <w:szCs w:val="20"/>
                <w:lang w:eastAsia="es-MX"/>
              </w:rPr>
              <w:t>$</w:t>
            </w:r>
            <w:r w:rsidR="00802493" w:rsidRPr="00DC37D6">
              <w:rPr>
                <w:rFonts w:ascii="Barlow" w:hAnsi="Barlow" w:cs="Arial"/>
                <w:color w:val="000000"/>
                <w:sz w:val="20"/>
                <w:szCs w:val="20"/>
                <w:lang w:eastAsia="es-MX"/>
              </w:rPr>
              <w:t>1</w:t>
            </w:r>
            <w:r w:rsidR="0015600E" w:rsidRPr="00DC37D6">
              <w:rPr>
                <w:rFonts w:ascii="Barlow" w:hAnsi="Barlow" w:cs="Arial"/>
                <w:color w:val="000000"/>
                <w:sz w:val="20"/>
                <w:szCs w:val="20"/>
                <w:lang w:eastAsia="es-MX"/>
              </w:rPr>
              <w:t>1</w:t>
            </w:r>
            <w:r w:rsidR="00802493" w:rsidRPr="00DC37D6">
              <w:rPr>
                <w:rFonts w:ascii="Barlow" w:hAnsi="Barlow" w:cs="Arial"/>
                <w:color w:val="000000"/>
                <w:sz w:val="20"/>
                <w:szCs w:val="20"/>
                <w:lang w:eastAsia="es-MX"/>
              </w:rPr>
              <w:t>,</w:t>
            </w:r>
            <w:r w:rsidR="0015600E" w:rsidRPr="00DC37D6">
              <w:rPr>
                <w:rFonts w:ascii="Barlow" w:hAnsi="Barlow" w:cs="Arial"/>
                <w:color w:val="000000"/>
                <w:sz w:val="20"/>
                <w:szCs w:val="20"/>
                <w:lang w:eastAsia="es-MX"/>
              </w:rPr>
              <w:t>236</w:t>
            </w:r>
            <w:r w:rsidR="00802493" w:rsidRPr="00DC37D6">
              <w:rPr>
                <w:rFonts w:ascii="Barlow" w:hAnsi="Barlow" w:cs="Arial"/>
                <w:color w:val="000000"/>
                <w:sz w:val="20"/>
                <w:szCs w:val="20"/>
                <w:lang w:eastAsia="es-MX"/>
              </w:rPr>
              <w:t>,</w:t>
            </w:r>
            <w:r w:rsidR="0015600E" w:rsidRPr="00DC37D6">
              <w:rPr>
                <w:rFonts w:ascii="Barlow" w:hAnsi="Barlow" w:cs="Arial"/>
                <w:color w:val="000000"/>
                <w:sz w:val="20"/>
                <w:szCs w:val="20"/>
                <w:lang w:eastAsia="es-MX"/>
              </w:rPr>
              <w:t>713</w:t>
            </w:r>
            <w:r w:rsidRPr="00DC37D6">
              <w:rPr>
                <w:rFonts w:ascii="Barlow" w:hAnsi="Barlow" w:cs="Arial"/>
                <w:color w:val="000000"/>
                <w:sz w:val="20"/>
                <w:szCs w:val="20"/>
                <w:lang w:eastAsia="es-MX"/>
              </w:rPr>
              <w:t>.00</w:t>
            </w:r>
          </w:p>
        </w:tc>
      </w:tr>
      <w:tr w:rsidR="00401B15" w:rsidRPr="00DC37D6" w14:paraId="18E32141" w14:textId="77777777" w:rsidTr="004A0FDD">
        <w:trPr>
          <w:trHeight w:val="308"/>
        </w:trPr>
        <w:tc>
          <w:tcPr>
            <w:tcW w:w="0" w:type="auto"/>
            <w:shd w:val="clear" w:color="auto" w:fill="auto"/>
            <w:vAlign w:val="center"/>
          </w:tcPr>
          <w:p w14:paraId="274ED1D5" w14:textId="3DCFB70A" w:rsidR="001D1C04" w:rsidRPr="00DC37D6" w:rsidRDefault="001D1C04" w:rsidP="00003304">
            <w:pPr>
              <w:rPr>
                <w:rFonts w:ascii="Barlow" w:hAnsi="Barlow" w:cs="Arial"/>
                <w:color w:val="000000"/>
                <w:sz w:val="20"/>
                <w:szCs w:val="20"/>
                <w:lang w:eastAsia="es-MX"/>
              </w:rPr>
            </w:pPr>
            <w:r w:rsidRPr="00DC37D6">
              <w:rPr>
                <w:rFonts w:ascii="Barlow" w:hAnsi="Barlow" w:cs="Arial"/>
                <w:color w:val="000000"/>
                <w:sz w:val="20"/>
                <w:szCs w:val="20"/>
                <w:lang w:eastAsia="es-MX"/>
              </w:rPr>
              <w:t>MODIFICACIONES A</w:t>
            </w:r>
            <w:r w:rsidR="00401B15" w:rsidRPr="00DC37D6">
              <w:rPr>
                <w:rFonts w:ascii="Barlow" w:hAnsi="Barlow" w:cs="Arial"/>
                <w:color w:val="000000"/>
                <w:sz w:val="20"/>
                <w:szCs w:val="20"/>
                <w:lang w:eastAsia="es-MX"/>
              </w:rPr>
              <w:t xml:space="preserve"> </w:t>
            </w:r>
            <w:r w:rsidRPr="00DC37D6">
              <w:rPr>
                <w:rFonts w:ascii="Barlow" w:hAnsi="Barlow" w:cs="Arial"/>
                <w:color w:val="000000"/>
                <w:sz w:val="20"/>
                <w:szCs w:val="20"/>
                <w:lang w:eastAsia="es-MX"/>
              </w:rPr>
              <w:t>L</w:t>
            </w:r>
            <w:r w:rsidR="00401B15" w:rsidRPr="00DC37D6">
              <w:rPr>
                <w:rFonts w:ascii="Barlow" w:hAnsi="Barlow" w:cs="Arial"/>
                <w:color w:val="000000"/>
                <w:sz w:val="20"/>
                <w:szCs w:val="20"/>
                <w:lang w:eastAsia="es-MX"/>
              </w:rPr>
              <w:t>A LEY DE INGRESOS ESTIMADA</w:t>
            </w:r>
          </w:p>
        </w:tc>
        <w:tc>
          <w:tcPr>
            <w:tcW w:w="0" w:type="auto"/>
            <w:shd w:val="clear" w:color="auto" w:fill="auto"/>
            <w:vAlign w:val="center"/>
          </w:tcPr>
          <w:p w14:paraId="15D49EF7" w14:textId="08879F0D" w:rsidR="001D1C04" w:rsidRPr="00DC37D6" w:rsidRDefault="001D1C04" w:rsidP="00D64BB6">
            <w:pPr>
              <w:jc w:val="right"/>
              <w:rPr>
                <w:rFonts w:ascii="Barlow" w:hAnsi="Barlow" w:cs="Arial"/>
                <w:color w:val="000000"/>
                <w:sz w:val="20"/>
                <w:szCs w:val="20"/>
                <w:lang w:eastAsia="es-MX"/>
              </w:rPr>
            </w:pPr>
            <w:r w:rsidRPr="00DC37D6">
              <w:rPr>
                <w:rFonts w:ascii="Barlow" w:hAnsi="Barlow" w:cs="Arial"/>
                <w:color w:val="000000"/>
                <w:sz w:val="20"/>
                <w:szCs w:val="20"/>
                <w:lang w:eastAsia="es-MX"/>
              </w:rPr>
              <w:t>$</w:t>
            </w:r>
            <w:r w:rsidR="0015600E" w:rsidRPr="00DC37D6">
              <w:rPr>
                <w:rFonts w:ascii="Barlow" w:hAnsi="Barlow" w:cs="Arial"/>
                <w:color w:val="000000"/>
                <w:sz w:val="20"/>
                <w:szCs w:val="20"/>
                <w:lang w:eastAsia="es-MX"/>
              </w:rPr>
              <w:t>563</w:t>
            </w:r>
            <w:r w:rsidR="006258CB" w:rsidRPr="00DC37D6">
              <w:rPr>
                <w:rFonts w:ascii="Barlow" w:hAnsi="Barlow" w:cs="Arial"/>
                <w:color w:val="000000"/>
                <w:sz w:val="20"/>
                <w:szCs w:val="20"/>
                <w:lang w:eastAsia="es-MX"/>
              </w:rPr>
              <w:t>.</w:t>
            </w:r>
            <w:r w:rsidR="0015600E" w:rsidRPr="00DC37D6">
              <w:rPr>
                <w:rFonts w:ascii="Barlow" w:hAnsi="Barlow" w:cs="Arial"/>
                <w:color w:val="000000"/>
                <w:sz w:val="20"/>
                <w:szCs w:val="20"/>
                <w:lang w:eastAsia="es-MX"/>
              </w:rPr>
              <w:t>31</w:t>
            </w:r>
          </w:p>
        </w:tc>
      </w:tr>
      <w:tr w:rsidR="00401B15" w:rsidRPr="00DC37D6" w14:paraId="625B8DE5" w14:textId="77777777" w:rsidTr="004A0FDD">
        <w:trPr>
          <w:trHeight w:val="315"/>
        </w:trPr>
        <w:tc>
          <w:tcPr>
            <w:tcW w:w="0" w:type="auto"/>
            <w:shd w:val="clear" w:color="auto" w:fill="auto"/>
            <w:vAlign w:val="center"/>
            <w:hideMark/>
          </w:tcPr>
          <w:p w14:paraId="310BC757" w14:textId="2B054134" w:rsidR="0062081A" w:rsidRPr="00DC37D6" w:rsidRDefault="00401B15" w:rsidP="00003304">
            <w:pPr>
              <w:rPr>
                <w:rFonts w:ascii="Barlow" w:hAnsi="Barlow" w:cs="Arial"/>
                <w:color w:val="000000"/>
                <w:sz w:val="20"/>
                <w:szCs w:val="20"/>
                <w:lang w:eastAsia="es-MX"/>
              </w:rPr>
            </w:pPr>
            <w:r w:rsidRPr="00DC37D6">
              <w:rPr>
                <w:rFonts w:ascii="Barlow" w:hAnsi="Barlow" w:cs="Arial"/>
                <w:color w:val="000000"/>
                <w:sz w:val="20"/>
                <w:szCs w:val="20"/>
                <w:lang w:eastAsia="es-MX"/>
              </w:rPr>
              <w:t>LEY DE INGRESOS DEVENGADA</w:t>
            </w:r>
          </w:p>
        </w:tc>
        <w:tc>
          <w:tcPr>
            <w:tcW w:w="0" w:type="auto"/>
            <w:shd w:val="clear" w:color="auto" w:fill="auto"/>
            <w:hideMark/>
          </w:tcPr>
          <w:p w14:paraId="73E9908E" w14:textId="5DEFDE92" w:rsidR="0062081A" w:rsidRPr="00DC37D6" w:rsidRDefault="0062081A" w:rsidP="00D64BB6">
            <w:pPr>
              <w:jc w:val="right"/>
              <w:rPr>
                <w:rFonts w:ascii="Barlow" w:hAnsi="Barlow" w:cs="Arial"/>
                <w:color w:val="000000"/>
                <w:sz w:val="20"/>
                <w:szCs w:val="20"/>
                <w:lang w:eastAsia="es-MX"/>
              </w:rPr>
            </w:pPr>
            <w:r w:rsidRPr="00DC37D6">
              <w:rPr>
                <w:rFonts w:ascii="Barlow" w:hAnsi="Barlow" w:cs="Arial"/>
                <w:color w:val="000000"/>
                <w:sz w:val="20"/>
                <w:szCs w:val="20"/>
                <w:lang w:eastAsia="es-MX"/>
              </w:rPr>
              <w:t>$</w:t>
            </w:r>
            <w:r w:rsidR="0015600E" w:rsidRPr="00DC37D6">
              <w:rPr>
                <w:rFonts w:ascii="Barlow" w:hAnsi="Barlow" w:cs="Arial"/>
                <w:color w:val="000000"/>
                <w:sz w:val="20"/>
                <w:szCs w:val="20"/>
                <w:lang w:eastAsia="es-MX"/>
              </w:rPr>
              <w:t>3</w:t>
            </w:r>
            <w:r w:rsidRPr="00DC37D6">
              <w:rPr>
                <w:rFonts w:ascii="Barlow" w:hAnsi="Barlow" w:cs="Arial"/>
                <w:color w:val="000000"/>
                <w:sz w:val="20"/>
                <w:szCs w:val="20"/>
                <w:lang w:eastAsia="es-MX"/>
              </w:rPr>
              <w:t>,</w:t>
            </w:r>
            <w:r w:rsidR="0015600E" w:rsidRPr="00DC37D6">
              <w:rPr>
                <w:rFonts w:ascii="Barlow" w:hAnsi="Barlow" w:cs="Arial"/>
                <w:color w:val="000000"/>
                <w:sz w:val="20"/>
                <w:szCs w:val="20"/>
                <w:lang w:eastAsia="es-MX"/>
              </w:rPr>
              <w:t>752</w:t>
            </w:r>
            <w:r w:rsidR="00B23F84" w:rsidRPr="00DC37D6">
              <w:rPr>
                <w:rFonts w:ascii="Barlow" w:hAnsi="Barlow" w:cs="Arial"/>
                <w:color w:val="000000"/>
                <w:sz w:val="20"/>
                <w:szCs w:val="20"/>
                <w:lang w:eastAsia="es-MX"/>
              </w:rPr>
              <w:t>,</w:t>
            </w:r>
            <w:r w:rsidR="0015600E" w:rsidRPr="00DC37D6">
              <w:rPr>
                <w:rFonts w:ascii="Barlow" w:hAnsi="Barlow" w:cs="Arial"/>
                <w:color w:val="000000"/>
                <w:sz w:val="20"/>
                <w:szCs w:val="20"/>
                <w:lang w:eastAsia="es-MX"/>
              </w:rPr>
              <w:t>336</w:t>
            </w:r>
            <w:r w:rsidR="00B23F84" w:rsidRPr="00DC37D6">
              <w:rPr>
                <w:rFonts w:ascii="Barlow" w:hAnsi="Barlow" w:cs="Arial"/>
                <w:color w:val="000000"/>
                <w:sz w:val="20"/>
                <w:szCs w:val="20"/>
                <w:lang w:eastAsia="es-MX"/>
              </w:rPr>
              <w:t>.</w:t>
            </w:r>
            <w:r w:rsidR="0015600E" w:rsidRPr="00DC37D6">
              <w:rPr>
                <w:rFonts w:ascii="Barlow" w:hAnsi="Barlow" w:cs="Arial"/>
                <w:color w:val="000000"/>
                <w:sz w:val="20"/>
                <w:szCs w:val="20"/>
                <w:lang w:eastAsia="es-MX"/>
              </w:rPr>
              <w:t>31</w:t>
            </w:r>
          </w:p>
        </w:tc>
      </w:tr>
      <w:tr w:rsidR="00401B15" w:rsidRPr="00DC37D6" w14:paraId="2DD083DA" w14:textId="77777777" w:rsidTr="004A0FDD">
        <w:trPr>
          <w:trHeight w:val="308"/>
        </w:trPr>
        <w:tc>
          <w:tcPr>
            <w:tcW w:w="0" w:type="auto"/>
            <w:shd w:val="clear" w:color="auto" w:fill="auto"/>
            <w:vAlign w:val="center"/>
            <w:hideMark/>
          </w:tcPr>
          <w:p w14:paraId="6D5F8333" w14:textId="4F5F67CB" w:rsidR="0062081A" w:rsidRPr="00DC37D6" w:rsidRDefault="00401B15" w:rsidP="00003304">
            <w:pPr>
              <w:rPr>
                <w:rFonts w:ascii="Barlow" w:hAnsi="Barlow" w:cs="Arial"/>
                <w:color w:val="000000"/>
                <w:sz w:val="20"/>
                <w:szCs w:val="20"/>
                <w:lang w:eastAsia="es-MX"/>
              </w:rPr>
            </w:pPr>
            <w:r w:rsidRPr="00DC37D6">
              <w:rPr>
                <w:rFonts w:ascii="Barlow" w:hAnsi="Barlow" w:cs="Arial"/>
                <w:color w:val="000000"/>
                <w:sz w:val="20"/>
                <w:szCs w:val="20"/>
                <w:lang w:eastAsia="es-MX"/>
              </w:rPr>
              <w:t>LEY</w:t>
            </w:r>
            <w:r w:rsidR="0062081A" w:rsidRPr="00DC37D6">
              <w:rPr>
                <w:rFonts w:ascii="Barlow" w:hAnsi="Barlow" w:cs="Arial"/>
                <w:color w:val="000000"/>
                <w:sz w:val="20"/>
                <w:szCs w:val="20"/>
                <w:lang w:eastAsia="es-MX"/>
              </w:rPr>
              <w:t xml:space="preserve"> DE INGRESOS RECAUDAD</w:t>
            </w:r>
            <w:r w:rsidRPr="00DC37D6">
              <w:rPr>
                <w:rFonts w:ascii="Barlow" w:hAnsi="Barlow" w:cs="Arial"/>
                <w:color w:val="000000"/>
                <w:sz w:val="20"/>
                <w:szCs w:val="20"/>
                <w:lang w:eastAsia="es-MX"/>
              </w:rPr>
              <w:t>A</w:t>
            </w:r>
          </w:p>
        </w:tc>
        <w:tc>
          <w:tcPr>
            <w:tcW w:w="0" w:type="auto"/>
            <w:shd w:val="clear" w:color="auto" w:fill="auto"/>
            <w:hideMark/>
          </w:tcPr>
          <w:p w14:paraId="1EF811D3" w14:textId="34870679" w:rsidR="0062081A" w:rsidRPr="00DC37D6" w:rsidRDefault="0062081A" w:rsidP="00CF2045">
            <w:pPr>
              <w:jc w:val="right"/>
              <w:rPr>
                <w:rFonts w:ascii="Barlow" w:hAnsi="Barlow" w:cs="Arial"/>
                <w:color w:val="000000"/>
                <w:sz w:val="20"/>
                <w:szCs w:val="20"/>
                <w:lang w:eastAsia="es-MX"/>
              </w:rPr>
            </w:pPr>
            <w:r w:rsidRPr="00DC37D6">
              <w:rPr>
                <w:rFonts w:ascii="Barlow" w:hAnsi="Barlow" w:cs="Arial"/>
                <w:color w:val="000000"/>
                <w:sz w:val="20"/>
                <w:szCs w:val="20"/>
                <w:lang w:eastAsia="es-MX"/>
              </w:rPr>
              <w:t xml:space="preserve">             $</w:t>
            </w:r>
            <w:r w:rsidR="0015600E" w:rsidRPr="00DC37D6">
              <w:rPr>
                <w:rFonts w:ascii="Barlow" w:hAnsi="Barlow" w:cs="Arial"/>
                <w:color w:val="000000"/>
                <w:sz w:val="20"/>
                <w:szCs w:val="20"/>
                <w:lang w:eastAsia="es-MX"/>
              </w:rPr>
              <w:t>3</w:t>
            </w:r>
            <w:r w:rsidRPr="00DC37D6">
              <w:rPr>
                <w:rFonts w:ascii="Barlow" w:hAnsi="Barlow" w:cs="Arial"/>
                <w:color w:val="000000"/>
                <w:sz w:val="20"/>
                <w:szCs w:val="20"/>
                <w:lang w:eastAsia="es-MX"/>
              </w:rPr>
              <w:t>,</w:t>
            </w:r>
            <w:r w:rsidR="0015600E" w:rsidRPr="00DC37D6">
              <w:rPr>
                <w:rFonts w:ascii="Barlow" w:hAnsi="Barlow" w:cs="Arial"/>
                <w:color w:val="000000"/>
                <w:sz w:val="20"/>
                <w:szCs w:val="20"/>
                <w:lang w:eastAsia="es-MX"/>
              </w:rPr>
              <w:t>752,336</w:t>
            </w:r>
            <w:r w:rsidR="00B23F84" w:rsidRPr="00DC37D6">
              <w:rPr>
                <w:rFonts w:ascii="Barlow" w:hAnsi="Barlow" w:cs="Arial"/>
                <w:color w:val="000000"/>
                <w:sz w:val="20"/>
                <w:szCs w:val="20"/>
                <w:lang w:eastAsia="es-MX"/>
              </w:rPr>
              <w:t>.</w:t>
            </w:r>
            <w:r w:rsidR="0015600E" w:rsidRPr="00DC37D6">
              <w:rPr>
                <w:rFonts w:ascii="Barlow" w:hAnsi="Barlow" w:cs="Arial"/>
                <w:color w:val="000000"/>
                <w:sz w:val="20"/>
                <w:szCs w:val="20"/>
                <w:lang w:eastAsia="es-MX"/>
              </w:rPr>
              <w:t>31</w:t>
            </w:r>
          </w:p>
        </w:tc>
      </w:tr>
    </w:tbl>
    <w:p w14:paraId="53BCB1DE" w14:textId="77777777" w:rsidR="008273DF" w:rsidRPr="00DC37D6" w:rsidRDefault="008273DF" w:rsidP="00C4137E">
      <w:pPr>
        <w:autoSpaceDE w:val="0"/>
        <w:autoSpaceDN w:val="0"/>
        <w:adjustRightInd w:val="0"/>
        <w:spacing w:line="360" w:lineRule="auto"/>
        <w:jc w:val="both"/>
        <w:rPr>
          <w:rFonts w:ascii="Barlow" w:hAnsi="Barlow" w:cs="Arial"/>
          <w:b/>
          <w:sz w:val="20"/>
          <w:szCs w:val="20"/>
        </w:rPr>
      </w:pPr>
    </w:p>
    <w:p w14:paraId="09006905" w14:textId="77777777" w:rsidR="006D64DF" w:rsidRPr="00DC37D6" w:rsidRDefault="006D64DF" w:rsidP="00E80B24">
      <w:pPr>
        <w:autoSpaceDE w:val="0"/>
        <w:autoSpaceDN w:val="0"/>
        <w:adjustRightInd w:val="0"/>
        <w:spacing w:line="360" w:lineRule="auto"/>
        <w:jc w:val="center"/>
        <w:rPr>
          <w:rFonts w:ascii="Barlow" w:hAnsi="Barlow" w:cs="Arial"/>
          <w:b/>
          <w:sz w:val="20"/>
          <w:szCs w:val="20"/>
          <w:highlight w:val="yellow"/>
        </w:rPr>
      </w:pPr>
    </w:p>
    <w:p w14:paraId="6FC99059" w14:textId="71113608" w:rsidR="006D64DF" w:rsidRPr="00DC37D6" w:rsidRDefault="006D64DF" w:rsidP="00E80B24">
      <w:pPr>
        <w:autoSpaceDE w:val="0"/>
        <w:autoSpaceDN w:val="0"/>
        <w:adjustRightInd w:val="0"/>
        <w:spacing w:line="360" w:lineRule="auto"/>
        <w:jc w:val="center"/>
        <w:rPr>
          <w:rFonts w:ascii="Barlow" w:hAnsi="Barlow" w:cs="Arial"/>
          <w:b/>
          <w:sz w:val="20"/>
          <w:szCs w:val="20"/>
          <w:highlight w:val="yellow"/>
        </w:rPr>
      </w:pPr>
    </w:p>
    <w:p w14:paraId="3C52B9E2" w14:textId="77777777" w:rsidR="001D1C04" w:rsidRPr="00DC37D6" w:rsidRDefault="001D1C04" w:rsidP="00E80B24">
      <w:pPr>
        <w:autoSpaceDE w:val="0"/>
        <w:autoSpaceDN w:val="0"/>
        <w:adjustRightInd w:val="0"/>
        <w:spacing w:line="360" w:lineRule="auto"/>
        <w:jc w:val="center"/>
        <w:rPr>
          <w:rFonts w:ascii="Barlow" w:hAnsi="Barlow" w:cs="Arial"/>
          <w:b/>
          <w:sz w:val="20"/>
          <w:szCs w:val="20"/>
          <w:highlight w:val="yellow"/>
        </w:rPr>
      </w:pPr>
    </w:p>
    <w:p w14:paraId="22B394A1" w14:textId="77777777" w:rsidR="00BC35D0" w:rsidRPr="00DC37D6" w:rsidRDefault="00BC35D0" w:rsidP="00E80B24">
      <w:pPr>
        <w:autoSpaceDE w:val="0"/>
        <w:autoSpaceDN w:val="0"/>
        <w:adjustRightInd w:val="0"/>
        <w:spacing w:line="360" w:lineRule="auto"/>
        <w:jc w:val="center"/>
        <w:rPr>
          <w:rFonts w:ascii="Barlow" w:hAnsi="Barlow" w:cs="Arial"/>
          <w:b/>
          <w:sz w:val="20"/>
          <w:szCs w:val="20"/>
          <w:highlight w:val="yellow"/>
        </w:rPr>
      </w:pPr>
    </w:p>
    <w:p w14:paraId="5E59A659" w14:textId="77777777" w:rsidR="00A27274" w:rsidRPr="00DC37D6" w:rsidRDefault="00A27274" w:rsidP="00E80B24">
      <w:pPr>
        <w:autoSpaceDE w:val="0"/>
        <w:autoSpaceDN w:val="0"/>
        <w:adjustRightInd w:val="0"/>
        <w:spacing w:line="360" w:lineRule="auto"/>
        <w:jc w:val="center"/>
        <w:rPr>
          <w:rFonts w:ascii="Barlow" w:hAnsi="Barlow" w:cs="Arial"/>
          <w:b/>
          <w:sz w:val="20"/>
          <w:szCs w:val="20"/>
          <w:highlight w:val="yellow"/>
        </w:rPr>
      </w:pPr>
    </w:p>
    <w:p w14:paraId="2B5150AD" w14:textId="46CB36C8" w:rsidR="003337BA" w:rsidRDefault="003337BA" w:rsidP="003337BA">
      <w:pPr>
        <w:tabs>
          <w:tab w:val="left" w:pos="6405"/>
        </w:tabs>
        <w:autoSpaceDE w:val="0"/>
        <w:autoSpaceDN w:val="0"/>
        <w:adjustRightInd w:val="0"/>
        <w:spacing w:line="360" w:lineRule="auto"/>
        <w:rPr>
          <w:rFonts w:ascii="Barlow" w:hAnsi="Barlow" w:cs="Arial"/>
          <w:b/>
          <w:sz w:val="20"/>
          <w:szCs w:val="20"/>
          <w:highlight w:val="yellow"/>
        </w:rPr>
      </w:pPr>
    </w:p>
    <w:p w14:paraId="7D0170DE" w14:textId="3B53E92A" w:rsidR="00002EE8" w:rsidRDefault="00002EE8" w:rsidP="003337BA">
      <w:pPr>
        <w:tabs>
          <w:tab w:val="left" w:pos="6405"/>
        </w:tabs>
        <w:autoSpaceDE w:val="0"/>
        <w:autoSpaceDN w:val="0"/>
        <w:adjustRightInd w:val="0"/>
        <w:spacing w:line="360" w:lineRule="auto"/>
        <w:rPr>
          <w:rFonts w:ascii="Barlow" w:hAnsi="Barlow" w:cs="Arial"/>
          <w:b/>
          <w:sz w:val="20"/>
          <w:szCs w:val="20"/>
          <w:highlight w:val="yellow"/>
        </w:rPr>
      </w:pPr>
    </w:p>
    <w:p w14:paraId="1D24B51F" w14:textId="244516F8" w:rsidR="00002EE8" w:rsidRDefault="00002EE8" w:rsidP="003337BA">
      <w:pPr>
        <w:tabs>
          <w:tab w:val="left" w:pos="6405"/>
        </w:tabs>
        <w:autoSpaceDE w:val="0"/>
        <w:autoSpaceDN w:val="0"/>
        <w:adjustRightInd w:val="0"/>
        <w:spacing w:line="360" w:lineRule="auto"/>
        <w:rPr>
          <w:rFonts w:ascii="Barlow" w:hAnsi="Barlow" w:cs="Arial"/>
          <w:b/>
          <w:sz w:val="20"/>
          <w:szCs w:val="20"/>
          <w:highlight w:val="yellow"/>
        </w:rPr>
      </w:pPr>
    </w:p>
    <w:p w14:paraId="098EDE1F" w14:textId="77777777" w:rsidR="00002EE8" w:rsidRPr="00DC37D6" w:rsidRDefault="00002EE8" w:rsidP="003337BA">
      <w:pPr>
        <w:tabs>
          <w:tab w:val="left" w:pos="6405"/>
        </w:tabs>
        <w:autoSpaceDE w:val="0"/>
        <w:autoSpaceDN w:val="0"/>
        <w:adjustRightInd w:val="0"/>
        <w:spacing w:line="360" w:lineRule="auto"/>
        <w:rPr>
          <w:rFonts w:ascii="Barlow" w:hAnsi="Barlow" w:cs="Arial"/>
          <w:b/>
          <w:sz w:val="20"/>
          <w:szCs w:val="20"/>
          <w:highlight w:val="yellow"/>
        </w:rPr>
      </w:pPr>
      <w:bookmarkStart w:id="16" w:name="_GoBack"/>
      <w:bookmarkEnd w:id="16"/>
    </w:p>
    <w:tbl>
      <w:tblPr>
        <w:tblpPr w:leftFromText="141" w:rightFromText="141" w:vertAnchor="page" w:horzAnchor="margin" w:tblpXSpec="center" w:tblpY="9479"/>
        <w:tblW w:w="7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6"/>
        <w:gridCol w:w="1971"/>
      </w:tblGrid>
      <w:tr w:rsidR="00DC37D6" w:rsidRPr="00DC37D6" w14:paraId="0118ACEF" w14:textId="77777777" w:rsidTr="00DC37D6">
        <w:trPr>
          <w:trHeight w:val="249"/>
        </w:trPr>
        <w:tc>
          <w:tcPr>
            <w:tcW w:w="5816" w:type="dxa"/>
            <w:shd w:val="clear" w:color="auto" w:fill="9BBB59" w:themeFill="accent3"/>
            <w:vAlign w:val="center"/>
            <w:hideMark/>
          </w:tcPr>
          <w:p w14:paraId="42804DA8" w14:textId="77777777" w:rsidR="00DC37D6" w:rsidRPr="00DC37D6" w:rsidRDefault="00DC37D6" w:rsidP="00DC37D6">
            <w:pPr>
              <w:jc w:val="center"/>
              <w:rPr>
                <w:rFonts w:ascii="Barlow" w:hAnsi="Barlow" w:cs="Arial"/>
                <w:b/>
                <w:bCs/>
                <w:color w:val="000000"/>
                <w:sz w:val="20"/>
                <w:szCs w:val="20"/>
                <w:lang w:eastAsia="es-MX"/>
              </w:rPr>
            </w:pPr>
            <w:r w:rsidRPr="00DC37D6">
              <w:rPr>
                <w:rFonts w:ascii="Barlow" w:hAnsi="Barlow" w:cs="Arial"/>
                <w:b/>
                <w:bCs/>
                <w:color w:val="000000"/>
                <w:sz w:val="20"/>
                <w:szCs w:val="20"/>
                <w:lang w:eastAsia="es-MX"/>
              </w:rPr>
              <w:t>PRESUPUESTO DE EGRESOS</w:t>
            </w:r>
          </w:p>
        </w:tc>
        <w:tc>
          <w:tcPr>
            <w:tcW w:w="1971" w:type="dxa"/>
            <w:shd w:val="clear" w:color="auto" w:fill="9BBB59" w:themeFill="accent3"/>
            <w:vAlign w:val="center"/>
            <w:hideMark/>
          </w:tcPr>
          <w:p w14:paraId="4F300ABC" w14:textId="77777777" w:rsidR="00DC37D6" w:rsidRPr="00DC37D6" w:rsidRDefault="00DC37D6" w:rsidP="00DC37D6">
            <w:pPr>
              <w:jc w:val="right"/>
              <w:rPr>
                <w:rFonts w:ascii="Barlow" w:hAnsi="Barlow" w:cs="Arial"/>
                <w:b/>
                <w:bCs/>
                <w:color w:val="000000"/>
                <w:sz w:val="20"/>
                <w:szCs w:val="20"/>
                <w:lang w:eastAsia="es-MX"/>
              </w:rPr>
            </w:pPr>
          </w:p>
        </w:tc>
      </w:tr>
      <w:tr w:rsidR="00DC37D6" w:rsidRPr="00DC37D6" w14:paraId="2AF0F4C4" w14:textId="77777777" w:rsidTr="00DC37D6">
        <w:trPr>
          <w:trHeight w:val="327"/>
        </w:trPr>
        <w:tc>
          <w:tcPr>
            <w:tcW w:w="5816" w:type="dxa"/>
            <w:shd w:val="clear" w:color="auto" w:fill="auto"/>
            <w:vAlign w:val="center"/>
            <w:hideMark/>
          </w:tcPr>
          <w:p w14:paraId="2AAF101D" w14:textId="77777777" w:rsidR="00DC37D6" w:rsidRPr="00DC37D6" w:rsidRDefault="00DC37D6" w:rsidP="00DC37D6">
            <w:pPr>
              <w:rPr>
                <w:rFonts w:ascii="Barlow" w:hAnsi="Barlow" w:cs="Arial"/>
                <w:color w:val="000000"/>
                <w:sz w:val="20"/>
                <w:szCs w:val="20"/>
                <w:lang w:eastAsia="es-MX"/>
              </w:rPr>
            </w:pPr>
            <w:r w:rsidRPr="00DC37D6">
              <w:rPr>
                <w:rFonts w:ascii="Barlow" w:hAnsi="Barlow" w:cs="Arial"/>
                <w:color w:val="000000"/>
                <w:sz w:val="20"/>
                <w:szCs w:val="20"/>
                <w:lang w:eastAsia="es-MX"/>
              </w:rPr>
              <w:t>PRESUPUESTO DE EGRESOS APROBADO</w:t>
            </w:r>
          </w:p>
        </w:tc>
        <w:tc>
          <w:tcPr>
            <w:tcW w:w="1971" w:type="dxa"/>
            <w:shd w:val="clear" w:color="auto" w:fill="auto"/>
            <w:vAlign w:val="center"/>
            <w:hideMark/>
          </w:tcPr>
          <w:p w14:paraId="1909E05C" w14:textId="77777777" w:rsidR="00DC37D6" w:rsidRPr="00DC37D6" w:rsidRDefault="00DC37D6" w:rsidP="00DC37D6">
            <w:pPr>
              <w:jc w:val="right"/>
              <w:rPr>
                <w:rFonts w:ascii="Barlow" w:hAnsi="Barlow" w:cs="Arial"/>
                <w:color w:val="000000"/>
                <w:sz w:val="20"/>
                <w:szCs w:val="20"/>
                <w:lang w:eastAsia="es-MX"/>
              </w:rPr>
            </w:pPr>
            <w:r w:rsidRPr="00DC37D6">
              <w:rPr>
                <w:rFonts w:ascii="Barlow" w:hAnsi="Barlow" w:cs="Arial"/>
                <w:color w:val="000000"/>
                <w:sz w:val="20"/>
                <w:szCs w:val="20"/>
                <w:lang w:eastAsia="es-MX"/>
              </w:rPr>
              <w:t>$14,988,486.00</w:t>
            </w:r>
          </w:p>
        </w:tc>
      </w:tr>
      <w:tr w:rsidR="00DC37D6" w:rsidRPr="00DC37D6" w14:paraId="0D7904B7" w14:textId="77777777" w:rsidTr="00DC37D6">
        <w:trPr>
          <w:trHeight w:val="312"/>
        </w:trPr>
        <w:tc>
          <w:tcPr>
            <w:tcW w:w="5816" w:type="dxa"/>
            <w:shd w:val="clear" w:color="auto" w:fill="auto"/>
            <w:vAlign w:val="center"/>
          </w:tcPr>
          <w:p w14:paraId="78EABC08" w14:textId="77777777" w:rsidR="00DC37D6" w:rsidRPr="00DC37D6" w:rsidRDefault="00DC37D6" w:rsidP="00DC37D6">
            <w:pPr>
              <w:rPr>
                <w:rFonts w:ascii="Barlow" w:hAnsi="Barlow" w:cs="Arial"/>
                <w:color w:val="000000"/>
                <w:sz w:val="20"/>
                <w:szCs w:val="20"/>
                <w:lang w:eastAsia="es-MX"/>
              </w:rPr>
            </w:pPr>
            <w:r w:rsidRPr="00DC37D6">
              <w:rPr>
                <w:rFonts w:ascii="Barlow" w:hAnsi="Barlow" w:cs="Arial"/>
                <w:color w:val="000000"/>
                <w:sz w:val="20"/>
                <w:szCs w:val="20"/>
                <w:lang w:eastAsia="es-MX"/>
              </w:rPr>
              <w:t>PRESUPUESTO DE EGRESOS POR EJERCER</w:t>
            </w:r>
          </w:p>
        </w:tc>
        <w:tc>
          <w:tcPr>
            <w:tcW w:w="1971" w:type="dxa"/>
            <w:shd w:val="clear" w:color="auto" w:fill="auto"/>
            <w:vAlign w:val="center"/>
          </w:tcPr>
          <w:p w14:paraId="603C89A2" w14:textId="77777777" w:rsidR="00DC37D6" w:rsidRPr="00DC37D6" w:rsidRDefault="00DC37D6" w:rsidP="00DC37D6">
            <w:pPr>
              <w:jc w:val="right"/>
              <w:rPr>
                <w:rFonts w:ascii="Barlow" w:hAnsi="Barlow" w:cs="Arial"/>
                <w:color w:val="000000"/>
                <w:sz w:val="20"/>
                <w:szCs w:val="20"/>
                <w:lang w:eastAsia="es-MX"/>
              </w:rPr>
            </w:pPr>
            <w:r w:rsidRPr="00DC37D6">
              <w:rPr>
                <w:rFonts w:ascii="Barlow" w:hAnsi="Barlow" w:cs="Arial"/>
                <w:color w:val="000000"/>
                <w:sz w:val="20"/>
                <w:szCs w:val="20"/>
                <w:lang w:eastAsia="es-MX"/>
              </w:rPr>
              <w:t>$1,513,216.05</w:t>
            </w:r>
          </w:p>
        </w:tc>
      </w:tr>
      <w:tr w:rsidR="00DC37D6" w:rsidRPr="00DC37D6" w14:paraId="7F48B413" w14:textId="77777777" w:rsidTr="00DC37D6">
        <w:trPr>
          <w:trHeight w:val="262"/>
        </w:trPr>
        <w:tc>
          <w:tcPr>
            <w:tcW w:w="5816" w:type="dxa"/>
            <w:shd w:val="clear" w:color="auto" w:fill="auto"/>
            <w:vAlign w:val="center"/>
            <w:hideMark/>
          </w:tcPr>
          <w:p w14:paraId="76B6936E" w14:textId="77777777" w:rsidR="00DC37D6" w:rsidRPr="00DC37D6" w:rsidRDefault="00DC37D6" w:rsidP="00DC37D6">
            <w:pPr>
              <w:rPr>
                <w:rFonts w:ascii="Barlow" w:hAnsi="Barlow" w:cs="Arial"/>
                <w:color w:val="000000"/>
                <w:sz w:val="20"/>
                <w:szCs w:val="20"/>
                <w:lang w:eastAsia="es-MX"/>
              </w:rPr>
            </w:pPr>
            <w:r w:rsidRPr="00DC37D6">
              <w:rPr>
                <w:rFonts w:ascii="Barlow" w:hAnsi="Barlow" w:cs="Arial"/>
                <w:color w:val="000000"/>
                <w:sz w:val="20"/>
                <w:szCs w:val="20"/>
                <w:lang w:eastAsia="es-MX"/>
              </w:rPr>
              <w:lastRenderedPageBreak/>
              <w:t>MODIFICACIONES AL PRESUPUESTO DE EGRESOS APROBADO</w:t>
            </w:r>
          </w:p>
        </w:tc>
        <w:tc>
          <w:tcPr>
            <w:tcW w:w="1971" w:type="dxa"/>
            <w:shd w:val="clear" w:color="auto" w:fill="auto"/>
            <w:vAlign w:val="center"/>
            <w:hideMark/>
          </w:tcPr>
          <w:p w14:paraId="5542D094" w14:textId="77777777" w:rsidR="00DC37D6" w:rsidRPr="00DC37D6" w:rsidRDefault="00DC37D6" w:rsidP="00DC37D6">
            <w:pPr>
              <w:jc w:val="right"/>
              <w:rPr>
                <w:rFonts w:ascii="Barlow" w:hAnsi="Barlow" w:cs="Arial"/>
                <w:color w:val="000000"/>
                <w:sz w:val="20"/>
                <w:szCs w:val="20"/>
                <w:lang w:eastAsia="es-MX"/>
              </w:rPr>
            </w:pPr>
            <w:r w:rsidRPr="00DC37D6">
              <w:rPr>
                <w:rFonts w:ascii="Barlow" w:hAnsi="Barlow" w:cs="Arial"/>
                <w:color w:val="000000"/>
                <w:sz w:val="20"/>
                <w:szCs w:val="20"/>
                <w:lang w:eastAsia="es-MX"/>
              </w:rPr>
              <w:t>$563.31</w:t>
            </w:r>
          </w:p>
        </w:tc>
      </w:tr>
      <w:tr w:rsidR="00DC37D6" w:rsidRPr="00DC37D6" w14:paraId="2717166C" w14:textId="77777777" w:rsidTr="00DC37D6">
        <w:trPr>
          <w:trHeight w:val="426"/>
        </w:trPr>
        <w:tc>
          <w:tcPr>
            <w:tcW w:w="5816" w:type="dxa"/>
            <w:shd w:val="clear" w:color="auto" w:fill="auto"/>
            <w:vAlign w:val="center"/>
            <w:hideMark/>
          </w:tcPr>
          <w:p w14:paraId="233135D7" w14:textId="77777777" w:rsidR="00DC37D6" w:rsidRPr="00DC37D6" w:rsidRDefault="00DC37D6" w:rsidP="00DC37D6">
            <w:pPr>
              <w:rPr>
                <w:rFonts w:ascii="Barlow" w:hAnsi="Barlow" w:cs="Arial"/>
                <w:color w:val="000000"/>
                <w:sz w:val="20"/>
                <w:szCs w:val="20"/>
                <w:lang w:eastAsia="es-MX"/>
              </w:rPr>
            </w:pPr>
            <w:r w:rsidRPr="00DC37D6">
              <w:rPr>
                <w:rFonts w:ascii="Barlow" w:hAnsi="Barlow" w:cs="Arial"/>
                <w:color w:val="000000"/>
                <w:sz w:val="20"/>
                <w:szCs w:val="20"/>
                <w:lang w:eastAsia="es-MX"/>
              </w:rPr>
              <w:t>PRESUPUESTO DE EGRESOS COMPROMETIDO</w:t>
            </w:r>
          </w:p>
        </w:tc>
        <w:tc>
          <w:tcPr>
            <w:tcW w:w="1971" w:type="dxa"/>
            <w:shd w:val="clear" w:color="auto" w:fill="auto"/>
            <w:vAlign w:val="center"/>
            <w:hideMark/>
          </w:tcPr>
          <w:p w14:paraId="31EB332D" w14:textId="77777777" w:rsidR="00DC37D6" w:rsidRPr="00DC37D6" w:rsidRDefault="00DC37D6" w:rsidP="00DC37D6">
            <w:pPr>
              <w:jc w:val="right"/>
              <w:rPr>
                <w:rFonts w:ascii="Barlow" w:hAnsi="Barlow" w:cs="Arial"/>
                <w:color w:val="000000"/>
                <w:sz w:val="20"/>
                <w:szCs w:val="20"/>
                <w:lang w:eastAsia="es-MX"/>
              </w:rPr>
            </w:pPr>
            <w:r w:rsidRPr="00DC37D6">
              <w:rPr>
                <w:rFonts w:ascii="Barlow" w:hAnsi="Barlow" w:cs="Arial"/>
                <w:color w:val="000000"/>
                <w:sz w:val="20"/>
                <w:szCs w:val="20"/>
                <w:lang w:eastAsia="es-MX"/>
              </w:rPr>
              <w:t>$13,475,833.26</w:t>
            </w:r>
          </w:p>
        </w:tc>
      </w:tr>
      <w:tr w:rsidR="00DC37D6" w:rsidRPr="00DC37D6" w14:paraId="1CADAFD1" w14:textId="77777777" w:rsidTr="00DC37D6">
        <w:trPr>
          <w:trHeight w:val="426"/>
        </w:trPr>
        <w:tc>
          <w:tcPr>
            <w:tcW w:w="5816" w:type="dxa"/>
            <w:shd w:val="clear" w:color="auto" w:fill="auto"/>
            <w:vAlign w:val="center"/>
            <w:hideMark/>
          </w:tcPr>
          <w:p w14:paraId="3BC3F53E" w14:textId="77777777" w:rsidR="00DC37D6" w:rsidRPr="00DC37D6" w:rsidRDefault="00DC37D6" w:rsidP="00DC37D6">
            <w:pPr>
              <w:rPr>
                <w:rFonts w:ascii="Barlow" w:hAnsi="Barlow" w:cs="Arial"/>
                <w:color w:val="000000"/>
                <w:sz w:val="20"/>
                <w:szCs w:val="20"/>
                <w:lang w:eastAsia="es-MX"/>
              </w:rPr>
            </w:pPr>
            <w:r w:rsidRPr="00DC37D6">
              <w:rPr>
                <w:rFonts w:ascii="Barlow" w:hAnsi="Barlow" w:cs="Arial"/>
                <w:color w:val="000000"/>
                <w:sz w:val="20"/>
                <w:szCs w:val="20"/>
                <w:lang w:eastAsia="es-MX"/>
              </w:rPr>
              <w:t>PRESUPUESTO DE EGRESOS DEVENGADO</w:t>
            </w:r>
          </w:p>
        </w:tc>
        <w:tc>
          <w:tcPr>
            <w:tcW w:w="1971" w:type="dxa"/>
            <w:shd w:val="clear" w:color="auto" w:fill="auto"/>
            <w:hideMark/>
          </w:tcPr>
          <w:p w14:paraId="67A4145A" w14:textId="77777777" w:rsidR="00DC37D6" w:rsidRPr="00DC37D6" w:rsidRDefault="00DC37D6" w:rsidP="00DC37D6">
            <w:pPr>
              <w:jc w:val="right"/>
              <w:rPr>
                <w:rFonts w:ascii="Barlow" w:hAnsi="Barlow" w:cs="Arial"/>
                <w:color w:val="000000"/>
                <w:sz w:val="20"/>
                <w:szCs w:val="20"/>
                <w:lang w:eastAsia="es-MX"/>
              </w:rPr>
            </w:pPr>
            <w:r w:rsidRPr="00DC37D6">
              <w:rPr>
                <w:rFonts w:ascii="Barlow" w:hAnsi="Barlow" w:cs="Arial"/>
                <w:color w:val="000000"/>
                <w:sz w:val="20"/>
                <w:szCs w:val="20"/>
                <w:lang w:eastAsia="es-MX"/>
              </w:rPr>
              <w:t>$3,623,304.26</w:t>
            </w:r>
          </w:p>
        </w:tc>
      </w:tr>
      <w:tr w:rsidR="00DC37D6" w:rsidRPr="00DC37D6" w14:paraId="79E041DC" w14:textId="77777777" w:rsidTr="00DC37D6">
        <w:trPr>
          <w:trHeight w:val="398"/>
        </w:trPr>
        <w:tc>
          <w:tcPr>
            <w:tcW w:w="5816" w:type="dxa"/>
            <w:shd w:val="clear" w:color="auto" w:fill="auto"/>
            <w:vAlign w:val="center"/>
            <w:hideMark/>
          </w:tcPr>
          <w:p w14:paraId="4E3EA6B6" w14:textId="77777777" w:rsidR="00DC37D6" w:rsidRPr="00DC37D6" w:rsidRDefault="00DC37D6" w:rsidP="00DC37D6">
            <w:pPr>
              <w:rPr>
                <w:rFonts w:ascii="Barlow" w:hAnsi="Barlow" w:cs="Arial"/>
                <w:color w:val="000000"/>
                <w:sz w:val="20"/>
                <w:szCs w:val="20"/>
                <w:lang w:eastAsia="es-MX"/>
              </w:rPr>
            </w:pPr>
            <w:r w:rsidRPr="00DC37D6">
              <w:rPr>
                <w:rFonts w:ascii="Barlow" w:hAnsi="Barlow" w:cs="Arial"/>
                <w:color w:val="000000"/>
                <w:sz w:val="20"/>
                <w:szCs w:val="20"/>
                <w:lang w:eastAsia="es-MX"/>
              </w:rPr>
              <w:t>PRESUPUESTO DE EGRESOS EJERCIDO</w:t>
            </w:r>
          </w:p>
        </w:tc>
        <w:tc>
          <w:tcPr>
            <w:tcW w:w="1971" w:type="dxa"/>
            <w:shd w:val="clear" w:color="auto" w:fill="auto"/>
            <w:hideMark/>
          </w:tcPr>
          <w:p w14:paraId="548E8063" w14:textId="77777777" w:rsidR="00DC37D6" w:rsidRPr="00DC37D6" w:rsidRDefault="00DC37D6" w:rsidP="00DC37D6">
            <w:pPr>
              <w:jc w:val="right"/>
              <w:rPr>
                <w:rFonts w:ascii="Barlow" w:hAnsi="Barlow" w:cs="Arial"/>
                <w:color w:val="000000"/>
                <w:sz w:val="20"/>
                <w:szCs w:val="20"/>
                <w:lang w:eastAsia="es-MX"/>
              </w:rPr>
            </w:pPr>
            <w:r w:rsidRPr="00DC37D6">
              <w:rPr>
                <w:rFonts w:ascii="Barlow" w:hAnsi="Barlow" w:cs="Arial"/>
                <w:color w:val="000000"/>
                <w:sz w:val="20"/>
                <w:szCs w:val="20"/>
                <w:lang w:eastAsia="es-MX"/>
              </w:rPr>
              <w:t>$3,286,289.25</w:t>
            </w:r>
          </w:p>
        </w:tc>
      </w:tr>
      <w:tr w:rsidR="00DC37D6" w:rsidRPr="00DC37D6" w14:paraId="068B7B5D" w14:textId="77777777" w:rsidTr="00DC37D6">
        <w:trPr>
          <w:trHeight w:val="283"/>
        </w:trPr>
        <w:tc>
          <w:tcPr>
            <w:tcW w:w="5816" w:type="dxa"/>
            <w:shd w:val="clear" w:color="auto" w:fill="auto"/>
            <w:vAlign w:val="center"/>
            <w:hideMark/>
          </w:tcPr>
          <w:p w14:paraId="2B4B8458" w14:textId="77777777" w:rsidR="00DC37D6" w:rsidRPr="00DC37D6" w:rsidRDefault="00DC37D6" w:rsidP="00DC37D6">
            <w:pPr>
              <w:rPr>
                <w:rFonts w:ascii="Barlow" w:hAnsi="Barlow" w:cs="Arial"/>
                <w:color w:val="000000"/>
                <w:sz w:val="20"/>
                <w:szCs w:val="20"/>
                <w:lang w:eastAsia="es-MX"/>
              </w:rPr>
            </w:pPr>
            <w:r w:rsidRPr="00DC37D6">
              <w:rPr>
                <w:rFonts w:ascii="Barlow" w:hAnsi="Barlow" w:cs="Arial"/>
                <w:color w:val="000000"/>
                <w:sz w:val="20"/>
                <w:szCs w:val="20"/>
                <w:lang w:eastAsia="es-MX"/>
              </w:rPr>
              <w:t>PRESUPUESTO DE EGRESOS PAGADO</w:t>
            </w:r>
          </w:p>
        </w:tc>
        <w:tc>
          <w:tcPr>
            <w:tcW w:w="1971" w:type="dxa"/>
            <w:shd w:val="clear" w:color="auto" w:fill="auto"/>
            <w:vAlign w:val="center"/>
            <w:hideMark/>
          </w:tcPr>
          <w:p w14:paraId="0B20DB58" w14:textId="77777777" w:rsidR="00DC37D6" w:rsidRPr="00DC37D6" w:rsidRDefault="00DC37D6" w:rsidP="00DC37D6">
            <w:pPr>
              <w:jc w:val="right"/>
              <w:rPr>
                <w:rFonts w:ascii="Barlow" w:hAnsi="Barlow" w:cs="Arial"/>
                <w:color w:val="000000"/>
                <w:sz w:val="20"/>
                <w:szCs w:val="20"/>
                <w:lang w:eastAsia="es-MX"/>
              </w:rPr>
            </w:pPr>
            <w:r w:rsidRPr="00DC37D6">
              <w:rPr>
                <w:rFonts w:ascii="Barlow" w:hAnsi="Barlow" w:cs="Arial"/>
                <w:color w:val="000000"/>
                <w:sz w:val="20"/>
                <w:szCs w:val="20"/>
                <w:lang w:eastAsia="es-MX"/>
              </w:rPr>
              <w:t>$3,224,029.28</w:t>
            </w:r>
          </w:p>
        </w:tc>
      </w:tr>
    </w:tbl>
    <w:p w14:paraId="580C5745" w14:textId="2AE57334" w:rsidR="003337BA" w:rsidRPr="00DC37D6" w:rsidRDefault="003337BA" w:rsidP="003337BA">
      <w:pPr>
        <w:tabs>
          <w:tab w:val="left" w:pos="6405"/>
        </w:tabs>
        <w:autoSpaceDE w:val="0"/>
        <w:autoSpaceDN w:val="0"/>
        <w:adjustRightInd w:val="0"/>
        <w:spacing w:line="360" w:lineRule="auto"/>
        <w:rPr>
          <w:rFonts w:ascii="Barlow" w:hAnsi="Barlow" w:cs="Arial"/>
          <w:b/>
          <w:sz w:val="20"/>
          <w:szCs w:val="20"/>
          <w:highlight w:val="yellow"/>
        </w:rPr>
      </w:pPr>
    </w:p>
    <w:p w14:paraId="3F8161D7" w14:textId="619347AD" w:rsidR="00B23F84" w:rsidRPr="00DC37D6" w:rsidRDefault="00B23F84" w:rsidP="003337BA">
      <w:pPr>
        <w:tabs>
          <w:tab w:val="left" w:pos="6405"/>
        </w:tabs>
        <w:autoSpaceDE w:val="0"/>
        <w:autoSpaceDN w:val="0"/>
        <w:adjustRightInd w:val="0"/>
        <w:spacing w:line="360" w:lineRule="auto"/>
        <w:rPr>
          <w:rFonts w:ascii="Barlow" w:hAnsi="Barlow" w:cs="Arial"/>
          <w:b/>
          <w:sz w:val="20"/>
          <w:szCs w:val="20"/>
          <w:highlight w:val="yellow"/>
        </w:rPr>
      </w:pPr>
    </w:p>
    <w:p w14:paraId="00044B58" w14:textId="77777777" w:rsidR="007A1D81" w:rsidRPr="00DC37D6" w:rsidRDefault="007A1D81" w:rsidP="003337BA">
      <w:pPr>
        <w:tabs>
          <w:tab w:val="left" w:pos="6405"/>
        </w:tabs>
        <w:autoSpaceDE w:val="0"/>
        <w:autoSpaceDN w:val="0"/>
        <w:adjustRightInd w:val="0"/>
        <w:spacing w:line="360" w:lineRule="auto"/>
        <w:rPr>
          <w:rFonts w:ascii="Barlow" w:hAnsi="Barlow" w:cs="Arial"/>
          <w:b/>
          <w:sz w:val="20"/>
          <w:szCs w:val="20"/>
          <w:highlight w:val="yellow"/>
        </w:rPr>
      </w:pPr>
    </w:p>
    <w:p w14:paraId="07282E16" w14:textId="77777777" w:rsidR="0007007B" w:rsidRPr="00DC37D6" w:rsidRDefault="0007007B" w:rsidP="003337BA">
      <w:pPr>
        <w:tabs>
          <w:tab w:val="left" w:pos="6405"/>
        </w:tabs>
        <w:autoSpaceDE w:val="0"/>
        <w:autoSpaceDN w:val="0"/>
        <w:adjustRightInd w:val="0"/>
        <w:spacing w:line="360" w:lineRule="auto"/>
        <w:rPr>
          <w:rFonts w:ascii="Barlow" w:hAnsi="Barlow" w:cs="Arial"/>
          <w:b/>
          <w:sz w:val="20"/>
          <w:szCs w:val="20"/>
          <w:highlight w:val="yellow"/>
        </w:rPr>
      </w:pPr>
    </w:p>
    <w:p w14:paraId="01050056" w14:textId="37EA9DE9" w:rsidR="005054A2" w:rsidRPr="00DC37D6" w:rsidRDefault="005054A2" w:rsidP="003337BA">
      <w:pPr>
        <w:tabs>
          <w:tab w:val="left" w:pos="6405"/>
        </w:tabs>
        <w:autoSpaceDE w:val="0"/>
        <w:autoSpaceDN w:val="0"/>
        <w:adjustRightInd w:val="0"/>
        <w:spacing w:line="360" w:lineRule="auto"/>
        <w:rPr>
          <w:rFonts w:ascii="Barlow" w:hAnsi="Barlow" w:cs="Arial"/>
          <w:b/>
          <w:sz w:val="20"/>
          <w:szCs w:val="20"/>
          <w:highlight w:val="yellow"/>
        </w:rPr>
      </w:pPr>
    </w:p>
    <w:p w14:paraId="1C8FD3A8" w14:textId="77777777" w:rsidR="00F053BC" w:rsidRPr="00DC37D6" w:rsidRDefault="00F053BC" w:rsidP="003337BA">
      <w:pPr>
        <w:tabs>
          <w:tab w:val="left" w:pos="6405"/>
        </w:tabs>
        <w:autoSpaceDE w:val="0"/>
        <w:autoSpaceDN w:val="0"/>
        <w:adjustRightInd w:val="0"/>
        <w:spacing w:line="360" w:lineRule="auto"/>
        <w:rPr>
          <w:rFonts w:ascii="Barlow" w:hAnsi="Barlow" w:cs="Arial"/>
          <w:b/>
          <w:sz w:val="20"/>
          <w:szCs w:val="20"/>
          <w:highlight w:val="yellow"/>
        </w:rPr>
      </w:pPr>
    </w:p>
    <w:p w14:paraId="7D4672A8" w14:textId="09294ED2" w:rsidR="00B23F84" w:rsidRPr="00DC37D6" w:rsidRDefault="00B23F84" w:rsidP="003337BA">
      <w:pPr>
        <w:tabs>
          <w:tab w:val="left" w:pos="6405"/>
        </w:tabs>
        <w:autoSpaceDE w:val="0"/>
        <w:autoSpaceDN w:val="0"/>
        <w:adjustRightInd w:val="0"/>
        <w:spacing w:line="360" w:lineRule="auto"/>
        <w:rPr>
          <w:rFonts w:ascii="Barlow" w:hAnsi="Barlow" w:cs="Arial"/>
          <w:b/>
          <w:sz w:val="20"/>
          <w:szCs w:val="20"/>
          <w:highlight w:val="yellow"/>
        </w:rPr>
      </w:pPr>
    </w:p>
    <w:p w14:paraId="10C17C4C" w14:textId="69CA3750" w:rsidR="00BC0E09" w:rsidRPr="00DC37D6" w:rsidRDefault="00BC0E09" w:rsidP="003337BA">
      <w:pPr>
        <w:tabs>
          <w:tab w:val="left" w:pos="6405"/>
        </w:tabs>
        <w:autoSpaceDE w:val="0"/>
        <w:autoSpaceDN w:val="0"/>
        <w:adjustRightInd w:val="0"/>
        <w:spacing w:line="360" w:lineRule="auto"/>
        <w:rPr>
          <w:rFonts w:ascii="Barlow" w:hAnsi="Barlow" w:cs="Arial"/>
          <w:b/>
          <w:sz w:val="20"/>
          <w:szCs w:val="20"/>
          <w:highlight w:val="yellow"/>
        </w:rPr>
      </w:pPr>
    </w:p>
    <w:p w14:paraId="0DB8F1C0" w14:textId="77777777" w:rsidR="00BC0E09" w:rsidRPr="00DC37D6" w:rsidRDefault="00BC0E09" w:rsidP="003337BA">
      <w:pPr>
        <w:tabs>
          <w:tab w:val="left" w:pos="6405"/>
        </w:tabs>
        <w:autoSpaceDE w:val="0"/>
        <w:autoSpaceDN w:val="0"/>
        <w:adjustRightInd w:val="0"/>
        <w:spacing w:line="360" w:lineRule="auto"/>
        <w:rPr>
          <w:rFonts w:ascii="Barlow" w:hAnsi="Barlow" w:cs="Arial"/>
          <w:b/>
          <w:sz w:val="20"/>
          <w:szCs w:val="20"/>
          <w:highlight w:val="yellow"/>
        </w:rPr>
      </w:pPr>
    </w:p>
    <w:p w14:paraId="32178C02" w14:textId="77777777" w:rsidR="00B60A4F" w:rsidRPr="00DC37D6" w:rsidRDefault="00B60A4F" w:rsidP="00105EB4">
      <w:pPr>
        <w:autoSpaceDE w:val="0"/>
        <w:autoSpaceDN w:val="0"/>
        <w:adjustRightInd w:val="0"/>
        <w:spacing w:line="360" w:lineRule="auto"/>
        <w:ind w:left="1080"/>
        <w:jc w:val="center"/>
        <w:rPr>
          <w:rFonts w:ascii="Barlow" w:hAnsi="Barlow" w:cs="Arial"/>
          <w:b/>
          <w:sz w:val="20"/>
          <w:szCs w:val="20"/>
        </w:rPr>
      </w:pPr>
    </w:p>
    <w:p w14:paraId="5D6F62EE" w14:textId="2E58F8D8" w:rsidR="00D3760C" w:rsidRPr="00DC37D6" w:rsidRDefault="006D64DF" w:rsidP="00105EB4">
      <w:pPr>
        <w:pStyle w:val="Prrafodelista"/>
        <w:numPr>
          <w:ilvl w:val="0"/>
          <w:numId w:val="25"/>
        </w:numPr>
        <w:autoSpaceDE w:val="0"/>
        <w:autoSpaceDN w:val="0"/>
        <w:adjustRightInd w:val="0"/>
        <w:spacing w:line="360" w:lineRule="auto"/>
        <w:jc w:val="center"/>
        <w:rPr>
          <w:rFonts w:ascii="Barlow" w:hAnsi="Barlow" w:cs="Arial"/>
          <w:b/>
          <w:sz w:val="20"/>
          <w:szCs w:val="20"/>
        </w:rPr>
      </w:pPr>
      <w:r w:rsidRPr="00DC37D6">
        <w:rPr>
          <w:rFonts w:ascii="Barlow" w:hAnsi="Barlow" w:cs="Arial"/>
          <w:b/>
          <w:sz w:val="20"/>
          <w:szCs w:val="20"/>
        </w:rPr>
        <w:t>NOTAS DE GESTIÓN ADMINISTRATIVA</w:t>
      </w:r>
    </w:p>
    <w:p w14:paraId="15332F3D" w14:textId="77777777" w:rsidR="00052C47" w:rsidRPr="00DC37D6" w:rsidRDefault="00052C47" w:rsidP="00E80B24">
      <w:pPr>
        <w:autoSpaceDE w:val="0"/>
        <w:autoSpaceDN w:val="0"/>
        <w:adjustRightInd w:val="0"/>
        <w:spacing w:line="360" w:lineRule="auto"/>
        <w:jc w:val="center"/>
        <w:rPr>
          <w:rFonts w:ascii="Barlow" w:hAnsi="Barlow" w:cs="Arial"/>
          <w:b/>
          <w:sz w:val="20"/>
          <w:szCs w:val="20"/>
        </w:rPr>
      </w:pPr>
    </w:p>
    <w:p w14:paraId="2E7DBC42" w14:textId="77777777" w:rsidR="002702FA" w:rsidRPr="00DC37D6" w:rsidRDefault="002702FA" w:rsidP="00C4137E">
      <w:pPr>
        <w:autoSpaceDE w:val="0"/>
        <w:autoSpaceDN w:val="0"/>
        <w:adjustRightInd w:val="0"/>
        <w:spacing w:line="360" w:lineRule="auto"/>
        <w:ind w:left="709"/>
        <w:jc w:val="both"/>
        <w:rPr>
          <w:rFonts w:ascii="Barlow" w:hAnsi="Barlow" w:cs="Arial"/>
          <w:b/>
          <w:sz w:val="20"/>
          <w:szCs w:val="20"/>
        </w:rPr>
      </w:pPr>
    </w:p>
    <w:p w14:paraId="2EF2AB9F" w14:textId="2E8C19D2" w:rsidR="00052C47" w:rsidRPr="00DC37D6" w:rsidRDefault="00D3760C" w:rsidP="00C4137E">
      <w:pPr>
        <w:autoSpaceDE w:val="0"/>
        <w:autoSpaceDN w:val="0"/>
        <w:adjustRightInd w:val="0"/>
        <w:spacing w:line="360" w:lineRule="auto"/>
        <w:ind w:left="709"/>
        <w:jc w:val="both"/>
        <w:rPr>
          <w:rFonts w:ascii="Barlow" w:hAnsi="Barlow" w:cs="Arial"/>
          <w:b/>
          <w:sz w:val="20"/>
          <w:szCs w:val="20"/>
        </w:rPr>
      </w:pPr>
      <w:r w:rsidRPr="00DC37D6">
        <w:rPr>
          <w:rFonts w:ascii="Barlow" w:hAnsi="Barlow" w:cs="Arial"/>
          <w:b/>
          <w:sz w:val="20"/>
          <w:szCs w:val="20"/>
        </w:rPr>
        <w:t>1.- Introducción</w:t>
      </w:r>
    </w:p>
    <w:p w14:paraId="2EAEC8EE" w14:textId="5D56ED74" w:rsidR="002B4C8F" w:rsidRPr="00DC37D6" w:rsidRDefault="00CD5CD2" w:rsidP="00C4137E">
      <w:p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Los Estados Financieros de la Secretar</w:t>
      </w:r>
      <w:r w:rsidR="00E01F6B" w:rsidRPr="00DC37D6">
        <w:rPr>
          <w:rFonts w:ascii="Barlow" w:hAnsi="Barlow" w:cs="Arial"/>
          <w:sz w:val="20"/>
          <w:szCs w:val="20"/>
        </w:rPr>
        <w:t>ía</w:t>
      </w:r>
      <w:r w:rsidRPr="00DC37D6">
        <w:rPr>
          <w:rFonts w:ascii="Barlow" w:hAnsi="Barlow" w:cs="Arial"/>
          <w:sz w:val="20"/>
          <w:szCs w:val="20"/>
        </w:rPr>
        <w:t xml:space="preserve"> Ejecutiva del Sistema Estatal Anticorrupción están disponibles para los usuarios que requieran dicha información contable, a través de ellos observamos la situación financiera y ayuda para la toma de decisiones de las autoridades de la misma.</w:t>
      </w:r>
    </w:p>
    <w:p w14:paraId="025F27F5" w14:textId="77777777" w:rsidR="000257A3" w:rsidRPr="00DC37D6" w:rsidRDefault="000257A3" w:rsidP="00C4137E">
      <w:pPr>
        <w:autoSpaceDE w:val="0"/>
        <w:autoSpaceDN w:val="0"/>
        <w:adjustRightInd w:val="0"/>
        <w:spacing w:line="360" w:lineRule="auto"/>
        <w:jc w:val="both"/>
        <w:rPr>
          <w:rFonts w:ascii="Barlow" w:hAnsi="Barlow" w:cs="Arial"/>
          <w:b/>
          <w:bCs/>
          <w:sz w:val="20"/>
          <w:szCs w:val="20"/>
        </w:rPr>
      </w:pPr>
    </w:p>
    <w:p w14:paraId="08C230AE" w14:textId="4FC75BBD" w:rsidR="000257A3" w:rsidRPr="00DC37D6" w:rsidRDefault="00D3760C" w:rsidP="00C4137E">
      <w:pPr>
        <w:autoSpaceDE w:val="0"/>
        <w:autoSpaceDN w:val="0"/>
        <w:adjustRightInd w:val="0"/>
        <w:spacing w:line="360" w:lineRule="auto"/>
        <w:ind w:left="709"/>
        <w:jc w:val="both"/>
        <w:rPr>
          <w:rFonts w:ascii="Barlow" w:hAnsi="Barlow" w:cs="Arial"/>
          <w:b/>
          <w:sz w:val="20"/>
          <w:szCs w:val="20"/>
        </w:rPr>
      </w:pPr>
      <w:r w:rsidRPr="00DC37D6">
        <w:rPr>
          <w:rFonts w:ascii="Barlow" w:hAnsi="Barlow" w:cs="Arial"/>
          <w:b/>
          <w:sz w:val="20"/>
          <w:szCs w:val="20"/>
        </w:rPr>
        <w:t>2.</w:t>
      </w:r>
      <w:r w:rsidR="00760D1C" w:rsidRPr="00DC37D6">
        <w:rPr>
          <w:rFonts w:ascii="Barlow" w:hAnsi="Barlow" w:cs="Arial"/>
          <w:b/>
          <w:sz w:val="20"/>
          <w:szCs w:val="20"/>
        </w:rPr>
        <w:t>- Panorama</w:t>
      </w:r>
      <w:r w:rsidRPr="00DC37D6">
        <w:rPr>
          <w:rFonts w:ascii="Barlow" w:hAnsi="Barlow" w:cs="Arial"/>
          <w:b/>
          <w:sz w:val="20"/>
          <w:szCs w:val="20"/>
        </w:rPr>
        <w:t xml:space="preserve"> Económico y Financiero</w:t>
      </w:r>
    </w:p>
    <w:p w14:paraId="1CD22C59" w14:textId="77777777" w:rsidR="00CD5CD2" w:rsidRPr="00DC37D6" w:rsidRDefault="00CD5CD2" w:rsidP="0099528D">
      <w:pPr>
        <w:autoSpaceDE w:val="0"/>
        <w:autoSpaceDN w:val="0"/>
        <w:spacing w:line="360" w:lineRule="auto"/>
        <w:jc w:val="both"/>
        <w:rPr>
          <w:rFonts w:ascii="Barlow" w:hAnsi="Barlow" w:cs="Arial"/>
          <w:sz w:val="20"/>
          <w:szCs w:val="20"/>
        </w:rPr>
      </w:pPr>
      <w:r w:rsidRPr="00DC37D6">
        <w:rPr>
          <w:rFonts w:ascii="Barlow" w:hAnsi="Barlow" w:cs="Arial"/>
          <w:sz w:val="20"/>
          <w:szCs w:val="20"/>
        </w:rPr>
        <w:t xml:space="preserve">El panorama económico y financiero se clarifica a través de los Estados Financieros, puesto que las cifras muestran la situación económica de la Secretaría Ejecutiva, los ingresos y egresos a un periodo determinado, así como, el desglose de los recursos utilizados mediante los montos e importes. </w:t>
      </w:r>
    </w:p>
    <w:p w14:paraId="749C5826" w14:textId="77777777" w:rsidR="00AD3205" w:rsidRPr="00DC37D6" w:rsidRDefault="00AD3205" w:rsidP="00C4137E">
      <w:pPr>
        <w:autoSpaceDE w:val="0"/>
        <w:autoSpaceDN w:val="0"/>
        <w:adjustRightInd w:val="0"/>
        <w:spacing w:line="360" w:lineRule="auto"/>
        <w:jc w:val="both"/>
        <w:rPr>
          <w:rFonts w:ascii="Barlow" w:hAnsi="Barlow" w:cs="Arial"/>
          <w:b/>
          <w:sz w:val="20"/>
          <w:szCs w:val="20"/>
        </w:rPr>
      </w:pPr>
    </w:p>
    <w:p w14:paraId="573FAB9D" w14:textId="4D580367" w:rsidR="00AD3205" w:rsidRPr="00DC37D6" w:rsidRDefault="00D3760C" w:rsidP="00EF14DF">
      <w:pPr>
        <w:autoSpaceDE w:val="0"/>
        <w:autoSpaceDN w:val="0"/>
        <w:adjustRightInd w:val="0"/>
        <w:ind w:firstLine="709"/>
        <w:jc w:val="both"/>
        <w:rPr>
          <w:rFonts w:ascii="Barlow" w:hAnsi="Barlow" w:cs="Arial"/>
          <w:b/>
          <w:sz w:val="20"/>
          <w:szCs w:val="20"/>
        </w:rPr>
      </w:pPr>
      <w:r w:rsidRPr="00DC37D6">
        <w:rPr>
          <w:rFonts w:ascii="Barlow" w:hAnsi="Barlow" w:cs="Arial"/>
          <w:b/>
          <w:sz w:val="20"/>
          <w:szCs w:val="20"/>
        </w:rPr>
        <w:lastRenderedPageBreak/>
        <w:t>3.</w:t>
      </w:r>
      <w:r w:rsidR="00760D1C" w:rsidRPr="00DC37D6">
        <w:rPr>
          <w:rFonts w:ascii="Barlow" w:hAnsi="Barlow" w:cs="Arial"/>
          <w:b/>
          <w:sz w:val="20"/>
          <w:szCs w:val="20"/>
        </w:rPr>
        <w:t>- Autorización</w:t>
      </w:r>
      <w:r w:rsidRPr="00DC37D6">
        <w:rPr>
          <w:rFonts w:ascii="Barlow" w:hAnsi="Barlow" w:cs="Arial"/>
          <w:b/>
          <w:sz w:val="20"/>
          <w:szCs w:val="20"/>
        </w:rPr>
        <w:t xml:space="preserve"> e Historia</w:t>
      </w:r>
    </w:p>
    <w:p w14:paraId="4487686D" w14:textId="77777777" w:rsidR="008C136A" w:rsidRPr="00DC37D6" w:rsidRDefault="008C136A" w:rsidP="00EF14DF">
      <w:pPr>
        <w:autoSpaceDE w:val="0"/>
        <w:autoSpaceDN w:val="0"/>
        <w:adjustRightInd w:val="0"/>
        <w:ind w:firstLine="709"/>
        <w:jc w:val="both"/>
        <w:rPr>
          <w:rFonts w:ascii="Barlow" w:hAnsi="Barlow" w:cs="Arial"/>
          <w:b/>
          <w:sz w:val="20"/>
          <w:szCs w:val="20"/>
        </w:rPr>
      </w:pPr>
    </w:p>
    <w:p w14:paraId="40A78498" w14:textId="77777777" w:rsidR="00D3760C" w:rsidRPr="00DC37D6" w:rsidRDefault="00D3760C" w:rsidP="00EF14DF">
      <w:pPr>
        <w:numPr>
          <w:ilvl w:val="0"/>
          <w:numId w:val="3"/>
        </w:numPr>
        <w:autoSpaceDE w:val="0"/>
        <w:autoSpaceDN w:val="0"/>
        <w:adjustRightInd w:val="0"/>
        <w:jc w:val="both"/>
        <w:rPr>
          <w:rFonts w:ascii="Barlow" w:hAnsi="Barlow" w:cs="Arial"/>
          <w:b/>
          <w:sz w:val="20"/>
          <w:szCs w:val="20"/>
        </w:rPr>
      </w:pPr>
      <w:r w:rsidRPr="00DC37D6">
        <w:rPr>
          <w:rFonts w:ascii="Barlow" w:hAnsi="Barlow" w:cs="Arial"/>
          <w:b/>
          <w:sz w:val="20"/>
          <w:szCs w:val="20"/>
        </w:rPr>
        <w:t xml:space="preserve">Fecha de creación del ente. </w:t>
      </w:r>
    </w:p>
    <w:p w14:paraId="75969DE5" w14:textId="77777777" w:rsidR="006705EE" w:rsidRPr="00DC37D6" w:rsidRDefault="006705EE" w:rsidP="006705EE">
      <w:p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 xml:space="preserve">Que el 27 de mayo de 2015 se publicó en el Diario Oficial de la Federación el “Decreto por el que se reforman, adicionan y derogan diversas disposiciones de la Constitución Política de los Estados Unidos Mexicanos, en materia de combate a la corrupción”, mediante el cual se reformó, entre otros, el artículo 113 constitucional, instituyéndose así el Sistema Nacional Anticorrupción como la instancia de coordinación entre las autoridades de todos los órdenes de gobierno competentes en la prevención, detección y sanción de responsabilidades administrativas y hechos de corrupción, así como en la fiscalización y control de recursos públicos; estipulándose en el transitorio cuarto de dicha reforma constitucional, que las legislaturas de los estados deberán expedir las leyes y realizar las adecuaciones normativas necesarias dentro de los 180 días siguientes a la entrada en vigor de las leyes generales relacionadas con el aludido sistema nacional. </w:t>
      </w:r>
    </w:p>
    <w:p w14:paraId="2E3462DD" w14:textId="77777777" w:rsidR="006705EE" w:rsidRPr="00DC37D6" w:rsidRDefault="006705EE" w:rsidP="006705EE">
      <w:p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 xml:space="preserve"> </w:t>
      </w:r>
    </w:p>
    <w:p w14:paraId="5B1BD4D1" w14:textId="6B951E4E" w:rsidR="00C47134" w:rsidRPr="00DC37D6" w:rsidRDefault="006705EE" w:rsidP="00C47134">
      <w:p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 xml:space="preserve">Que en fecha 20 de abril de 2016 se publicó en el Diario Oficial del Gobierno del Estado el decreto 380/2016 por el que se modifica la Constitución Política del Estado de Yucatán, en materia de anticorrupción y transparencia, con dicha reforma se realizaron las adecuaciones que obligaba la carta magna en esta materia. </w:t>
      </w:r>
      <w:r w:rsidR="001C734A" w:rsidRPr="00DC37D6">
        <w:rPr>
          <w:rFonts w:ascii="Barlow" w:hAnsi="Barlow" w:cs="Arial"/>
          <w:sz w:val="20"/>
          <w:szCs w:val="20"/>
        </w:rPr>
        <w:t>Que,</w:t>
      </w:r>
      <w:r w:rsidRPr="00DC37D6">
        <w:rPr>
          <w:rFonts w:ascii="Barlow" w:hAnsi="Barlow" w:cs="Arial"/>
          <w:sz w:val="20"/>
          <w:szCs w:val="20"/>
        </w:rPr>
        <w:t xml:space="preserve"> por Decreto del Titular del Poder Ejecutivo Estatal, publicado en Diario Oficial del Gobierno del Estado el 18 de julio de 2017, se expidió la Ley del Sistema Estatal Anticorrupción de Yucatán, cuyo artículo 30 dispone la creación de un organismo público descentralizado, no sectorizado, con personalidad jurídica y patrimonio propio, con autonomía técnica y de gestión, denominado Secretaría Ejecutiva del Sistema Estatal Anticorrupción.</w:t>
      </w:r>
    </w:p>
    <w:p w14:paraId="493FA5A9" w14:textId="77777777" w:rsidR="00E000BC" w:rsidRPr="00DC37D6" w:rsidRDefault="00E000BC" w:rsidP="00E7733B">
      <w:pPr>
        <w:autoSpaceDE w:val="0"/>
        <w:autoSpaceDN w:val="0"/>
        <w:adjustRightInd w:val="0"/>
        <w:spacing w:line="360" w:lineRule="auto"/>
        <w:ind w:firstLine="851"/>
        <w:jc w:val="both"/>
        <w:rPr>
          <w:rFonts w:ascii="Barlow" w:hAnsi="Barlow" w:cs="Arial"/>
          <w:b/>
          <w:sz w:val="20"/>
          <w:szCs w:val="20"/>
        </w:rPr>
      </w:pPr>
    </w:p>
    <w:p w14:paraId="55C04E7C" w14:textId="77777777" w:rsidR="00D3760C" w:rsidRPr="00DC37D6" w:rsidRDefault="00D3760C" w:rsidP="00EF14DF">
      <w:pPr>
        <w:autoSpaceDE w:val="0"/>
        <w:autoSpaceDN w:val="0"/>
        <w:adjustRightInd w:val="0"/>
        <w:ind w:firstLine="851"/>
        <w:jc w:val="both"/>
        <w:rPr>
          <w:rFonts w:ascii="Barlow" w:hAnsi="Barlow" w:cs="Arial"/>
          <w:b/>
          <w:sz w:val="20"/>
          <w:szCs w:val="20"/>
        </w:rPr>
      </w:pPr>
      <w:r w:rsidRPr="00DC37D6">
        <w:rPr>
          <w:rFonts w:ascii="Barlow" w:hAnsi="Barlow" w:cs="Arial"/>
          <w:b/>
          <w:sz w:val="20"/>
          <w:szCs w:val="20"/>
        </w:rPr>
        <w:t>4.- Organización y Objeto Social</w:t>
      </w:r>
    </w:p>
    <w:p w14:paraId="4D8FCEDA" w14:textId="77777777" w:rsidR="00AD3205" w:rsidRPr="00DC37D6" w:rsidRDefault="00AD3205" w:rsidP="00EF14DF">
      <w:pPr>
        <w:autoSpaceDE w:val="0"/>
        <w:autoSpaceDN w:val="0"/>
        <w:adjustRightInd w:val="0"/>
        <w:jc w:val="both"/>
        <w:rPr>
          <w:rFonts w:ascii="Barlow" w:hAnsi="Barlow" w:cs="Arial"/>
          <w:b/>
          <w:sz w:val="20"/>
          <w:szCs w:val="20"/>
        </w:rPr>
      </w:pPr>
    </w:p>
    <w:p w14:paraId="20FF58F0" w14:textId="77777777" w:rsidR="00D3760C" w:rsidRPr="00DC37D6" w:rsidRDefault="00D3760C" w:rsidP="00EF14DF">
      <w:pPr>
        <w:numPr>
          <w:ilvl w:val="0"/>
          <w:numId w:val="4"/>
        </w:numPr>
        <w:tabs>
          <w:tab w:val="left" w:pos="1065"/>
        </w:tabs>
        <w:autoSpaceDE w:val="0"/>
        <w:autoSpaceDN w:val="0"/>
        <w:adjustRightInd w:val="0"/>
        <w:jc w:val="both"/>
        <w:rPr>
          <w:rFonts w:ascii="Barlow" w:hAnsi="Barlow" w:cs="Arial"/>
          <w:b/>
          <w:sz w:val="20"/>
          <w:szCs w:val="20"/>
        </w:rPr>
      </w:pPr>
      <w:r w:rsidRPr="00DC37D6">
        <w:rPr>
          <w:rFonts w:ascii="Barlow" w:hAnsi="Barlow" w:cs="Arial"/>
          <w:b/>
          <w:sz w:val="20"/>
          <w:szCs w:val="20"/>
        </w:rPr>
        <w:t>Objeto social.</w:t>
      </w:r>
    </w:p>
    <w:p w14:paraId="1C24D4F5" w14:textId="7DCAC088" w:rsidR="004125CE" w:rsidRPr="00DC37D6" w:rsidRDefault="006705EE" w:rsidP="00410493">
      <w:p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 xml:space="preserve">El objeto de la Secretaría Ejecutiva del Sistema Estatal Anticorrupción </w:t>
      </w:r>
      <w:r w:rsidR="00C47134" w:rsidRPr="00DC37D6">
        <w:rPr>
          <w:rFonts w:ascii="Barlow" w:hAnsi="Barlow" w:cs="Arial"/>
          <w:sz w:val="20"/>
          <w:szCs w:val="20"/>
        </w:rPr>
        <w:t xml:space="preserve">de Yucatán </w:t>
      </w:r>
      <w:r w:rsidRPr="00DC37D6">
        <w:rPr>
          <w:rFonts w:ascii="Barlow" w:hAnsi="Barlow" w:cs="Arial"/>
          <w:sz w:val="20"/>
          <w:szCs w:val="20"/>
        </w:rPr>
        <w:t>es fungir como órgano de apoyo técnico del Comité Coordinador del Sistema Estatal Anticorrupción, a efecto de proveerle asistencia técnica, así como los insumos necesarios para el desempeño de sus atribuciones, establecidas en la fracción III del artículo 101 Bis de la Constitución Política del Estado de Yucatán y en la Ley del Sistema Estatal Anticorrupción de Yucatán.</w:t>
      </w:r>
    </w:p>
    <w:p w14:paraId="4D8C1700" w14:textId="77777777" w:rsidR="00D3760C" w:rsidRPr="00DC37D6" w:rsidRDefault="00D3760C" w:rsidP="00D17CB7">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DC37D6">
        <w:rPr>
          <w:rFonts w:ascii="Barlow" w:hAnsi="Barlow" w:cs="Arial"/>
          <w:b/>
          <w:sz w:val="20"/>
          <w:szCs w:val="20"/>
        </w:rPr>
        <w:lastRenderedPageBreak/>
        <w:t>Principal actividad</w:t>
      </w:r>
    </w:p>
    <w:p w14:paraId="4C117EB6" w14:textId="312C12BA" w:rsidR="009A3578" w:rsidRPr="00DC37D6" w:rsidRDefault="006705EE" w:rsidP="00C4137E">
      <w:p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Proveer a la Comisión Ejecutiva los insumos necesarios para la elaboración de las propuestas a que se refiere la Ley del Sistema Estatal Anticorrupción de Yucatán.</w:t>
      </w:r>
    </w:p>
    <w:p w14:paraId="52965058" w14:textId="77777777" w:rsidR="00592419" w:rsidRPr="00DC37D6" w:rsidRDefault="00D3760C" w:rsidP="00410493">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DC37D6">
        <w:rPr>
          <w:rFonts w:ascii="Barlow" w:hAnsi="Barlow" w:cs="Arial"/>
          <w:b/>
          <w:sz w:val="20"/>
          <w:szCs w:val="20"/>
        </w:rPr>
        <w:t>Ejercicio Fiscal</w:t>
      </w:r>
      <w:r w:rsidR="006705EE" w:rsidRPr="00DC37D6">
        <w:rPr>
          <w:rFonts w:ascii="Barlow" w:hAnsi="Barlow" w:cs="Arial"/>
          <w:b/>
          <w:sz w:val="20"/>
          <w:szCs w:val="20"/>
        </w:rPr>
        <w:t xml:space="preserve"> </w:t>
      </w:r>
    </w:p>
    <w:p w14:paraId="636E8800" w14:textId="419C7583" w:rsidR="00D3760C" w:rsidRPr="00DC37D6" w:rsidRDefault="00D3760C" w:rsidP="00E000BC">
      <w:pPr>
        <w:tabs>
          <w:tab w:val="left" w:pos="1065"/>
        </w:tabs>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 xml:space="preserve">Las cifras contenidas en los Estados Financieros y que se mencionan en estas notas se </w:t>
      </w:r>
      <w:r w:rsidR="004515D4" w:rsidRPr="00DC37D6">
        <w:rPr>
          <w:rFonts w:ascii="Barlow" w:hAnsi="Barlow" w:cs="Arial"/>
          <w:sz w:val="20"/>
          <w:szCs w:val="20"/>
        </w:rPr>
        <w:t xml:space="preserve">presentan </w:t>
      </w:r>
      <w:r w:rsidR="004515D4" w:rsidRPr="00DC37D6">
        <w:rPr>
          <w:rFonts w:ascii="Barlow" w:hAnsi="Barlow" w:cs="Arial"/>
          <w:b/>
          <w:sz w:val="20"/>
          <w:szCs w:val="20"/>
        </w:rPr>
        <w:t>al</w:t>
      </w:r>
      <w:r w:rsidRPr="00DC37D6">
        <w:rPr>
          <w:rFonts w:ascii="Barlow" w:hAnsi="Barlow" w:cs="Arial"/>
          <w:b/>
          <w:sz w:val="20"/>
          <w:szCs w:val="20"/>
        </w:rPr>
        <w:t xml:space="preserve"> </w:t>
      </w:r>
      <w:bookmarkStart w:id="17" w:name="m17"/>
      <w:bookmarkEnd w:id="17"/>
      <w:r w:rsidR="00FB2FAB" w:rsidRPr="00DC37D6">
        <w:rPr>
          <w:rFonts w:ascii="Barlow" w:hAnsi="Barlow" w:cs="Arial"/>
          <w:b/>
          <w:sz w:val="20"/>
          <w:szCs w:val="20"/>
        </w:rPr>
        <w:t>31</w:t>
      </w:r>
      <w:r w:rsidRPr="00DC37D6">
        <w:rPr>
          <w:rFonts w:ascii="Barlow" w:hAnsi="Barlow" w:cs="Arial"/>
          <w:b/>
          <w:sz w:val="20"/>
          <w:szCs w:val="20"/>
        </w:rPr>
        <w:t xml:space="preserve"> de </w:t>
      </w:r>
      <w:r w:rsidR="00FB2FAB" w:rsidRPr="00DC37D6">
        <w:rPr>
          <w:rFonts w:ascii="Barlow" w:hAnsi="Barlow" w:cs="Arial"/>
          <w:b/>
          <w:sz w:val="20"/>
          <w:szCs w:val="20"/>
        </w:rPr>
        <w:t>marz</w:t>
      </w:r>
      <w:r w:rsidR="00C242B7" w:rsidRPr="00DC37D6">
        <w:rPr>
          <w:rFonts w:ascii="Barlow" w:hAnsi="Barlow" w:cs="Arial"/>
          <w:b/>
          <w:sz w:val="20"/>
          <w:szCs w:val="20"/>
        </w:rPr>
        <w:t>o</w:t>
      </w:r>
      <w:r w:rsidR="006705EE" w:rsidRPr="00DC37D6">
        <w:rPr>
          <w:rFonts w:ascii="Barlow" w:hAnsi="Barlow" w:cs="Arial"/>
          <w:b/>
          <w:sz w:val="20"/>
          <w:szCs w:val="20"/>
        </w:rPr>
        <w:t xml:space="preserve"> del </w:t>
      </w:r>
      <w:r w:rsidR="00760D1C" w:rsidRPr="00DC37D6">
        <w:rPr>
          <w:rFonts w:ascii="Barlow" w:hAnsi="Barlow" w:cs="Arial"/>
          <w:b/>
          <w:sz w:val="20"/>
          <w:szCs w:val="20"/>
        </w:rPr>
        <w:t>e</w:t>
      </w:r>
      <w:r w:rsidR="006705EE" w:rsidRPr="00DC37D6">
        <w:rPr>
          <w:rFonts w:ascii="Barlow" w:hAnsi="Barlow" w:cs="Arial"/>
          <w:b/>
          <w:sz w:val="20"/>
          <w:szCs w:val="20"/>
        </w:rPr>
        <w:t xml:space="preserve">jercicio </w:t>
      </w:r>
      <w:r w:rsidR="00760D1C" w:rsidRPr="00DC37D6">
        <w:rPr>
          <w:rFonts w:ascii="Barlow" w:hAnsi="Barlow" w:cs="Arial"/>
          <w:b/>
          <w:sz w:val="20"/>
          <w:szCs w:val="20"/>
        </w:rPr>
        <w:t>f</w:t>
      </w:r>
      <w:r w:rsidR="006705EE" w:rsidRPr="00DC37D6">
        <w:rPr>
          <w:rFonts w:ascii="Barlow" w:hAnsi="Barlow" w:cs="Arial"/>
          <w:b/>
          <w:sz w:val="20"/>
          <w:szCs w:val="20"/>
        </w:rPr>
        <w:t xml:space="preserve">iscal </w:t>
      </w:r>
      <w:r w:rsidR="00760D1C" w:rsidRPr="00DC37D6">
        <w:rPr>
          <w:rFonts w:ascii="Barlow" w:hAnsi="Barlow" w:cs="Arial"/>
          <w:b/>
          <w:sz w:val="20"/>
          <w:szCs w:val="20"/>
        </w:rPr>
        <w:t>202</w:t>
      </w:r>
      <w:r w:rsidR="00C242B7" w:rsidRPr="00DC37D6">
        <w:rPr>
          <w:rFonts w:ascii="Barlow" w:hAnsi="Barlow" w:cs="Arial"/>
          <w:b/>
          <w:sz w:val="20"/>
          <w:szCs w:val="20"/>
        </w:rPr>
        <w:t>2</w:t>
      </w:r>
      <w:r w:rsidR="00222282" w:rsidRPr="00DC37D6">
        <w:rPr>
          <w:rFonts w:ascii="Barlow" w:hAnsi="Barlow" w:cs="Arial"/>
          <w:sz w:val="20"/>
          <w:szCs w:val="20"/>
        </w:rPr>
        <w:t>.</w:t>
      </w:r>
    </w:p>
    <w:p w14:paraId="559ADCD2" w14:textId="29DD61DE" w:rsidR="001E6FE3" w:rsidRPr="00DC37D6" w:rsidRDefault="00775193" w:rsidP="00BB30C2">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DC37D6">
        <w:rPr>
          <w:rFonts w:ascii="Barlow" w:hAnsi="Barlow" w:cs="Arial"/>
          <w:b/>
          <w:sz w:val="20"/>
          <w:szCs w:val="20"/>
        </w:rPr>
        <w:t>Régimen Jurídico</w:t>
      </w:r>
    </w:p>
    <w:p w14:paraId="7ED0BDA6" w14:textId="77777777" w:rsidR="00D3760C" w:rsidRPr="00DC37D6" w:rsidRDefault="00C47134" w:rsidP="00C4137E">
      <w:pPr>
        <w:autoSpaceDE w:val="0"/>
        <w:autoSpaceDN w:val="0"/>
        <w:adjustRightInd w:val="0"/>
        <w:spacing w:line="360" w:lineRule="auto"/>
        <w:ind w:firstLine="705"/>
        <w:jc w:val="both"/>
        <w:rPr>
          <w:rFonts w:ascii="Barlow" w:hAnsi="Barlow" w:cs="Arial"/>
          <w:sz w:val="20"/>
          <w:szCs w:val="20"/>
        </w:rPr>
      </w:pPr>
      <w:r w:rsidRPr="00DC37D6">
        <w:rPr>
          <w:rFonts w:ascii="Barlow" w:hAnsi="Barlow" w:cs="Arial"/>
          <w:sz w:val="20"/>
          <w:szCs w:val="20"/>
        </w:rPr>
        <w:t>La Secretaría Ejecutiva del Sistema Estatal Anticorrupción de Yucatán está regulada</w:t>
      </w:r>
      <w:r w:rsidR="00D3760C" w:rsidRPr="00DC37D6">
        <w:rPr>
          <w:rFonts w:ascii="Barlow" w:hAnsi="Barlow" w:cs="Arial"/>
          <w:sz w:val="20"/>
          <w:szCs w:val="20"/>
        </w:rPr>
        <w:t xml:space="preserve"> por lo siguiente:</w:t>
      </w:r>
    </w:p>
    <w:p w14:paraId="290882EA" w14:textId="77777777" w:rsidR="00C47134" w:rsidRPr="00DC37D6"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Constitución Política de los Estados Unidos Mexicanos</w:t>
      </w:r>
    </w:p>
    <w:p w14:paraId="46931D5B" w14:textId="77777777" w:rsidR="00C47134" w:rsidRPr="00DC37D6"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Pacto Internacional de Derechos Civiles y Políticos</w:t>
      </w:r>
    </w:p>
    <w:p w14:paraId="14D9F770" w14:textId="77777777" w:rsidR="00C47134" w:rsidRPr="00DC37D6"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Pacto Internacional de Derechos Económicos, Sociales y Culturales.</w:t>
      </w:r>
    </w:p>
    <w:p w14:paraId="08F65331" w14:textId="77777777" w:rsidR="00C47134" w:rsidRPr="00DC37D6"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Constitución Política del Estado de Yucatán</w:t>
      </w:r>
    </w:p>
    <w:p w14:paraId="6CE2278F" w14:textId="77777777" w:rsidR="00C47134" w:rsidRPr="00DC37D6"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Estatuto Orgánico de la Secretaría Ejecutiva del Sistema Estatal Anticorrupción</w:t>
      </w:r>
    </w:p>
    <w:p w14:paraId="3B1491F6" w14:textId="77777777" w:rsidR="00C47134" w:rsidRPr="00DC37D6"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Ley General de Transparencia y Acceso a la Información Pública</w:t>
      </w:r>
    </w:p>
    <w:p w14:paraId="1F304B55" w14:textId="77777777" w:rsidR="00C47134" w:rsidRPr="00DC37D6"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Ley General de Protección de Datos Personales en Posesión de Sujetos Obligados</w:t>
      </w:r>
    </w:p>
    <w:p w14:paraId="1AC6C1DD" w14:textId="77777777" w:rsidR="00C47134" w:rsidRPr="00DC37D6"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Ley General del Sistema Nacional Anticorrupción</w:t>
      </w:r>
    </w:p>
    <w:p w14:paraId="560807C9" w14:textId="77777777" w:rsidR="00C47134" w:rsidRPr="00DC37D6"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Ley del Sistema Estatal Anticorrupción de Yucatán</w:t>
      </w:r>
    </w:p>
    <w:p w14:paraId="0D1F9552" w14:textId="77777777" w:rsidR="00C47134" w:rsidRPr="00DC37D6"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Ley de Transparencia y Acceso a la Información Pública del Estado de Yucatán</w:t>
      </w:r>
    </w:p>
    <w:p w14:paraId="0FB02277" w14:textId="77777777" w:rsidR="00C47134" w:rsidRPr="00DC37D6"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Código de la Administración Pública de Yucatán</w:t>
      </w:r>
    </w:p>
    <w:p w14:paraId="7326E121" w14:textId="77777777" w:rsidR="00C47134" w:rsidRPr="00DC37D6"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Reglamento del Código de la Administración Pública de Yucatán</w:t>
      </w:r>
    </w:p>
    <w:p w14:paraId="3597AE24" w14:textId="77777777" w:rsidR="00C47134" w:rsidRPr="00DC37D6" w:rsidRDefault="00C47134" w:rsidP="00D17CB7">
      <w:pPr>
        <w:pStyle w:val="Prrafodelista"/>
        <w:numPr>
          <w:ilvl w:val="0"/>
          <w:numId w:val="11"/>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Reglamento del Mecanismo de Queja</w:t>
      </w:r>
    </w:p>
    <w:p w14:paraId="17007E5C" w14:textId="77777777" w:rsidR="00A70892" w:rsidRPr="00DC37D6" w:rsidRDefault="00A70892" w:rsidP="00D17CB7">
      <w:pPr>
        <w:numPr>
          <w:ilvl w:val="0"/>
          <w:numId w:val="2"/>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La Ley General de Contabilidad Gubernamental.</w:t>
      </w:r>
    </w:p>
    <w:p w14:paraId="08FC5CC0" w14:textId="77777777" w:rsidR="00D3760C" w:rsidRPr="00DC37D6" w:rsidRDefault="00D3760C" w:rsidP="00D17CB7">
      <w:pPr>
        <w:numPr>
          <w:ilvl w:val="0"/>
          <w:numId w:val="2"/>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lastRenderedPageBreak/>
        <w:t>La Ley del Presupuesto y Contabilidad Gubernamental del Estado de Yucatán y su reglamento.</w:t>
      </w:r>
    </w:p>
    <w:p w14:paraId="547EF69C" w14:textId="77777777" w:rsidR="00D3760C" w:rsidRPr="00DC37D6" w:rsidRDefault="00D3760C" w:rsidP="00D17CB7">
      <w:pPr>
        <w:numPr>
          <w:ilvl w:val="0"/>
          <w:numId w:val="2"/>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La Ley de Adquisiciones, Arrendamientos y Prestación de Servicios relacionados con Bienes Muebles.</w:t>
      </w:r>
    </w:p>
    <w:p w14:paraId="25C795BE" w14:textId="77777777" w:rsidR="00D3760C" w:rsidRPr="00DC37D6" w:rsidRDefault="00D3760C" w:rsidP="00D17CB7">
      <w:pPr>
        <w:numPr>
          <w:ilvl w:val="0"/>
          <w:numId w:val="2"/>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La Ley de Fiscalización de la Cuenta Pública del Estado de Yucatán y su reglamento.</w:t>
      </w:r>
    </w:p>
    <w:p w14:paraId="78C10D60" w14:textId="1961A385" w:rsidR="0001578C" w:rsidRPr="00DC37D6" w:rsidRDefault="00D62038" w:rsidP="00BB30C2">
      <w:pPr>
        <w:numPr>
          <w:ilvl w:val="0"/>
          <w:numId w:val="2"/>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L</w:t>
      </w:r>
      <w:r w:rsidR="00F95B60" w:rsidRPr="00DC37D6">
        <w:rPr>
          <w:rFonts w:ascii="Barlow" w:hAnsi="Barlow" w:cs="Arial"/>
          <w:sz w:val="20"/>
          <w:szCs w:val="20"/>
        </w:rPr>
        <w:t>ey de Disciplina Financiera de las Entidades Federativas y Municipios</w:t>
      </w:r>
    </w:p>
    <w:p w14:paraId="56B9DA37" w14:textId="77777777" w:rsidR="00101583" w:rsidRPr="00DC37D6" w:rsidRDefault="00101583" w:rsidP="00AC2D66">
      <w:pPr>
        <w:autoSpaceDE w:val="0"/>
        <w:autoSpaceDN w:val="0"/>
        <w:adjustRightInd w:val="0"/>
        <w:spacing w:line="360" w:lineRule="auto"/>
        <w:jc w:val="both"/>
        <w:rPr>
          <w:rFonts w:ascii="Barlow" w:hAnsi="Barlow" w:cs="Arial"/>
          <w:sz w:val="20"/>
          <w:szCs w:val="20"/>
        </w:rPr>
      </w:pPr>
    </w:p>
    <w:p w14:paraId="602AF6A8" w14:textId="77777777" w:rsidR="00D3760C" w:rsidRPr="00DC37D6" w:rsidRDefault="00D3760C" w:rsidP="00D17CB7">
      <w:pPr>
        <w:numPr>
          <w:ilvl w:val="0"/>
          <w:numId w:val="4"/>
        </w:numPr>
        <w:tabs>
          <w:tab w:val="left" w:pos="1065"/>
        </w:tabs>
        <w:autoSpaceDE w:val="0"/>
        <w:autoSpaceDN w:val="0"/>
        <w:adjustRightInd w:val="0"/>
        <w:spacing w:line="360" w:lineRule="auto"/>
        <w:jc w:val="both"/>
        <w:rPr>
          <w:rFonts w:ascii="Barlow" w:hAnsi="Barlow" w:cs="Arial"/>
          <w:b/>
          <w:sz w:val="20"/>
          <w:szCs w:val="20"/>
        </w:rPr>
      </w:pPr>
      <w:r w:rsidRPr="00DC37D6">
        <w:rPr>
          <w:rFonts w:ascii="Barlow" w:hAnsi="Barlow" w:cs="Arial"/>
          <w:b/>
          <w:sz w:val="20"/>
          <w:szCs w:val="20"/>
        </w:rPr>
        <w:t xml:space="preserve">Consideraciones fiscales del ente: </w:t>
      </w:r>
    </w:p>
    <w:p w14:paraId="6B4565FE" w14:textId="77777777" w:rsidR="00D3760C" w:rsidRPr="00DC37D6" w:rsidRDefault="000E073D" w:rsidP="00410493">
      <w:p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La Secretaría Ejecutiva del Sistema Estatal Anticorrupción de Yucatán tiene l</w:t>
      </w:r>
      <w:r w:rsidR="00D3760C" w:rsidRPr="00DC37D6">
        <w:rPr>
          <w:rFonts w:ascii="Barlow" w:hAnsi="Barlow" w:cs="Arial"/>
          <w:sz w:val="20"/>
          <w:szCs w:val="20"/>
        </w:rPr>
        <w:t xml:space="preserve">as obligaciones fiscales siguientes: </w:t>
      </w:r>
    </w:p>
    <w:p w14:paraId="6066AEBE" w14:textId="77777777" w:rsidR="00D3760C" w:rsidRPr="00DC37D6" w:rsidRDefault="00D3760C" w:rsidP="00C4137E">
      <w:pPr>
        <w:autoSpaceDE w:val="0"/>
        <w:autoSpaceDN w:val="0"/>
        <w:adjustRightInd w:val="0"/>
        <w:spacing w:line="360" w:lineRule="auto"/>
        <w:ind w:firstLine="705"/>
        <w:jc w:val="both"/>
        <w:rPr>
          <w:rFonts w:ascii="Barlow" w:hAnsi="Barlow" w:cs="Arial"/>
          <w:sz w:val="20"/>
          <w:szCs w:val="20"/>
        </w:rPr>
      </w:pPr>
    </w:p>
    <w:p w14:paraId="677BCA90" w14:textId="1F01A99E" w:rsidR="008C0939" w:rsidRPr="00DC37D6" w:rsidRDefault="004E4229" w:rsidP="004E4229">
      <w:pPr>
        <w:pStyle w:val="Prrafodelista"/>
        <w:numPr>
          <w:ilvl w:val="0"/>
          <w:numId w:val="7"/>
        </w:numPr>
        <w:tabs>
          <w:tab w:val="left" w:pos="1065"/>
        </w:tabs>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Declaración informativa mensual de Proveedores</w:t>
      </w:r>
    </w:p>
    <w:p w14:paraId="1DD4CAF9" w14:textId="24DF9751" w:rsidR="004E4229" w:rsidRPr="00DC37D6" w:rsidRDefault="004E4229" w:rsidP="004E4229">
      <w:pPr>
        <w:pStyle w:val="Prrafodelista"/>
        <w:numPr>
          <w:ilvl w:val="0"/>
          <w:numId w:val="7"/>
        </w:numPr>
        <w:tabs>
          <w:tab w:val="left" w:pos="1065"/>
        </w:tabs>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Entero de retenciones mensuales de ISR por sueldos y salarios</w:t>
      </w:r>
    </w:p>
    <w:p w14:paraId="30BCC935" w14:textId="7162E84C" w:rsidR="004E4229" w:rsidRPr="00DC37D6" w:rsidRDefault="004E4229" w:rsidP="004E4229">
      <w:pPr>
        <w:pStyle w:val="Prrafodelista"/>
        <w:numPr>
          <w:ilvl w:val="0"/>
          <w:numId w:val="7"/>
        </w:numPr>
        <w:tabs>
          <w:tab w:val="left" w:pos="1065"/>
        </w:tabs>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Entero de retenciones mensuales de ISR por ingresos asimilados a salarios</w:t>
      </w:r>
    </w:p>
    <w:p w14:paraId="7A7697CD" w14:textId="4B022AF0" w:rsidR="004E4229" w:rsidRPr="00DC37D6" w:rsidRDefault="004E4229" w:rsidP="004E4229">
      <w:pPr>
        <w:pStyle w:val="Prrafodelista"/>
        <w:numPr>
          <w:ilvl w:val="0"/>
          <w:numId w:val="7"/>
        </w:numPr>
        <w:tabs>
          <w:tab w:val="left" w:pos="1065"/>
        </w:tabs>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Entero de retención de ISR por servicios profesionales mensual</w:t>
      </w:r>
    </w:p>
    <w:p w14:paraId="2D36259C" w14:textId="1BE3B782" w:rsidR="004E4229" w:rsidRPr="00DC37D6" w:rsidRDefault="004E4229" w:rsidP="004E4229">
      <w:pPr>
        <w:pStyle w:val="Prrafodelista"/>
        <w:numPr>
          <w:ilvl w:val="0"/>
          <w:numId w:val="7"/>
        </w:numPr>
        <w:tabs>
          <w:tab w:val="left" w:pos="1065"/>
        </w:tabs>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Entero de retenciones de IVA mensual</w:t>
      </w:r>
    </w:p>
    <w:p w14:paraId="7019BEE3" w14:textId="19FBA8C1" w:rsidR="00826A51" w:rsidRPr="00DC37D6" w:rsidRDefault="004E4229" w:rsidP="00BB30C2">
      <w:pPr>
        <w:pStyle w:val="Prrafodelista"/>
        <w:numPr>
          <w:ilvl w:val="0"/>
          <w:numId w:val="7"/>
        </w:numPr>
        <w:tabs>
          <w:tab w:val="left" w:pos="1065"/>
        </w:tabs>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Entero mensual de retenciones de ISR de ingresos por arrendamiento</w:t>
      </w:r>
    </w:p>
    <w:p w14:paraId="6685B06E" w14:textId="68118816" w:rsidR="00EF14DF" w:rsidRPr="00DC37D6" w:rsidRDefault="00EF14DF" w:rsidP="00EF14DF">
      <w:pPr>
        <w:tabs>
          <w:tab w:val="left" w:pos="1065"/>
        </w:tabs>
        <w:autoSpaceDE w:val="0"/>
        <w:autoSpaceDN w:val="0"/>
        <w:adjustRightInd w:val="0"/>
        <w:spacing w:line="360" w:lineRule="auto"/>
        <w:jc w:val="both"/>
        <w:rPr>
          <w:rFonts w:ascii="Barlow" w:hAnsi="Barlow" w:cs="Arial"/>
          <w:sz w:val="20"/>
          <w:szCs w:val="20"/>
        </w:rPr>
      </w:pPr>
    </w:p>
    <w:p w14:paraId="039EA49D" w14:textId="781DCEBC" w:rsidR="00EF14DF" w:rsidRPr="00DC37D6" w:rsidRDefault="00EF14DF" w:rsidP="00EF14DF">
      <w:pPr>
        <w:tabs>
          <w:tab w:val="left" w:pos="1065"/>
        </w:tabs>
        <w:autoSpaceDE w:val="0"/>
        <w:autoSpaceDN w:val="0"/>
        <w:adjustRightInd w:val="0"/>
        <w:spacing w:line="360" w:lineRule="auto"/>
        <w:jc w:val="both"/>
        <w:rPr>
          <w:rFonts w:ascii="Barlow" w:hAnsi="Barlow" w:cs="Arial"/>
          <w:sz w:val="20"/>
          <w:szCs w:val="20"/>
        </w:rPr>
      </w:pPr>
    </w:p>
    <w:p w14:paraId="2A90E8E0" w14:textId="1442A67B" w:rsidR="00EF14DF" w:rsidRPr="00DC37D6" w:rsidRDefault="00EF14DF" w:rsidP="00EF14DF">
      <w:pPr>
        <w:tabs>
          <w:tab w:val="left" w:pos="1065"/>
        </w:tabs>
        <w:autoSpaceDE w:val="0"/>
        <w:autoSpaceDN w:val="0"/>
        <w:adjustRightInd w:val="0"/>
        <w:spacing w:line="360" w:lineRule="auto"/>
        <w:jc w:val="both"/>
        <w:rPr>
          <w:rFonts w:ascii="Barlow" w:hAnsi="Barlow" w:cs="Arial"/>
          <w:sz w:val="20"/>
          <w:szCs w:val="20"/>
        </w:rPr>
      </w:pPr>
    </w:p>
    <w:p w14:paraId="5BF96CA3" w14:textId="6635A967" w:rsidR="00EF14DF" w:rsidRDefault="00EF14DF" w:rsidP="00EF14DF">
      <w:pPr>
        <w:tabs>
          <w:tab w:val="left" w:pos="1065"/>
        </w:tabs>
        <w:autoSpaceDE w:val="0"/>
        <w:autoSpaceDN w:val="0"/>
        <w:adjustRightInd w:val="0"/>
        <w:spacing w:line="360" w:lineRule="auto"/>
        <w:jc w:val="both"/>
        <w:rPr>
          <w:rFonts w:ascii="Barlow" w:hAnsi="Barlow" w:cs="Arial"/>
          <w:sz w:val="20"/>
          <w:szCs w:val="20"/>
        </w:rPr>
      </w:pPr>
    </w:p>
    <w:p w14:paraId="33B0C376" w14:textId="46980836" w:rsidR="00DC37D6" w:rsidRDefault="00DC37D6" w:rsidP="00EF14DF">
      <w:pPr>
        <w:tabs>
          <w:tab w:val="left" w:pos="1065"/>
        </w:tabs>
        <w:autoSpaceDE w:val="0"/>
        <w:autoSpaceDN w:val="0"/>
        <w:adjustRightInd w:val="0"/>
        <w:spacing w:line="360" w:lineRule="auto"/>
        <w:jc w:val="both"/>
        <w:rPr>
          <w:rFonts w:ascii="Barlow" w:hAnsi="Barlow" w:cs="Arial"/>
          <w:sz w:val="20"/>
          <w:szCs w:val="20"/>
        </w:rPr>
      </w:pPr>
    </w:p>
    <w:p w14:paraId="517FDA94" w14:textId="77777777" w:rsidR="00DC37D6" w:rsidRPr="00DC37D6" w:rsidRDefault="00DC37D6" w:rsidP="00EF14DF">
      <w:pPr>
        <w:tabs>
          <w:tab w:val="left" w:pos="1065"/>
        </w:tabs>
        <w:autoSpaceDE w:val="0"/>
        <w:autoSpaceDN w:val="0"/>
        <w:adjustRightInd w:val="0"/>
        <w:spacing w:line="360" w:lineRule="auto"/>
        <w:jc w:val="both"/>
        <w:rPr>
          <w:rFonts w:ascii="Barlow" w:hAnsi="Barlow" w:cs="Arial"/>
          <w:sz w:val="20"/>
          <w:szCs w:val="20"/>
        </w:rPr>
      </w:pPr>
    </w:p>
    <w:p w14:paraId="2D5D7EC2" w14:textId="76D49949" w:rsidR="00A54D55" w:rsidRPr="00DC37D6" w:rsidRDefault="00A54D55" w:rsidP="000E073D">
      <w:pPr>
        <w:tabs>
          <w:tab w:val="left" w:pos="1065"/>
        </w:tabs>
        <w:autoSpaceDE w:val="0"/>
        <w:autoSpaceDN w:val="0"/>
        <w:adjustRightInd w:val="0"/>
        <w:spacing w:line="360" w:lineRule="auto"/>
        <w:jc w:val="both"/>
        <w:rPr>
          <w:rFonts w:ascii="Barlow" w:hAnsi="Barlow" w:cs="Arial"/>
          <w:sz w:val="20"/>
          <w:szCs w:val="20"/>
        </w:rPr>
      </w:pPr>
    </w:p>
    <w:p w14:paraId="132F9D80" w14:textId="64A254B1" w:rsidR="00196FF3" w:rsidRPr="00DC37D6" w:rsidRDefault="00D3760C" w:rsidP="00A44B17">
      <w:pPr>
        <w:numPr>
          <w:ilvl w:val="0"/>
          <w:numId w:val="4"/>
        </w:numPr>
        <w:tabs>
          <w:tab w:val="left" w:pos="1065"/>
        </w:tabs>
        <w:autoSpaceDE w:val="0"/>
        <w:autoSpaceDN w:val="0"/>
        <w:adjustRightInd w:val="0"/>
        <w:spacing w:line="360" w:lineRule="auto"/>
        <w:ind w:left="1065"/>
        <w:rPr>
          <w:rFonts w:ascii="Barlow" w:hAnsi="Barlow" w:cs="Arial"/>
          <w:b/>
          <w:sz w:val="20"/>
          <w:szCs w:val="20"/>
        </w:rPr>
      </w:pPr>
      <w:r w:rsidRPr="00DC37D6">
        <w:rPr>
          <w:rFonts w:ascii="Barlow" w:hAnsi="Barlow" w:cs="Arial"/>
          <w:b/>
          <w:sz w:val="20"/>
          <w:szCs w:val="20"/>
        </w:rPr>
        <w:lastRenderedPageBreak/>
        <w:t>Estructura Organizacional Básica.</w:t>
      </w:r>
      <w:r w:rsidR="001327E0" w:rsidRPr="00DC37D6">
        <w:rPr>
          <w:rFonts w:ascii="Barlow" w:hAnsi="Barlow" w:cs="Arial"/>
          <w:b/>
          <w:noProof/>
          <w:sz w:val="20"/>
          <w:szCs w:val="20"/>
          <w:lang w:val="es-ES"/>
        </w:rPr>
        <w:t xml:space="preserve"> </w:t>
      </w:r>
    </w:p>
    <w:p w14:paraId="3EE34CE7" w14:textId="77777777" w:rsidR="00DC37D6" w:rsidRDefault="00DA7F56" w:rsidP="007A4E12">
      <w:pPr>
        <w:tabs>
          <w:tab w:val="left" w:pos="1065"/>
        </w:tabs>
        <w:autoSpaceDE w:val="0"/>
        <w:autoSpaceDN w:val="0"/>
        <w:adjustRightInd w:val="0"/>
        <w:spacing w:line="360" w:lineRule="auto"/>
        <w:ind w:left="360"/>
        <w:jc w:val="center"/>
        <w:rPr>
          <w:rFonts w:ascii="Barlow" w:hAnsi="Barlow" w:cs="Arial"/>
          <w:sz w:val="20"/>
          <w:szCs w:val="20"/>
        </w:rPr>
      </w:pPr>
      <w:r w:rsidRPr="00DC37D6">
        <w:rPr>
          <w:rFonts w:ascii="Barlow" w:hAnsi="Barlow"/>
          <w:noProof/>
          <w:sz w:val="20"/>
          <w:szCs w:val="20"/>
          <w:lang w:eastAsia="es-MX"/>
        </w:rPr>
        <w:drawing>
          <wp:inline distT="0" distB="0" distL="0" distR="0" wp14:anchorId="77F04BFF" wp14:editId="7159A8B8">
            <wp:extent cx="7906313" cy="43148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17568" cy="4320967"/>
                    </a:xfrm>
                    <a:prstGeom prst="rect">
                      <a:avLst/>
                    </a:prstGeom>
                    <a:noFill/>
                    <a:ln>
                      <a:noFill/>
                    </a:ln>
                  </pic:spPr>
                </pic:pic>
              </a:graphicData>
            </a:graphic>
          </wp:inline>
        </w:drawing>
      </w:r>
    </w:p>
    <w:p w14:paraId="19DA7F1E" w14:textId="5EFD84FA" w:rsidR="00505FCA" w:rsidRPr="00DC37D6" w:rsidRDefault="001E5209" w:rsidP="007A4E12">
      <w:pPr>
        <w:tabs>
          <w:tab w:val="left" w:pos="1065"/>
        </w:tabs>
        <w:autoSpaceDE w:val="0"/>
        <w:autoSpaceDN w:val="0"/>
        <w:adjustRightInd w:val="0"/>
        <w:spacing w:line="360" w:lineRule="auto"/>
        <w:ind w:left="360"/>
        <w:jc w:val="center"/>
        <w:rPr>
          <w:rFonts w:ascii="Barlow" w:hAnsi="Barlow" w:cs="Arial"/>
          <w:sz w:val="20"/>
          <w:szCs w:val="20"/>
        </w:rPr>
      </w:pPr>
      <w:r w:rsidRPr="00DC37D6">
        <w:rPr>
          <w:rFonts w:ascii="Barlow" w:hAnsi="Barlow"/>
          <w:noProof/>
          <w:sz w:val="20"/>
          <w:szCs w:val="20"/>
          <w:lang w:eastAsia="es-MX"/>
        </w:rPr>
        <mc:AlternateContent>
          <mc:Choice Requires="wps">
            <w:drawing>
              <wp:anchor distT="0" distB="0" distL="114300" distR="114300" simplePos="0" relativeHeight="251660288" behindDoc="0" locked="0" layoutInCell="1" allowOverlap="1" wp14:anchorId="4929FF48" wp14:editId="44119BB6">
                <wp:simplePos x="0" y="0"/>
                <wp:positionH relativeFrom="column">
                  <wp:posOffset>6914087</wp:posOffset>
                </wp:positionH>
                <wp:positionV relativeFrom="paragraph">
                  <wp:posOffset>208753</wp:posOffset>
                </wp:positionV>
                <wp:extent cx="595423" cy="138223"/>
                <wp:effectExtent l="0" t="0" r="0" b="0"/>
                <wp:wrapNone/>
                <wp:docPr id="7" name="Rectángulo 7"/>
                <wp:cNvGraphicFramePr/>
                <a:graphic xmlns:a="http://schemas.openxmlformats.org/drawingml/2006/main">
                  <a:graphicData uri="http://schemas.microsoft.com/office/word/2010/wordprocessingShape">
                    <wps:wsp>
                      <wps:cNvSpPr/>
                      <wps:spPr>
                        <a:xfrm>
                          <a:off x="0" y="0"/>
                          <a:ext cx="595423" cy="13822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E0C2E6" id="Rectángulo 7" o:spid="_x0000_s1026" style="position:absolute;margin-left:544.4pt;margin-top:16.45pt;width:46.9pt;height:10.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" fillcolor="white [3212]" stroked="f" strokeweight="2pt"/>
            </w:pict>
          </mc:Fallback>
        </mc:AlternateContent>
      </w:r>
    </w:p>
    <w:p w14:paraId="588D987C" w14:textId="37937213" w:rsidR="00D3760C" w:rsidRPr="00DC37D6" w:rsidRDefault="00D3760C" w:rsidP="00BB30C2">
      <w:pPr>
        <w:numPr>
          <w:ilvl w:val="0"/>
          <w:numId w:val="4"/>
        </w:numPr>
        <w:tabs>
          <w:tab w:val="left" w:pos="1065"/>
        </w:tabs>
        <w:autoSpaceDE w:val="0"/>
        <w:autoSpaceDN w:val="0"/>
        <w:adjustRightInd w:val="0"/>
        <w:spacing w:line="360" w:lineRule="auto"/>
        <w:ind w:left="1065"/>
        <w:jc w:val="both"/>
        <w:rPr>
          <w:rFonts w:ascii="Barlow" w:hAnsi="Barlow" w:cs="Arial"/>
          <w:b/>
          <w:sz w:val="20"/>
          <w:szCs w:val="20"/>
        </w:rPr>
      </w:pPr>
      <w:r w:rsidRPr="00DC37D6">
        <w:rPr>
          <w:rFonts w:ascii="Barlow" w:hAnsi="Barlow" w:cs="Arial"/>
          <w:b/>
          <w:sz w:val="20"/>
          <w:szCs w:val="20"/>
        </w:rPr>
        <w:lastRenderedPageBreak/>
        <w:t>Fideicomisos, mandatos y análogos de los cuales es fideicomitente o fiduciario.</w:t>
      </w:r>
    </w:p>
    <w:p w14:paraId="4B1FA10B" w14:textId="77777777" w:rsidR="00D3760C" w:rsidRPr="00DC37D6" w:rsidRDefault="000E073D" w:rsidP="000E073D">
      <w:p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La Secretaría Ejecutiva del Sistema Estatal Anticorrupción de Yucatán no cuenta con Fideicomisos.</w:t>
      </w:r>
    </w:p>
    <w:p w14:paraId="1771EE3A" w14:textId="77777777" w:rsidR="000E073D" w:rsidRPr="00DC37D6" w:rsidRDefault="000E073D" w:rsidP="000E073D">
      <w:pPr>
        <w:autoSpaceDE w:val="0"/>
        <w:autoSpaceDN w:val="0"/>
        <w:adjustRightInd w:val="0"/>
        <w:spacing w:line="360" w:lineRule="auto"/>
        <w:jc w:val="both"/>
        <w:rPr>
          <w:rFonts w:ascii="Barlow" w:hAnsi="Barlow" w:cs="Arial"/>
          <w:sz w:val="20"/>
          <w:szCs w:val="20"/>
        </w:rPr>
      </w:pPr>
    </w:p>
    <w:p w14:paraId="38056638" w14:textId="02FC1C1F" w:rsidR="00D3760C" w:rsidRPr="00DC37D6" w:rsidRDefault="00D3760C" w:rsidP="008C136A">
      <w:pPr>
        <w:autoSpaceDE w:val="0"/>
        <w:autoSpaceDN w:val="0"/>
        <w:adjustRightInd w:val="0"/>
        <w:spacing w:line="360" w:lineRule="auto"/>
        <w:ind w:firstLine="709"/>
        <w:jc w:val="both"/>
        <w:rPr>
          <w:rFonts w:ascii="Barlow" w:hAnsi="Barlow" w:cs="Arial"/>
          <w:sz w:val="20"/>
          <w:szCs w:val="20"/>
        </w:rPr>
      </w:pPr>
      <w:r w:rsidRPr="00DC37D6">
        <w:rPr>
          <w:rFonts w:ascii="Barlow" w:hAnsi="Barlow" w:cs="Arial"/>
          <w:b/>
          <w:sz w:val="20"/>
          <w:szCs w:val="20"/>
        </w:rPr>
        <w:t>5.-</w:t>
      </w:r>
      <w:r w:rsidRPr="00DC37D6">
        <w:rPr>
          <w:rFonts w:ascii="Barlow" w:hAnsi="Barlow" w:cs="Arial"/>
          <w:sz w:val="20"/>
          <w:szCs w:val="20"/>
        </w:rPr>
        <w:t xml:space="preserve"> </w:t>
      </w:r>
      <w:r w:rsidRPr="00DC37D6">
        <w:rPr>
          <w:rFonts w:ascii="Barlow" w:hAnsi="Barlow" w:cs="Arial"/>
          <w:b/>
          <w:sz w:val="20"/>
          <w:szCs w:val="20"/>
        </w:rPr>
        <w:t>Bases para la Preparación de Estados Financieros.</w:t>
      </w:r>
    </w:p>
    <w:p w14:paraId="08E29324" w14:textId="2B6C0E3D" w:rsidR="004F7ECC" w:rsidRPr="00DC37D6" w:rsidRDefault="00C91D4B" w:rsidP="004F7ECC">
      <w:pPr>
        <w:numPr>
          <w:ilvl w:val="0"/>
          <w:numId w:val="5"/>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En la preparació</w:t>
      </w:r>
      <w:r w:rsidR="00447818" w:rsidRPr="00DC37D6">
        <w:rPr>
          <w:rFonts w:ascii="Barlow" w:hAnsi="Barlow" w:cs="Arial"/>
          <w:sz w:val="20"/>
          <w:szCs w:val="20"/>
        </w:rPr>
        <w:t>n de los Estados Financieros de la Secretaría Ejecutiva del Sistema Estatal Anticorrupción de Yucatán</w:t>
      </w:r>
      <w:r w:rsidRPr="00DC37D6">
        <w:rPr>
          <w:rFonts w:ascii="Barlow" w:hAnsi="Barlow" w:cs="Arial"/>
          <w:sz w:val="20"/>
          <w:szCs w:val="20"/>
        </w:rPr>
        <w:t>, se observó lo establecido en la Ley General de Contabilidad Gubernamental, la Ley de Presupuesto y Contabilidad Gubernamental del Estado de Yucatán y demás disposiciones emitidas para tal efecto por el Consejo Nacional de Armonización Contable (CONAC).</w:t>
      </w:r>
      <w:r w:rsidR="00D3760C" w:rsidRPr="00DC37D6">
        <w:rPr>
          <w:rFonts w:ascii="Barlow" w:hAnsi="Barlow" w:cs="Arial"/>
          <w:sz w:val="20"/>
          <w:szCs w:val="20"/>
        </w:rPr>
        <w:t xml:space="preserve">  </w:t>
      </w:r>
    </w:p>
    <w:p w14:paraId="511F385D" w14:textId="77777777" w:rsidR="00D3760C" w:rsidRPr="00DC37D6" w:rsidRDefault="00D3760C" w:rsidP="00D17CB7">
      <w:pPr>
        <w:numPr>
          <w:ilvl w:val="0"/>
          <w:numId w:val="5"/>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La base de medición utilizada en el registro de las operaciones para la elaboración de los Estados Financieros es a Costo histórico.</w:t>
      </w:r>
    </w:p>
    <w:p w14:paraId="35C23B07" w14:textId="18472382" w:rsidR="00D3760C" w:rsidRPr="00DC37D6" w:rsidRDefault="00F23B8A" w:rsidP="00D17CB7">
      <w:pPr>
        <w:numPr>
          <w:ilvl w:val="0"/>
          <w:numId w:val="5"/>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 xml:space="preserve">Se aplican los </w:t>
      </w:r>
      <w:r w:rsidR="00D3760C" w:rsidRPr="00DC37D6">
        <w:rPr>
          <w:rFonts w:ascii="Barlow" w:hAnsi="Barlow" w:cs="Arial"/>
          <w:sz w:val="20"/>
          <w:szCs w:val="20"/>
        </w:rPr>
        <w:t xml:space="preserve">Postulados básicos de la Contabilidad gubernamental aprobados por la </w:t>
      </w:r>
      <w:r w:rsidR="00990138" w:rsidRPr="00DC37D6">
        <w:rPr>
          <w:rFonts w:ascii="Barlow" w:hAnsi="Barlow" w:cs="Arial"/>
          <w:sz w:val="20"/>
          <w:szCs w:val="20"/>
        </w:rPr>
        <w:t>CONAC y</w:t>
      </w:r>
      <w:r w:rsidR="00D3760C" w:rsidRPr="00DC37D6">
        <w:rPr>
          <w:rFonts w:ascii="Barlow" w:hAnsi="Barlow" w:cs="Arial"/>
          <w:sz w:val="20"/>
          <w:szCs w:val="20"/>
        </w:rPr>
        <w:t xml:space="preserve"> Publicados en el Diario Oficial del Estado</w:t>
      </w:r>
      <w:r w:rsidRPr="00DC37D6">
        <w:rPr>
          <w:rFonts w:ascii="Barlow" w:hAnsi="Barlow" w:cs="Arial"/>
          <w:sz w:val="20"/>
          <w:szCs w:val="20"/>
        </w:rPr>
        <w:t>.</w:t>
      </w:r>
    </w:p>
    <w:p w14:paraId="775F3CF4" w14:textId="77777777" w:rsidR="00D3760C" w:rsidRPr="00DC37D6" w:rsidRDefault="00D3760C" w:rsidP="00D17CB7">
      <w:pPr>
        <w:numPr>
          <w:ilvl w:val="1"/>
          <w:numId w:val="5"/>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Sustancia Económica</w:t>
      </w:r>
    </w:p>
    <w:p w14:paraId="1BB24C70" w14:textId="77777777" w:rsidR="00D3760C" w:rsidRPr="00DC37D6" w:rsidRDefault="00D3760C" w:rsidP="00D17CB7">
      <w:pPr>
        <w:numPr>
          <w:ilvl w:val="1"/>
          <w:numId w:val="5"/>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Entes Públicos</w:t>
      </w:r>
    </w:p>
    <w:p w14:paraId="222B1877" w14:textId="77777777" w:rsidR="00D3760C" w:rsidRPr="00DC37D6" w:rsidRDefault="00D3760C" w:rsidP="00D17CB7">
      <w:pPr>
        <w:numPr>
          <w:ilvl w:val="1"/>
          <w:numId w:val="5"/>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Existencia Permanente</w:t>
      </w:r>
    </w:p>
    <w:p w14:paraId="6A565469" w14:textId="77777777" w:rsidR="00D3760C" w:rsidRPr="00DC37D6" w:rsidRDefault="00D3760C" w:rsidP="00D17CB7">
      <w:pPr>
        <w:numPr>
          <w:ilvl w:val="1"/>
          <w:numId w:val="5"/>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Revelación Suficiente</w:t>
      </w:r>
    </w:p>
    <w:p w14:paraId="0CF12F6B" w14:textId="77777777" w:rsidR="00D3760C" w:rsidRPr="00DC37D6" w:rsidRDefault="00D3760C" w:rsidP="00D17CB7">
      <w:pPr>
        <w:numPr>
          <w:ilvl w:val="1"/>
          <w:numId w:val="5"/>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Importancia Relativa</w:t>
      </w:r>
    </w:p>
    <w:p w14:paraId="1BB4C53C" w14:textId="77777777" w:rsidR="00D3760C" w:rsidRPr="00DC37D6" w:rsidRDefault="00D3760C" w:rsidP="00D17CB7">
      <w:pPr>
        <w:numPr>
          <w:ilvl w:val="1"/>
          <w:numId w:val="5"/>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Registro e Integración Presupuestaria</w:t>
      </w:r>
    </w:p>
    <w:p w14:paraId="00FF4C78" w14:textId="77777777" w:rsidR="00D3760C" w:rsidRPr="00DC37D6" w:rsidRDefault="00D3760C" w:rsidP="00D17CB7">
      <w:pPr>
        <w:numPr>
          <w:ilvl w:val="1"/>
          <w:numId w:val="5"/>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Consolidación de la Información Financiera</w:t>
      </w:r>
    </w:p>
    <w:p w14:paraId="5D253783" w14:textId="77777777" w:rsidR="00D3760C" w:rsidRPr="00DC37D6" w:rsidRDefault="00D3760C" w:rsidP="00D17CB7">
      <w:pPr>
        <w:numPr>
          <w:ilvl w:val="1"/>
          <w:numId w:val="5"/>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Devengo Contable</w:t>
      </w:r>
    </w:p>
    <w:p w14:paraId="77CF84F7" w14:textId="77777777" w:rsidR="00D3760C" w:rsidRPr="00DC37D6" w:rsidRDefault="00D3760C" w:rsidP="00D17CB7">
      <w:pPr>
        <w:numPr>
          <w:ilvl w:val="1"/>
          <w:numId w:val="5"/>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Valuación</w:t>
      </w:r>
    </w:p>
    <w:p w14:paraId="6F2CDE01" w14:textId="77777777" w:rsidR="00D3760C" w:rsidRPr="00DC37D6" w:rsidRDefault="00D3760C" w:rsidP="00D17CB7">
      <w:pPr>
        <w:numPr>
          <w:ilvl w:val="1"/>
          <w:numId w:val="5"/>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Dualidad Económica</w:t>
      </w:r>
    </w:p>
    <w:p w14:paraId="274DCA52" w14:textId="77777777" w:rsidR="00D3760C" w:rsidRPr="00DC37D6" w:rsidRDefault="00D3760C" w:rsidP="00D17CB7">
      <w:pPr>
        <w:numPr>
          <w:ilvl w:val="1"/>
          <w:numId w:val="5"/>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Consistencia</w:t>
      </w:r>
    </w:p>
    <w:p w14:paraId="6E576C4D" w14:textId="77777777" w:rsidR="00D3760C" w:rsidRPr="00DC37D6" w:rsidRDefault="00D3760C" w:rsidP="00C4137E">
      <w:pPr>
        <w:autoSpaceDE w:val="0"/>
        <w:autoSpaceDN w:val="0"/>
        <w:adjustRightInd w:val="0"/>
        <w:spacing w:line="360" w:lineRule="auto"/>
        <w:jc w:val="both"/>
        <w:rPr>
          <w:rFonts w:ascii="Barlow" w:hAnsi="Barlow" w:cs="Arial"/>
          <w:sz w:val="20"/>
          <w:szCs w:val="20"/>
        </w:rPr>
      </w:pPr>
    </w:p>
    <w:p w14:paraId="2AE2AEE0" w14:textId="0C4DBC0F" w:rsidR="00D3760C" w:rsidRPr="00DC37D6" w:rsidRDefault="00D3760C" w:rsidP="00D258C6">
      <w:pPr>
        <w:autoSpaceDE w:val="0"/>
        <w:autoSpaceDN w:val="0"/>
        <w:adjustRightInd w:val="0"/>
        <w:spacing w:line="360" w:lineRule="auto"/>
        <w:ind w:firstLine="360"/>
        <w:jc w:val="both"/>
        <w:rPr>
          <w:rFonts w:ascii="Barlow" w:hAnsi="Barlow" w:cs="Arial"/>
          <w:sz w:val="20"/>
          <w:szCs w:val="20"/>
        </w:rPr>
      </w:pPr>
      <w:r w:rsidRPr="00DC37D6">
        <w:rPr>
          <w:rFonts w:ascii="Barlow" w:hAnsi="Barlow" w:cs="Arial"/>
          <w:sz w:val="20"/>
          <w:szCs w:val="20"/>
        </w:rPr>
        <w:lastRenderedPageBreak/>
        <w:t xml:space="preserve">d)   En forma supletoria a las Normas de la Ley General de Contabilidad Gubernamental y a las emitidas por la CONAC </w:t>
      </w:r>
      <w:r w:rsidR="00F23B8A" w:rsidRPr="00DC37D6">
        <w:rPr>
          <w:rFonts w:ascii="Barlow" w:hAnsi="Barlow" w:cs="Arial"/>
          <w:sz w:val="20"/>
          <w:szCs w:val="20"/>
        </w:rPr>
        <w:t xml:space="preserve">se </w:t>
      </w:r>
      <w:r w:rsidRPr="00DC37D6">
        <w:rPr>
          <w:rFonts w:ascii="Barlow" w:hAnsi="Barlow" w:cs="Arial"/>
          <w:sz w:val="20"/>
          <w:szCs w:val="20"/>
        </w:rPr>
        <w:t>aplicar</w:t>
      </w:r>
      <w:r w:rsidR="00D258C6" w:rsidRPr="00DC37D6">
        <w:rPr>
          <w:rFonts w:ascii="Barlow" w:hAnsi="Barlow" w:cs="Arial"/>
          <w:sz w:val="20"/>
          <w:szCs w:val="20"/>
        </w:rPr>
        <w:t>o</w:t>
      </w:r>
      <w:r w:rsidRPr="00DC37D6">
        <w:rPr>
          <w:rFonts w:ascii="Barlow" w:hAnsi="Barlow" w:cs="Arial"/>
          <w:sz w:val="20"/>
          <w:szCs w:val="20"/>
        </w:rPr>
        <w:t>n las siguientes:</w:t>
      </w:r>
    </w:p>
    <w:p w14:paraId="555B863D" w14:textId="77777777" w:rsidR="00D3760C" w:rsidRPr="00DC37D6" w:rsidRDefault="00D3760C" w:rsidP="00D17CB7">
      <w:pPr>
        <w:numPr>
          <w:ilvl w:val="0"/>
          <w:numId w:val="6"/>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Normatividad emitida por las unidades administrativas o instancias competentes en materia de Contabilidad Gubernamental.</w:t>
      </w:r>
    </w:p>
    <w:p w14:paraId="3339BB36" w14:textId="77777777" w:rsidR="00D3760C" w:rsidRPr="00DC37D6" w:rsidRDefault="00D3760C" w:rsidP="00D17CB7">
      <w:pPr>
        <w:numPr>
          <w:ilvl w:val="0"/>
          <w:numId w:val="6"/>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Las Normas Internacionales de Contabilidad para el sector público (NICSP) emitidas por la junta de Normas Internacionales de Contabilidad del Sector Público.</w:t>
      </w:r>
    </w:p>
    <w:p w14:paraId="48CFD36B" w14:textId="77777777" w:rsidR="00D258C6" w:rsidRPr="00DC37D6" w:rsidRDefault="00D3760C" w:rsidP="00D17CB7">
      <w:pPr>
        <w:numPr>
          <w:ilvl w:val="0"/>
          <w:numId w:val="6"/>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 xml:space="preserve">Las normas de información financiera del consejo </w:t>
      </w:r>
      <w:r w:rsidR="004F7332" w:rsidRPr="00DC37D6">
        <w:rPr>
          <w:rFonts w:ascii="Barlow" w:hAnsi="Barlow" w:cs="Arial"/>
          <w:sz w:val="20"/>
          <w:szCs w:val="20"/>
        </w:rPr>
        <w:t>mexicano</w:t>
      </w:r>
      <w:r w:rsidRPr="00DC37D6">
        <w:rPr>
          <w:rFonts w:ascii="Barlow" w:hAnsi="Barlow" w:cs="Arial"/>
          <w:sz w:val="20"/>
          <w:szCs w:val="20"/>
        </w:rPr>
        <w:t xml:space="preserve"> para la investigación y Desarrollo de normas de Información Financiera A.C. (CINIF).</w:t>
      </w:r>
    </w:p>
    <w:p w14:paraId="67EE90AD" w14:textId="77777777" w:rsidR="0023705C" w:rsidRPr="00DC37D6" w:rsidRDefault="0023705C" w:rsidP="00C4137E">
      <w:pPr>
        <w:autoSpaceDE w:val="0"/>
        <w:autoSpaceDN w:val="0"/>
        <w:adjustRightInd w:val="0"/>
        <w:spacing w:line="360" w:lineRule="auto"/>
        <w:ind w:left="720"/>
        <w:jc w:val="both"/>
        <w:rPr>
          <w:rFonts w:ascii="Barlow" w:hAnsi="Barlow" w:cs="Arial"/>
          <w:sz w:val="20"/>
          <w:szCs w:val="20"/>
        </w:rPr>
      </w:pPr>
    </w:p>
    <w:p w14:paraId="463130C3" w14:textId="77777777" w:rsidR="00D3760C" w:rsidRPr="00DC37D6" w:rsidRDefault="00D3760C" w:rsidP="00E7733B">
      <w:pPr>
        <w:autoSpaceDE w:val="0"/>
        <w:autoSpaceDN w:val="0"/>
        <w:adjustRightInd w:val="0"/>
        <w:spacing w:line="360" w:lineRule="auto"/>
        <w:ind w:firstLine="851"/>
        <w:jc w:val="both"/>
        <w:rPr>
          <w:rFonts w:ascii="Barlow" w:hAnsi="Barlow" w:cs="Arial"/>
          <w:b/>
          <w:sz w:val="20"/>
          <w:szCs w:val="20"/>
        </w:rPr>
      </w:pPr>
      <w:r w:rsidRPr="00DC37D6">
        <w:rPr>
          <w:rFonts w:ascii="Barlow" w:hAnsi="Barlow" w:cs="Arial"/>
          <w:b/>
          <w:sz w:val="20"/>
          <w:szCs w:val="20"/>
        </w:rPr>
        <w:t>6.- Políticas de Contabilidad Significativas.</w:t>
      </w:r>
    </w:p>
    <w:p w14:paraId="6828829A" w14:textId="77777777" w:rsidR="00D3760C" w:rsidRPr="00DC37D6" w:rsidRDefault="00447818" w:rsidP="00C4137E">
      <w:p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Para la elaboración de los Estados Financieros el método para la actualización del valor de los activos, pasivos y hacienda pública y/o patrimonio, es el de Costos Históricos, esto en razón a lo estipulado en los Postulados Básicos de Contabilidad Gubernamental aprobados por el CONAC</w:t>
      </w:r>
      <w:r w:rsidR="003A5AD0" w:rsidRPr="00DC37D6">
        <w:rPr>
          <w:rFonts w:ascii="Barlow" w:hAnsi="Barlow" w:cs="Arial"/>
          <w:sz w:val="20"/>
          <w:szCs w:val="20"/>
        </w:rPr>
        <w:t>.</w:t>
      </w:r>
      <w:r w:rsidRPr="00DC37D6">
        <w:rPr>
          <w:rFonts w:ascii="Barlow" w:hAnsi="Barlow" w:cs="Arial"/>
          <w:sz w:val="20"/>
          <w:szCs w:val="20"/>
        </w:rPr>
        <w:t xml:space="preserve"> Razón por la cual el registro de operaciones está en apego a los postulados básicos y a las normas y manuales vigentes.</w:t>
      </w:r>
    </w:p>
    <w:p w14:paraId="75273F02" w14:textId="77777777" w:rsidR="00447818" w:rsidRPr="00DC37D6" w:rsidRDefault="00447818" w:rsidP="00C4137E">
      <w:pPr>
        <w:autoSpaceDE w:val="0"/>
        <w:autoSpaceDN w:val="0"/>
        <w:adjustRightInd w:val="0"/>
        <w:spacing w:line="360" w:lineRule="auto"/>
        <w:jc w:val="both"/>
        <w:rPr>
          <w:rFonts w:ascii="Barlow" w:hAnsi="Barlow" w:cs="Arial"/>
          <w:sz w:val="20"/>
          <w:szCs w:val="20"/>
        </w:rPr>
      </w:pPr>
    </w:p>
    <w:p w14:paraId="5F2D68CB" w14:textId="1E06B936" w:rsidR="00F02290" w:rsidRPr="00DC37D6" w:rsidRDefault="00D3760C" w:rsidP="008C136A">
      <w:pPr>
        <w:autoSpaceDE w:val="0"/>
        <w:autoSpaceDN w:val="0"/>
        <w:adjustRightInd w:val="0"/>
        <w:spacing w:line="360" w:lineRule="auto"/>
        <w:ind w:firstLine="851"/>
        <w:jc w:val="both"/>
        <w:rPr>
          <w:rFonts w:ascii="Barlow" w:hAnsi="Barlow" w:cs="Arial"/>
          <w:b/>
          <w:sz w:val="20"/>
          <w:szCs w:val="20"/>
        </w:rPr>
      </w:pPr>
      <w:r w:rsidRPr="00DC37D6">
        <w:rPr>
          <w:rFonts w:ascii="Barlow" w:hAnsi="Barlow" w:cs="Arial"/>
          <w:b/>
          <w:sz w:val="20"/>
          <w:szCs w:val="20"/>
        </w:rPr>
        <w:t>7.- Posición en Moneda Extranjera y Protección por Riesgo Cambiario.</w:t>
      </w:r>
    </w:p>
    <w:p w14:paraId="42B5550E" w14:textId="4082C108" w:rsidR="00447818" w:rsidRPr="00DC37D6" w:rsidRDefault="00447818" w:rsidP="00C4137E">
      <w:p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 xml:space="preserve">La Secretaría Ejecutiva del Sistema Estatal Anticorrupción de Yucatán, como organismo descentralizado no tiene ni activos, ni pasivos en moneda extranjera, ya que todas las operaciones están registradas en pesos mexicanos, por lo </w:t>
      </w:r>
      <w:r w:rsidR="004515D4" w:rsidRPr="00DC37D6">
        <w:rPr>
          <w:rFonts w:ascii="Barlow" w:hAnsi="Barlow" w:cs="Arial"/>
          <w:sz w:val="20"/>
          <w:szCs w:val="20"/>
        </w:rPr>
        <w:t>tanto,</w:t>
      </w:r>
      <w:r w:rsidRPr="00DC37D6">
        <w:rPr>
          <w:rFonts w:ascii="Barlow" w:hAnsi="Barlow" w:cs="Arial"/>
          <w:sz w:val="20"/>
          <w:szCs w:val="20"/>
        </w:rPr>
        <w:t xml:space="preserve"> estamos protegidos por algún riesgo cambiario.</w:t>
      </w:r>
    </w:p>
    <w:p w14:paraId="605222D0" w14:textId="77777777" w:rsidR="00A54D55" w:rsidRPr="00DC37D6" w:rsidRDefault="00A54D55" w:rsidP="00C4137E">
      <w:pPr>
        <w:autoSpaceDE w:val="0"/>
        <w:autoSpaceDN w:val="0"/>
        <w:adjustRightInd w:val="0"/>
        <w:spacing w:line="360" w:lineRule="auto"/>
        <w:jc w:val="both"/>
        <w:rPr>
          <w:rFonts w:ascii="Barlow" w:hAnsi="Barlow" w:cs="Arial"/>
          <w:sz w:val="20"/>
          <w:szCs w:val="20"/>
        </w:rPr>
      </w:pPr>
    </w:p>
    <w:p w14:paraId="52D8FAB3" w14:textId="32B67DD9" w:rsidR="003105B5" w:rsidRPr="00DC37D6" w:rsidRDefault="00D3760C" w:rsidP="008C136A">
      <w:pPr>
        <w:autoSpaceDE w:val="0"/>
        <w:autoSpaceDN w:val="0"/>
        <w:adjustRightInd w:val="0"/>
        <w:spacing w:line="360" w:lineRule="auto"/>
        <w:ind w:firstLine="851"/>
        <w:jc w:val="both"/>
        <w:rPr>
          <w:rFonts w:ascii="Barlow" w:hAnsi="Barlow" w:cs="Arial"/>
          <w:b/>
          <w:sz w:val="20"/>
          <w:szCs w:val="20"/>
        </w:rPr>
      </w:pPr>
      <w:r w:rsidRPr="00DC37D6">
        <w:rPr>
          <w:rFonts w:ascii="Barlow" w:hAnsi="Barlow" w:cs="Arial"/>
          <w:b/>
          <w:sz w:val="20"/>
          <w:szCs w:val="20"/>
        </w:rPr>
        <w:t>8.- Reporte Analítico del Activo.</w:t>
      </w:r>
    </w:p>
    <w:p w14:paraId="69168934" w14:textId="67852EE5" w:rsidR="004F22A7" w:rsidRPr="00DC37D6" w:rsidRDefault="00447818" w:rsidP="0097240D">
      <w:pPr>
        <w:pStyle w:val="Prrafodelista"/>
        <w:numPr>
          <w:ilvl w:val="0"/>
          <w:numId w:val="7"/>
        </w:num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La Secretaría Ejecutiva del Sistema Estatal Anticorrupción de Yucatán, muestra las variaciones en el Estado Analítico del Activo las cuales son derivadas de las actividades de operación menos los flujos netos de efectivo de las actividades de inversión y menos los flujos netos de efectivo por actividades de financiamiento, así como las entradas y salidas de almacén.</w:t>
      </w:r>
      <w:r w:rsidR="0097240D" w:rsidRPr="00DC37D6">
        <w:rPr>
          <w:rFonts w:ascii="Barlow" w:hAnsi="Barlow" w:cs="Arial"/>
          <w:sz w:val="20"/>
          <w:szCs w:val="20"/>
        </w:rPr>
        <w:t xml:space="preserve"> </w:t>
      </w:r>
    </w:p>
    <w:p w14:paraId="6B753AE8" w14:textId="13FEB5BF" w:rsidR="0097240D" w:rsidRPr="00DC37D6" w:rsidRDefault="0097240D" w:rsidP="0097240D">
      <w:pPr>
        <w:pStyle w:val="Prrafodelista"/>
        <w:numPr>
          <w:ilvl w:val="0"/>
          <w:numId w:val="18"/>
        </w:numPr>
        <w:rPr>
          <w:rFonts w:ascii="Barlow" w:hAnsi="Barlow" w:cs="Arial"/>
          <w:sz w:val="20"/>
          <w:szCs w:val="20"/>
        </w:rPr>
      </w:pPr>
      <w:r w:rsidRPr="00DC37D6">
        <w:rPr>
          <w:rFonts w:ascii="Barlow" w:hAnsi="Barlow" w:cs="Arial"/>
          <w:sz w:val="20"/>
          <w:szCs w:val="20"/>
        </w:rPr>
        <w:t>Para el cálculo de la depreciación se utiliza el método establecido por el CONAC establecido en las Reglas Específicas del Registro y Valoración del Patrimonio.</w:t>
      </w:r>
    </w:p>
    <w:p w14:paraId="2D8F2519" w14:textId="77777777" w:rsidR="00440AE8" w:rsidRPr="00DC37D6" w:rsidRDefault="00440AE8" w:rsidP="00440AE8">
      <w:pPr>
        <w:pStyle w:val="Prrafodelista"/>
        <w:rPr>
          <w:rFonts w:ascii="Barlow" w:hAnsi="Barlow" w:cs="Arial"/>
          <w:sz w:val="20"/>
          <w:szCs w:val="20"/>
        </w:rPr>
      </w:pPr>
    </w:p>
    <w:p w14:paraId="71FCAE2D" w14:textId="3F608D15" w:rsidR="001E6FE3" w:rsidRPr="00DC37D6" w:rsidRDefault="00440AE8" w:rsidP="00BB30C2">
      <w:pPr>
        <w:pStyle w:val="Texto"/>
        <w:numPr>
          <w:ilvl w:val="0"/>
          <w:numId w:val="18"/>
        </w:numPr>
        <w:tabs>
          <w:tab w:val="left" w:pos="4485"/>
        </w:tabs>
        <w:jc w:val="left"/>
        <w:rPr>
          <w:rFonts w:ascii="Barlow" w:hAnsi="Barlow"/>
          <w:sz w:val="20"/>
          <w:szCs w:val="20"/>
        </w:rPr>
      </w:pPr>
      <w:r w:rsidRPr="00DC37D6">
        <w:rPr>
          <w:rFonts w:ascii="Barlow" w:hAnsi="Barlow"/>
          <w:sz w:val="20"/>
          <w:szCs w:val="20"/>
        </w:rPr>
        <w:t>Para estimar el cálculo de la vida útil de los bienes muebles se utilizan los parámetros de estimación de vida útil emitidos por el CONAC.</w:t>
      </w:r>
    </w:p>
    <w:p w14:paraId="209A8A7A" w14:textId="77777777" w:rsidR="00447818" w:rsidRPr="00DC37D6" w:rsidRDefault="00447818" w:rsidP="004F22A7">
      <w:pPr>
        <w:pStyle w:val="Prrafodelista"/>
        <w:autoSpaceDE w:val="0"/>
        <w:autoSpaceDN w:val="0"/>
        <w:adjustRightInd w:val="0"/>
        <w:spacing w:line="360" w:lineRule="auto"/>
        <w:jc w:val="both"/>
        <w:rPr>
          <w:rFonts w:ascii="Barlow" w:hAnsi="Barlow" w:cs="Arial"/>
          <w:sz w:val="20"/>
          <w:szCs w:val="20"/>
        </w:rPr>
      </w:pPr>
    </w:p>
    <w:p w14:paraId="63BF2417" w14:textId="77777777" w:rsidR="00DB5E38" w:rsidRPr="00DC37D6" w:rsidRDefault="00DB5E38" w:rsidP="00E7733B">
      <w:pPr>
        <w:autoSpaceDE w:val="0"/>
        <w:autoSpaceDN w:val="0"/>
        <w:adjustRightInd w:val="0"/>
        <w:spacing w:line="360" w:lineRule="auto"/>
        <w:ind w:firstLine="851"/>
        <w:jc w:val="both"/>
        <w:rPr>
          <w:rFonts w:ascii="Barlow" w:hAnsi="Barlow" w:cs="Arial"/>
          <w:b/>
          <w:sz w:val="20"/>
          <w:szCs w:val="20"/>
        </w:rPr>
      </w:pPr>
      <w:r w:rsidRPr="00DC37D6">
        <w:rPr>
          <w:rFonts w:ascii="Barlow" w:hAnsi="Barlow" w:cs="Arial"/>
          <w:b/>
          <w:sz w:val="20"/>
          <w:szCs w:val="20"/>
        </w:rPr>
        <w:t xml:space="preserve">9.- Fideicomisos, Mandatos y </w:t>
      </w:r>
      <w:r w:rsidR="006E1089" w:rsidRPr="00DC37D6">
        <w:rPr>
          <w:rFonts w:ascii="Barlow" w:hAnsi="Barlow" w:cs="Arial"/>
          <w:b/>
          <w:sz w:val="20"/>
          <w:szCs w:val="20"/>
        </w:rPr>
        <w:t>Análogos</w:t>
      </w:r>
    </w:p>
    <w:p w14:paraId="26314CDD" w14:textId="69C3C008" w:rsidR="001D5999" w:rsidRPr="00DC37D6" w:rsidRDefault="00447818" w:rsidP="00C4137E">
      <w:p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 xml:space="preserve">La Secretaría Ejecutiva del Sistema Estatal Anticorrupción de Yucatán, no tiene fideicomisos, ni mandatos, ni cualquier otro análogo. </w:t>
      </w:r>
    </w:p>
    <w:p w14:paraId="15AAE121" w14:textId="77777777" w:rsidR="0054433E" w:rsidRPr="00DC37D6" w:rsidRDefault="0054433E" w:rsidP="00C4137E">
      <w:pPr>
        <w:autoSpaceDE w:val="0"/>
        <w:autoSpaceDN w:val="0"/>
        <w:adjustRightInd w:val="0"/>
        <w:spacing w:line="360" w:lineRule="auto"/>
        <w:jc w:val="both"/>
        <w:rPr>
          <w:rFonts w:ascii="Barlow" w:hAnsi="Barlow" w:cs="Arial"/>
          <w:sz w:val="20"/>
          <w:szCs w:val="20"/>
        </w:rPr>
      </w:pPr>
    </w:p>
    <w:p w14:paraId="4C5E819E" w14:textId="77777777" w:rsidR="001105EC" w:rsidRPr="00DC37D6" w:rsidRDefault="001105EC" w:rsidP="00E7733B">
      <w:pPr>
        <w:autoSpaceDE w:val="0"/>
        <w:autoSpaceDN w:val="0"/>
        <w:adjustRightInd w:val="0"/>
        <w:spacing w:line="360" w:lineRule="auto"/>
        <w:ind w:firstLine="851"/>
        <w:jc w:val="both"/>
        <w:rPr>
          <w:rFonts w:ascii="Barlow" w:hAnsi="Barlow" w:cs="Arial"/>
          <w:b/>
          <w:sz w:val="20"/>
          <w:szCs w:val="20"/>
        </w:rPr>
      </w:pPr>
      <w:r w:rsidRPr="00DC37D6">
        <w:rPr>
          <w:rFonts w:ascii="Barlow" w:hAnsi="Barlow" w:cs="Arial"/>
          <w:b/>
          <w:sz w:val="20"/>
          <w:szCs w:val="20"/>
        </w:rPr>
        <w:t>10.- Reporte de la Recaudación.</w:t>
      </w:r>
    </w:p>
    <w:p w14:paraId="5D624F01" w14:textId="0BF32DC2" w:rsidR="00447818" w:rsidRPr="00DC37D6" w:rsidRDefault="00447818" w:rsidP="00C4137E">
      <w:p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 xml:space="preserve">La Secretaría Ejecutiva del Sistema Estatal Anticorrupción de Yucatán, recibe un </w:t>
      </w:r>
      <w:r w:rsidR="00771210" w:rsidRPr="00DC37D6">
        <w:rPr>
          <w:rFonts w:ascii="Barlow" w:hAnsi="Barlow" w:cs="Arial"/>
          <w:sz w:val="20"/>
          <w:szCs w:val="20"/>
        </w:rPr>
        <w:t>s</w:t>
      </w:r>
      <w:r w:rsidRPr="00DC37D6">
        <w:rPr>
          <w:rFonts w:ascii="Barlow" w:hAnsi="Barlow" w:cs="Arial"/>
          <w:sz w:val="20"/>
          <w:szCs w:val="20"/>
        </w:rPr>
        <w:t>ubsidio presupuestario por parte del Ejecutivo Estatal.</w:t>
      </w:r>
    </w:p>
    <w:p w14:paraId="1F7DBE25" w14:textId="77777777" w:rsidR="003A5AD0" w:rsidRPr="00DC37D6" w:rsidRDefault="001105EC" w:rsidP="00E7733B">
      <w:pPr>
        <w:autoSpaceDE w:val="0"/>
        <w:autoSpaceDN w:val="0"/>
        <w:adjustRightInd w:val="0"/>
        <w:spacing w:line="360" w:lineRule="auto"/>
        <w:ind w:firstLine="851"/>
        <w:jc w:val="both"/>
        <w:rPr>
          <w:rFonts w:ascii="Barlow" w:hAnsi="Barlow" w:cs="Arial"/>
          <w:sz w:val="20"/>
          <w:szCs w:val="20"/>
        </w:rPr>
      </w:pPr>
      <w:r w:rsidRPr="00DC37D6">
        <w:rPr>
          <w:rFonts w:ascii="Barlow" w:hAnsi="Barlow" w:cs="Arial"/>
          <w:b/>
          <w:sz w:val="20"/>
          <w:szCs w:val="20"/>
        </w:rPr>
        <w:t xml:space="preserve">11. Información sobre la Deuda y el Reporte </w:t>
      </w:r>
      <w:r w:rsidR="006E1089" w:rsidRPr="00DC37D6">
        <w:rPr>
          <w:rFonts w:ascii="Barlow" w:hAnsi="Barlow" w:cs="Arial"/>
          <w:b/>
          <w:sz w:val="20"/>
          <w:szCs w:val="20"/>
        </w:rPr>
        <w:t>Analítico</w:t>
      </w:r>
      <w:r w:rsidRPr="00DC37D6">
        <w:rPr>
          <w:rFonts w:ascii="Barlow" w:hAnsi="Barlow" w:cs="Arial"/>
          <w:b/>
          <w:sz w:val="20"/>
          <w:szCs w:val="20"/>
        </w:rPr>
        <w:t xml:space="preserve"> de la </w:t>
      </w:r>
      <w:r w:rsidR="00EF0557" w:rsidRPr="00DC37D6">
        <w:rPr>
          <w:rFonts w:ascii="Barlow" w:hAnsi="Barlow" w:cs="Arial"/>
          <w:b/>
          <w:sz w:val="20"/>
          <w:szCs w:val="20"/>
        </w:rPr>
        <w:t>Deuda</w:t>
      </w:r>
      <w:r w:rsidR="003A5AD0" w:rsidRPr="00DC37D6">
        <w:rPr>
          <w:rFonts w:ascii="Barlow" w:hAnsi="Barlow" w:cs="Arial"/>
          <w:b/>
          <w:sz w:val="20"/>
          <w:szCs w:val="20"/>
        </w:rPr>
        <w:t>.</w:t>
      </w:r>
    </w:p>
    <w:p w14:paraId="2D041939" w14:textId="25FDF043" w:rsidR="00447818" w:rsidRPr="00DC37D6" w:rsidRDefault="00EF0557" w:rsidP="00CC03C5">
      <w:p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La</w:t>
      </w:r>
      <w:r w:rsidR="00447818" w:rsidRPr="00DC37D6">
        <w:rPr>
          <w:rFonts w:ascii="Barlow" w:hAnsi="Barlow" w:cs="Arial"/>
          <w:sz w:val="20"/>
          <w:szCs w:val="20"/>
        </w:rPr>
        <w:t xml:space="preserve"> Secretaría Ejecutiva del Sistema Estatal Anticorrupción de Yucatán, no tiene créditos bancarios, ni otros instrumentos de deuda.</w:t>
      </w:r>
    </w:p>
    <w:p w14:paraId="11485C2D" w14:textId="77777777" w:rsidR="00570FCB" w:rsidRPr="00DC37D6" w:rsidRDefault="00570FCB" w:rsidP="00C4137E">
      <w:pPr>
        <w:autoSpaceDE w:val="0"/>
        <w:autoSpaceDN w:val="0"/>
        <w:adjustRightInd w:val="0"/>
        <w:spacing w:line="360" w:lineRule="auto"/>
        <w:jc w:val="both"/>
        <w:rPr>
          <w:rFonts w:ascii="Barlow" w:hAnsi="Barlow" w:cs="Arial"/>
          <w:b/>
          <w:sz w:val="20"/>
          <w:szCs w:val="20"/>
        </w:rPr>
      </w:pPr>
    </w:p>
    <w:p w14:paraId="2004F43B" w14:textId="77777777" w:rsidR="00D3760C" w:rsidRPr="00DC37D6" w:rsidRDefault="009C4317" w:rsidP="00E7733B">
      <w:pPr>
        <w:autoSpaceDE w:val="0"/>
        <w:autoSpaceDN w:val="0"/>
        <w:adjustRightInd w:val="0"/>
        <w:spacing w:line="360" w:lineRule="auto"/>
        <w:ind w:firstLine="851"/>
        <w:jc w:val="both"/>
        <w:rPr>
          <w:rFonts w:ascii="Barlow" w:hAnsi="Barlow" w:cs="Arial"/>
          <w:b/>
          <w:sz w:val="20"/>
          <w:szCs w:val="20"/>
        </w:rPr>
      </w:pPr>
      <w:r w:rsidRPr="00DC37D6">
        <w:rPr>
          <w:rFonts w:ascii="Barlow" w:hAnsi="Barlow" w:cs="Arial"/>
          <w:b/>
          <w:sz w:val="20"/>
          <w:szCs w:val="20"/>
        </w:rPr>
        <w:t>12</w:t>
      </w:r>
      <w:r w:rsidR="00D3760C" w:rsidRPr="00DC37D6">
        <w:rPr>
          <w:rFonts w:ascii="Barlow" w:hAnsi="Barlow" w:cs="Arial"/>
          <w:b/>
          <w:sz w:val="20"/>
          <w:szCs w:val="20"/>
        </w:rPr>
        <w:t>.- Calificaciones Otorgadas.</w:t>
      </w:r>
    </w:p>
    <w:p w14:paraId="32AC29FA" w14:textId="33671535" w:rsidR="00CC03C5" w:rsidRPr="00DC37D6" w:rsidRDefault="00447818" w:rsidP="00C4137E">
      <w:pPr>
        <w:autoSpaceDE w:val="0"/>
        <w:autoSpaceDN w:val="0"/>
        <w:spacing w:line="360" w:lineRule="auto"/>
        <w:jc w:val="both"/>
        <w:rPr>
          <w:rFonts w:ascii="Barlow" w:hAnsi="Barlow" w:cs="Arial"/>
          <w:sz w:val="20"/>
          <w:szCs w:val="20"/>
        </w:rPr>
      </w:pPr>
      <w:r w:rsidRPr="00DC37D6">
        <w:rPr>
          <w:rFonts w:ascii="Barlow" w:hAnsi="Barlow" w:cs="Arial"/>
          <w:sz w:val="20"/>
          <w:szCs w:val="20"/>
        </w:rPr>
        <w:t>Las</w:t>
      </w:r>
      <w:r w:rsidR="001100EC" w:rsidRPr="00DC37D6">
        <w:rPr>
          <w:rFonts w:ascii="Barlow" w:hAnsi="Barlow" w:cs="Arial"/>
          <w:sz w:val="20"/>
          <w:szCs w:val="20"/>
        </w:rPr>
        <w:t xml:space="preserve"> Finanzas </w:t>
      </w:r>
      <w:r w:rsidR="0081183F" w:rsidRPr="00DC37D6">
        <w:rPr>
          <w:rFonts w:ascii="Barlow" w:hAnsi="Barlow" w:cs="Arial"/>
          <w:sz w:val="20"/>
          <w:szCs w:val="20"/>
        </w:rPr>
        <w:t>de la Secretaría Ejecutiva del Sistema Estatal Anticorrupción de Yucatán, aún no han recibido calificaciones.</w:t>
      </w:r>
    </w:p>
    <w:p w14:paraId="6FB05F2F" w14:textId="77777777" w:rsidR="005D1B84" w:rsidRPr="00DC37D6" w:rsidRDefault="005D1B84" w:rsidP="00C4137E">
      <w:pPr>
        <w:autoSpaceDE w:val="0"/>
        <w:autoSpaceDN w:val="0"/>
        <w:spacing w:line="360" w:lineRule="auto"/>
        <w:jc w:val="both"/>
        <w:rPr>
          <w:rFonts w:ascii="Barlow" w:hAnsi="Barlow" w:cs="Arial"/>
          <w:sz w:val="20"/>
          <w:szCs w:val="20"/>
        </w:rPr>
      </w:pPr>
    </w:p>
    <w:p w14:paraId="7D162BD9" w14:textId="77777777" w:rsidR="008A76C8" w:rsidRPr="00DC37D6" w:rsidRDefault="009C4317" w:rsidP="00E7733B">
      <w:pPr>
        <w:autoSpaceDE w:val="0"/>
        <w:autoSpaceDN w:val="0"/>
        <w:adjustRightInd w:val="0"/>
        <w:spacing w:line="360" w:lineRule="auto"/>
        <w:ind w:firstLine="851"/>
        <w:jc w:val="both"/>
        <w:rPr>
          <w:rFonts w:ascii="Barlow" w:hAnsi="Barlow" w:cs="Arial"/>
          <w:sz w:val="20"/>
          <w:szCs w:val="20"/>
          <w:highlight w:val="yellow"/>
        </w:rPr>
      </w:pPr>
      <w:r w:rsidRPr="00DC37D6">
        <w:rPr>
          <w:rFonts w:ascii="Barlow" w:hAnsi="Barlow" w:cs="Arial"/>
          <w:b/>
          <w:sz w:val="20"/>
          <w:szCs w:val="20"/>
        </w:rPr>
        <w:t xml:space="preserve">13.- </w:t>
      </w:r>
      <w:r w:rsidR="008A76C8" w:rsidRPr="00DC37D6">
        <w:rPr>
          <w:rFonts w:ascii="Barlow" w:hAnsi="Barlow" w:cs="Arial"/>
          <w:b/>
          <w:sz w:val="20"/>
          <w:szCs w:val="20"/>
        </w:rPr>
        <w:t>Proceso de Mejora</w:t>
      </w:r>
    </w:p>
    <w:p w14:paraId="569D1559" w14:textId="14A5710B" w:rsidR="002C663F" w:rsidRPr="00DC37D6" w:rsidRDefault="0081183F" w:rsidP="00E605B4">
      <w:pPr>
        <w:autoSpaceDE w:val="0"/>
        <w:autoSpaceDN w:val="0"/>
        <w:adjustRightInd w:val="0"/>
        <w:jc w:val="both"/>
        <w:rPr>
          <w:rFonts w:ascii="Barlow" w:hAnsi="Barlow" w:cs="Arial"/>
          <w:sz w:val="20"/>
          <w:szCs w:val="20"/>
        </w:rPr>
      </w:pPr>
      <w:r w:rsidRPr="00DC37D6">
        <w:rPr>
          <w:rFonts w:ascii="Barlow" w:hAnsi="Barlow" w:cs="Arial"/>
          <w:sz w:val="20"/>
          <w:szCs w:val="20"/>
        </w:rPr>
        <w:t>La Secretaría Ejecutiva del Sistema Estatal Anticorrupción de Yucatán, es un organismo con inicio de operaciones el 01 de septiembre de 2018; razón por la cual se encuentra en proceso de elaboración toda su normatividad interna: manuales, procesos, códigos, etc.</w:t>
      </w:r>
    </w:p>
    <w:p w14:paraId="29EE5DDB" w14:textId="77777777" w:rsidR="0001578C" w:rsidRPr="00DC37D6" w:rsidRDefault="0001578C" w:rsidP="00E605B4">
      <w:pPr>
        <w:autoSpaceDE w:val="0"/>
        <w:autoSpaceDN w:val="0"/>
        <w:adjustRightInd w:val="0"/>
        <w:jc w:val="both"/>
        <w:rPr>
          <w:rFonts w:ascii="Barlow" w:hAnsi="Barlow" w:cs="Arial"/>
          <w:sz w:val="20"/>
          <w:szCs w:val="20"/>
        </w:rPr>
      </w:pPr>
    </w:p>
    <w:p w14:paraId="6348D85D" w14:textId="77777777" w:rsidR="0081183F" w:rsidRPr="00DC37D6" w:rsidRDefault="0081183F" w:rsidP="00E605B4">
      <w:pPr>
        <w:autoSpaceDE w:val="0"/>
        <w:autoSpaceDN w:val="0"/>
        <w:adjustRightInd w:val="0"/>
        <w:jc w:val="both"/>
        <w:rPr>
          <w:rFonts w:ascii="Barlow" w:hAnsi="Barlow" w:cs="Arial"/>
          <w:sz w:val="20"/>
          <w:szCs w:val="20"/>
          <w:highlight w:val="yellow"/>
        </w:rPr>
      </w:pPr>
    </w:p>
    <w:p w14:paraId="7CA14A3D" w14:textId="77777777" w:rsidR="00D4089C" w:rsidRPr="00DC37D6" w:rsidRDefault="00D4089C" w:rsidP="00E7733B">
      <w:pPr>
        <w:autoSpaceDE w:val="0"/>
        <w:autoSpaceDN w:val="0"/>
        <w:adjustRightInd w:val="0"/>
        <w:spacing w:line="360" w:lineRule="auto"/>
        <w:ind w:firstLine="851"/>
        <w:jc w:val="both"/>
        <w:rPr>
          <w:rFonts w:ascii="Barlow" w:hAnsi="Barlow" w:cs="Arial"/>
          <w:b/>
          <w:sz w:val="20"/>
          <w:szCs w:val="20"/>
        </w:rPr>
      </w:pPr>
      <w:r w:rsidRPr="00DC37D6">
        <w:rPr>
          <w:rFonts w:ascii="Barlow" w:hAnsi="Barlow" w:cs="Arial"/>
          <w:b/>
          <w:sz w:val="20"/>
          <w:szCs w:val="20"/>
        </w:rPr>
        <w:t>14. Información por Segmentos.</w:t>
      </w:r>
    </w:p>
    <w:p w14:paraId="52A9F9EC" w14:textId="38937081" w:rsidR="009C4317" w:rsidRPr="00DC37D6" w:rsidRDefault="00D4089C" w:rsidP="00D4089C">
      <w:pPr>
        <w:autoSpaceDE w:val="0"/>
        <w:autoSpaceDN w:val="0"/>
        <w:adjustRightInd w:val="0"/>
        <w:spacing w:line="360" w:lineRule="auto"/>
        <w:jc w:val="both"/>
        <w:rPr>
          <w:rFonts w:ascii="Barlow" w:hAnsi="Barlow" w:cs="Arial"/>
          <w:sz w:val="20"/>
          <w:szCs w:val="20"/>
        </w:rPr>
      </w:pPr>
      <w:r w:rsidRPr="00DC37D6">
        <w:rPr>
          <w:rFonts w:ascii="Barlow" w:hAnsi="Barlow" w:cs="Arial"/>
          <w:sz w:val="20"/>
          <w:szCs w:val="20"/>
        </w:rPr>
        <w:t>La información financiera de la Secretaría Ejecutiva del Sistema Estatal Anticorrupción de Yucatán se realiza de manera global.</w:t>
      </w:r>
    </w:p>
    <w:p w14:paraId="0B4FC574" w14:textId="0AE3942F" w:rsidR="0001578C" w:rsidRDefault="0001578C" w:rsidP="00D4089C">
      <w:pPr>
        <w:autoSpaceDE w:val="0"/>
        <w:autoSpaceDN w:val="0"/>
        <w:adjustRightInd w:val="0"/>
        <w:spacing w:line="360" w:lineRule="auto"/>
        <w:jc w:val="both"/>
        <w:rPr>
          <w:rFonts w:ascii="Barlow" w:hAnsi="Barlow" w:cs="Arial"/>
          <w:sz w:val="20"/>
          <w:szCs w:val="20"/>
        </w:rPr>
      </w:pPr>
    </w:p>
    <w:p w14:paraId="57B885D8" w14:textId="77777777" w:rsidR="00DC37D6" w:rsidRPr="00DC37D6" w:rsidRDefault="00DC37D6" w:rsidP="00D4089C">
      <w:pPr>
        <w:autoSpaceDE w:val="0"/>
        <w:autoSpaceDN w:val="0"/>
        <w:adjustRightInd w:val="0"/>
        <w:spacing w:line="360" w:lineRule="auto"/>
        <w:jc w:val="both"/>
        <w:rPr>
          <w:rFonts w:ascii="Barlow" w:hAnsi="Barlow" w:cs="Arial"/>
          <w:sz w:val="20"/>
          <w:szCs w:val="20"/>
        </w:rPr>
      </w:pPr>
    </w:p>
    <w:p w14:paraId="5DE5C500" w14:textId="77777777" w:rsidR="0081183F" w:rsidRPr="00DC37D6" w:rsidRDefault="00512E42" w:rsidP="00E7733B">
      <w:pPr>
        <w:autoSpaceDE w:val="0"/>
        <w:autoSpaceDN w:val="0"/>
        <w:adjustRightInd w:val="0"/>
        <w:spacing w:line="360" w:lineRule="auto"/>
        <w:ind w:firstLine="851"/>
        <w:jc w:val="both"/>
        <w:rPr>
          <w:rFonts w:ascii="Barlow" w:hAnsi="Barlow" w:cs="Arial"/>
          <w:b/>
          <w:sz w:val="20"/>
          <w:szCs w:val="20"/>
        </w:rPr>
      </w:pPr>
      <w:r w:rsidRPr="00DC37D6">
        <w:rPr>
          <w:rFonts w:ascii="Barlow" w:hAnsi="Barlow" w:cs="Arial"/>
          <w:b/>
          <w:sz w:val="20"/>
          <w:szCs w:val="20"/>
        </w:rPr>
        <w:lastRenderedPageBreak/>
        <w:t>15.- Eventos Posteriores.</w:t>
      </w:r>
      <w:r w:rsidR="00E25EFA" w:rsidRPr="00DC37D6">
        <w:rPr>
          <w:rFonts w:ascii="Barlow" w:hAnsi="Barlow" w:cs="Arial"/>
          <w:b/>
          <w:sz w:val="20"/>
          <w:szCs w:val="20"/>
        </w:rPr>
        <w:t xml:space="preserve"> </w:t>
      </w:r>
    </w:p>
    <w:p w14:paraId="246C8231" w14:textId="2B50ECB7" w:rsidR="00826A51" w:rsidRPr="00DC37D6" w:rsidRDefault="0081183F" w:rsidP="00C4137E">
      <w:pPr>
        <w:autoSpaceDE w:val="0"/>
        <w:autoSpaceDN w:val="0"/>
        <w:adjustRightInd w:val="0"/>
        <w:spacing w:line="360" w:lineRule="auto"/>
        <w:jc w:val="both"/>
        <w:rPr>
          <w:rFonts w:ascii="Barlow" w:hAnsi="Barlow" w:cs="Arial"/>
          <w:b/>
          <w:sz w:val="20"/>
          <w:szCs w:val="20"/>
        </w:rPr>
      </w:pPr>
      <w:r w:rsidRPr="00DC37D6">
        <w:rPr>
          <w:rFonts w:ascii="Barlow" w:hAnsi="Barlow" w:cs="Arial"/>
          <w:sz w:val="20"/>
          <w:szCs w:val="20"/>
        </w:rPr>
        <w:t>La Secretaría Ejecutiva del Sistema Estatal Anticorrupción de Yucatán declara que no existen hechos ocurridos posteriores al cierre.</w:t>
      </w:r>
    </w:p>
    <w:p w14:paraId="2DE96BA6" w14:textId="77777777" w:rsidR="00512E42" w:rsidRPr="00DC37D6" w:rsidRDefault="00512E42" w:rsidP="00E605B4">
      <w:pPr>
        <w:autoSpaceDE w:val="0"/>
        <w:autoSpaceDN w:val="0"/>
        <w:adjustRightInd w:val="0"/>
        <w:jc w:val="both"/>
        <w:rPr>
          <w:rFonts w:ascii="Barlow" w:hAnsi="Barlow" w:cs="Arial"/>
          <w:sz w:val="20"/>
          <w:szCs w:val="20"/>
        </w:rPr>
      </w:pPr>
    </w:p>
    <w:p w14:paraId="6ED39492" w14:textId="77777777" w:rsidR="00D4089C" w:rsidRPr="00DC37D6" w:rsidRDefault="00512E42" w:rsidP="00E7733B">
      <w:pPr>
        <w:autoSpaceDE w:val="0"/>
        <w:autoSpaceDN w:val="0"/>
        <w:adjustRightInd w:val="0"/>
        <w:spacing w:line="360" w:lineRule="auto"/>
        <w:ind w:firstLine="851"/>
        <w:jc w:val="both"/>
        <w:rPr>
          <w:rFonts w:ascii="Barlow" w:hAnsi="Barlow" w:cs="Arial"/>
          <w:b/>
          <w:sz w:val="20"/>
          <w:szCs w:val="20"/>
        </w:rPr>
      </w:pPr>
      <w:r w:rsidRPr="00DC37D6">
        <w:rPr>
          <w:rFonts w:ascii="Barlow" w:hAnsi="Barlow" w:cs="Arial"/>
          <w:b/>
          <w:sz w:val="20"/>
          <w:szCs w:val="20"/>
        </w:rPr>
        <w:t>16.- Partes Relacionadas</w:t>
      </w:r>
      <w:r w:rsidR="00D4089C" w:rsidRPr="00DC37D6">
        <w:rPr>
          <w:rFonts w:ascii="Barlow" w:hAnsi="Barlow" w:cs="Arial"/>
          <w:b/>
          <w:sz w:val="20"/>
          <w:szCs w:val="20"/>
        </w:rPr>
        <w:t>.</w:t>
      </w:r>
    </w:p>
    <w:p w14:paraId="45F79A01" w14:textId="77777777" w:rsidR="0023705C" w:rsidRPr="00DC37D6" w:rsidRDefault="00D4089C" w:rsidP="00D4089C">
      <w:pPr>
        <w:autoSpaceDE w:val="0"/>
        <w:autoSpaceDN w:val="0"/>
        <w:adjustRightInd w:val="0"/>
        <w:spacing w:line="360" w:lineRule="auto"/>
        <w:jc w:val="both"/>
        <w:rPr>
          <w:rFonts w:ascii="Barlow" w:hAnsi="Barlow" w:cs="Arial"/>
          <w:color w:val="000000"/>
          <w:sz w:val="20"/>
          <w:szCs w:val="20"/>
          <w:lang w:eastAsia="es-MX"/>
        </w:rPr>
      </w:pPr>
      <w:r w:rsidRPr="00DC37D6">
        <w:rPr>
          <w:rFonts w:ascii="Barlow" w:hAnsi="Barlow" w:cs="Arial"/>
          <w:sz w:val="20"/>
          <w:szCs w:val="20"/>
        </w:rPr>
        <w:t>La Secretaría Ejecutiva del Sistema Estatal Anticorrupción de Yucatán declara que no existen partes relacionadas que pudieran ejercer influencias significativas sobre la toma de decisiones financieras y operativas.</w:t>
      </w:r>
    </w:p>
    <w:p w14:paraId="7C46E4D2" w14:textId="4CD90572" w:rsidR="0023705C" w:rsidRPr="00DC37D6" w:rsidRDefault="0023705C" w:rsidP="00055DF3">
      <w:pPr>
        <w:jc w:val="both"/>
        <w:rPr>
          <w:rFonts w:ascii="Barlow" w:hAnsi="Barlow" w:cs="Arial"/>
          <w:color w:val="000000"/>
          <w:sz w:val="20"/>
          <w:szCs w:val="20"/>
          <w:lang w:eastAsia="es-MX"/>
        </w:rPr>
      </w:pPr>
    </w:p>
    <w:p w14:paraId="3CB2B7F0" w14:textId="2F473DA4" w:rsidR="00A54D55" w:rsidRPr="00DC37D6" w:rsidRDefault="00A54D55" w:rsidP="00055DF3">
      <w:pPr>
        <w:jc w:val="both"/>
        <w:rPr>
          <w:rFonts w:ascii="Barlow" w:hAnsi="Barlow" w:cs="Arial"/>
          <w:color w:val="000000"/>
          <w:sz w:val="20"/>
          <w:szCs w:val="20"/>
          <w:lang w:eastAsia="es-MX"/>
        </w:rPr>
      </w:pPr>
    </w:p>
    <w:p w14:paraId="5B14930B" w14:textId="77777777" w:rsidR="00A54D55" w:rsidRPr="00DC37D6" w:rsidRDefault="00A54D55" w:rsidP="00055DF3">
      <w:pPr>
        <w:jc w:val="both"/>
        <w:rPr>
          <w:rFonts w:ascii="Barlow" w:hAnsi="Barlow" w:cs="Arial"/>
          <w:color w:val="000000"/>
          <w:sz w:val="20"/>
          <w:szCs w:val="20"/>
          <w:lang w:eastAsia="es-MX"/>
        </w:rPr>
      </w:pPr>
    </w:p>
    <w:p w14:paraId="46C55149" w14:textId="4F2962E4" w:rsidR="00F15374" w:rsidRPr="00DC37D6" w:rsidRDefault="00D4089C" w:rsidP="000C0EDC">
      <w:pPr>
        <w:rPr>
          <w:rFonts w:ascii="Barlow" w:hAnsi="Barlow" w:cs="Arial"/>
          <w:b/>
          <w:bCs/>
          <w:color w:val="000000"/>
          <w:sz w:val="20"/>
          <w:szCs w:val="20"/>
          <w:lang w:eastAsia="es-MX"/>
        </w:rPr>
      </w:pPr>
      <w:r w:rsidRPr="00DC37D6">
        <w:rPr>
          <w:rFonts w:ascii="Barlow" w:hAnsi="Barlow" w:cs="Arial"/>
          <w:b/>
          <w:bCs/>
          <w:color w:val="000000"/>
          <w:sz w:val="20"/>
          <w:szCs w:val="20"/>
          <w:lang w:eastAsia="es-MX"/>
        </w:rPr>
        <w:t>“</w:t>
      </w:r>
      <w:r w:rsidR="00D20015" w:rsidRPr="00DC37D6">
        <w:rPr>
          <w:rFonts w:ascii="Barlow" w:hAnsi="Barlow" w:cs="Arial"/>
          <w:b/>
          <w:bCs/>
          <w:color w:val="000000"/>
          <w:sz w:val="20"/>
          <w:szCs w:val="20"/>
          <w:lang w:eastAsia="es-MX"/>
        </w:rPr>
        <w:t>Bajo protesta de decir verdad declaramos que los Estados Financieros y sus Notas son razonablemente correctos y</w:t>
      </w:r>
      <w:r w:rsidR="00DC37D6">
        <w:rPr>
          <w:rFonts w:ascii="Barlow" w:hAnsi="Barlow" w:cs="Arial"/>
          <w:b/>
          <w:bCs/>
          <w:color w:val="000000"/>
          <w:sz w:val="20"/>
          <w:szCs w:val="20"/>
          <w:lang w:eastAsia="es-MX"/>
        </w:rPr>
        <w:t xml:space="preserve"> son</w:t>
      </w:r>
      <w:r w:rsidR="00D20015" w:rsidRPr="00DC37D6">
        <w:rPr>
          <w:rFonts w:ascii="Barlow" w:hAnsi="Barlow" w:cs="Arial"/>
          <w:b/>
          <w:bCs/>
          <w:color w:val="000000"/>
          <w:sz w:val="20"/>
          <w:szCs w:val="20"/>
          <w:lang w:eastAsia="es-MX"/>
        </w:rPr>
        <w:t xml:space="preserve"> responsabilidad del emisor</w:t>
      </w:r>
      <w:r w:rsidRPr="00DC37D6">
        <w:rPr>
          <w:rFonts w:ascii="Barlow" w:hAnsi="Barlow" w:cs="Arial"/>
          <w:b/>
          <w:bCs/>
          <w:color w:val="000000"/>
          <w:sz w:val="20"/>
          <w:szCs w:val="20"/>
          <w:lang w:eastAsia="es-MX"/>
        </w:rPr>
        <w:t>”</w:t>
      </w:r>
      <w:r w:rsidR="00D20015" w:rsidRPr="00DC37D6">
        <w:rPr>
          <w:rFonts w:ascii="Barlow" w:hAnsi="Barlow" w:cs="Arial"/>
          <w:b/>
          <w:bCs/>
          <w:color w:val="000000"/>
          <w:sz w:val="20"/>
          <w:szCs w:val="20"/>
          <w:lang w:eastAsia="es-MX"/>
        </w:rPr>
        <w:t>.</w:t>
      </w:r>
    </w:p>
    <w:p w14:paraId="36BA50FA" w14:textId="095935E4" w:rsidR="00306F27" w:rsidRPr="00DC37D6" w:rsidRDefault="00306F27" w:rsidP="004926FF">
      <w:pPr>
        <w:rPr>
          <w:rFonts w:ascii="Barlow" w:hAnsi="Barlow" w:cs="Arial"/>
          <w:sz w:val="20"/>
          <w:szCs w:val="20"/>
        </w:rPr>
      </w:pPr>
    </w:p>
    <w:sectPr w:rsidR="00306F27" w:rsidRPr="00DC37D6" w:rsidSect="00DC37D6">
      <w:headerReference w:type="default" r:id="rId11"/>
      <w:footerReference w:type="even" r:id="rId12"/>
      <w:footerReference w:type="default" r:id="rId13"/>
      <w:pgSz w:w="15840" w:h="12240" w:orient="landscape" w:code="1"/>
      <w:pgMar w:top="2835" w:right="1134" w:bottom="1701"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D32A5" w14:textId="77777777" w:rsidR="00AD70C7" w:rsidRDefault="00AD70C7" w:rsidP="00DA679B">
      <w:r>
        <w:separator/>
      </w:r>
    </w:p>
  </w:endnote>
  <w:endnote w:type="continuationSeparator" w:id="0">
    <w:p w14:paraId="41236D1F" w14:textId="77777777" w:rsidR="00AD70C7" w:rsidRDefault="00AD70C7"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arlo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2DBEE" w14:textId="77777777" w:rsidR="00C05F00" w:rsidRDefault="00C05F0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1386" w14:textId="77777777" w:rsidR="00C05F00" w:rsidRDefault="00C05F00">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9B4B6" w14:textId="68F67EED" w:rsidR="00C05F00" w:rsidRPr="00EC437B" w:rsidRDefault="00C05F00" w:rsidP="00EC437B">
    <w:pPr>
      <w:pStyle w:val="Piedepgina"/>
      <w:jc w:val="righ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F35C4" w14:textId="77777777" w:rsidR="00AD70C7" w:rsidRDefault="00AD70C7" w:rsidP="00DA679B">
      <w:r>
        <w:separator/>
      </w:r>
    </w:p>
  </w:footnote>
  <w:footnote w:type="continuationSeparator" w:id="0">
    <w:p w14:paraId="0D3B22E0" w14:textId="77777777" w:rsidR="00AD70C7" w:rsidRDefault="00AD70C7" w:rsidP="00DA6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DB2B8" w14:textId="6BA0ADD4" w:rsidR="00C05F00" w:rsidRPr="00611801" w:rsidRDefault="00C05F00" w:rsidP="00611801">
    <w:pPr>
      <w:pStyle w:val="Encabezado"/>
      <w:rPr>
        <w:noProof/>
        <w:lang w:eastAsia="es-MX"/>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DEE"/>
    <w:multiLevelType w:val="hybridMultilevel"/>
    <w:tmpl w:val="22EE63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065907"/>
    <w:multiLevelType w:val="hybridMultilevel"/>
    <w:tmpl w:val="5748BBBC"/>
    <w:lvl w:ilvl="0" w:tplc="230A88E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3"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4" w15:restartNumberingAfterBreak="0">
    <w:nsid w:val="19B60E4E"/>
    <w:multiLevelType w:val="hybridMultilevel"/>
    <w:tmpl w:val="9C68DCF0"/>
    <w:lvl w:ilvl="0" w:tplc="90825BF8">
      <w:start w:val="1"/>
      <w:numFmt w:val="decimal"/>
      <w:lvlText w:val="%1."/>
      <w:lvlJc w:val="left"/>
      <w:pPr>
        <w:ind w:left="720" w:hanging="360"/>
      </w:pPr>
      <w:rPr>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24115D"/>
    <w:multiLevelType w:val="hybridMultilevel"/>
    <w:tmpl w:val="8D104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4E480D"/>
    <w:multiLevelType w:val="hybridMultilevel"/>
    <w:tmpl w:val="D1E6DCCA"/>
    <w:lvl w:ilvl="0" w:tplc="A258A7AA">
      <w:start w:val="3"/>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69C5D4D"/>
    <w:multiLevelType w:val="hybridMultilevel"/>
    <w:tmpl w:val="FDF65C8A"/>
    <w:lvl w:ilvl="0" w:tplc="75C8E5C4">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D854CD"/>
    <w:multiLevelType w:val="hybridMultilevel"/>
    <w:tmpl w:val="E57EBB14"/>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0"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9A955E7"/>
    <w:multiLevelType w:val="hybridMultilevel"/>
    <w:tmpl w:val="5AD654A4"/>
    <w:lvl w:ilvl="0" w:tplc="7B667058">
      <w:start w:val="3"/>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BC77E13"/>
    <w:multiLevelType w:val="hybridMultilevel"/>
    <w:tmpl w:val="CDEC4F72"/>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4" w15:restartNumberingAfterBreak="0">
    <w:nsid w:val="43C81AD9"/>
    <w:multiLevelType w:val="hybridMultilevel"/>
    <w:tmpl w:val="66DC83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79A179C"/>
    <w:multiLevelType w:val="hybridMultilevel"/>
    <w:tmpl w:val="BF8CE548"/>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4B0F5563"/>
    <w:multiLevelType w:val="hybridMultilevel"/>
    <w:tmpl w:val="EE548C0E"/>
    <w:lvl w:ilvl="0" w:tplc="0C0A0001">
      <w:start w:val="1"/>
      <w:numFmt w:val="bullet"/>
      <w:lvlText w:val=""/>
      <w:lvlJc w:val="left"/>
      <w:pPr>
        <w:ind w:left="1785" w:hanging="360"/>
      </w:pPr>
      <w:rPr>
        <w:rFonts w:ascii="Symbol" w:hAnsi="Symbol" w:hint="default"/>
      </w:rPr>
    </w:lvl>
    <w:lvl w:ilvl="1" w:tplc="0C0A0003" w:tentative="1">
      <w:start w:val="1"/>
      <w:numFmt w:val="bullet"/>
      <w:lvlText w:val="o"/>
      <w:lvlJc w:val="left"/>
      <w:pPr>
        <w:ind w:left="2505" w:hanging="360"/>
      </w:pPr>
      <w:rPr>
        <w:rFonts w:ascii="Courier New" w:hAnsi="Courier New" w:cs="Courier New" w:hint="default"/>
      </w:rPr>
    </w:lvl>
    <w:lvl w:ilvl="2" w:tplc="0C0A0005" w:tentative="1">
      <w:start w:val="1"/>
      <w:numFmt w:val="bullet"/>
      <w:lvlText w:val=""/>
      <w:lvlJc w:val="left"/>
      <w:pPr>
        <w:ind w:left="3225" w:hanging="360"/>
      </w:pPr>
      <w:rPr>
        <w:rFonts w:ascii="Wingdings" w:hAnsi="Wingdings" w:hint="default"/>
      </w:rPr>
    </w:lvl>
    <w:lvl w:ilvl="3" w:tplc="0C0A0001" w:tentative="1">
      <w:start w:val="1"/>
      <w:numFmt w:val="bullet"/>
      <w:lvlText w:val=""/>
      <w:lvlJc w:val="left"/>
      <w:pPr>
        <w:ind w:left="3945" w:hanging="360"/>
      </w:pPr>
      <w:rPr>
        <w:rFonts w:ascii="Symbol" w:hAnsi="Symbol" w:hint="default"/>
      </w:rPr>
    </w:lvl>
    <w:lvl w:ilvl="4" w:tplc="0C0A0003" w:tentative="1">
      <w:start w:val="1"/>
      <w:numFmt w:val="bullet"/>
      <w:lvlText w:val="o"/>
      <w:lvlJc w:val="left"/>
      <w:pPr>
        <w:ind w:left="4665" w:hanging="360"/>
      </w:pPr>
      <w:rPr>
        <w:rFonts w:ascii="Courier New" w:hAnsi="Courier New" w:cs="Courier New" w:hint="default"/>
      </w:rPr>
    </w:lvl>
    <w:lvl w:ilvl="5" w:tplc="0C0A0005" w:tentative="1">
      <w:start w:val="1"/>
      <w:numFmt w:val="bullet"/>
      <w:lvlText w:val=""/>
      <w:lvlJc w:val="left"/>
      <w:pPr>
        <w:ind w:left="5385" w:hanging="360"/>
      </w:pPr>
      <w:rPr>
        <w:rFonts w:ascii="Wingdings" w:hAnsi="Wingdings" w:hint="default"/>
      </w:rPr>
    </w:lvl>
    <w:lvl w:ilvl="6" w:tplc="0C0A0001" w:tentative="1">
      <w:start w:val="1"/>
      <w:numFmt w:val="bullet"/>
      <w:lvlText w:val=""/>
      <w:lvlJc w:val="left"/>
      <w:pPr>
        <w:ind w:left="6105" w:hanging="360"/>
      </w:pPr>
      <w:rPr>
        <w:rFonts w:ascii="Symbol" w:hAnsi="Symbol" w:hint="default"/>
      </w:rPr>
    </w:lvl>
    <w:lvl w:ilvl="7" w:tplc="0C0A0003" w:tentative="1">
      <w:start w:val="1"/>
      <w:numFmt w:val="bullet"/>
      <w:lvlText w:val="o"/>
      <w:lvlJc w:val="left"/>
      <w:pPr>
        <w:ind w:left="6825" w:hanging="360"/>
      </w:pPr>
      <w:rPr>
        <w:rFonts w:ascii="Courier New" w:hAnsi="Courier New" w:cs="Courier New" w:hint="default"/>
      </w:rPr>
    </w:lvl>
    <w:lvl w:ilvl="8" w:tplc="0C0A0005" w:tentative="1">
      <w:start w:val="1"/>
      <w:numFmt w:val="bullet"/>
      <w:lvlText w:val=""/>
      <w:lvlJc w:val="left"/>
      <w:pPr>
        <w:ind w:left="7545" w:hanging="360"/>
      </w:pPr>
      <w:rPr>
        <w:rFonts w:ascii="Wingdings" w:hAnsi="Wingdings" w:hint="default"/>
      </w:rPr>
    </w:lvl>
  </w:abstractNum>
  <w:abstractNum w:abstractNumId="17" w15:restartNumberingAfterBreak="0">
    <w:nsid w:val="50B02720"/>
    <w:multiLevelType w:val="hybridMultilevel"/>
    <w:tmpl w:val="5BE6091A"/>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8" w15:restartNumberingAfterBreak="0">
    <w:nsid w:val="5868508D"/>
    <w:multiLevelType w:val="hybridMultilevel"/>
    <w:tmpl w:val="BA7CC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5D0D101C"/>
    <w:multiLevelType w:val="hybridMultilevel"/>
    <w:tmpl w:val="86561D5E"/>
    <w:lvl w:ilvl="0" w:tplc="0409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6A1564EF"/>
    <w:multiLevelType w:val="hybridMultilevel"/>
    <w:tmpl w:val="3F5AECFA"/>
    <w:lvl w:ilvl="0" w:tplc="E44A7D5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4" w15:restartNumberingAfterBreak="0">
    <w:nsid w:val="6F6D7704"/>
    <w:multiLevelType w:val="hybridMultilevel"/>
    <w:tmpl w:val="BDCA828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75B2777C"/>
    <w:multiLevelType w:val="hybridMultilevel"/>
    <w:tmpl w:val="EE40B030"/>
    <w:lvl w:ilvl="0" w:tplc="C4F6C68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23"/>
  </w:num>
  <w:num w:numId="3">
    <w:abstractNumId w:val="10"/>
  </w:num>
  <w:num w:numId="4">
    <w:abstractNumId w:val="11"/>
  </w:num>
  <w:num w:numId="5">
    <w:abstractNumId w:val="19"/>
  </w:num>
  <w:num w:numId="6">
    <w:abstractNumId w:val="3"/>
  </w:num>
  <w:num w:numId="7">
    <w:abstractNumId w:val="0"/>
  </w:num>
  <w:num w:numId="8">
    <w:abstractNumId w:val="8"/>
  </w:num>
  <w:num w:numId="9">
    <w:abstractNumId w:val="2"/>
  </w:num>
  <w:num w:numId="10">
    <w:abstractNumId w:val="16"/>
  </w:num>
  <w:num w:numId="11">
    <w:abstractNumId w:val="17"/>
  </w:num>
  <w:num w:numId="12">
    <w:abstractNumId w:val="4"/>
  </w:num>
  <w:num w:numId="13">
    <w:abstractNumId w:val="9"/>
  </w:num>
  <w:num w:numId="14">
    <w:abstractNumId w:val="14"/>
  </w:num>
  <w:num w:numId="15">
    <w:abstractNumId w:val="15"/>
  </w:num>
  <w:num w:numId="16">
    <w:abstractNumId w:val="1"/>
  </w:num>
  <w:num w:numId="17">
    <w:abstractNumId w:val="13"/>
  </w:num>
  <w:num w:numId="18">
    <w:abstractNumId w:val="7"/>
  </w:num>
  <w:num w:numId="19">
    <w:abstractNumId w:val="18"/>
  </w:num>
  <w:num w:numId="20">
    <w:abstractNumId w:val="5"/>
  </w:num>
  <w:num w:numId="21">
    <w:abstractNumId w:val="25"/>
  </w:num>
  <w:num w:numId="22">
    <w:abstractNumId w:val="21"/>
  </w:num>
  <w:num w:numId="23">
    <w:abstractNumId w:val="24"/>
  </w:num>
  <w:num w:numId="24">
    <w:abstractNumId w:val="12"/>
  </w:num>
  <w:num w:numId="25">
    <w:abstractNumId w:val="6"/>
  </w:num>
  <w:num w:numId="26">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02E2"/>
    <w:rsid w:val="00002116"/>
    <w:rsid w:val="00002EE8"/>
    <w:rsid w:val="00003304"/>
    <w:rsid w:val="00004AB4"/>
    <w:rsid w:val="000055F0"/>
    <w:rsid w:val="00005ABB"/>
    <w:rsid w:val="000069F4"/>
    <w:rsid w:val="00007700"/>
    <w:rsid w:val="00010F84"/>
    <w:rsid w:val="000119BD"/>
    <w:rsid w:val="00012217"/>
    <w:rsid w:val="00012FC8"/>
    <w:rsid w:val="0001378A"/>
    <w:rsid w:val="000144C2"/>
    <w:rsid w:val="000144F5"/>
    <w:rsid w:val="0001578C"/>
    <w:rsid w:val="00016EFF"/>
    <w:rsid w:val="0001792B"/>
    <w:rsid w:val="00020DA9"/>
    <w:rsid w:val="00021EF6"/>
    <w:rsid w:val="000257A3"/>
    <w:rsid w:val="00026DF4"/>
    <w:rsid w:val="00026E81"/>
    <w:rsid w:val="00032228"/>
    <w:rsid w:val="000322AC"/>
    <w:rsid w:val="000336F3"/>
    <w:rsid w:val="000359B8"/>
    <w:rsid w:val="0003650E"/>
    <w:rsid w:val="00036D70"/>
    <w:rsid w:val="00036FF4"/>
    <w:rsid w:val="000374B0"/>
    <w:rsid w:val="000405D4"/>
    <w:rsid w:val="00040B74"/>
    <w:rsid w:val="00040F2F"/>
    <w:rsid w:val="000417FA"/>
    <w:rsid w:val="00041940"/>
    <w:rsid w:val="00045C6F"/>
    <w:rsid w:val="0004713D"/>
    <w:rsid w:val="00047D6C"/>
    <w:rsid w:val="00050B61"/>
    <w:rsid w:val="00051C2B"/>
    <w:rsid w:val="00052477"/>
    <w:rsid w:val="0005280D"/>
    <w:rsid w:val="00052C47"/>
    <w:rsid w:val="000531C7"/>
    <w:rsid w:val="00054442"/>
    <w:rsid w:val="00055DF3"/>
    <w:rsid w:val="00056707"/>
    <w:rsid w:val="00060520"/>
    <w:rsid w:val="000630C9"/>
    <w:rsid w:val="00063309"/>
    <w:rsid w:val="00063E75"/>
    <w:rsid w:val="000640C1"/>
    <w:rsid w:val="00064C4F"/>
    <w:rsid w:val="000664C2"/>
    <w:rsid w:val="000677FF"/>
    <w:rsid w:val="0007007B"/>
    <w:rsid w:val="0007023B"/>
    <w:rsid w:val="00071371"/>
    <w:rsid w:val="000744B7"/>
    <w:rsid w:val="000757BD"/>
    <w:rsid w:val="00076080"/>
    <w:rsid w:val="00076625"/>
    <w:rsid w:val="00076C32"/>
    <w:rsid w:val="00080BC0"/>
    <w:rsid w:val="00081A1F"/>
    <w:rsid w:val="00082456"/>
    <w:rsid w:val="000831D9"/>
    <w:rsid w:val="0008459F"/>
    <w:rsid w:val="00084CEB"/>
    <w:rsid w:val="00086AF7"/>
    <w:rsid w:val="00086AFE"/>
    <w:rsid w:val="000878D3"/>
    <w:rsid w:val="00087F91"/>
    <w:rsid w:val="00093686"/>
    <w:rsid w:val="0009582F"/>
    <w:rsid w:val="00096693"/>
    <w:rsid w:val="000A089A"/>
    <w:rsid w:val="000A24E7"/>
    <w:rsid w:val="000A302E"/>
    <w:rsid w:val="000B0E5E"/>
    <w:rsid w:val="000B1288"/>
    <w:rsid w:val="000B164D"/>
    <w:rsid w:val="000B3057"/>
    <w:rsid w:val="000B4A0B"/>
    <w:rsid w:val="000B6448"/>
    <w:rsid w:val="000B6CC3"/>
    <w:rsid w:val="000B73EE"/>
    <w:rsid w:val="000B7D37"/>
    <w:rsid w:val="000C0EDC"/>
    <w:rsid w:val="000C0FBD"/>
    <w:rsid w:val="000C16A5"/>
    <w:rsid w:val="000C1DF6"/>
    <w:rsid w:val="000C4DE4"/>
    <w:rsid w:val="000C582D"/>
    <w:rsid w:val="000C7BB6"/>
    <w:rsid w:val="000C7C9B"/>
    <w:rsid w:val="000D16E3"/>
    <w:rsid w:val="000D1846"/>
    <w:rsid w:val="000D1A7F"/>
    <w:rsid w:val="000D61D6"/>
    <w:rsid w:val="000E037A"/>
    <w:rsid w:val="000E073D"/>
    <w:rsid w:val="000E11ED"/>
    <w:rsid w:val="000E18FD"/>
    <w:rsid w:val="000E22EF"/>
    <w:rsid w:val="000E4F78"/>
    <w:rsid w:val="000E4FB8"/>
    <w:rsid w:val="000E54A9"/>
    <w:rsid w:val="000E56F6"/>
    <w:rsid w:val="000E7CB7"/>
    <w:rsid w:val="000F16F2"/>
    <w:rsid w:val="000F1D87"/>
    <w:rsid w:val="000F3BEA"/>
    <w:rsid w:val="001002DE"/>
    <w:rsid w:val="00101583"/>
    <w:rsid w:val="00104EF5"/>
    <w:rsid w:val="0010556A"/>
    <w:rsid w:val="00105EB4"/>
    <w:rsid w:val="00107724"/>
    <w:rsid w:val="0010787F"/>
    <w:rsid w:val="001078B6"/>
    <w:rsid w:val="00107DCA"/>
    <w:rsid w:val="001100E9"/>
    <w:rsid w:val="001100EC"/>
    <w:rsid w:val="001105EC"/>
    <w:rsid w:val="00110B2A"/>
    <w:rsid w:val="00112221"/>
    <w:rsid w:val="00112321"/>
    <w:rsid w:val="00112D72"/>
    <w:rsid w:val="00114DD4"/>
    <w:rsid w:val="00114FF5"/>
    <w:rsid w:val="001151B1"/>
    <w:rsid w:val="001153BA"/>
    <w:rsid w:val="00115500"/>
    <w:rsid w:val="00115E89"/>
    <w:rsid w:val="001160EF"/>
    <w:rsid w:val="00116C21"/>
    <w:rsid w:val="00117246"/>
    <w:rsid w:val="00120A0E"/>
    <w:rsid w:val="001238F2"/>
    <w:rsid w:val="00125224"/>
    <w:rsid w:val="00125CA2"/>
    <w:rsid w:val="00127073"/>
    <w:rsid w:val="001305E5"/>
    <w:rsid w:val="00131F79"/>
    <w:rsid w:val="00131FFC"/>
    <w:rsid w:val="001326B6"/>
    <w:rsid w:val="001327E0"/>
    <w:rsid w:val="00132DE0"/>
    <w:rsid w:val="00134196"/>
    <w:rsid w:val="00141A05"/>
    <w:rsid w:val="00142465"/>
    <w:rsid w:val="00142926"/>
    <w:rsid w:val="00144356"/>
    <w:rsid w:val="00145747"/>
    <w:rsid w:val="001458C8"/>
    <w:rsid w:val="001462EC"/>
    <w:rsid w:val="00151760"/>
    <w:rsid w:val="00151DC3"/>
    <w:rsid w:val="0015219D"/>
    <w:rsid w:val="00153D1E"/>
    <w:rsid w:val="00155916"/>
    <w:rsid w:val="0015600E"/>
    <w:rsid w:val="0015627B"/>
    <w:rsid w:val="00156EF1"/>
    <w:rsid w:val="00160484"/>
    <w:rsid w:val="00160548"/>
    <w:rsid w:val="001607D5"/>
    <w:rsid w:val="001622A7"/>
    <w:rsid w:val="0016370A"/>
    <w:rsid w:val="00163D9F"/>
    <w:rsid w:val="00164BDE"/>
    <w:rsid w:val="00164CDE"/>
    <w:rsid w:val="00167B72"/>
    <w:rsid w:val="00167F7E"/>
    <w:rsid w:val="0017000C"/>
    <w:rsid w:val="00170E5F"/>
    <w:rsid w:val="00170F4B"/>
    <w:rsid w:val="00171882"/>
    <w:rsid w:val="00172B58"/>
    <w:rsid w:val="0017605A"/>
    <w:rsid w:val="0018031B"/>
    <w:rsid w:val="001807BB"/>
    <w:rsid w:val="001839CF"/>
    <w:rsid w:val="00184B9D"/>
    <w:rsid w:val="001853B0"/>
    <w:rsid w:val="00185FB7"/>
    <w:rsid w:val="0018617F"/>
    <w:rsid w:val="00190D31"/>
    <w:rsid w:val="00192ACD"/>
    <w:rsid w:val="00193A0B"/>
    <w:rsid w:val="00193CE8"/>
    <w:rsid w:val="00193DC3"/>
    <w:rsid w:val="00195F8A"/>
    <w:rsid w:val="00196319"/>
    <w:rsid w:val="00196FF3"/>
    <w:rsid w:val="001978F4"/>
    <w:rsid w:val="00197E26"/>
    <w:rsid w:val="001A22F9"/>
    <w:rsid w:val="001A50EE"/>
    <w:rsid w:val="001A5B10"/>
    <w:rsid w:val="001A7D37"/>
    <w:rsid w:val="001B052C"/>
    <w:rsid w:val="001B157C"/>
    <w:rsid w:val="001B320E"/>
    <w:rsid w:val="001B698E"/>
    <w:rsid w:val="001B772B"/>
    <w:rsid w:val="001C3714"/>
    <w:rsid w:val="001C466C"/>
    <w:rsid w:val="001C5644"/>
    <w:rsid w:val="001C652E"/>
    <w:rsid w:val="001C6AD4"/>
    <w:rsid w:val="001C734A"/>
    <w:rsid w:val="001D1087"/>
    <w:rsid w:val="001D188F"/>
    <w:rsid w:val="001D1C04"/>
    <w:rsid w:val="001D1C5F"/>
    <w:rsid w:val="001D2FEF"/>
    <w:rsid w:val="001D4AB6"/>
    <w:rsid w:val="001D5999"/>
    <w:rsid w:val="001D6CE5"/>
    <w:rsid w:val="001E0215"/>
    <w:rsid w:val="001E1596"/>
    <w:rsid w:val="001E1D5F"/>
    <w:rsid w:val="001E2682"/>
    <w:rsid w:val="001E276F"/>
    <w:rsid w:val="001E28C4"/>
    <w:rsid w:val="001E33BA"/>
    <w:rsid w:val="001E4DA7"/>
    <w:rsid w:val="001E5209"/>
    <w:rsid w:val="001E5292"/>
    <w:rsid w:val="001E6396"/>
    <w:rsid w:val="001E6FE3"/>
    <w:rsid w:val="001E743C"/>
    <w:rsid w:val="001E7E09"/>
    <w:rsid w:val="001F1A9B"/>
    <w:rsid w:val="001F2ACA"/>
    <w:rsid w:val="001F2EED"/>
    <w:rsid w:val="001F3718"/>
    <w:rsid w:val="001F6B38"/>
    <w:rsid w:val="00201266"/>
    <w:rsid w:val="0020150A"/>
    <w:rsid w:val="00202B54"/>
    <w:rsid w:val="00204738"/>
    <w:rsid w:val="00213075"/>
    <w:rsid w:val="00213CFF"/>
    <w:rsid w:val="00214022"/>
    <w:rsid w:val="00216493"/>
    <w:rsid w:val="00216AF8"/>
    <w:rsid w:val="002172A6"/>
    <w:rsid w:val="00217D7B"/>
    <w:rsid w:val="002203AF"/>
    <w:rsid w:val="00222282"/>
    <w:rsid w:val="00222805"/>
    <w:rsid w:val="0022354F"/>
    <w:rsid w:val="00223C08"/>
    <w:rsid w:val="00223CA9"/>
    <w:rsid w:val="002241AF"/>
    <w:rsid w:val="0022692C"/>
    <w:rsid w:val="00226968"/>
    <w:rsid w:val="00226D0C"/>
    <w:rsid w:val="002304D8"/>
    <w:rsid w:val="00230F26"/>
    <w:rsid w:val="00233248"/>
    <w:rsid w:val="00233FD1"/>
    <w:rsid w:val="0023499F"/>
    <w:rsid w:val="00234B5D"/>
    <w:rsid w:val="00234C32"/>
    <w:rsid w:val="00235056"/>
    <w:rsid w:val="00235B9C"/>
    <w:rsid w:val="00235DF8"/>
    <w:rsid w:val="00235E11"/>
    <w:rsid w:val="0023705C"/>
    <w:rsid w:val="00237F40"/>
    <w:rsid w:val="00240562"/>
    <w:rsid w:val="00240C3B"/>
    <w:rsid w:val="00243202"/>
    <w:rsid w:val="0024341E"/>
    <w:rsid w:val="00245338"/>
    <w:rsid w:val="00245433"/>
    <w:rsid w:val="0024579A"/>
    <w:rsid w:val="002458BE"/>
    <w:rsid w:val="00245B24"/>
    <w:rsid w:val="00245CFB"/>
    <w:rsid w:val="00246354"/>
    <w:rsid w:val="00247648"/>
    <w:rsid w:val="00251A08"/>
    <w:rsid w:val="00255C4A"/>
    <w:rsid w:val="00255F22"/>
    <w:rsid w:val="0025610D"/>
    <w:rsid w:val="002563E6"/>
    <w:rsid w:val="0025668B"/>
    <w:rsid w:val="0025682D"/>
    <w:rsid w:val="00256BC7"/>
    <w:rsid w:val="00260628"/>
    <w:rsid w:val="00261E6D"/>
    <w:rsid w:val="002634FE"/>
    <w:rsid w:val="002656FD"/>
    <w:rsid w:val="0026587F"/>
    <w:rsid w:val="0026786E"/>
    <w:rsid w:val="002679A0"/>
    <w:rsid w:val="002702FA"/>
    <w:rsid w:val="00270436"/>
    <w:rsid w:val="00270E89"/>
    <w:rsid w:val="00274A77"/>
    <w:rsid w:val="002762DD"/>
    <w:rsid w:val="002764CD"/>
    <w:rsid w:val="00280069"/>
    <w:rsid w:val="00280229"/>
    <w:rsid w:val="002830E3"/>
    <w:rsid w:val="0029084C"/>
    <w:rsid w:val="00290ED6"/>
    <w:rsid w:val="00291770"/>
    <w:rsid w:val="002920B2"/>
    <w:rsid w:val="00292C87"/>
    <w:rsid w:val="002940B3"/>
    <w:rsid w:val="00294EF7"/>
    <w:rsid w:val="00296693"/>
    <w:rsid w:val="002A0480"/>
    <w:rsid w:val="002A2D63"/>
    <w:rsid w:val="002A3F23"/>
    <w:rsid w:val="002A5199"/>
    <w:rsid w:val="002A6A34"/>
    <w:rsid w:val="002A715C"/>
    <w:rsid w:val="002A7197"/>
    <w:rsid w:val="002A77C1"/>
    <w:rsid w:val="002B05A5"/>
    <w:rsid w:val="002B1B9D"/>
    <w:rsid w:val="002B1DDE"/>
    <w:rsid w:val="002B2CA0"/>
    <w:rsid w:val="002B38A3"/>
    <w:rsid w:val="002B3E92"/>
    <w:rsid w:val="002B4C8F"/>
    <w:rsid w:val="002C1A37"/>
    <w:rsid w:val="002C2D08"/>
    <w:rsid w:val="002C3190"/>
    <w:rsid w:val="002C5ED0"/>
    <w:rsid w:val="002C663F"/>
    <w:rsid w:val="002C6FDE"/>
    <w:rsid w:val="002D1EF9"/>
    <w:rsid w:val="002D1F65"/>
    <w:rsid w:val="002D3464"/>
    <w:rsid w:val="002D3C95"/>
    <w:rsid w:val="002D4AD6"/>
    <w:rsid w:val="002D5979"/>
    <w:rsid w:val="002D6F88"/>
    <w:rsid w:val="002D7101"/>
    <w:rsid w:val="002D72D2"/>
    <w:rsid w:val="002D7C5C"/>
    <w:rsid w:val="002E0E91"/>
    <w:rsid w:val="002E13F1"/>
    <w:rsid w:val="002E3D66"/>
    <w:rsid w:val="002E4B84"/>
    <w:rsid w:val="002E6169"/>
    <w:rsid w:val="002F14F7"/>
    <w:rsid w:val="002F3704"/>
    <w:rsid w:val="002F58BA"/>
    <w:rsid w:val="002F5A13"/>
    <w:rsid w:val="003013E8"/>
    <w:rsid w:val="00301BB5"/>
    <w:rsid w:val="00306368"/>
    <w:rsid w:val="00306F27"/>
    <w:rsid w:val="003076BA"/>
    <w:rsid w:val="00307956"/>
    <w:rsid w:val="003105B5"/>
    <w:rsid w:val="00310EA9"/>
    <w:rsid w:val="00311F4D"/>
    <w:rsid w:val="00313246"/>
    <w:rsid w:val="00314C97"/>
    <w:rsid w:val="003152F5"/>
    <w:rsid w:val="003153C1"/>
    <w:rsid w:val="00320378"/>
    <w:rsid w:val="00324CDA"/>
    <w:rsid w:val="0032513C"/>
    <w:rsid w:val="00325A9B"/>
    <w:rsid w:val="00330170"/>
    <w:rsid w:val="003301EC"/>
    <w:rsid w:val="00331339"/>
    <w:rsid w:val="00331585"/>
    <w:rsid w:val="00331EB5"/>
    <w:rsid w:val="003336CD"/>
    <w:rsid w:val="003337BA"/>
    <w:rsid w:val="00334EA4"/>
    <w:rsid w:val="00335468"/>
    <w:rsid w:val="0033565C"/>
    <w:rsid w:val="00335CAE"/>
    <w:rsid w:val="003361D0"/>
    <w:rsid w:val="003404D4"/>
    <w:rsid w:val="00343FD0"/>
    <w:rsid w:val="0034445C"/>
    <w:rsid w:val="00345182"/>
    <w:rsid w:val="003468BB"/>
    <w:rsid w:val="00346A06"/>
    <w:rsid w:val="00346AEF"/>
    <w:rsid w:val="00347B8E"/>
    <w:rsid w:val="00347E2C"/>
    <w:rsid w:val="003534CD"/>
    <w:rsid w:val="0035762C"/>
    <w:rsid w:val="00360E0A"/>
    <w:rsid w:val="0036103D"/>
    <w:rsid w:val="0036119B"/>
    <w:rsid w:val="0036136E"/>
    <w:rsid w:val="00364146"/>
    <w:rsid w:val="00365298"/>
    <w:rsid w:val="003661A9"/>
    <w:rsid w:val="00367004"/>
    <w:rsid w:val="00373189"/>
    <w:rsid w:val="00373A1D"/>
    <w:rsid w:val="00375604"/>
    <w:rsid w:val="003756FA"/>
    <w:rsid w:val="00376930"/>
    <w:rsid w:val="00377DB5"/>
    <w:rsid w:val="003803DC"/>
    <w:rsid w:val="00381F64"/>
    <w:rsid w:val="00383156"/>
    <w:rsid w:val="003838D4"/>
    <w:rsid w:val="00386CC1"/>
    <w:rsid w:val="0038746A"/>
    <w:rsid w:val="00387981"/>
    <w:rsid w:val="00392479"/>
    <w:rsid w:val="003931EB"/>
    <w:rsid w:val="003947A5"/>
    <w:rsid w:val="00395B09"/>
    <w:rsid w:val="0039774A"/>
    <w:rsid w:val="00397A3F"/>
    <w:rsid w:val="003A1600"/>
    <w:rsid w:val="003A2371"/>
    <w:rsid w:val="003A2D4F"/>
    <w:rsid w:val="003A3F56"/>
    <w:rsid w:val="003A52C0"/>
    <w:rsid w:val="003A5AD0"/>
    <w:rsid w:val="003A6427"/>
    <w:rsid w:val="003A69E1"/>
    <w:rsid w:val="003A71C3"/>
    <w:rsid w:val="003A7680"/>
    <w:rsid w:val="003A7F3F"/>
    <w:rsid w:val="003B0D54"/>
    <w:rsid w:val="003B146D"/>
    <w:rsid w:val="003B1778"/>
    <w:rsid w:val="003B2B5E"/>
    <w:rsid w:val="003B35E5"/>
    <w:rsid w:val="003B5D3C"/>
    <w:rsid w:val="003B5F93"/>
    <w:rsid w:val="003B6BAF"/>
    <w:rsid w:val="003B739D"/>
    <w:rsid w:val="003C00D8"/>
    <w:rsid w:val="003C0AAC"/>
    <w:rsid w:val="003C0BC2"/>
    <w:rsid w:val="003C16FA"/>
    <w:rsid w:val="003C2A81"/>
    <w:rsid w:val="003C3704"/>
    <w:rsid w:val="003C4EDA"/>
    <w:rsid w:val="003C51F2"/>
    <w:rsid w:val="003C59F0"/>
    <w:rsid w:val="003C6E65"/>
    <w:rsid w:val="003C701A"/>
    <w:rsid w:val="003D1DC9"/>
    <w:rsid w:val="003D3906"/>
    <w:rsid w:val="003D3F8C"/>
    <w:rsid w:val="003D400F"/>
    <w:rsid w:val="003D7027"/>
    <w:rsid w:val="003D7C6A"/>
    <w:rsid w:val="003E05F9"/>
    <w:rsid w:val="003E167B"/>
    <w:rsid w:val="003E274A"/>
    <w:rsid w:val="003E4E9A"/>
    <w:rsid w:val="003E5BCF"/>
    <w:rsid w:val="003E7382"/>
    <w:rsid w:val="003F11CA"/>
    <w:rsid w:val="003F3FDA"/>
    <w:rsid w:val="003F40BF"/>
    <w:rsid w:val="003F45BF"/>
    <w:rsid w:val="003F4E52"/>
    <w:rsid w:val="003F5623"/>
    <w:rsid w:val="003F7A7A"/>
    <w:rsid w:val="00400CD9"/>
    <w:rsid w:val="0040153B"/>
    <w:rsid w:val="00401736"/>
    <w:rsid w:val="00401B15"/>
    <w:rsid w:val="00401FD4"/>
    <w:rsid w:val="00403181"/>
    <w:rsid w:val="004044AF"/>
    <w:rsid w:val="004051AF"/>
    <w:rsid w:val="0040576C"/>
    <w:rsid w:val="00410493"/>
    <w:rsid w:val="004125CE"/>
    <w:rsid w:val="00417168"/>
    <w:rsid w:val="00420A30"/>
    <w:rsid w:val="0042258E"/>
    <w:rsid w:val="00422903"/>
    <w:rsid w:val="0042392B"/>
    <w:rsid w:val="004255A9"/>
    <w:rsid w:val="00425B69"/>
    <w:rsid w:val="0043460D"/>
    <w:rsid w:val="0043560D"/>
    <w:rsid w:val="00435C29"/>
    <w:rsid w:val="00440AE8"/>
    <w:rsid w:val="00440D44"/>
    <w:rsid w:val="00440D6E"/>
    <w:rsid w:val="004412D7"/>
    <w:rsid w:val="00441717"/>
    <w:rsid w:val="00442F7A"/>
    <w:rsid w:val="00447818"/>
    <w:rsid w:val="004515D4"/>
    <w:rsid w:val="00453108"/>
    <w:rsid w:val="00453B11"/>
    <w:rsid w:val="00453C47"/>
    <w:rsid w:val="00454BA9"/>
    <w:rsid w:val="00455288"/>
    <w:rsid w:val="004561F9"/>
    <w:rsid w:val="00457E01"/>
    <w:rsid w:val="00460093"/>
    <w:rsid w:val="0046077F"/>
    <w:rsid w:val="00460EF3"/>
    <w:rsid w:val="00464F3F"/>
    <w:rsid w:val="0046515A"/>
    <w:rsid w:val="004656BE"/>
    <w:rsid w:val="00465845"/>
    <w:rsid w:val="004702FA"/>
    <w:rsid w:val="004704C1"/>
    <w:rsid w:val="00472837"/>
    <w:rsid w:val="00472E09"/>
    <w:rsid w:val="0047437C"/>
    <w:rsid w:val="0047465B"/>
    <w:rsid w:val="00477227"/>
    <w:rsid w:val="00481155"/>
    <w:rsid w:val="00481616"/>
    <w:rsid w:val="00482B0C"/>
    <w:rsid w:val="00482CDB"/>
    <w:rsid w:val="004832E5"/>
    <w:rsid w:val="0048331C"/>
    <w:rsid w:val="00490849"/>
    <w:rsid w:val="004926FF"/>
    <w:rsid w:val="00497150"/>
    <w:rsid w:val="004A0FDD"/>
    <w:rsid w:val="004A13C8"/>
    <w:rsid w:val="004A6930"/>
    <w:rsid w:val="004B0334"/>
    <w:rsid w:val="004B1A78"/>
    <w:rsid w:val="004B35A4"/>
    <w:rsid w:val="004B6928"/>
    <w:rsid w:val="004C019C"/>
    <w:rsid w:val="004C17C8"/>
    <w:rsid w:val="004C1CC5"/>
    <w:rsid w:val="004C24A9"/>
    <w:rsid w:val="004C3A7A"/>
    <w:rsid w:val="004C4994"/>
    <w:rsid w:val="004C5A24"/>
    <w:rsid w:val="004C6A36"/>
    <w:rsid w:val="004D0786"/>
    <w:rsid w:val="004D0871"/>
    <w:rsid w:val="004D258E"/>
    <w:rsid w:val="004D38F0"/>
    <w:rsid w:val="004D6C87"/>
    <w:rsid w:val="004E022A"/>
    <w:rsid w:val="004E1278"/>
    <w:rsid w:val="004E1967"/>
    <w:rsid w:val="004E32B1"/>
    <w:rsid w:val="004E3FBC"/>
    <w:rsid w:val="004E4229"/>
    <w:rsid w:val="004E5C96"/>
    <w:rsid w:val="004E63C0"/>
    <w:rsid w:val="004E69CC"/>
    <w:rsid w:val="004E69FD"/>
    <w:rsid w:val="004E7F0F"/>
    <w:rsid w:val="004F065B"/>
    <w:rsid w:val="004F22A7"/>
    <w:rsid w:val="004F3B00"/>
    <w:rsid w:val="004F4E91"/>
    <w:rsid w:val="004F72F9"/>
    <w:rsid w:val="004F7332"/>
    <w:rsid w:val="004F7793"/>
    <w:rsid w:val="004F7ECC"/>
    <w:rsid w:val="00500104"/>
    <w:rsid w:val="005003E2"/>
    <w:rsid w:val="0050132D"/>
    <w:rsid w:val="00503584"/>
    <w:rsid w:val="005054A2"/>
    <w:rsid w:val="00505E04"/>
    <w:rsid w:val="00505FCA"/>
    <w:rsid w:val="005061BD"/>
    <w:rsid w:val="0050770E"/>
    <w:rsid w:val="00510694"/>
    <w:rsid w:val="005108BB"/>
    <w:rsid w:val="00512E42"/>
    <w:rsid w:val="00514655"/>
    <w:rsid w:val="00520E3C"/>
    <w:rsid w:val="00522057"/>
    <w:rsid w:val="00522850"/>
    <w:rsid w:val="00523428"/>
    <w:rsid w:val="00523F6E"/>
    <w:rsid w:val="00526302"/>
    <w:rsid w:val="00527D6E"/>
    <w:rsid w:val="005316B4"/>
    <w:rsid w:val="00534040"/>
    <w:rsid w:val="005350D1"/>
    <w:rsid w:val="005351F8"/>
    <w:rsid w:val="0053650C"/>
    <w:rsid w:val="005365DD"/>
    <w:rsid w:val="00540D90"/>
    <w:rsid w:val="00543730"/>
    <w:rsid w:val="00543DE1"/>
    <w:rsid w:val="0054433E"/>
    <w:rsid w:val="005451F0"/>
    <w:rsid w:val="005458B3"/>
    <w:rsid w:val="00550225"/>
    <w:rsid w:val="00550702"/>
    <w:rsid w:val="00550847"/>
    <w:rsid w:val="0055164C"/>
    <w:rsid w:val="00553691"/>
    <w:rsid w:val="00553C4F"/>
    <w:rsid w:val="00554D73"/>
    <w:rsid w:val="0055561E"/>
    <w:rsid w:val="00556B78"/>
    <w:rsid w:val="00557288"/>
    <w:rsid w:val="00563CB2"/>
    <w:rsid w:val="00564032"/>
    <w:rsid w:val="00564540"/>
    <w:rsid w:val="005647CD"/>
    <w:rsid w:val="00565897"/>
    <w:rsid w:val="005665C2"/>
    <w:rsid w:val="0056692A"/>
    <w:rsid w:val="00570FCB"/>
    <w:rsid w:val="00571E9E"/>
    <w:rsid w:val="005720ED"/>
    <w:rsid w:val="00572FEA"/>
    <w:rsid w:val="005751DF"/>
    <w:rsid w:val="00575261"/>
    <w:rsid w:val="0057618B"/>
    <w:rsid w:val="005771C6"/>
    <w:rsid w:val="00577524"/>
    <w:rsid w:val="00581DB3"/>
    <w:rsid w:val="005847B4"/>
    <w:rsid w:val="0058536E"/>
    <w:rsid w:val="00585774"/>
    <w:rsid w:val="00587181"/>
    <w:rsid w:val="0059158B"/>
    <w:rsid w:val="00592160"/>
    <w:rsid w:val="00592419"/>
    <w:rsid w:val="00594757"/>
    <w:rsid w:val="0059549A"/>
    <w:rsid w:val="00596C60"/>
    <w:rsid w:val="00596F0B"/>
    <w:rsid w:val="005A0960"/>
    <w:rsid w:val="005A15B2"/>
    <w:rsid w:val="005A2D1D"/>
    <w:rsid w:val="005A35D7"/>
    <w:rsid w:val="005A3DE1"/>
    <w:rsid w:val="005A4A75"/>
    <w:rsid w:val="005A58A1"/>
    <w:rsid w:val="005A62B7"/>
    <w:rsid w:val="005A67C8"/>
    <w:rsid w:val="005B63E8"/>
    <w:rsid w:val="005B6B12"/>
    <w:rsid w:val="005B6C17"/>
    <w:rsid w:val="005C3309"/>
    <w:rsid w:val="005C534E"/>
    <w:rsid w:val="005C5527"/>
    <w:rsid w:val="005C5B36"/>
    <w:rsid w:val="005C658E"/>
    <w:rsid w:val="005C66BA"/>
    <w:rsid w:val="005C79BF"/>
    <w:rsid w:val="005C7C29"/>
    <w:rsid w:val="005D1300"/>
    <w:rsid w:val="005D14AC"/>
    <w:rsid w:val="005D18FA"/>
    <w:rsid w:val="005D1B84"/>
    <w:rsid w:val="005D2023"/>
    <w:rsid w:val="005D25AB"/>
    <w:rsid w:val="005D2D38"/>
    <w:rsid w:val="005D37BA"/>
    <w:rsid w:val="005D3EB8"/>
    <w:rsid w:val="005D45B8"/>
    <w:rsid w:val="005D6501"/>
    <w:rsid w:val="005E20F5"/>
    <w:rsid w:val="005E48C2"/>
    <w:rsid w:val="005E4A04"/>
    <w:rsid w:val="005E5A3D"/>
    <w:rsid w:val="005E6973"/>
    <w:rsid w:val="005F25E6"/>
    <w:rsid w:val="005F3621"/>
    <w:rsid w:val="005F69FC"/>
    <w:rsid w:val="00600CF0"/>
    <w:rsid w:val="0060100C"/>
    <w:rsid w:val="00601E1B"/>
    <w:rsid w:val="006022E9"/>
    <w:rsid w:val="006032E7"/>
    <w:rsid w:val="00604A31"/>
    <w:rsid w:val="0060525A"/>
    <w:rsid w:val="00605C43"/>
    <w:rsid w:val="00607319"/>
    <w:rsid w:val="00607F77"/>
    <w:rsid w:val="006109DC"/>
    <w:rsid w:val="00610F53"/>
    <w:rsid w:val="00611801"/>
    <w:rsid w:val="006120F2"/>
    <w:rsid w:val="0061522C"/>
    <w:rsid w:val="0062081A"/>
    <w:rsid w:val="0062102E"/>
    <w:rsid w:val="006218DD"/>
    <w:rsid w:val="0062340E"/>
    <w:rsid w:val="00623F84"/>
    <w:rsid w:val="006249E8"/>
    <w:rsid w:val="006258CB"/>
    <w:rsid w:val="006302B5"/>
    <w:rsid w:val="00630DA9"/>
    <w:rsid w:val="006329D5"/>
    <w:rsid w:val="00640D59"/>
    <w:rsid w:val="0064122C"/>
    <w:rsid w:val="00642BD4"/>
    <w:rsid w:val="00644487"/>
    <w:rsid w:val="006454DF"/>
    <w:rsid w:val="00650CBA"/>
    <w:rsid w:val="00652975"/>
    <w:rsid w:val="0065577B"/>
    <w:rsid w:val="00656ADF"/>
    <w:rsid w:val="00656B2D"/>
    <w:rsid w:val="0066008D"/>
    <w:rsid w:val="00662428"/>
    <w:rsid w:val="00663841"/>
    <w:rsid w:val="0066679D"/>
    <w:rsid w:val="00666B70"/>
    <w:rsid w:val="00666D67"/>
    <w:rsid w:val="006705EE"/>
    <w:rsid w:val="00671082"/>
    <w:rsid w:val="00671C0D"/>
    <w:rsid w:val="00672046"/>
    <w:rsid w:val="006720EF"/>
    <w:rsid w:val="00672CB0"/>
    <w:rsid w:val="00673B01"/>
    <w:rsid w:val="00673FCD"/>
    <w:rsid w:val="00674324"/>
    <w:rsid w:val="0067650C"/>
    <w:rsid w:val="006801CF"/>
    <w:rsid w:val="00680289"/>
    <w:rsid w:val="00680610"/>
    <w:rsid w:val="00681773"/>
    <w:rsid w:val="00683158"/>
    <w:rsid w:val="00686315"/>
    <w:rsid w:val="006873D7"/>
    <w:rsid w:val="00690FBD"/>
    <w:rsid w:val="00691434"/>
    <w:rsid w:val="00691EA2"/>
    <w:rsid w:val="00694087"/>
    <w:rsid w:val="00694F80"/>
    <w:rsid w:val="006967F4"/>
    <w:rsid w:val="00696C9D"/>
    <w:rsid w:val="00697A08"/>
    <w:rsid w:val="006A0BB0"/>
    <w:rsid w:val="006A2110"/>
    <w:rsid w:val="006A26B5"/>
    <w:rsid w:val="006A2B34"/>
    <w:rsid w:val="006A3105"/>
    <w:rsid w:val="006A34E3"/>
    <w:rsid w:val="006A60F7"/>
    <w:rsid w:val="006A6272"/>
    <w:rsid w:val="006A6D11"/>
    <w:rsid w:val="006A6D32"/>
    <w:rsid w:val="006A73E4"/>
    <w:rsid w:val="006B0182"/>
    <w:rsid w:val="006B0D62"/>
    <w:rsid w:val="006B0ECE"/>
    <w:rsid w:val="006B117A"/>
    <w:rsid w:val="006B231A"/>
    <w:rsid w:val="006B248C"/>
    <w:rsid w:val="006B2B52"/>
    <w:rsid w:val="006B3D04"/>
    <w:rsid w:val="006B65F8"/>
    <w:rsid w:val="006B77E6"/>
    <w:rsid w:val="006C0457"/>
    <w:rsid w:val="006C1DD6"/>
    <w:rsid w:val="006C48B5"/>
    <w:rsid w:val="006C4D57"/>
    <w:rsid w:val="006C552D"/>
    <w:rsid w:val="006C559A"/>
    <w:rsid w:val="006C6095"/>
    <w:rsid w:val="006C6116"/>
    <w:rsid w:val="006C61B0"/>
    <w:rsid w:val="006C73FB"/>
    <w:rsid w:val="006C7567"/>
    <w:rsid w:val="006D121A"/>
    <w:rsid w:val="006D1709"/>
    <w:rsid w:val="006D4958"/>
    <w:rsid w:val="006D50BA"/>
    <w:rsid w:val="006D57EE"/>
    <w:rsid w:val="006D5B8F"/>
    <w:rsid w:val="006D64DF"/>
    <w:rsid w:val="006D7F49"/>
    <w:rsid w:val="006E1089"/>
    <w:rsid w:val="006E1543"/>
    <w:rsid w:val="006E15E3"/>
    <w:rsid w:val="006E3356"/>
    <w:rsid w:val="006E3D4B"/>
    <w:rsid w:val="006E41CE"/>
    <w:rsid w:val="006E490F"/>
    <w:rsid w:val="006F0767"/>
    <w:rsid w:val="006F0C70"/>
    <w:rsid w:val="006F1494"/>
    <w:rsid w:val="006F259C"/>
    <w:rsid w:val="006F329D"/>
    <w:rsid w:val="006F6922"/>
    <w:rsid w:val="006F7A97"/>
    <w:rsid w:val="006F7B25"/>
    <w:rsid w:val="00701E34"/>
    <w:rsid w:val="00704B47"/>
    <w:rsid w:val="00705583"/>
    <w:rsid w:val="00706E8B"/>
    <w:rsid w:val="0071143C"/>
    <w:rsid w:val="00714FE8"/>
    <w:rsid w:val="00717D4E"/>
    <w:rsid w:val="00717E33"/>
    <w:rsid w:val="00721196"/>
    <w:rsid w:val="0072194E"/>
    <w:rsid w:val="00721A11"/>
    <w:rsid w:val="00723D9B"/>
    <w:rsid w:val="00724980"/>
    <w:rsid w:val="00725069"/>
    <w:rsid w:val="00725A48"/>
    <w:rsid w:val="00725DD6"/>
    <w:rsid w:val="00726555"/>
    <w:rsid w:val="00727C3C"/>
    <w:rsid w:val="00730621"/>
    <w:rsid w:val="00731788"/>
    <w:rsid w:val="007321A5"/>
    <w:rsid w:val="0073333C"/>
    <w:rsid w:val="00733A68"/>
    <w:rsid w:val="007345D7"/>
    <w:rsid w:val="00740142"/>
    <w:rsid w:val="007401F7"/>
    <w:rsid w:val="0074064C"/>
    <w:rsid w:val="00743550"/>
    <w:rsid w:val="0074501E"/>
    <w:rsid w:val="00746B99"/>
    <w:rsid w:val="0075210A"/>
    <w:rsid w:val="00753A39"/>
    <w:rsid w:val="00753AE5"/>
    <w:rsid w:val="00754336"/>
    <w:rsid w:val="0075440B"/>
    <w:rsid w:val="00756971"/>
    <w:rsid w:val="00760D1C"/>
    <w:rsid w:val="00762DFA"/>
    <w:rsid w:val="00764BCD"/>
    <w:rsid w:val="0076684D"/>
    <w:rsid w:val="007670F3"/>
    <w:rsid w:val="007707AD"/>
    <w:rsid w:val="00771210"/>
    <w:rsid w:val="007712AB"/>
    <w:rsid w:val="00771AEC"/>
    <w:rsid w:val="00773C5F"/>
    <w:rsid w:val="00773DB9"/>
    <w:rsid w:val="00775193"/>
    <w:rsid w:val="00780474"/>
    <w:rsid w:val="00784224"/>
    <w:rsid w:val="00785D65"/>
    <w:rsid w:val="0078778F"/>
    <w:rsid w:val="007877EA"/>
    <w:rsid w:val="00790F0E"/>
    <w:rsid w:val="00791219"/>
    <w:rsid w:val="007939AF"/>
    <w:rsid w:val="00794316"/>
    <w:rsid w:val="00794E88"/>
    <w:rsid w:val="00794FBC"/>
    <w:rsid w:val="007A1D81"/>
    <w:rsid w:val="007A230C"/>
    <w:rsid w:val="007A2CB0"/>
    <w:rsid w:val="007A30CE"/>
    <w:rsid w:val="007A408F"/>
    <w:rsid w:val="007A4E12"/>
    <w:rsid w:val="007A4E92"/>
    <w:rsid w:val="007A75DB"/>
    <w:rsid w:val="007A79A4"/>
    <w:rsid w:val="007A7DD6"/>
    <w:rsid w:val="007B3B7D"/>
    <w:rsid w:val="007B3EC7"/>
    <w:rsid w:val="007B637F"/>
    <w:rsid w:val="007B746F"/>
    <w:rsid w:val="007B7687"/>
    <w:rsid w:val="007C0C22"/>
    <w:rsid w:val="007C39B4"/>
    <w:rsid w:val="007C5050"/>
    <w:rsid w:val="007C5B18"/>
    <w:rsid w:val="007C6109"/>
    <w:rsid w:val="007C6224"/>
    <w:rsid w:val="007C789A"/>
    <w:rsid w:val="007D1B33"/>
    <w:rsid w:val="007D2B1C"/>
    <w:rsid w:val="007D4310"/>
    <w:rsid w:val="007D48C9"/>
    <w:rsid w:val="007D4E55"/>
    <w:rsid w:val="007D7079"/>
    <w:rsid w:val="007D7365"/>
    <w:rsid w:val="007E0103"/>
    <w:rsid w:val="007E0A7C"/>
    <w:rsid w:val="007E1509"/>
    <w:rsid w:val="007E32B7"/>
    <w:rsid w:val="007E4900"/>
    <w:rsid w:val="007E529E"/>
    <w:rsid w:val="007E5854"/>
    <w:rsid w:val="007E5CED"/>
    <w:rsid w:val="007F1C9E"/>
    <w:rsid w:val="007F1E8F"/>
    <w:rsid w:val="007F24A7"/>
    <w:rsid w:val="007F26C1"/>
    <w:rsid w:val="007F2A15"/>
    <w:rsid w:val="00800166"/>
    <w:rsid w:val="008002DC"/>
    <w:rsid w:val="00800D72"/>
    <w:rsid w:val="00800FD6"/>
    <w:rsid w:val="00801186"/>
    <w:rsid w:val="00801ADA"/>
    <w:rsid w:val="0080235C"/>
    <w:rsid w:val="00802493"/>
    <w:rsid w:val="00802F6B"/>
    <w:rsid w:val="00804C0F"/>
    <w:rsid w:val="0081088A"/>
    <w:rsid w:val="00810918"/>
    <w:rsid w:val="0081183F"/>
    <w:rsid w:val="0081190B"/>
    <w:rsid w:val="00812110"/>
    <w:rsid w:val="00812658"/>
    <w:rsid w:val="008128D4"/>
    <w:rsid w:val="00813582"/>
    <w:rsid w:val="00817060"/>
    <w:rsid w:val="008173BA"/>
    <w:rsid w:val="008205F5"/>
    <w:rsid w:val="00824486"/>
    <w:rsid w:val="00826A51"/>
    <w:rsid w:val="008273DF"/>
    <w:rsid w:val="00827B79"/>
    <w:rsid w:val="00833313"/>
    <w:rsid w:val="00842987"/>
    <w:rsid w:val="00845D79"/>
    <w:rsid w:val="0084764A"/>
    <w:rsid w:val="00847F90"/>
    <w:rsid w:val="00850516"/>
    <w:rsid w:val="00852D72"/>
    <w:rsid w:val="0085428D"/>
    <w:rsid w:val="00855E86"/>
    <w:rsid w:val="00857945"/>
    <w:rsid w:val="00860368"/>
    <w:rsid w:val="00860C37"/>
    <w:rsid w:val="00860C92"/>
    <w:rsid w:val="0086191D"/>
    <w:rsid w:val="008657D3"/>
    <w:rsid w:val="008664A6"/>
    <w:rsid w:val="00870E5C"/>
    <w:rsid w:val="00871419"/>
    <w:rsid w:val="00872E71"/>
    <w:rsid w:val="0087348D"/>
    <w:rsid w:val="0087487F"/>
    <w:rsid w:val="00874F4D"/>
    <w:rsid w:val="0087508C"/>
    <w:rsid w:val="0087727D"/>
    <w:rsid w:val="008773B8"/>
    <w:rsid w:val="00877E13"/>
    <w:rsid w:val="0088012C"/>
    <w:rsid w:val="00882476"/>
    <w:rsid w:val="00882C85"/>
    <w:rsid w:val="00884A0B"/>
    <w:rsid w:val="00886595"/>
    <w:rsid w:val="00886A0E"/>
    <w:rsid w:val="00894ABD"/>
    <w:rsid w:val="00897A3C"/>
    <w:rsid w:val="00897CF9"/>
    <w:rsid w:val="008A0090"/>
    <w:rsid w:val="008A01AA"/>
    <w:rsid w:val="008A0330"/>
    <w:rsid w:val="008A0458"/>
    <w:rsid w:val="008A1DE6"/>
    <w:rsid w:val="008A304E"/>
    <w:rsid w:val="008A5908"/>
    <w:rsid w:val="008A76C8"/>
    <w:rsid w:val="008B0F94"/>
    <w:rsid w:val="008B1083"/>
    <w:rsid w:val="008B1A84"/>
    <w:rsid w:val="008B24F6"/>
    <w:rsid w:val="008B39D9"/>
    <w:rsid w:val="008B4E3F"/>
    <w:rsid w:val="008B6E6D"/>
    <w:rsid w:val="008C0939"/>
    <w:rsid w:val="008C136A"/>
    <w:rsid w:val="008C191F"/>
    <w:rsid w:val="008C1FDF"/>
    <w:rsid w:val="008C372D"/>
    <w:rsid w:val="008C5C3D"/>
    <w:rsid w:val="008C6012"/>
    <w:rsid w:val="008D0135"/>
    <w:rsid w:val="008D402E"/>
    <w:rsid w:val="008D4B6F"/>
    <w:rsid w:val="008D4C58"/>
    <w:rsid w:val="008D5FFE"/>
    <w:rsid w:val="008D7B74"/>
    <w:rsid w:val="008E04B6"/>
    <w:rsid w:val="008E0551"/>
    <w:rsid w:val="008E15D1"/>
    <w:rsid w:val="008E18DC"/>
    <w:rsid w:val="008E32C3"/>
    <w:rsid w:val="008E3C16"/>
    <w:rsid w:val="008E456C"/>
    <w:rsid w:val="008E48E4"/>
    <w:rsid w:val="008E4F36"/>
    <w:rsid w:val="008E58F3"/>
    <w:rsid w:val="008E63E4"/>
    <w:rsid w:val="008F0F26"/>
    <w:rsid w:val="008F1B71"/>
    <w:rsid w:val="008F665D"/>
    <w:rsid w:val="008F6C30"/>
    <w:rsid w:val="008F6E07"/>
    <w:rsid w:val="008F6E97"/>
    <w:rsid w:val="008F7CF5"/>
    <w:rsid w:val="00900A9E"/>
    <w:rsid w:val="009019FB"/>
    <w:rsid w:val="00905FB3"/>
    <w:rsid w:val="0090797C"/>
    <w:rsid w:val="00907DA6"/>
    <w:rsid w:val="00907F8D"/>
    <w:rsid w:val="009129E7"/>
    <w:rsid w:val="00913EF6"/>
    <w:rsid w:val="009143F0"/>
    <w:rsid w:val="0091536C"/>
    <w:rsid w:val="0091540F"/>
    <w:rsid w:val="0091567C"/>
    <w:rsid w:val="00915960"/>
    <w:rsid w:val="0092191B"/>
    <w:rsid w:val="00922304"/>
    <w:rsid w:val="00922EF7"/>
    <w:rsid w:val="0092476E"/>
    <w:rsid w:val="00927949"/>
    <w:rsid w:val="00930506"/>
    <w:rsid w:val="0093585E"/>
    <w:rsid w:val="00936C40"/>
    <w:rsid w:val="0094069E"/>
    <w:rsid w:val="00941A0C"/>
    <w:rsid w:val="00942175"/>
    <w:rsid w:val="00944EAC"/>
    <w:rsid w:val="00945B9F"/>
    <w:rsid w:val="00947157"/>
    <w:rsid w:val="00947DAB"/>
    <w:rsid w:val="00947F45"/>
    <w:rsid w:val="00950D12"/>
    <w:rsid w:val="00951073"/>
    <w:rsid w:val="0095129C"/>
    <w:rsid w:val="00951D5D"/>
    <w:rsid w:val="0095427B"/>
    <w:rsid w:val="0096038B"/>
    <w:rsid w:val="00962E2B"/>
    <w:rsid w:val="009634A7"/>
    <w:rsid w:val="00963B16"/>
    <w:rsid w:val="0096615A"/>
    <w:rsid w:val="00967632"/>
    <w:rsid w:val="0097020F"/>
    <w:rsid w:val="00972204"/>
    <w:rsid w:val="0097240D"/>
    <w:rsid w:val="00972F3F"/>
    <w:rsid w:val="0097373C"/>
    <w:rsid w:val="009739CA"/>
    <w:rsid w:val="0098050B"/>
    <w:rsid w:val="00981414"/>
    <w:rsid w:val="009831AC"/>
    <w:rsid w:val="00986ADE"/>
    <w:rsid w:val="00986E99"/>
    <w:rsid w:val="00987B09"/>
    <w:rsid w:val="00990138"/>
    <w:rsid w:val="009902A8"/>
    <w:rsid w:val="0099073F"/>
    <w:rsid w:val="009928EA"/>
    <w:rsid w:val="00993070"/>
    <w:rsid w:val="0099528D"/>
    <w:rsid w:val="0099539D"/>
    <w:rsid w:val="0099713C"/>
    <w:rsid w:val="00997E2C"/>
    <w:rsid w:val="009A1145"/>
    <w:rsid w:val="009A2F27"/>
    <w:rsid w:val="009A3578"/>
    <w:rsid w:val="009A35E9"/>
    <w:rsid w:val="009A3982"/>
    <w:rsid w:val="009A3AAB"/>
    <w:rsid w:val="009A4154"/>
    <w:rsid w:val="009A455F"/>
    <w:rsid w:val="009A59C2"/>
    <w:rsid w:val="009A6998"/>
    <w:rsid w:val="009B25EF"/>
    <w:rsid w:val="009B348B"/>
    <w:rsid w:val="009B4FE0"/>
    <w:rsid w:val="009B7816"/>
    <w:rsid w:val="009C003E"/>
    <w:rsid w:val="009C3882"/>
    <w:rsid w:val="009C3FBD"/>
    <w:rsid w:val="009C4317"/>
    <w:rsid w:val="009C4DD8"/>
    <w:rsid w:val="009C61A1"/>
    <w:rsid w:val="009C674E"/>
    <w:rsid w:val="009C68D3"/>
    <w:rsid w:val="009C6994"/>
    <w:rsid w:val="009C7500"/>
    <w:rsid w:val="009C77EE"/>
    <w:rsid w:val="009C7C23"/>
    <w:rsid w:val="009D0411"/>
    <w:rsid w:val="009D11C6"/>
    <w:rsid w:val="009D1905"/>
    <w:rsid w:val="009D3345"/>
    <w:rsid w:val="009D35ED"/>
    <w:rsid w:val="009D44CC"/>
    <w:rsid w:val="009D5511"/>
    <w:rsid w:val="009D564D"/>
    <w:rsid w:val="009D5EA6"/>
    <w:rsid w:val="009E00AD"/>
    <w:rsid w:val="009E1AF6"/>
    <w:rsid w:val="009E221B"/>
    <w:rsid w:val="009E52AE"/>
    <w:rsid w:val="009F0DC4"/>
    <w:rsid w:val="009F146A"/>
    <w:rsid w:val="009F176D"/>
    <w:rsid w:val="009F1AF3"/>
    <w:rsid w:val="009F268A"/>
    <w:rsid w:val="009F5565"/>
    <w:rsid w:val="00A004D4"/>
    <w:rsid w:val="00A00780"/>
    <w:rsid w:val="00A01402"/>
    <w:rsid w:val="00A01585"/>
    <w:rsid w:val="00A01697"/>
    <w:rsid w:val="00A045DE"/>
    <w:rsid w:val="00A04A0F"/>
    <w:rsid w:val="00A067F7"/>
    <w:rsid w:val="00A11459"/>
    <w:rsid w:val="00A117A4"/>
    <w:rsid w:val="00A11A63"/>
    <w:rsid w:val="00A11D7C"/>
    <w:rsid w:val="00A160C0"/>
    <w:rsid w:val="00A17B33"/>
    <w:rsid w:val="00A224F9"/>
    <w:rsid w:val="00A22ECF"/>
    <w:rsid w:val="00A230F8"/>
    <w:rsid w:val="00A23918"/>
    <w:rsid w:val="00A24818"/>
    <w:rsid w:val="00A25FDE"/>
    <w:rsid w:val="00A27274"/>
    <w:rsid w:val="00A30044"/>
    <w:rsid w:val="00A30139"/>
    <w:rsid w:val="00A33A66"/>
    <w:rsid w:val="00A33BB9"/>
    <w:rsid w:val="00A35423"/>
    <w:rsid w:val="00A36005"/>
    <w:rsid w:val="00A363FB"/>
    <w:rsid w:val="00A36693"/>
    <w:rsid w:val="00A3786C"/>
    <w:rsid w:val="00A40A1E"/>
    <w:rsid w:val="00A4183E"/>
    <w:rsid w:val="00A426FB"/>
    <w:rsid w:val="00A42A6A"/>
    <w:rsid w:val="00A42C29"/>
    <w:rsid w:val="00A43F59"/>
    <w:rsid w:val="00A4426B"/>
    <w:rsid w:val="00A442A1"/>
    <w:rsid w:val="00A44B17"/>
    <w:rsid w:val="00A44C65"/>
    <w:rsid w:val="00A45F82"/>
    <w:rsid w:val="00A51DF1"/>
    <w:rsid w:val="00A528D7"/>
    <w:rsid w:val="00A52FD5"/>
    <w:rsid w:val="00A537B4"/>
    <w:rsid w:val="00A549B9"/>
    <w:rsid w:val="00A54D55"/>
    <w:rsid w:val="00A563A1"/>
    <w:rsid w:val="00A567FA"/>
    <w:rsid w:val="00A56BB7"/>
    <w:rsid w:val="00A573B9"/>
    <w:rsid w:val="00A578A6"/>
    <w:rsid w:val="00A65A06"/>
    <w:rsid w:val="00A66BFF"/>
    <w:rsid w:val="00A66E13"/>
    <w:rsid w:val="00A66EB3"/>
    <w:rsid w:val="00A67FAE"/>
    <w:rsid w:val="00A70892"/>
    <w:rsid w:val="00A70F7E"/>
    <w:rsid w:val="00A71396"/>
    <w:rsid w:val="00A71EA1"/>
    <w:rsid w:val="00A77C6D"/>
    <w:rsid w:val="00A81602"/>
    <w:rsid w:val="00A81902"/>
    <w:rsid w:val="00A83FA3"/>
    <w:rsid w:val="00A85CA2"/>
    <w:rsid w:val="00A9244D"/>
    <w:rsid w:val="00A92B97"/>
    <w:rsid w:val="00A9325D"/>
    <w:rsid w:val="00A935E0"/>
    <w:rsid w:val="00A9363F"/>
    <w:rsid w:val="00A93D96"/>
    <w:rsid w:val="00A94524"/>
    <w:rsid w:val="00A9585B"/>
    <w:rsid w:val="00A96665"/>
    <w:rsid w:val="00A97069"/>
    <w:rsid w:val="00A97F8A"/>
    <w:rsid w:val="00AA0F30"/>
    <w:rsid w:val="00AA1AFA"/>
    <w:rsid w:val="00AA1C2B"/>
    <w:rsid w:val="00AA2A1A"/>
    <w:rsid w:val="00AA55FA"/>
    <w:rsid w:val="00AA7F21"/>
    <w:rsid w:val="00AB0980"/>
    <w:rsid w:val="00AB2810"/>
    <w:rsid w:val="00AB4023"/>
    <w:rsid w:val="00AB40DD"/>
    <w:rsid w:val="00AB4463"/>
    <w:rsid w:val="00AB5346"/>
    <w:rsid w:val="00AB75C8"/>
    <w:rsid w:val="00AC02A7"/>
    <w:rsid w:val="00AC084C"/>
    <w:rsid w:val="00AC2D66"/>
    <w:rsid w:val="00AC3B5C"/>
    <w:rsid w:val="00AC44DC"/>
    <w:rsid w:val="00AC53FF"/>
    <w:rsid w:val="00AC5798"/>
    <w:rsid w:val="00AC5C00"/>
    <w:rsid w:val="00AC794E"/>
    <w:rsid w:val="00AD04E7"/>
    <w:rsid w:val="00AD141C"/>
    <w:rsid w:val="00AD22DB"/>
    <w:rsid w:val="00AD3205"/>
    <w:rsid w:val="00AD57BD"/>
    <w:rsid w:val="00AD693D"/>
    <w:rsid w:val="00AD70C7"/>
    <w:rsid w:val="00AE0060"/>
    <w:rsid w:val="00AE0D54"/>
    <w:rsid w:val="00AE2702"/>
    <w:rsid w:val="00AE2F1E"/>
    <w:rsid w:val="00AE36A3"/>
    <w:rsid w:val="00AE4A15"/>
    <w:rsid w:val="00AE56E0"/>
    <w:rsid w:val="00AE5989"/>
    <w:rsid w:val="00AF011E"/>
    <w:rsid w:val="00AF0A6E"/>
    <w:rsid w:val="00AF0D82"/>
    <w:rsid w:val="00AF3857"/>
    <w:rsid w:val="00AF3D01"/>
    <w:rsid w:val="00AF3DFB"/>
    <w:rsid w:val="00AF609A"/>
    <w:rsid w:val="00AF6E7D"/>
    <w:rsid w:val="00B01819"/>
    <w:rsid w:val="00B0505F"/>
    <w:rsid w:val="00B078E5"/>
    <w:rsid w:val="00B137C5"/>
    <w:rsid w:val="00B1455E"/>
    <w:rsid w:val="00B14BD9"/>
    <w:rsid w:val="00B150CD"/>
    <w:rsid w:val="00B151AE"/>
    <w:rsid w:val="00B157F4"/>
    <w:rsid w:val="00B21F55"/>
    <w:rsid w:val="00B23C24"/>
    <w:rsid w:val="00B23F84"/>
    <w:rsid w:val="00B242AA"/>
    <w:rsid w:val="00B26246"/>
    <w:rsid w:val="00B26D20"/>
    <w:rsid w:val="00B279D3"/>
    <w:rsid w:val="00B27C12"/>
    <w:rsid w:val="00B3034C"/>
    <w:rsid w:val="00B32688"/>
    <w:rsid w:val="00B34C6F"/>
    <w:rsid w:val="00B35A44"/>
    <w:rsid w:val="00B36F69"/>
    <w:rsid w:val="00B407A2"/>
    <w:rsid w:val="00B417C1"/>
    <w:rsid w:val="00B418FB"/>
    <w:rsid w:val="00B427E7"/>
    <w:rsid w:val="00B43200"/>
    <w:rsid w:val="00B43A21"/>
    <w:rsid w:val="00B4459C"/>
    <w:rsid w:val="00B45528"/>
    <w:rsid w:val="00B513F6"/>
    <w:rsid w:val="00B527E3"/>
    <w:rsid w:val="00B52BA5"/>
    <w:rsid w:val="00B57A3F"/>
    <w:rsid w:val="00B60A4F"/>
    <w:rsid w:val="00B60B02"/>
    <w:rsid w:val="00B61900"/>
    <w:rsid w:val="00B65305"/>
    <w:rsid w:val="00B655AA"/>
    <w:rsid w:val="00B65EC2"/>
    <w:rsid w:val="00B665CE"/>
    <w:rsid w:val="00B70CB6"/>
    <w:rsid w:val="00B717BF"/>
    <w:rsid w:val="00B71F24"/>
    <w:rsid w:val="00B73F20"/>
    <w:rsid w:val="00B76817"/>
    <w:rsid w:val="00B76F55"/>
    <w:rsid w:val="00B8021D"/>
    <w:rsid w:val="00B80F73"/>
    <w:rsid w:val="00B81BA7"/>
    <w:rsid w:val="00B81E09"/>
    <w:rsid w:val="00B83254"/>
    <w:rsid w:val="00B84033"/>
    <w:rsid w:val="00B84CA8"/>
    <w:rsid w:val="00B85591"/>
    <w:rsid w:val="00B86DEF"/>
    <w:rsid w:val="00B87A54"/>
    <w:rsid w:val="00B87F71"/>
    <w:rsid w:val="00B90895"/>
    <w:rsid w:val="00B925C8"/>
    <w:rsid w:val="00B93625"/>
    <w:rsid w:val="00B9388F"/>
    <w:rsid w:val="00B95422"/>
    <w:rsid w:val="00B9608D"/>
    <w:rsid w:val="00B967E3"/>
    <w:rsid w:val="00B96FBA"/>
    <w:rsid w:val="00B9776F"/>
    <w:rsid w:val="00BA19BB"/>
    <w:rsid w:val="00BA38B6"/>
    <w:rsid w:val="00BA3D44"/>
    <w:rsid w:val="00BA49AE"/>
    <w:rsid w:val="00BA4F70"/>
    <w:rsid w:val="00BA55DF"/>
    <w:rsid w:val="00BA5921"/>
    <w:rsid w:val="00BA6327"/>
    <w:rsid w:val="00BA6774"/>
    <w:rsid w:val="00BB0AE0"/>
    <w:rsid w:val="00BB14C5"/>
    <w:rsid w:val="00BB30C2"/>
    <w:rsid w:val="00BB3164"/>
    <w:rsid w:val="00BB42BE"/>
    <w:rsid w:val="00BB5114"/>
    <w:rsid w:val="00BB5770"/>
    <w:rsid w:val="00BB64A2"/>
    <w:rsid w:val="00BC0581"/>
    <w:rsid w:val="00BC0936"/>
    <w:rsid w:val="00BC0E09"/>
    <w:rsid w:val="00BC18FC"/>
    <w:rsid w:val="00BC34B1"/>
    <w:rsid w:val="00BC35D0"/>
    <w:rsid w:val="00BC410D"/>
    <w:rsid w:val="00BC606F"/>
    <w:rsid w:val="00BC609A"/>
    <w:rsid w:val="00BC6A25"/>
    <w:rsid w:val="00BC6C2B"/>
    <w:rsid w:val="00BC7597"/>
    <w:rsid w:val="00BD00D3"/>
    <w:rsid w:val="00BD0520"/>
    <w:rsid w:val="00BD1BDC"/>
    <w:rsid w:val="00BD49DA"/>
    <w:rsid w:val="00BD63EC"/>
    <w:rsid w:val="00BD6FD5"/>
    <w:rsid w:val="00BE03B2"/>
    <w:rsid w:val="00BE1740"/>
    <w:rsid w:val="00BE1973"/>
    <w:rsid w:val="00BE1FD7"/>
    <w:rsid w:val="00BE3DAB"/>
    <w:rsid w:val="00BE4BE2"/>
    <w:rsid w:val="00BE6757"/>
    <w:rsid w:val="00BF14BC"/>
    <w:rsid w:val="00BF1F46"/>
    <w:rsid w:val="00BF2163"/>
    <w:rsid w:val="00BF33E6"/>
    <w:rsid w:val="00BF458F"/>
    <w:rsid w:val="00BF45EA"/>
    <w:rsid w:val="00BF6CAF"/>
    <w:rsid w:val="00C0165D"/>
    <w:rsid w:val="00C02C8A"/>
    <w:rsid w:val="00C04910"/>
    <w:rsid w:val="00C05A0D"/>
    <w:rsid w:val="00C05E42"/>
    <w:rsid w:val="00C05F00"/>
    <w:rsid w:val="00C07A77"/>
    <w:rsid w:val="00C07AD8"/>
    <w:rsid w:val="00C1115B"/>
    <w:rsid w:val="00C11E8D"/>
    <w:rsid w:val="00C16DD1"/>
    <w:rsid w:val="00C16E08"/>
    <w:rsid w:val="00C22288"/>
    <w:rsid w:val="00C22F9C"/>
    <w:rsid w:val="00C242B7"/>
    <w:rsid w:val="00C24A46"/>
    <w:rsid w:val="00C2532E"/>
    <w:rsid w:val="00C30296"/>
    <w:rsid w:val="00C3082A"/>
    <w:rsid w:val="00C33BD9"/>
    <w:rsid w:val="00C34B28"/>
    <w:rsid w:val="00C34CF7"/>
    <w:rsid w:val="00C354EF"/>
    <w:rsid w:val="00C3640D"/>
    <w:rsid w:val="00C36AF1"/>
    <w:rsid w:val="00C37DA5"/>
    <w:rsid w:val="00C40954"/>
    <w:rsid w:val="00C4137E"/>
    <w:rsid w:val="00C41598"/>
    <w:rsid w:val="00C42159"/>
    <w:rsid w:val="00C42B61"/>
    <w:rsid w:val="00C4388A"/>
    <w:rsid w:val="00C4584A"/>
    <w:rsid w:val="00C47134"/>
    <w:rsid w:val="00C472DA"/>
    <w:rsid w:val="00C509FF"/>
    <w:rsid w:val="00C50CDD"/>
    <w:rsid w:val="00C52417"/>
    <w:rsid w:val="00C53338"/>
    <w:rsid w:val="00C5403F"/>
    <w:rsid w:val="00C55E3D"/>
    <w:rsid w:val="00C56609"/>
    <w:rsid w:val="00C57681"/>
    <w:rsid w:val="00C57BB6"/>
    <w:rsid w:val="00C6206B"/>
    <w:rsid w:val="00C62654"/>
    <w:rsid w:val="00C62A52"/>
    <w:rsid w:val="00C650A7"/>
    <w:rsid w:val="00C71D78"/>
    <w:rsid w:val="00C72E17"/>
    <w:rsid w:val="00C75466"/>
    <w:rsid w:val="00C77574"/>
    <w:rsid w:val="00C81D32"/>
    <w:rsid w:val="00C81E1B"/>
    <w:rsid w:val="00C82223"/>
    <w:rsid w:val="00C827F7"/>
    <w:rsid w:val="00C83C60"/>
    <w:rsid w:val="00C83F93"/>
    <w:rsid w:val="00C850B8"/>
    <w:rsid w:val="00C86740"/>
    <w:rsid w:val="00C872DC"/>
    <w:rsid w:val="00C877C5"/>
    <w:rsid w:val="00C87F2D"/>
    <w:rsid w:val="00C91D4B"/>
    <w:rsid w:val="00C94964"/>
    <w:rsid w:val="00C955D7"/>
    <w:rsid w:val="00C9717D"/>
    <w:rsid w:val="00C97C95"/>
    <w:rsid w:val="00CA19F0"/>
    <w:rsid w:val="00CA1FAB"/>
    <w:rsid w:val="00CA36B1"/>
    <w:rsid w:val="00CA3829"/>
    <w:rsid w:val="00CA3CB9"/>
    <w:rsid w:val="00CA42B6"/>
    <w:rsid w:val="00CA7800"/>
    <w:rsid w:val="00CB04E1"/>
    <w:rsid w:val="00CB0AD3"/>
    <w:rsid w:val="00CB16A0"/>
    <w:rsid w:val="00CB2DA0"/>
    <w:rsid w:val="00CB51C3"/>
    <w:rsid w:val="00CB5B71"/>
    <w:rsid w:val="00CC03C5"/>
    <w:rsid w:val="00CC0BB1"/>
    <w:rsid w:val="00CC11C0"/>
    <w:rsid w:val="00CC17FD"/>
    <w:rsid w:val="00CC37E1"/>
    <w:rsid w:val="00CC3AF1"/>
    <w:rsid w:val="00CC3CDC"/>
    <w:rsid w:val="00CC433E"/>
    <w:rsid w:val="00CC499D"/>
    <w:rsid w:val="00CC5C5E"/>
    <w:rsid w:val="00CC7108"/>
    <w:rsid w:val="00CD0910"/>
    <w:rsid w:val="00CD0A66"/>
    <w:rsid w:val="00CD0F87"/>
    <w:rsid w:val="00CD1C24"/>
    <w:rsid w:val="00CD262B"/>
    <w:rsid w:val="00CD30AC"/>
    <w:rsid w:val="00CD44DA"/>
    <w:rsid w:val="00CD505B"/>
    <w:rsid w:val="00CD517C"/>
    <w:rsid w:val="00CD5C13"/>
    <w:rsid w:val="00CD5CD2"/>
    <w:rsid w:val="00CD727B"/>
    <w:rsid w:val="00CE0570"/>
    <w:rsid w:val="00CE0D84"/>
    <w:rsid w:val="00CE1A8B"/>
    <w:rsid w:val="00CE44DC"/>
    <w:rsid w:val="00CE511E"/>
    <w:rsid w:val="00CE7365"/>
    <w:rsid w:val="00CF2045"/>
    <w:rsid w:val="00CF51A7"/>
    <w:rsid w:val="00CF5765"/>
    <w:rsid w:val="00CF5EFE"/>
    <w:rsid w:val="00CF5F19"/>
    <w:rsid w:val="00CF5FDE"/>
    <w:rsid w:val="00CF61C6"/>
    <w:rsid w:val="00CF65A6"/>
    <w:rsid w:val="00CF6FAB"/>
    <w:rsid w:val="00D01A42"/>
    <w:rsid w:val="00D024EA"/>
    <w:rsid w:val="00D03E62"/>
    <w:rsid w:val="00D04A5E"/>
    <w:rsid w:val="00D069FF"/>
    <w:rsid w:val="00D06C5F"/>
    <w:rsid w:val="00D06D8B"/>
    <w:rsid w:val="00D06E39"/>
    <w:rsid w:val="00D14C2F"/>
    <w:rsid w:val="00D15AF6"/>
    <w:rsid w:val="00D16D0E"/>
    <w:rsid w:val="00D17CB7"/>
    <w:rsid w:val="00D20015"/>
    <w:rsid w:val="00D258C6"/>
    <w:rsid w:val="00D265A1"/>
    <w:rsid w:val="00D26613"/>
    <w:rsid w:val="00D26A79"/>
    <w:rsid w:val="00D274E4"/>
    <w:rsid w:val="00D30E1D"/>
    <w:rsid w:val="00D32281"/>
    <w:rsid w:val="00D32477"/>
    <w:rsid w:val="00D35180"/>
    <w:rsid w:val="00D3544A"/>
    <w:rsid w:val="00D3760C"/>
    <w:rsid w:val="00D4089C"/>
    <w:rsid w:val="00D42613"/>
    <w:rsid w:val="00D43016"/>
    <w:rsid w:val="00D43E9B"/>
    <w:rsid w:val="00D45902"/>
    <w:rsid w:val="00D4661A"/>
    <w:rsid w:val="00D47EFC"/>
    <w:rsid w:val="00D52D73"/>
    <w:rsid w:val="00D5360F"/>
    <w:rsid w:val="00D5504B"/>
    <w:rsid w:val="00D55B9F"/>
    <w:rsid w:val="00D604F3"/>
    <w:rsid w:val="00D62038"/>
    <w:rsid w:val="00D632AD"/>
    <w:rsid w:val="00D64BB6"/>
    <w:rsid w:val="00D64EDB"/>
    <w:rsid w:val="00D65186"/>
    <w:rsid w:val="00D65ED3"/>
    <w:rsid w:val="00D668F1"/>
    <w:rsid w:val="00D675FF"/>
    <w:rsid w:val="00D718AC"/>
    <w:rsid w:val="00D74E55"/>
    <w:rsid w:val="00D7658A"/>
    <w:rsid w:val="00D8050A"/>
    <w:rsid w:val="00D83798"/>
    <w:rsid w:val="00D839A9"/>
    <w:rsid w:val="00D83C5A"/>
    <w:rsid w:val="00D84843"/>
    <w:rsid w:val="00D9014E"/>
    <w:rsid w:val="00D9176F"/>
    <w:rsid w:val="00D960AA"/>
    <w:rsid w:val="00D96CDF"/>
    <w:rsid w:val="00DA02FF"/>
    <w:rsid w:val="00DA59B7"/>
    <w:rsid w:val="00DA679B"/>
    <w:rsid w:val="00DA6EE2"/>
    <w:rsid w:val="00DA6F57"/>
    <w:rsid w:val="00DA7818"/>
    <w:rsid w:val="00DA7F56"/>
    <w:rsid w:val="00DB0901"/>
    <w:rsid w:val="00DB25FF"/>
    <w:rsid w:val="00DB2B36"/>
    <w:rsid w:val="00DB418D"/>
    <w:rsid w:val="00DB44A2"/>
    <w:rsid w:val="00DB57DE"/>
    <w:rsid w:val="00DB5B4A"/>
    <w:rsid w:val="00DB5E38"/>
    <w:rsid w:val="00DB6BFE"/>
    <w:rsid w:val="00DC0ADE"/>
    <w:rsid w:val="00DC2712"/>
    <w:rsid w:val="00DC2ED2"/>
    <w:rsid w:val="00DC37D6"/>
    <w:rsid w:val="00DC5092"/>
    <w:rsid w:val="00DC5194"/>
    <w:rsid w:val="00DC546C"/>
    <w:rsid w:val="00DC5CBF"/>
    <w:rsid w:val="00DC622A"/>
    <w:rsid w:val="00DC6566"/>
    <w:rsid w:val="00DD5C27"/>
    <w:rsid w:val="00DD5FB0"/>
    <w:rsid w:val="00DD6BFC"/>
    <w:rsid w:val="00DE0A90"/>
    <w:rsid w:val="00DE3218"/>
    <w:rsid w:val="00DE3B81"/>
    <w:rsid w:val="00DE4262"/>
    <w:rsid w:val="00DE46A8"/>
    <w:rsid w:val="00DE5905"/>
    <w:rsid w:val="00DE5C93"/>
    <w:rsid w:val="00DE5FD2"/>
    <w:rsid w:val="00DE603E"/>
    <w:rsid w:val="00DE6AAA"/>
    <w:rsid w:val="00DE734B"/>
    <w:rsid w:val="00DF06E0"/>
    <w:rsid w:val="00DF09DC"/>
    <w:rsid w:val="00DF1540"/>
    <w:rsid w:val="00DF2762"/>
    <w:rsid w:val="00DF2792"/>
    <w:rsid w:val="00DF334A"/>
    <w:rsid w:val="00DF37D7"/>
    <w:rsid w:val="00DF5487"/>
    <w:rsid w:val="00DF7CC0"/>
    <w:rsid w:val="00DF7D5B"/>
    <w:rsid w:val="00E000BC"/>
    <w:rsid w:val="00E001A4"/>
    <w:rsid w:val="00E016CB"/>
    <w:rsid w:val="00E01F6B"/>
    <w:rsid w:val="00E022AF"/>
    <w:rsid w:val="00E03C73"/>
    <w:rsid w:val="00E047C9"/>
    <w:rsid w:val="00E06E3B"/>
    <w:rsid w:val="00E07E29"/>
    <w:rsid w:val="00E1436E"/>
    <w:rsid w:val="00E1471D"/>
    <w:rsid w:val="00E159B8"/>
    <w:rsid w:val="00E16083"/>
    <w:rsid w:val="00E17E25"/>
    <w:rsid w:val="00E20254"/>
    <w:rsid w:val="00E204C5"/>
    <w:rsid w:val="00E22403"/>
    <w:rsid w:val="00E24F8E"/>
    <w:rsid w:val="00E254E9"/>
    <w:rsid w:val="00E25C47"/>
    <w:rsid w:val="00E25EFA"/>
    <w:rsid w:val="00E26838"/>
    <w:rsid w:val="00E275C4"/>
    <w:rsid w:val="00E2787A"/>
    <w:rsid w:val="00E31349"/>
    <w:rsid w:val="00E315F6"/>
    <w:rsid w:val="00E325F6"/>
    <w:rsid w:val="00E328EF"/>
    <w:rsid w:val="00E34988"/>
    <w:rsid w:val="00E3506E"/>
    <w:rsid w:val="00E3678C"/>
    <w:rsid w:val="00E36C35"/>
    <w:rsid w:val="00E37615"/>
    <w:rsid w:val="00E40619"/>
    <w:rsid w:val="00E41A91"/>
    <w:rsid w:val="00E42A29"/>
    <w:rsid w:val="00E42BB7"/>
    <w:rsid w:val="00E445D5"/>
    <w:rsid w:val="00E44B0E"/>
    <w:rsid w:val="00E46710"/>
    <w:rsid w:val="00E46A22"/>
    <w:rsid w:val="00E47A5E"/>
    <w:rsid w:val="00E52363"/>
    <w:rsid w:val="00E52A74"/>
    <w:rsid w:val="00E54260"/>
    <w:rsid w:val="00E54C8B"/>
    <w:rsid w:val="00E55205"/>
    <w:rsid w:val="00E55617"/>
    <w:rsid w:val="00E55DC0"/>
    <w:rsid w:val="00E56A4F"/>
    <w:rsid w:val="00E5714B"/>
    <w:rsid w:val="00E57C66"/>
    <w:rsid w:val="00E57D44"/>
    <w:rsid w:val="00E605B4"/>
    <w:rsid w:val="00E612F9"/>
    <w:rsid w:val="00E6250B"/>
    <w:rsid w:val="00E65C21"/>
    <w:rsid w:val="00E70008"/>
    <w:rsid w:val="00E7187B"/>
    <w:rsid w:val="00E71BE7"/>
    <w:rsid w:val="00E7261D"/>
    <w:rsid w:val="00E731C2"/>
    <w:rsid w:val="00E73432"/>
    <w:rsid w:val="00E73CC2"/>
    <w:rsid w:val="00E74280"/>
    <w:rsid w:val="00E742B4"/>
    <w:rsid w:val="00E76DDD"/>
    <w:rsid w:val="00E7733B"/>
    <w:rsid w:val="00E80B24"/>
    <w:rsid w:val="00E82F63"/>
    <w:rsid w:val="00E8328A"/>
    <w:rsid w:val="00E84B6C"/>
    <w:rsid w:val="00E85966"/>
    <w:rsid w:val="00E90048"/>
    <w:rsid w:val="00E90FB0"/>
    <w:rsid w:val="00E91848"/>
    <w:rsid w:val="00E91DE1"/>
    <w:rsid w:val="00E91FB0"/>
    <w:rsid w:val="00E921BE"/>
    <w:rsid w:val="00E96A43"/>
    <w:rsid w:val="00E97DEA"/>
    <w:rsid w:val="00EA08AE"/>
    <w:rsid w:val="00EA35FB"/>
    <w:rsid w:val="00EA380A"/>
    <w:rsid w:val="00EA453C"/>
    <w:rsid w:val="00EA505E"/>
    <w:rsid w:val="00EA566F"/>
    <w:rsid w:val="00EA7E09"/>
    <w:rsid w:val="00EB0949"/>
    <w:rsid w:val="00EB1F78"/>
    <w:rsid w:val="00EB30EA"/>
    <w:rsid w:val="00EB3566"/>
    <w:rsid w:val="00EB3BC3"/>
    <w:rsid w:val="00EB4516"/>
    <w:rsid w:val="00EB691D"/>
    <w:rsid w:val="00EB6F47"/>
    <w:rsid w:val="00EC099A"/>
    <w:rsid w:val="00EC2236"/>
    <w:rsid w:val="00EC311D"/>
    <w:rsid w:val="00EC3D8E"/>
    <w:rsid w:val="00EC4190"/>
    <w:rsid w:val="00EC437B"/>
    <w:rsid w:val="00EC517C"/>
    <w:rsid w:val="00EC5EA4"/>
    <w:rsid w:val="00ED312D"/>
    <w:rsid w:val="00ED6D05"/>
    <w:rsid w:val="00ED6E9F"/>
    <w:rsid w:val="00ED7076"/>
    <w:rsid w:val="00ED7903"/>
    <w:rsid w:val="00ED7F4D"/>
    <w:rsid w:val="00EE0DE5"/>
    <w:rsid w:val="00EE1544"/>
    <w:rsid w:val="00EE17AE"/>
    <w:rsid w:val="00EE3C88"/>
    <w:rsid w:val="00EE45A2"/>
    <w:rsid w:val="00EE4CCB"/>
    <w:rsid w:val="00EE53D4"/>
    <w:rsid w:val="00EE540C"/>
    <w:rsid w:val="00EF0557"/>
    <w:rsid w:val="00EF14DF"/>
    <w:rsid w:val="00EF15F0"/>
    <w:rsid w:val="00EF24C7"/>
    <w:rsid w:val="00F02290"/>
    <w:rsid w:val="00F022A1"/>
    <w:rsid w:val="00F03007"/>
    <w:rsid w:val="00F04AEB"/>
    <w:rsid w:val="00F053BC"/>
    <w:rsid w:val="00F10E52"/>
    <w:rsid w:val="00F11143"/>
    <w:rsid w:val="00F12707"/>
    <w:rsid w:val="00F12F6E"/>
    <w:rsid w:val="00F13098"/>
    <w:rsid w:val="00F14D6A"/>
    <w:rsid w:val="00F15374"/>
    <w:rsid w:val="00F1608E"/>
    <w:rsid w:val="00F20627"/>
    <w:rsid w:val="00F2153A"/>
    <w:rsid w:val="00F21BAF"/>
    <w:rsid w:val="00F220BA"/>
    <w:rsid w:val="00F22AF0"/>
    <w:rsid w:val="00F23B8A"/>
    <w:rsid w:val="00F2495B"/>
    <w:rsid w:val="00F2545A"/>
    <w:rsid w:val="00F25530"/>
    <w:rsid w:val="00F34865"/>
    <w:rsid w:val="00F34C86"/>
    <w:rsid w:val="00F35782"/>
    <w:rsid w:val="00F36087"/>
    <w:rsid w:val="00F36AA8"/>
    <w:rsid w:val="00F372F2"/>
    <w:rsid w:val="00F408DA"/>
    <w:rsid w:val="00F4204E"/>
    <w:rsid w:val="00F42142"/>
    <w:rsid w:val="00F42359"/>
    <w:rsid w:val="00F439F8"/>
    <w:rsid w:val="00F43A15"/>
    <w:rsid w:val="00F45FFD"/>
    <w:rsid w:val="00F4672D"/>
    <w:rsid w:val="00F46AFB"/>
    <w:rsid w:val="00F508BB"/>
    <w:rsid w:val="00F520CA"/>
    <w:rsid w:val="00F52E7A"/>
    <w:rsid w:val="00F5479B"/>
    <w:rsid w:val="00F55C85"/>
    <w:rsid w:val="00F55F7C"/>
    <w:rsid w:val="00F5643D"/>
    <w:rsid w:val="00F56712"/>
    <w:rsid w:val="00F57CBB"/>
    <w:rsid w:val="00F6017A"/>
    <w:rsid w:val="00F62E25"/>
    <w:rsid w:val="00F62EB2"/>
    <w:rsid w:val="00F64FDC"/>
    <w:rsid w:val="00F66447"/>
    <w:rsid w:val="00F67147"/>
    <w:rsid w:val="00F67ABD"/>
    <w:rsid w:val="00F70A17"/>
    <w:rsid w:val="00F7773E"/>
    <w:rsid w:val="00F82D4F"/>
    <w:rsid w:val="00F840A2"/>
    <w:rsid w:val="00F84A88"/>
    <w:rsid w:val="00F87236"/>
    <w:rsid w:val="00F879B8"/>
    <w:rsid w:val="00F87EDC"/>
    <w:rsid w:val="00F90139"/>
    <w:rsid w:val="00F90AAD"/>
    <w:rsid w:val="00F911CC"/>
    <w:rsid w:val="00F919CE"/>
    <w:rsid w:val="00F928DE"/>
    <w:rsid w:val="00F93EB5"/>
    <w:rsid w:val="00F95619"/>
    <w:rsid w:val="00F95B60"/>
    <w:rsid w:val="00F96E8B"/>
    <w:rsid w:val="00F97100"/>
    <w:rsid w:val="00FA104C"/>
    <w:rsid w:val="00FA63A4"/>
    <w:rsid w:val="00FA75C6"/>
    <w:rsid w:val="00FA7E1E"/>
    <w:rsid w:val="00FB03FA"/>
    <w:rsid w:val="00FB1288"/>
    <w:rsid w:val="00FB23CE"/>
    <w:rsid w:val="00FB2FAB"/>
    <w:rsid w:val="00FB3650"/>
    <w:rsid w:val="00FB3DE4"/>
    <w:rsid w:val="00FB3FA1"/>
    <w:rsid w:val="00FB51C3"/>
    <w:rsid w:val="00FB53A9"/>
    <w:rsid w:val="00FB7D9D"/>
    <w:rsid w:val="00FC1B70"/>
    <w:rsid w:val="00FC1D01"/>
    <w:rsid w:val="00FC3AEA"/>
    <w:rsid w:val="00FC6AA5"/>
    <w:rsid w:val="00FD032C"/>
    <w:rsid w:val="00FD06C4"/>
    <w:rsid w:val="00FD0761"/>
    <w:rsid w:val="00FD188E"/>
    <w:rsid w:val="00FD2383"/>
    <w:rsid w:val="00FD24C8"/>
    <w:rsid w:val="00FD3AA7"/>
    <w:rsid w:val="00FD425F"/>
    <w:rsid w:val="00FD4487"/>
    <w:rsid w:val="00FD46E6"/>
    <w:rsid w:val="00FD4AEC"/>
    <w:rsid w:val="00FD64B9"/>
    <w:rsid w:val="00FD6E2C"/>
    <w:rsid w:val="00FE23A9"/>
    <w:rsid w:val="00FE24FE"/>
    <w:rsid w:val="00FE2CDB"/>
    <w:rsid w:val="00FE47D1"/>
    <w:rsid w:val="00FE65B5"/>
    <w:rsid w:val="00FF0068"/>
    <w:rsid w:val="00FF2DF5"/>
    <w:rsid w:val="00FF3A0D"/>
    <w:rsid w:val="00FF3A2A"/>
    <w:rsid w:val="00FF44C4"/>
    <w:rsid w:val="00FF55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6975B"/>
  <w15:docId w15:val="{4396A83E-B14E-4F1E-9924-E49EC1E4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01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373189"/>
    <w:pPr>
      <w:tabs>
        <w:tab w:val="center" w:pos="4419"/>
        <w:tab w:val="right" w:pos="8838"/>
      </w:tabs>
    </w:pPr>
  </w:style>
  <w:style w:type="character" w:customStyle="1" w:styleId="PiedepginaCar">
    <w:name w:val="Pie de página Car"/>
    <w:basedOn w:val="Fuentedeprrafopredeter"/>
    <w:link w:val="Piedepgina"/>
    <w:uiPriority w:val="99"/>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qFormat/>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436">
      <w:bodyDiv w:val="1"/>
      <w:marLeft w:val="0"/>
      <w:marRight w:val="0"/>
      <w:marTop w:val="0"/>
      <w:marBottom w:val="0"/>
      <w:divBdr>
        <w:top w:val="none" w:sz="0" w:space="0" w:color="auto"/>
        <w:left w:val="none" w:sz="0" w:space="0" w:color="auto"/>
        <w:bottom w:val="none" w:sz="0" w:space="0" w:color="auto"/>
        <w:right w:val="none" w:sz="0" w:space="0" w:color="auto"/>
      </w:divBdr>
    </w:div>
    <w:div w:id="5518352">
      <w:bodyDiv w:val="1"/>
      <w:marLeft w:val="0"/>
      <w:marRight w:val="0"/>
      <w:marTop w:val="0"/>
      <w:marBottom w:val="0"/>
      <w:divBdr>
        <w:top w:val="none" w:sz="0" w:space="0" w:color="auto"/>
        <w:left w:val="none" w:sz="0" w:space="0" w:color="auto"/>
        <w:bottom w:val="none" w:sz="0" w:space="0" w:color="auto"/>
        <w:right w:val="none" w:sz="0" w:space="0" w:color="auto"/>
      </w:divBdr>
    </w:div>
    <w:div w:id="8458546">
      <w:bodyDiv w:val="1"/>
      <w:marLeft w:val="0"/>
      <w:marRight w:val="0"/>
      <w:marTop w:val="0"/>
      <w:marBottom w:val="0"/>
      <w:divBdr>
        <w:top w:val="none" w:sz="0" w:space="0" w:color="auto"/>
        <w:left w:val="none" w:sz="0" w:space="0" w:color="auto"/>
        <w:bottom w:val="none" w:sz="0" w:space="0" w:color="auto"/>
        <w:right w:val="none" w:sz="0" w:space="0" w:color="auto"/>
      </w:divBdr>
    </w:div>
    <w:div w:id="35281871">
      <w:bodyDiv w:val="1"/>
      <w:marLeft w:val="0"/>
      <w:marRight w:val="0"/>
      <w:marTop w:val="0"/>
      <w:marBottom w:val="0"/>
      <w:divBdr>
        <w:top w:val="none" w:sz="0" w:space="0" w:color="auto"/>
        <w:left w:val="none" w:sz="0" w:space="0" w:color="auto"/>
        <w:bottom w:val="none" w:sz="0" w:space="0" w:color="auto"/>
        <w:right w:val="none" w:sz="0" w:space="0" w:color="auto"/>
      </w:divBdr>
    </w:div>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39210675">
      <w:bodyDiv w:val="1"/>
      <w:marLeft w:val="0"/>
      <w:marRight w:val="0"/>
      <w:marTop w:val="0"/>
      <w:marBottom w:val="0"/>
      <w:divBdr>
        <w:top w:val="none" w:sz="0" w:space="0" w:color="auto"/>
        <w:left w:val="none" w:sz="0" w:space="0" w:color="auto"/>
        <w:bottom w:val="none" w:sz="0" w:space="0" w:color="auto"/>
        <w:right w:val="none" w:sz="0" w:space="0" w:color="auto"/>
      </w:divBdr>
    </w:div>
    <w:div w:id="42684588">
      <w:bodyDiv w:val="1"/>
      <w:marLeft w:val="0"/>
      <w:marRight w:val="0"/>
      <w:marTop w:val="0"/>
      <w:marBottom w:val="0"/>
      <w:divBdr>
        <w:top w:val="none" w:sz="0" w:space="0" w:color="auto"/>
        <w:left w:val="none" w:sz="0" w:space="0" w:color="auto"/>
        <w:bottom w:val="none" w:sz="0" w:space="0" w:color="auto"/>
        <w:right w:val="none" w:sz="0" w:space="0" w:color="auto"/>
      </w:divBdr>
    </w:div>
    <w:div w:id="54016608">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01613347">
      <w:bodyDiv w:val="1"/>
      <w:marLeft w:val="0"/>
      <w:marRight w:val="0"/>
      <w:marTop w:val="0"/>
      <w:marBottom w:val="0"/>
      <w:divBdr>
        <w:top w:val="none" w:sz="0" w:space="0" w:color="auto"/>
        <w:left w:val="none" w:sz="0" w:space="0" w:color="auto"/>
        <w:bottom w:val="none" w:sz="0" w:space="0" w:color="auto"/>
        <w:right w:val="none" w:sz="0" w:space="0" w:color="auto"/>
      </w:divBdr>
    </w:div>
    <w:div w:id="109904168">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77475762">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02063774">
      <w:bodyDiv w:val="1"/>
      <w:marLeft w:val="0"/>
      <w:marRight w:val="0"/>
      <w:marTop w:val="0"/>
      <w:marBottom w:val="0"/>
      <w:divBdr>
        <w:top w:val="none" w:sz="0" w:space="0" w:color="auto"/>
        <w:left w:val="none" w:sz="0" w:space="0" w:color="auto"/>
        <w:bottom w:val="none" w:sz="0" w:space="0" w:color="auto"/>
        <w:right w:val="none" w:sz="0" w:space="0" w:color="auto"/>
      </w:divBdr>
    </w:div>
    <w:div w:id="204149404">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4047029">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43761120">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4389711">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13989781">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54618435">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62356595">
      <w:bodyDiv w:val="1"/>
      <w:marLeft w:val="0"/>
      <w:marRight w:val="0"/>
      <w:marTop w:val="0"/>
      <w:marBottom w:val="0"/>
      <w:divBdr>
        <w:top w:val="none" w:sz="0" w:space="0" w:color="auto"/>
        <w:left w:val="none" w:sz="0" w:space="0" w:color="auto"/>
        <w:bottom w:val="none" w:sz="0" w:space="0" w:color="auto"/>
        <w:right w:val="none" w:sz="0" w:space="0" w:color="auto"/>
      </w:divBdr>
    </w:div>
    <w:div w:id="485629151">
      <w:bodyDiv w:val="1"/>
      <w:marLeft w:val="0"/>
      <w:marRight w:val="0"/>
      <w:marTop w:val="0"/>
      <w:marBottom w:val="0"/>
      <w:divBdr>
        <w:top w:val="none" w:sz="0" w:space="0" w:color="auto"/>
        <w:left w:val="none" w:sz="0" w:space="0" w:color="auto"/>
        <w:bottom w:val="none" w:sz="0" w:space="0" w:color="auto"/>
        <w:right w:val="none" w:sz="0" w:space="0" w:color="auto"/>
      </w:divBdr>
    </w:div>
    <w:div w:id="540478345">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63610353">
      <w:bodyDiv w:val="1"/>
      <w:marLeft w:val="0"/>
      <w:marRight w:val="0"/>
      <w:marTop w:val="0"/>
      <w:marBottom w:val="0"/>
      <w:divBdr>
        <w:top w:val="none" w:sz="0" w:space="0" w:color="auto"/>
        <w:left w:val="none" w:sz="0" w:space="0" w:color="auto"/>
        <w:bottom w:val="none" w:sz="0" w:space="0" w:color="auto"/>
        <w:right w:val="none" w:sz="0" w:space="0" w:color="auto"/>
      </w:divBdr>
    </w:div>
    <w:div w:id="564419545">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610552496">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36300025">
      <w:bodyDiv w:val="1"/>
      <w:marLeft w:val="0"/>
      <w:marRight w:val="0"/>
      <w:marTop w:val="0"/>
      <w:marBottom w:val="0"/>
      <w:divBdr>
        <w:top w:val="none" w:sz="0" w:space="0" w:color="auto"/>
        <w:left w:val="none" w:sz="0" w:space="0" w:color="auto"/>
        <w:bottom w:val="none" w:sz="0" w:space="0" w:color="auto"/>
        <w:right w:val="none" w:sz="0" w:space="0" w:color="auto"/>
      </w:divBdr>
    </w:div>
    <w:div w:id="639043652">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656344647">
      <w:bodyDiv w:val="1"/>
      <w:marLeft w:val="0"/>
      <w:marRight w:val="0"/>
      <w:marTop w:val="0"/>
      <w:marBottom w:val="0"/>
      <w:divBdr>
        <w:top w:val="none" w:sz="0" w:space="0" w:color="auto"/>
        <w:left w:val="none" w:sz="0" w:space="0" w:color="auto"/>
        <w:bottom w:val="none" w:sz="0" w:space="0" w:color="auto"/>
        <w:right w:val="none" w:sz="0" w:space="0" w:color="auto"/>
      </w:divBdr>
    </w:div>
    <w:div w:id="670065811">
      <w:bodyDiv w:val="1"/>
      <w:marLeft w:val="0"/>
      <w:marRight w:val="0"/>
      <w:marTop w:val="0"/>
      <w:marBottom w:val="0"/>
      <w:divBdr>
        <w:top w:val="none" w:sz="0" w:space="0" w:color="auto"/>
        <w:left w:val="none" w:sz="0" w:space="0" w:color="auto"/>
        <w:bottom w:val="none" w:sz="0" w:space="0" w:color="auto"/>
        <w:right w:val="none" w:sz="0" w:space="0" w:color="auto"/>
      </w:divBdr>
    </w:div>
    <w:div w:id="734595261">
      <w:bodyDiv w:val="1"/>
      <w:marLeft w:val="0"/>
      <w:marRight w:val="0"/>
      <w:marTop w:val="0"/>
      <w:marBottom w:val="0"/>
      <w:divBdr>
        <w:top w:val="none" w:sz="0" w:space="0" w:color="auto"/>
        <w:left w:val="none" w:sz="0" w:space="0" w:color="auto"/>
        <w:bottom w:val="none" w:sz="0" w:space="0" w:color="auto"/>
        <w:right w:val="none" w:sz="0" w:space="0" w:color="auto"/>
      </w:divBdr>
    </w:div>
    <w:div w:id="736124859">
      <w:bodyDiv w:val="1"/>
      <w:marLeft w:val="0"/>
      <w:marRight w:val="0"/>
      <w:marTop w:val="0"/>
      <w:marBottom w:val="0"/>
      <w:divBdr>
        <w:top w:val="none" w:sz="0" w:space="0" w:color="auto"/>
        <w:left w:val="none" w:sz="0" w:space="0" w:color="auto"/>
        <w:bottom w:val="none" w:sz="0" w:space="0" w:color="auto"/>
        <w:right w:val="none" w:sz="0" w:space="0" w:color="auto"/>
      </w:divBdr>
    </w:div>
    <w:div w:id="744499615">
      <w:bodyDiv w:val="1"/>
      <w:marLeft w:val="0"/>
      <w:marRight w:val="0"/>
      <w:marTop w:val="0"/>
      <w:marBottom w:val="0"/>
      <w:divBdr>
        <w:top w:val="none" w:sz="0" w:space="0" w:color="auto"/>
        <w:left w:val="none" w:sz="0" w:space="0" w:color="auto"/>
        <w:bottom w:val="none" w:sz="0" w:space="0" w:color="auto"/>
        <w:right w:val="none" w:sz="0" w:space="0" w:color="auto"/>
      </w:divBdr>
    </w:div>
    <w:div w:id="752631493">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847449975">
      <w:bodyDiv w:val="1"/>
      <w:marLeft w:val="0"/>
      <w:marRight w:val="0"/>
      <w:marTop w:val="0"/>
      <w:marBottom w:val="0"/>
      <w:divBdr>
        <w:top w:val="none" w:sz="0" w:space="0" w:color="auto"/>
        <w:left w:val="none" w:sz="0" w:space="0" w:color="auto"/>
        <w:bottom w:val="none" w:sz="0" w:space="0" w:color="auto"/>
        <w:right w:val="none" w:sz="0" w:space="0" w:color="auto"/>
      </w:divBdr>
    </w:div>
    <w:div w:id="873542812">
      <w:bodyDiv w:val="1"/>
      <w:marLeft w:val="0"/>
      <w:marRight w:val="0"/>
      <w:marTop w:val="0"/>
      <w:marBottom w:val="0"/>
      <w:divBdr>
        <w:top w:val="none" w:sz="0" w:space="0" w:color="auto"/>
        <w:left w:val="none" w:sz="0" w:space="0" w:color="auto"/>
        <w:bottom w:val="none" w:sz="0" w:space="0" w:color="auto"/>
        <w:right w:val="none" w:sz="0" w:space="0" w:color="auto"/>
      </w:divBdr>
    </w:div>
    <w:div w:id="886339047">
      <w:bodyDiv w:val="1"/>
      <w:marLeft w:val="0"/>
      <w:marRight w:val="0"/>
      <w:marTop w:val="0"/>
      <w:marBottom w:val="0"/>
      <w:divBdr>
        <w:top w:val="none" w:sz="0" w:space="0" w:color="auto"/>
        <w:left w:val="none" w:sz="0" w:space="0" w:color="auto"/>
        <w:bottom w:val="none" w:sz="0" w:space="0" w:color="auto"/>
        <w:right w:val="none" w:sz="0" w:space="0" w:color="auto"/>
      </w:divBdr>
    </w:div>
    <w:div w:id="899438687">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64847123">
      <w:bodyDiv w:val="1"/>
      <w:marLeft w:val="0"/>
      <w:marRight w:val="0"/>
      <w:marTop w:val="0"/>
      <w:marBottom w:val="0"/>
      <w:divBdr>
        <w:top w:val="none" w:sz="0" w:space="0" w:color="auto"/>
        <w:left w:val="none" w:sz="0" w:space="0" w:color="auto"/>
        <w:bottom w:val="none" w:sz="0" w:space="0" w:color="auto"/>
        <w:right w:val="none" w:sz="0" w:space="0" w:color="auto"/>
      </w:divBdr>
    </w:div>
    <w:div w:id="977415060">
      <w:bodyDiv w:val="1"/>
      <w:marLeft w:val="0"/>
      <w:marRight w:val="0"/>
      <w:marTop w:val="0"/>
      <w:marBottom w:val="0"/>
      <w:divBdr>
        <w:top w:val="none" w:sz="0" w:space="0" w:color="auto"/>
        <w:left w:val="none" w:sz="0" w:space="0" w:color="auto"/>
        <w:bottom w:val="none" w:sz="0" w:space="0" w:color="auto"/>
        <w:right w:val="none" w:sz="0" w:space="0" w:color="auto"/>
      </w:divBdr>
    </w:div>
    <w:div w:id="977494507">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1005671532">
      <w:bodyDiv w:val="1"/>
      <w:marLeft w:val="0"/>
      <w:marRight w:val="0"/>
      <w:marTop w:val="0"/>
      <w:marBottom w:val="0"/>
      <w:divBdr>
        <w:top w:val="none" w:sz="0" w:space="0" w:color="auto"/>
        <w:left w:val="none" w:sz="0" w:space="0" w:color="auto"/>
        <w:bottom w:val="none" w:sz="0" w:space="0" w:color="auto"/>
        <w:right w:val="none" w:sz="0" w:space="0" w:color="auto"/>
      </w:divBdr>
    </w:div>
    <w:div w:id="1012955477">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45839105">
      <w:bodyDiv w:val="1"/>
      <w:marLeft w:val="0"/>
      <w:marRight w:val="0"/>
      <w:marTop w:val="0"/>
      <w:marBottom w:val="0"/>
      <w:divBdr>
        <w:top w:val="none" w:sz="0" w:space="0" w:color="auto"/>
        <w:left w:val="none" w:sz="0" w:space="0" w:color="auto"/>
        <w:bottom w:val="none" w:sz="0" w:space="0" w:color="auto"/>
        <w:right w:val="none" w:sz="0" w:space="0" w:color="auto"/>
      </w:divBdr>
    </w:div>
    <w:div w:id="1055349341">
      <w:bodyDiv w:val="1"/>
      <w:marLeft w:val="0"/>
      <w:marRight w:val="0"/>
      <w:marTop w:val="0"/>
      <w:marBottom w:val="0"/>
      <w:divBdr>
        <w:top w:val="none" w:sz="0" w:space="0" w:color="auto"/>
        <w:left w:val="none" w:sz="0" w:space="0" w:color="auto"/>
        <w:bottom w:val="none" w:sz="0" w:space="0" w:color="auto"/>
        <w:right w:val="none" w:sz="0" w:space="0" w:color="auto"/>
      </w:divBdr>
    </w:div>
    <w:div w:id="1056588400">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114445980">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35682464">
      <w:bodyDiv w:val="1"/>
      <w:marLeft w:val="0"/>
      <w:marRight w:val="0"/>
      <w:marTop w:val="0"/>
      <w:marBottom w:val="0"/>
      <w:divBdr>
        <w:top w:val="none" w:sz="0" w:space="0" w:color="auto"/>
        <w:left w:val="none" w:sz="0" w:space="0" w:color="auto"/>
        <w:bottom w:val="none" w:sz="0" w:space="0" w:color="auto"/>
        <w:right w:val="none" w:sz="0" w:space="0" w:color="auto"/>
      </w:divBdr>
    </w:div>
    <w:div w:id="1165709377">
      <w:bodyDiv w:val="1"/>
      <w:marLeft w:val="0"/>
      <w:marRight w:val="0"/>
      <w:marTop w:val="0"/>
      <w:marBottom w:val="0"/>
      <w:divBdr>
        <w:top w:val="none" w:sz="0" w:space="0" w:color="auto"/>
        <w:left w:val="none" w:sz="0" w:space="0" w:color="auto"/>
        <w:bottom w:val="none" w:sz="0" w:space="0" w:color="auto"/>
        <w:right w:val="none" w:sz="0" w:space="0" w:color="auto"/>
      </w:divBdr>
    </w:div>
    <w:div w:id="1210454822">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38705552">
      <w:bodyDiv w:val="1"/>
      <w:marLeft w:val="0"/>
      <w:marRight w:val="0"/>
      <w:marTop w:val="0"/>
      <w:marBottom w:val="0"/>
      <w:divBdr>
        <w:top w:val="none" w:sz="0" w:space="0" w:color="auto"/>
        <w:left w:val="none" w:sz="0" w:space="0" w:color="auto"/>
        <w:bottom w:val="none" w:sz="0" w:space="0" w:color="auto"/>
        <w:right w:val="none" w:sz="0" w:space="0" w:color="auto"/>
      </w:divBdr>
    </w:div>
    <w:div w:id="1264805796">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52342511">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394348754">
      <w:bodyDiv w:val="1"/>
      <w:marLeft w:val="0"/>
      <w:marRight w:val="0"/>
      <w:marTop w:val="0"/>
      <w:marBottom w:val="0"/>
      <w:divBdr>
        <w:top w:val="none" w:sz="0" w:space="0" w:color="auto"/>
        <w:left w:val="none" w:sz="0" w:space="0" w:color="auto"/>
        <w:bottom w:val="none" w:sz="0" w:space="0" w:color="auto"/>
        <w:right w:val="none" w:sz="0" w:space="0" w:color="auto"/>
      </w:divBdr>
    </w:div>
    <w:div w:id="1398741995">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49229959">
      <w:bodyDiv w:val="1"/>
      <w:marLeft w:val="0"/>
      <w:marRight w:val="0"/>
      <w:marTop w:val="0"/>
      <w:marBottom w:val="0"/>
      <w:divBdr>
        <w:top w:val="none" w:sz="0" w:space="0" w:color="auto"/>
        <w:left w:val="none" w:sz="0" w:space="0" w:color="auto"/>
        <w:bottom w:val="none" w:sz="0" w:space="0" w:color="auto"/>
        <w:right w:val="none" w:sz="0" w:space="0" w:color="auto"/>
      </w:divBdr>
    </w:div>
    <w:div w:id="1451437081">
      <w:bodyDiv w:val="1"/>
      <w:marLeft w:val="0"/>
      <w:marRight w:val="0"/>
      <w:marTop w:val="0"/>
      <w:marBottom w:val="0"/>
      <w:divBdr>
        <w:top w:val="none" w:sz="0" w:space="0" w:color="auto"/>
        <w:left w:val="none" w:sz="0" w:space="0" w:color="auto"/>
        <w:bottom w:val="none" w:sz="0" w:space="0" w:color="auto"/>
        <w:right w:val="none" w:sz="0" w:space="0" w:color="auto"/>
      </w:divBdr>
    </w:div>
    <w:div w:id="1490176987">
      <w:bodyDiv w:val="1"/>
      <w:marLeft w:val="0"/>
      <w:marRight w:val="0"/>
      <w:marTop w:val="0"/>
      <w:marBottom w:val="0"/>
      <w:divBdr>
        <w:top w:val="none" w:sz="0" w:space="0" w:color="auto"/>
        <w:left w:val="none" w:sz="0" w:space="0" w:color="auto"/>
        <w:bottom w:val="none" w:sz="0" w:space="0" w:color="auto"/>
        <w:right w:val="none" w:sz="0" w:space="0" w:color="auto"/>
      </w:divBdr>
    </w:div>
    <w:div w:id="1509127583">
      <w:bodyDiv w:val="1"/>
      <w:marLeft w:val="0"/>
      <w:marRight w:val="0"/>
      <w:marTop w:val="0"/>
      <w:marBottom w:val="0"/>
      <w:divBdr>
        <w:top w:val="none" w:sz="0" w:space="0" w:color="auto"/>
        <w:left w:val="none" w:sz="0" w:space="0" w:color="auto"/>
        <w:bottom w:val="none" w:sz="0" w:space="0" w:color="auto"/>
        <w:right w:val="none" w:sz="0" w:space="0" w:color="auto"/>
      </w:divBdr>
    </w:div>
    <w:div w:id="1517497015">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78974271">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60883261">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84746039">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693341361">
      <w:bodyDiv w:val="1"/>
      <w:marLeft w:val="0"/>
      <w:marRight w:val="0"/>
      <w:marTop w:val="0"/>
      <w:marBottom w:val="0"/>
      <w:divBdr>
        <w:top w:val="none" w:sz="0" w:space="0" w:color="auto"/>
        <w:left w:val="none" w:sz="0" w:space="0" w:color="auto"/>
        <w:bottom w:val="none" w:sz="0" w:space="0" w:color="auto"/>
        <w:right w:val="none" w:sz="0" w:space="0" w:color="auto"/>
      </w:divBdr>
    </w:div>
    <w:div w:id="1710106730">
      <w:bodyDiv w:val="1"/>
      <w:marLeft w:val="0"/>
      <w:marRight w:val="0"/>
      <w:marTop w:val="0"/>
      <w:marBottom w:val="0"/>
      <w:divBdr>
        <w:top w:val="none" w:sz="0" w:space="0" w:color="auto"/>
        <w:left w:val="none" w:sz="0" w:space="0" w:color="auto"/>
        <w:bottom w:val="none" w:sz="0" w:space="0" w:color="auto"/>
        <w:right w:val="none" w:sz="0" w:space="0" w:color="auto"/>
      </w:divBdr>
    </w:div>
    <w:div w:id="1716003434">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29760936">
      <w:bodyDiv w:val="1"/>
      <w:marLeft w:val="0"/>
      <w:marRight w:val="0"/>
      <w:marTop w:val="0"/>
      <w:marBottom w:val="0"/>
      <w:divBdr>
        <w:top w:val="none" w:sz="0" w:space="0" w:color="auto"/>
        <w:left w:val="none" w:sz="0" w:space="0" w:color="auto"/>
        <w:bottom w:val="none" w:sz="0" w:space="0" w:color="auto"/>
        <w:right w:val="none" w:sz="0" w:space="0" w:color="auto"/>
      </w:divBdr>
    </w:div>
    <w:div w:id="1753697940">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66724030">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0252210">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31821293">
      <w:bodyDiv w:val="1"/>
      <w:marLeft w:val="0"/>
      <w:marRight w:val="0"/>
      <w:marTop w:val="0"/>
      <w:marBottom w:val="0"/>
      <w:divBdr>
        <w:top w:val="none" w:sz="0" w:space="0" w:color="auto"/>
        <w:left w:val="none" w:sz="0" w:space="0" w:color="auto"/>
        <w:bottom w:val="none" w:sz="0" w:space="0" w:color="auto"/>
        <w:right w:val="none" w:sz="0" w:space="0" w:color="auto"/>
      </w:divBdr>
    </w:div>
    <w:div w:id="1874149436">
      <w:bodyDiv w:val="1"/>
      <w:marLeft w:val="0"/>
      <w:marRight w:val="0"/>
      <w:marTop w:val="0"/>
      <w:marBottom w:val="0"/>
      <w:divBdr>
        <w:top w:val="none" w:sz="0" w:space="0" w:color="auto"/>
        <w:left w:val="none" w:sz="0" w:space="0" w:color="auto"/>
        <w:bottom w:val="none" w:sz="0" w:space="0" w:color="auto"/>
        <w:right w:val="none" w:sz="0" w:space="0" w:color="auto"/>
      </w:divBdr>
    </w:div>
    <w:div w:id="1877962448">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1905673862">
      <w:bodyDiv w:val="1"/>
      <w:marLeft w:val="0"/>
      <w:marRight w:val="0"/>
      <w:marTop w:val="0"/>
      <w:marBottom w:val="0"/>
      <w:divBdr>
        <w:top w:val="none" w:sz="0" w:space="0" w:color="auto"/>
        <w:left w:val="none" w:sz="0" w:space="0" w:color="auto"/>
        <w:bottom w:val="none" w:sz="0" w:space="0" w:color="auto"/>
        <w:right w:val="none" w:sz="0" w:space="0" w:color="auto"/>
      </w:divBdr>
    </w:div>
    <w:div w:id="1932737954">
      <w:bodyDiv w:val="1"/>
      <w:marLeft w:val="0"/>
      <w:marRight w:val="0"/>
      <w:marTop w:val="0"/>
      <w:marBottom w:val="0"/>
      <w:divBdr>
        <w:top w:val="none" w:sz="0" w:space="0" w:color="auto"/>
        <w:left w:val="none" w:sz="0" w:space="0" w:color="auto"/>
        <w:bottom w:val="none" w:sz="0" w:space="0" w:color="auto"/>
        <w:right w:val="none" w:sz="0" w:space="0" w:color="auto"/>
      </w:divBdr>
    </w:div>
    <w:div w:id="1933968111">
      <w:bodyDiv w:val="1"/>
      <w:marLeft w:val="0"/>
      <w:marRight w:val="0"/>
      <w:marTop w:val="0"/>
      <w:marBottom w:val="0"/>
      <w:divBdr>
        <w:top w:val="none" w:sz="0" w:space="0" w:color="auto"/>
        <w:left w:val="none" w:sz="0" w:space="0" w:color="auto"/>
        <w:bottom w:val="none" w:sz="0" w:space="0" w:color="auto"/>
        <w:right w:val="none" w:sz="0" w:space="0" w:color="auto"/>
      </w:divBdr>
    </w:div>
    <w:div w:id="1992706529">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38189209">
      <w:bodyDiv w:val="1"/>
      <w:marLeft w:val="0"/>
      <w:marRight w:val="0"/>
      <w:marTop w:val="0"/>
      <w:marBottom w:val="0"/>
      <w:divBdr>
        <w:top w:val="none" w:sz="0" w:space="0" w:color="auto"/>
        <w:left w:val="none" w:sz="0" w:space="0" w:color="auto"/>
        <w:bottom w:val="none" w:sz="0" w:space="0" w:color="auto"/>
        <w:right w:val="none" w:sz="0" w:space="0" w:color="auto"/>
      </w:divBdr>
    </w:div>
    <w:div w:id="2039574918">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 w:id="212522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A1F2B-B513-4FDC-8029-747CFFE84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3560</Words>
  <Characters>19586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Eduar Raul Chi Santana</cp:lastModifiedBy>
  <cp:revision>4</cp:revision>
  <cp:lastPrinted>2022-01-14T19:14:00Z</cp:lastPrinted>
  <dcterms:created xsi:type="dcterms:W3CDTF">2022-04-26T19:44:00Z</dcterms:created>
  <dcterms:modified xsi:type="dcterms:W3CDTF">2022-04-26T19:45:00Z</dcterms:modified>
</cp:coreProperties>
</file>