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69CB" w:rsidRDefault="003669CB" w:rsidP="003669CB">
      <w:pPr>
        <w:pStyle w:val="Prrafodelista"/>
        <w:spacing w:line="240" w:lineRule="auto"/>
        <w:jc w:val="center"/>
        <w:rPr>
          <w:rFonts w:ascii="Barlow" w:hAnsi="Barlow" w:cs="Arial"/>
          <w:b/>
          <w:sz w:val="20"/>
          <w:szCs w:val="20"/>
        </w:rPr>
      </w:pPr>
      <w:r>
        <w:rPr>
          <w:rFonts w:ascii="Barlow" w:hAnsi="Barlow" w:cs="Arial"/>
          <w:b/>
          <w:sz w:val="20"/>
          <w:szCs w:val="20"/>
        </w:rPr>
        <w:t>Notas a los Estados Financieros</w:t>
      </w:r>
    </w:p>
    <w:p w:rsidR="003669CB" w:rsidRDefault="004E154D" w:rsidP="003669CB">
      <w:pPr>
        <w:pStyle w:val="Prrafodelista"/>
        <w:spacing w:line="240" w:lineRule="auto"/>
        <w:jc w:val="center"/>
        <w:rPr>
          <w:rFonts w:ascii="Barlow" w:hAnsi="Barlow" w:cs="Arial"/>
          <w:b/>
          <w:sz w:val="20"/>
          <w:szCs w:val="20"/>
        </w:rPr>
      </w:pPr>
      <w:r>
        <w:rPr>
          <w:rFonts w:ascii="Barlow" w:hAnsi="Barlow" w:cs="Arial"/>
          <w:b/>
          <w:sz w:val="20"/>
          <w:szCs w:val="20"/>
        </w:rPr>
        <w:t>Al 31 de marzo de 2022</w:t>
      </w:r>
      <w:bookmarkStart w:id="0" w:name="_GoBack"/>
      <w:bookmarkEnd w:id="0"/>
    </w:p>
    <w:p w:rsidR="003669CB" w:rsidRDefault="003669CB" w:rsidP="003669CB">
      <w:pPr>
        <w:pStyle w:val="Prrafodelista"/>
        <w:spacing w:line="240" w:lineRule="auto"/>
        <w:jc w:val="center"/>
        <w:rPr>
          <w:rFonts w:ascii="Barlow" w:hAnsi="Barlow" w:cs="Arial"/>
          <w:b/>
          <w:sz w:val="20"/>
          <w:szCs w:val="20"/>
        </w:rPr>
      </w:pPr>
      <w:r>
        <w:rPr>
          <w:rFonts w:ascii="Barlow" w:hAnsi="Barlow" w:cs="Arial"/>
          <w:b/>
          <w:sz w:val="20"/>
          <w:szCs w:val="20"/>
        </w:rPr>
        <w:t>(Cifras en Pesos)</w:t>
      </w:r>
    </w:p>
    <w:p w:rsidR="003669CB" w:rsidRDefault="003669CB" w:rsidP="003669CB">
      <w:pPr>
        <w:pStyle w:val="Prrafodelista"/>
        <w:spacing w:line="240" w:lineRule="auto"/>
        <w:rPr>
          <w:rFonts w:ascii="Barlow" w:hAnsi="Barlow" w:cs="Arial"/>
          <w:b/>
          <w:sz w:val="20"/>
          <w:szCs w:val="20"/>
        </w:rPr>
      </w:pPr>
      <w:r>
        <w:rPr>
          <w:rFonts w:ascii="Barlow" w:hAnsi="Barlow" w:cs="Arial"/>
          <w:b/>
          <w:sz w:val="20"/>
          <w:szCs w:val="20"/>
        </w:rPr>
        <w:t>Ente Público:  INSTITUTO TECNOLÓGICO SUPERIOR PROGRESO</w:t>
      </w:r>
    </w:p>
    <w:p w:rsidR="003669CB" w:rsidRDefault="003669CB" w:rsidP="003669CB">
      <w:pPr>
        <w:pStyle w:val="Prrafodelista"/>
        <w:spacing w:line="240" w:lineRule="auto"/>
        <w:rPr>
          <w:rFonts w:ascii="Barlow" w:hAnsi="Barlow" w:cs="Arial"/>
          <w:b/>
          <w:sz w:val="20"/>
          <w:szCs w:val="20"/>
        </w:rPr>
      </w:pPr>
    </w:p>
    <w:p w:rsidR="003669CB" w:rsidRDefault="003669CB" w:rsidP="003669CB">
      <w:pPr>
        <w:pStyle w:val="Prrafodelista"/>
        <w:spacing w:line="240" w:lineRule="auto"/>
        <w:rPr>
          <w:rFonts w:ascii="Barlow" w:hAnsi="Barlow" w:cs="Arial"/>
          <w:b/>
          <w:sz w:val="20"/>
          <w:szCs w:val="20"/>
        </w:rPr>
      </w:pPr>
    </w:p>
    <w:p w:rsidR="00EB77A1" w:rsidRPr="003669CB" w:rsidRDefault="00EB77A1" w:rsidP="00820526">
      <w:pPr>
        <w:pStyle w:val="Prrafodelista"/>
        <w:numPr>
          <w:ilvl w:val="0"/>
          <w:numId w:val="7"/>
        </w:numPr>
        <w:spacing w:line="240" w:lineRule="auto"/>
        <w:rPr>
          <w:rFonts w:ascii="Barlow" w:hAnsi="Barlow" w:cs="Arial"/>
          <w:b/>
          <w:sz w:val="20"/>
          <w:szCs w:val="20"/>
        </w:rPr>
      </w:pPr>
      <w:r w:rsidRPr="003669CB">
        <w:rPr>
          <w:rFonts w:ascii="Barlow" w:hAnsi="Barlow" w:cs="Arial"/>
          <w:b/>
          <w:sz w:val="20"/>
          <w:szCs w:val="20"/>
        </w:rPr>
        <w:t>NOTAS DE DESGLOSE</w:t>
      </w:r>
    </w:p>
    <w:p w:rsidR="00EB77A1" w:rsidRPr="003669CB" w:rsidRDefault="00EB77A1" w:rsidP="00EB77A1">
      <w:pPr>
        <w:pStyle w:val="Prrafodelista"/>
        <w:numPr>
          <w:ilvl w:val="0"/>
          <w:numId w:val="5"/>
        </w:numPr>
        <w:ind w:left="567" w:hanging="567"/>
        <w:rPr>
          <w:rFonts w:ascii="Barlow" w:hAnsi="Barlow"/>
          <w:b/>
          <w:sz w:val="20"/>
          <w:szCs w:val="20"/>
        </w:rPr>
      </w:pPr>
      <w:r w:rsidRPr="003669CB">
        <w:rPr>
          <w:rFonts w:ascii="Barlow" w:hAnsi="Barlow"/>
          <w:b/>
          <w:sz w:val="20"/>
          <w:szCs w:val="20"/>
        </w:rPr>
        <w:t>NOTAS AL ESTADO DE SITUACIÓN FINANCIERA</w:t>
      </w:r>
    </w:p>
    <w:p w:rsidR="00EB77A1" w:rsidRPr="003669CB" w:rsidRDefault="00EB77A1" w:rsidP="00EB77A1">
      <w:pPr>
        <w:spacing w:after="0"/>
        <w:rPr>
          <w:rFonts w:ascii="Barlow" w:hAnsi="Barlow"/>
          <w:b/>
          <w:sz w:val="20"/>
          <w:szCs w:val="20"/>
        </w:rPr>
      </w:pPr>
      <w:r w:rsidRPr="003669CB">
        <w:rPr>
          <w:rFonts w:ascii="Barlow" w:hAnsi="Barlow"/>
          <w:b/>
          <w:sz w:val="20"/>
          <w:szCs w:val="20"/>
        </w:rPr>
        <w:t>Activo</w:t>
      </w:r>
    </w:p>
    <w:p w:rsidR="00EB77A1" w:rsidRPr="003669CB" w:rsidRDefault="00EB77A1" w:rsidP="00EB77A1">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Efectivo y Equivalentes</w:t>
      </w:r>
    </w:p>
    <w:p w:rsidR="007E4305" w:rsidRPr="003669CB" w:rsidRDefault="007E4305" w:rsidP="007E4305">
      <w:pPr>
        <w:pStyle w:val="Prrafodelista"/>
        <w:numPr>
          <w:ilvl w:val="0"/>
          <w:numId w:val="20"/>
        </w:numPr>
        <w:jc w:val="both"/>
        <w:rPr>
          <w:rFonts w:ascii="Barlow" w:hAnsi="Barlow" w:cs="Calibri"/>
          <w:sz w:val="20"/>
          <w:szCs w:val="20"/>
        </w:rPr>
      </w:pPr>
      <w:r w:rsidRPr="003669CB">
        <w:rPr>
          <w:rFonts w:ascii="Barlow" w:hAnsi="Barlow" w:cs="Calibri"/>
          <w:sz w:val="20"/>
          <w:szCs w:val="20"/>
        </w:rPr>
        <w:t>El rubro de Efectivo y Equivalentes al 3</w:t>
      </w:r>
      <w:r w:rsidR="00D54AAB" w:rsidRPr="003669CB">
        <w:rPr>
          <w:rFonts w:ascii="Barlow" w:hAnsi="Barlow" w:cs="Calibri"/>
          <w:sz w:val="20"/>
          <w:szCs w:val="20"/>
        </w:rPr>
        <w:t>1</w:t>
      </w:r>
      <w:r w:rsidRPr="003669CB">
        <w:rPr>
          <w:rFonts w:ascii="Barlow" w:hAnsi="Barlow" w:cs="Calibri"/>
          <w:sz w:val="20"/>
          <w:szCs w:val="20"/>
        </w:rPr>
        <w:t xml:space="preserve"> de </w:t>
      </w:r>
      <w:r w:rsidR="003669CB" w:rsidRPr="003669CB">
        <w:rPr>
          <w:rFonts w:ascii="Barlow" w:hAnsi="Barlow" w:cs="Calibri"/>
          <w:sz w:val="20"/>
          <w:szCs w:val="20"/>
        </w:rPr>
        <w:t>marzo</w:t>
      </w:r>
      <w:r w:rsidRPr="003669CB">
        <w:rPr>
          <w:rFonts w:ascii="Barlow" w:hAnsi="Barlow" w:cs="Calibri"/>
          <w:sz w:val="20"/>
          <w:szCs w:val="20"/>
        </w:rPr>
        <w:t xml:space="preserve"> de 202</w:t>
      </w:r>
      <w:r w:rsidR="005F756A" w:rsidRPr="003669CB">
        <w:rPr>
          <w:rFonts w:ascii="Barlow" w:hAnsi="Barlow" w:cs="Calibri"/>
          <w:sz w:val="20"/>
          <w:szCs w:val="20"/>
        </w:rPr>
        <w:t>2</w:t>
      </w:r>
      <w:r w:rsidRPr="003669CB">
        <w:rPr>
          <w:rFonts w:ascii="Barlow" w:hAnsi="Barlow" w:cs="Calibri"/>
          <w:sz w:val="20"/>
          <w:szCs w:val="20"/>
        </w:rPr>
        <w:t xml:space="preserve"> es de $</w:t>
      </w:r>
      <w:r w:rsidR="0088077D" w:rsidRPr="003669CB">
        <w:rPr>
          <w:rFonts w:ascii="Barlow" w:hAnsi="Barlow" w:cs="Calibri"/>
          <w:sz w:val="20"/>
          <w:szCs w:val="20"/>
        </w:rPr>
        <w:t>2</w:t>
      </w:r>
      <w:r w:rsidR="00F008FE" w:rsidRPr="003669CB">
        <w:rPr>
          <w:rFonts w:ascii="Barlow" w:hAnsi="Barlow" w:cs="Calibri"/>
          <w:sz w:val="20"/>
          <w:szCs w:val="20"/>
        </w:rPr>
        <w:t>,</w:t>
      </w:r>
      <w:r w:rsidR="0088077D" w:rsidRPr="003669CB">
        <w:rPr>
          <w:rFonts w:ascii="Barlow" w:hAnsi="Barlow" w:cs="Calibri"/>
          <w:sz w:val="20"/>
          <w:szCs w:val="20"/>
        </w:rPr>
        <w:t>369</w:t>
      </w:r>
      <w:r w:rsidR="00F008FE" w:rsidRPr="003669CB">
        <w:rPr>
          <w:rFonts w:ascii="Barlow" w:hAnsi="Barlow" w:cs="Calibri"/>
          <w:sz w:val="20"/>
          <w:szCs w:val="20"/>
        </w:rPr>
        <w:t>,</w:t>
      </w:r>
      <w:r w:rsidR="0088077D" w:rsidRPr="003669CB">
        <w:rPr>
          <w:rFonts w:ascii="Barlow" w:hAnsi="Barlow" w:cs="Calibri"/>
          <w:sz w:val="20"/>
          <w:szCs w:val="20"/>
        </w:rPr>
        <w:t>2</w:t>
      </w:r>
      <w:r w:rsidR="005F756A" w:rsidRPr="003669CB">
        <w:rPr>
          <w:rFonts w:ascii="Barlow" w:hAnsi="Barlow" w:cs="Calibri"/>
          <w:sz w:val="20"/>
          <w:szCs w:val="20"/>
        </w:rPr>
        <w:t>02</w:t>
      </w:r>
      <w:r w:rsidR="00B727B8" w:rsidRPr="003669CB">
        <w:rPr>
          <w:rFonts w:ascii="Barlow" w:hAnsi="Barlow" w:cs="Calibri"/>
          <w:sz w:val="20"/>
          <w:szCs w:val="20"/>
        </w:rPr>
        <w:t>.</w:t>
      </w:r>
      <w:r w:rsidR="0088077D" w:rsidRPr="003669CB">
        <w:rPr>
          <w:rFonts w:ascii="Barlow" w:hAnsi="Barlow" w:cs="Calibri"/>
          <w:sz w:val="20"/>
          <w:szCs w:val="20"/>
        </w:rPr>
        <w:t>20</w:t>
      </w:r>
      <w:r w:rsidRPr="003669CB">
        <w:rPr>
          <w:rFonts w:ascii="Barlow" w:hAnsi="Barlow" w:cs="Calibri"/>
          <w:sz w:val="20"/>
          <w:szCs w:val="20"/>
        </w:rPr>
        <w:t xml:space="preserve"> y se integra de la siguiente manera: </w:t>
      </w:r>
    </w:p>
    <w:p w:rsidR="00E67495" w:rsidRPr="003669CB" w:rsidRDefault="00C24B59" w:rsidP="00E67495">
      <w:pPr>
        <w:pStyle w:val="Prrafodelista"/>
        <w:jc w:val="both"/>
        <w:rPr>
          <w:rFonts w:ascii="Barlow" w:hAnsi="Barlow" w:cs="Calibri"/>
          <w:sz w:val="20"/>
          <w:szCs w:val="20"/>
        </w:rPr>
      </w:pPr>
      <w:r>
        <w:rPr>
          <w:rFonts w:ascii="Barlow" w:hAnsi="Barlow" w:cs="Calibri"/>
          <w:noProof/>
          <w:sz w:val="20"/>
          <w:szCs w:val="20"/>
          <w:lang w:eastAsia="es-MX"/>
        </w:rPr>
        <w:object w:dxaOrig="1440" w:dyaOrig="1440" w14:anchorId="69E728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35.3pt;margin-top:4.05pt;width:403.05pt;height:57.1pt;z-index:251658240">
            <v:imagedata r:id="rId8" o:title=""/>
          </v:shape>
          <o:OLEObject Type="Embed" ProgID="Excel.Sheet.12" ShapeID="_x0000_s1028" DrawAspect="Content" ObjectID="_1712492821" r:id="rId9"/>
        </w:object>
      </w:r>
    </w:p>
    <w:p w:rsidR="00E67495" w:rsidRPr="003669CB" w:rsidRDefault="00E67495" w:rsidP="00E67495">
      <w:pPr>
        <w:pStyle w:val="Prrafodelista"/>
        <w:jc w:val="both"/>
        <w:rPr>
          <w:rFonts w:ascii="Barlow" w:hAnsi="Barlow" w:cs="Calibri"/>
          <w:sz w:val="20"/>
          <w:szCs w:val="20"/>
        </w:rPr>
      </w:pPr>
    </w:p>
    <w:p w:rsidR="007E4305" w:rsidRPr="003669CB" w:rsidRDefault="007E4305" w:rsidP="007E4305">
      <w:pPr>
        <w:jc w:val="center"/>
        <w:rPr>
          <w:rFonts w:ascii="Barlow" w:hAnsi="Barlow" w:cs="Calibri"/>
          <w:sz w:val="20"/>
          <w:szCs w:val="20"/>
        </w:rPr>
      </w:pPr>
    </w:p>
    <w:p w:rsidR="00035880" w:rsidRPr="003669CB" w:rsidRDefault="00035880" w:rsidP="00D751A5">
      <w:pPr>
        <w:spacing w:after="0" w:line="240" w:lineRule="auto"/>
        <w:ind w:left="720"/>
        <w:jc w:val="both"/>
        <w:rPr>
          <w:rFonts w:ascii="Barlow" w:eastAsia="Times New Roman" w:hAnsi="Barlow" w:cs="Times New Roman"/>
          <w:b/>
          <w:sz w:val="20"/>
          <w:szCs w:val="20"/>
          <w:lang w:eastAsia="es-ES"/>
        </w:rPr>
      </w:pPr>
    </w:p>
    <w:p w:rsidR="00EB77A1" w:rsidRPr="003669CB" w:rsidRDefault="00EB77A1" w:rsidP="00EB77A1">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Derechos a recibir efectivos y equivalentes y Bienes o Servicios</w:t>
      </w:r>
      <w:r w:rsidR="00B46228" w:rsidRPr="003669CB">
        <w:rPr>
          <w:rFonts w:ascii="Barlow" w:eastAsia="Times New Roman" w:hAnsi="Barlow" w:cs="Times New Roman"/>
          <w:b/>
          <w:sz w:val="20"/>
          <w:szCs w:val="20"/>
          <w:lang w:eastAsia="es-ES"/>
        </w:rPr>
        <w:t>:</w:t>
      </w:r>
    </w:p>
    <w:p w:rsidR="007E4305" w:rsidRDefault="007E4305" w:rsidP="007E4305">
      <w:pPr>
        <w:pStyle w:val="Textoindependiente2"/>
        <w:numPr>
          <w:ilvl w:val="0"/>
          <w:numId w:val="20"/>
        </w:numPr>
        <w:spacing w:after="0" w:line="240" w:lineRule="auto"/>
        <w:ind w:left="714" w:hanging="357"/>
        <w:rPr>
          <w:rFonts w:ascii="Barlow" w:hAnsi="Barlow" w:cs="Calibri"/>
          <w:sz w:val="20"/>
          <w:szCs w:val="20"/>
        </w:rPr>
      </w:pPr>
      <w:r w:rsidRPr="003669CB">
        <w:rPr>
          <w:rFonts w:ascii="Barlow" w:hAnsi="Barlow" w:cs="Calibri"/>
          <w:sz w:val="20"/>
          <w:szCs w:val="20"/>
        </w:rPr>
        <w:t>El saldo de esta cuenta al 3</w:t>
      </w:r>
      <w:r w:rsidR="00D54AAB" w:rsidRPr="003669CB">
        <w:rPr>
          <w:rFonts w:ascii="Barlow" w:hAnsi="Barlow" w:cs="Calibri"/>
          <w:sz w:val="20"/>
          <w:szCs w:val="20"/>
        </w:rPr>
        <w:t>1</w:t>
      </w:r>
      <w:r w:rsidRPr="003669CB">
        <w:rPr>
          <w:rFonts w:ascii="Barlow" w:hAnsi="Barlow" w:cs="Calibri"/>
          <w:sz w:val="20"/>
          <w:szCs w:val="20"/>
        </w:rPr>
        <w:t xml:space="preserve"> de </w:t>
      </w:r>
      <w:r w:rsidR="003669CB" w:rsidRPr="003669CB">
        <w:rPr>
          <w:rFonts w:ascii="Barlow" w:hAnsi="Barlow" w:cs="Calibri"/>
          <w:sz w:val="20"/>
          <w:szCs w:val="20"/>
        </w:rPr>
        <w:t>marzo</w:t>
      </w:r>
      <w:r w:rsidRPr="003669CB">
        <w:rPr>
          <w:rFonts w:ascii="Barlow" w:hAnsi="Barlow" w:cs="Calibri"/>
          <w:sz w:val="20"/>
          <w:szCs w:val="20"/>
        </w:rPr>
        <w:t xml:space="preserve"> de 202</w:t>
      </w:r>
      <w:r w:rsidR="005F756A" w:rsidRPr="003669CB">
        <w:rPr>
          <w:rFonts w:ascii="Barlow" w:hAnsi="Barlow" w:cs="Calibri"/>
          <w:sz w:val="20"/>
          <w:szCs w:val="20"/>
        </w:rPr>
        <w:t>2</w:t>
      </w:r>
      <w:r w:rsidRPr="003669CB">
        <w:rPr>
          <w:rFonts w:ascii="Barlow" w:hAnsi="Barlow" w:cs="Calibri"/>
          <w:sz w:val="20"/>
          <w:szCs w:val="20"/>
        </w:rPr>
        <w:t xml:space="preserve"> es de $ </w:t>
      </w:r>
      <w:r w:rsidR="00304C9D" w:rsidRPr="003669CB">
        <w:rPr>
          <w:rFonts w:ascii="Barlow" w:hAnsi="Barlow" w:cs="Calibri"/>
          <w:sz w:val="20"/>
          <w:szCs w:val="20"/>
        </w:rPr>
        <w:t>1</w:t>
      </w:r>
      <w:r w:rsidR="0088077D" w:rsidRPr="003669CB">
        <w:rPr>
          <w:rFonts w:ascii="Barlow" w:hAnsi="Barlow" w:cs="Calibri"/>
          <w:sz w:val="20"/>
          <w:szCs w:val="20"/>
        </w:rPr>
        <w:t>02</w:t>
      </w:r>
      <w:r w:rsidR="00F008FE" w:rsidRPr="003669CB">
        <w:rPr>
          <w:rFonts w:ascii="Barlow" w:hAnsi="Barlow" w:cs="Calibri"/>
          <w:sz w:val="20"/>
          <w:szCs w:val="20"/>
        </w:rPr>
        <w:t>,</w:t>
      </w:r>
      <w:r w:rsidR="0088077D" w:rsidRPr="003669CB">
        <w:rPr>
          <w:rFonts w:ascii="Barlow" w:hAnsi="Barlow" w:cs="Calibri"/>
          <w:sz w:val="20"/>
          <w:szCs w:val="20"/>
        </w:rPr>
        <w:t>772</w:t>
      </w:r>
      <w:r w:rsidR="00F008FE" w:rsidRPr="003669CB">
        <w:rPr>
          <w:rFonts w:ascii="Barlow" w:hAnsi="Barlow" w:cs="Calibri"/>
          <w:sz w:val="20"/>
          <w:szCs w:val="20"/>
        </w:rPr>
        <w:t>.</w:t>
      </w:r>
      <w:r w:rsidR="0088077D" w:rsidRPr="003669CB">
        <w:rPr>
          <w:rFonts w:ascii="Barlow" w:hAnsi="Barlow" w:cs="Calibri"/>
          <w:sz w:val="20"/>
          <w:szCs w:val="20"/>
        </w:rPr>
        <w:t>40</w:t>
      </w:r>
      <w:r w:rsidRPr="003669CB">
        <w:rPr>
          <w:rFonts w:ascii="Barlow" w:hAnsi="Barlow" w:cs="Calibri"/>
          <w:sz w:val="20"/>
          <w:szCs w:val="20"/>
        </w:rPr>
        <w:t xml:space="preserve"> (son: </w:t>
      </w:r>
      <w:r w:rsidR="00304C9D" w:rsidRPr="003669CB">
        <w:rPr>
          <w:rFonts w:ascii="Barlow" w:hAnsi="Barlow" w:cs="Calibri"/>
          <w:sz w:val="20"/>
          <w:szCs w:val="20"/>
        </w:rPr>
        <w:t xml:space="preserve">ciento </w:t>
      </w:r>
      <w:r w:rsidR="0088077D" w:rsidRPr="003669CB">
        <w:rPr>
          <w:rFonts w:ascii="Barlow" w:hAnsi="Barlow" w:cs="Calibri"/>
          <w:sz w:val="20"/>
          <w:szCs w:val="20"/>
        </w:rPr>
        <w:t>dos</w:t>
      </w:r>
      <w:r w:rsidR="002C2348" w:rsidRPr="003669CB">
        <w:rPr>
          <w:rFonts w:ascii="Barlow" w:hAnsi="Barlow" w:cs="Calibri"/>
          <w:sz w:val="20"/>
          <w:szCs w:val="20"/>
        </w:rPr>
        <w:t xml:space="preserve"> </w:t>
      </w:r>
      <w:r w:rsidRPr="003669CB">
        <w:rPr>
          <w:rFonts w:ascii="Barlow" w:hAnsi="Barlow" w:cs="Calibri"/>
          <w:sz w:val="20"/>
          <w:szCs w:val="20"/>
        </w:rPr>
        <w:t xml:space="preserve">mil </w:t>
      </w:r>
      <w:r w:rsidR="0088077D" w:rsidRPr="003669CB">
        <w:rPr>
          <w:rFonts w:ascii="Barlow" w:hAnsi="Barlow" w:cs="Calibri"/>
          <w:sz w:val="20"/>
          <w:szCs w:val="20"/>
        </w:rPr>
        <w:t>setecientos setenta y dos</w:t>
      </w:r>
      <w:r w:rsidR="00304C9D" w:rsidRPr="003669CB">
        <w:rPr>
          <w:rFonts w:ascii="Barlow" w:hAnsi="Barlow" w:cs="Calibri"/>
          <w:sz w:val="20"/>
          <w:szCs w:val="20"/>
        </w:rPr>
        <w:t xml:space="preserve"> </w:t>
      </w:r>
      <w:r w:rsidRPr="003669CB">
        <w:rPr>
          <w:rFonts w:ascii="Barlow" w:hAnsi="Barlow" w:cs="Calibri"/>
          <w:sz w:val="20"/>
          <w:szCs w:val="20"/>
        </w:rPr>
        <w:t>pesos</w:t>
      </w:r>
      <w:r w:rsidR="0088077D" w:rsidRPr="003669CB">
        <w:rPr>
          <w:rFonts w:ascii="Barlow" w:hAnsi="Barlow" w:cs="Calibri"/>
          <w:sz w:val="20"/>
          <w:szCs w:val="20"/>
        </w:rPr>
        <w:t xml:space="preserve"> 40</w:t>
      </w:r>
      <w:r w:rsidRPr="003669CB">
        <w:rPr>
          <w:rFonts w:ascii="Barlow" w:hAnsi="Barlow" w:cs="Calibri"/>
          <w:sz w:val="20"/>
          <w:szCs w:val="20"/>
        </w:rPr>
        <w:t xml:space="preserve">/100 m.n.) correspondiente a cuentas por cobrar a corto plazo y deudores diversos. </w:t>
      </w:r>
    </w:p>
    <w:p w:rsidR="003669CB" w:rsidRPr="003669CB" w:rsidRDefault="003669CB" w:rsidP="003669CB">
      <w:pPr>
        <w:pStyle w:val="Textoindependiente2"/>
        <w:spacing w:after="0" w:line="240" w:lineRule="auto"/>
        <w:ind w:left="714"/>
        <w:rPr>
          <w:rFonts w:ascii="Barlow" w:hAnsi="Barlow" w:cs="Calibri"/>
          <w:sz w:val="20"/>
          <w:szCs w:val="20"/>
        </w:rPr>
      </w:pPr>
    </w:p>
    <w:bookmarkStart w:id="1" w:name="_MON_1687004302"/>
    <w:bookmarkEnd w:id="1"/>
    <w:p w:rsidR="007E4305" w:rsidRPr="003669CB" w:rsidRDefault="0088077D" w:rsidP="007E4305">
      <w:pPr>
        <w:pStyle w:val="Textoindependiente2"/>
        <w:jc w:val="center"/>
        <w:rPr>
          <w:rFonts w:ascii="Barlow" w:hAnsi="Barlow" w:cs="Calibri"/>
          <w:sz w:val="20"/>
          <w:szCs w:val="20"/>
        </w:rPr>
      </w:pPr>
      <w:r w:rsidRPr="003669CB">
        <w:rPr>
          <w:rFonts w:ascii="Barlow" w:hAnsi="Barlow" w:cs="Calibri"/>
          <w:sz w:val="20"/>
          <w:szCs w:val="20"/>
        </w:rPr>
        <w:object w:dxaOrig="8393" w:dyaOrig="1180">
          <v:shape id="_x0000_i1026" type="#_x0000_t75" style="width:420pt;height:60pt" o:ole="">
            <v:imagedata r:id="rId10" o:title=""/>
          </v:shape>
          <o:OLEObject Type="Embed" ProgID="Excel.Sheet.12" ShapeID="_x0000_i1026" DrawAspect="Content" ObjectID="_1712492819" r:id="rId11"/>
        </w:object>
      </w:r>
    </w:p>
    <w:p w:rsidR="0028463B" w:rsidRPr="003669CB" w:rsidRDefault="0028463B" w:rsidP="0028463B">
      <w:pPr>
        <w:spacing w:after="0" w:line="240" w:lineRule="auto"/>
        <w:ind w:left="720"/>
        <w:jc w:val="both"/>
        <w:rPr>
          <w:rFonts w:ascii="Barlow" w:eastAsia="Times New Roman" w:hAnsi="Barlow" w:cs="Times New Roman"/>
          <w:sz w:val="20"/>
          <w:szCs w:val="20"/>
          <w:lang w:eastAsia="es-ES"/>
        </w:rPr>
      </w:pPr>
    </w:p>
    <w:p w:rsidR="008A7622" w:rsidRPr="003669CB" w:rsidRDefault="004613EB" w:rsidP="00845A7C">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 xml:space="preserve">Bienes Disponibles para su Transformación o consumo (inventarios) </w:t>
      </w:r>
    </w:p>
    <w:p w:rsidR="004613EB" w:rsidRPr="003669CB" w:rsidRDefault="004613EB"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Éste Instituto NO realiza algún proceso de transformación y/o elaboración de bienes.</w:t>
      </w:r>
    </w:p>
    <w:p w:rsidR="004613EB" w:rsidRPr="003669CB" w:rsidRDefault="004613EB" w:rsidP="004613EB">
      <w:pPr>
        <w:spacing w:after="0" w:line="240" w:lineRule="auto"/>
        <w:jc w:val="both"/>
        <w:rPr>
          <w:rFonts w:ascii="Barlow" w:eastAsia="Times New Roman" w:hAnsi="Barlow" w:cs="Times New Roman"/>
          <w:sz w:val="20"/>
          <w:szCs w:val="20"/>
          <w:lang w:eastAsia="es-ES"/>
        </w:rPr>
      </w:pPr>
    </w:p>
    <w:p w:rsidR="004613EB" w:rsidRPr="003669CB" w:rsidRDefault="00BF19D1" w:rsidP="004613EB">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Inversiones Financieras</w:t>
      </w:r>
    </w:p>
    <w:p w:rsidR="00BF19D1" w:rsidRPr="003669CB" w:rsidRDefault="008D129C"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Éste Instituto NO</w:t>
      </w:r>
      <w:r w:rsidR="00BF19D1" w:rsidRPr="003669CB">
        <w:rPr>
          <w:rFonts w:ascii="Barlow" w:eastAsia="Times New Roman" w:hAnsi="Barlow" w:cs="Times New Roman"/>
          <w:sz w:val="20"/>
          <w:szCs w:val="20"/>
          <w:lang w:eastAsia="es-ES"/>
        </w:rPr>
        <w:t xml:space="preserve"> maneja el concepto de fideicomisos.</w:t>
      </w:r>
    </w:p>
    <w:p w:rsidR="00304C9D" w:rsidRPr="003669CB" w:rsidRDefault="00304C9D" w:rsidP="00304C9D">
      <w:pPr>
        <w:spacing w:after="0" w:line="240" w:lineRule="auto"/>
        <w:jc w:val="both"/>
        <w:rPr>
          <w:rFonts w:ascii="Barlow" w:eastAsia="Times New Roman" w:hAnsi="Barlow" w:cs="Times New Roman"/>
          <w:sz w:val="20"/>
          <w:szCs w:val="20"/>
          <w:lang w:eastAsia="es-ES"/>
        </w:rPr>
      </w:pPr>
    </w:p>
    <w:p w:rsidR="00304C9D" w:rsidRPr="003669CB" w:rsidRDefault="00304C9D" w:rsidP="00304C9D">
      <w:pPr>
        <w:spacing w:after="0" w:line="240" w:lineRule="auto"/>
        <w:jc w:val="both"/>
        <w:rPr>
          <w:rFonts w:ascii="Barlow" w:eastAsia="Times New Roman" w:hAnsi="Barlow" w:cs="Times New Roman"/>
          <w:sz w:val="20"/>
          <w:szCs w:val="20"/>
          <w:lang w:eastAsia="es-ES"/>
        </w:rPr>
      </w:pPr>
    </w:p>
    <w:p w:rsidR="00BF19D1" w:rsidRPr="003669CB" w:rsidRDefault="00BF19D1" w:rsidP="00BF19D1">
      <w:pPr>
        <w:spacing w:after="0" w:line="240" w:lineRule="auto"/>
        <w:jc w:val="both"/>
        <w:rPr>
          <w:rFonts w:ascii="Barlow" w:eastAsia="Times New Roman" w:hAnsi="Barlow" w:cs="Times New Roman"/>
          <w:sz w:val="20"/>
          <w:szCs w:val="20"/>
          <w:lang w:eastAsia="es-ES"/>
        </w:rPr>
      </w:pPr>
    </w:p>
    <w:p w:rsidR="00BF19D1" w:rsidRPr="003669CB" w:rsidRDefault="00BF19D1" w:rsidP="00BF19D1">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Bienes Muebles, Inmuebles e Intangibles.</w:t>
      </w:r>
    </w:p>
    <w:p w:rsidR="003A7C8A" w:rsidRPr="003669CB" w:rsidRDefault="003A7C8A" w:rsidP="003A7C8A">
      <w:pPr>
        <w:pStyle w:val="Prrafodelista"/>
        <w:numPr>
          <w:ilvl w:val="0"/>
          <w:numId w:val="20"/>
        </w:numPr>
        <w:jc w:val="both"/>
        <w:rPr>
          <w:rFonts w:ascii="Barlow" w:hAnsi="Barlow" w:cs="Calibri"/>
          <w:sz w:val="20"/>
          <w:szCs w:val="20"/>
        </w:rPr>
      </w:pPr>
      <w:r w:rsidRPr="003669CB">
        <w:rPr>
          <w:rFonts w:ascii="Barlow" w:hAnsi="Barlow" w:cs="Calibri"/>
          <w:sz w:val="20"/>
          <w:szCs w:val="20"/>
        </w:rPr>
        <w:t>El saldo del rubro Bienes muebles e inmuebles que figura en el Estado de situación financiera al 3</w:t>
      </w:r>
      <w:r w:rsidR="00304C9D" w:rsidRPr="003669CB">
        <w:rPr>
          <w:rFonts w:ascii="Barlow" w:hAnsi="Barlow" w:cs="Calibri"/>
          <w:sz w:val="20"/>
          <w:szCs w:val="20"/>
        </w:rPr>
        <w:t>1</w:t>
      </w:r>
      <w:r w:rsidR="00BD3CA8" w:rsidRPr="003669CB">
        <w:rPr>
          <w:rFonts w:ascii="Barlow" w:hAnsi="Barlow" w:cs="Calibri"/>
          <w:sz w:val="20"/>
          <w:szCs w:val="20"/>
        </w:rPr>
        <w:t xml:space="preserve"> </w:t>
      </w:r>
      <w:r w:rsidR="00C97D17" w:rsidRPr="003669CB">
        <w:rPr>
          <w:rFonts w:ascii="Barlow" w:hAnsi="Barlow" w:cs="Calibri"/>
          <w:sz w:val="20"/>
          <w:szCs w:val="20"/>
        </w:rPr>
        <w:t xml:space="preserve">de </w:t>
      </w:r>
      <w:r w:rsidR="003669CB" w:rsidRPr="003669CB">
        <w:rPr>
          <w:rFonts w:ascii="Barlow" w:hAnsi="Barlow" w:cs="Calibri"/>
          <w:sz w:val="20"/>
          <w:szCs w:val="20"/>
        </w:rPr>
        <w:t>marzo</w:t>
      </w:r>
      <w:r w:rsidRPr="003669CB">
        <w:rPr>
          <w:rFonts w:ascii="Barlow" w:hAnsi="Barlow" w:cs="Calibri"/>
          <w:sz w:val="20"/>
          <w:szCs w:val="20"/>
        </w:rPr>
        <w:t xml:space="preserve"> de 202</w:t>
      </w:r>
      <w:r w:rsidR="005F756A" w:rsidRPr="003669CB">
        <w:rPr>
          <w:rFonts w:ascii="Barlow" w:hAnsi="Barlow" w:cs="Calibri"/>
          <w:sz w:val="20"/>
          <w:szCs w:val="20"/>
        </w:rPr>
        <w:t>2</w:t>
      </w:r>
      <w:r w:rsidRPr="003669CB">
        <w:rPr>
          <w:rFonts w:ascii="Barlow" w:hAnsi="Barlow" w:cs="Calibri"/>
          <w:sz w:val="20"/>
          <w:szCs w:val="20"/>
        </w:rPr>
        <w:t>, se integra como sigue:</w:t>
      </w:r>
    </w:p>
    <w:p w:rsidR="000D3479" w:rsidRPr="003669CB" w:rsidRDefault="000D3479" w:rsidP="000D3479">
      <w:pPr>
        <w:pStyle w:val="Prrafodelista"/>
        <w:jc w:val="both"/>
        <w:rPr>
          <w:rFonts w:ascii="Barlow" w:hAnsi="Barlow" w:cs="Calibri"/>
          <w:b/>
          <w:bCs/>
          <w:color w:val="000000"/>
          <w:sz w:val="20"/>
          <w:szCs w:val="20"/>
        </w:rPr>
      </w:pPr>
      <w:r w:rsidRPr="003669CB">
        <w:rPr>
          <w:rFonts w:ascii="Barlow" w:hAnsi="Barlow" w:cs="Calibri"/>
          <w:b/>
          <w:bCs/>
          <w:color w:val="000000"/>
          <w:sz w:val="20"/>
          <w:szCs w:val="20"/>
        </w:rPr>
        <w:t>Bienes Inmuebles, Infraestructura y Construcciones en Proceso</w:t>
      </w:r>
    </w:p>
    <w:tbl>
      <w:tblPr>
        <w:tblW w:w="6540" w:type="dxa"/>
        <w:jc w:val="center"/>
        <w:tblCellMar>
          <w:left w:w="70" w:type="dxa"/>
          <w:right w:w="70" w:type="dxa"/>
        </w:tblCellMar>
        <w:tblLook w:val="04A0" w:firstRow="1" w:lastRow="0" w:firstColumn="1" w:lastColumn="0" w:noHBand="0" w:noVBand="1"/>
      </w:tblPr>
      <w:tblGrid>
        <w:gridCol w:w="3280"/>
        <w:gridCol w:w="1709"/>
        <w:gridCol w:w="1551"/>
      </w:tblGrid>
      <w:tr w:rsidR="000D3479" w:rsidRPr="003669CB" w:rsidTr="007656F3">
        <w:trPr>
          <w:trHeight w:val="255"/>
          <w:jc w:val="center"/>
        </w:trPr>
        <w:tc>
          <w:tcPr>
            <w:tcW w:w="3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D3479" w:rsidRPr="003669CB" w:rsidRDefault="000D3479" w:rsidP="000D3479">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Concepto</w:t>
            </w:r>
          </w:p>
        </w:tc>
        <w:tc>
          <w:tcPr>
            <w:tcW w:w="1709" w:type="dxa"/>
            <w:tcBorders>
              <w:top w:val="single" w:sz="4" w:space="0" w:color="auto"/>
              <w:left w:val="nil"/>
              <w:bottom w:val="single" w:sz="4" w:space="0" w:color="auto"/>
              <w:right w:val="single" w:sz="4" w:space="0" w:color="auto"/>
            </w:tcBorders>
            <w:shd w:val="clear" w:color="auto" w:fill="auto"/>
            <w:noWrap/>
            <w:vAlign w:val="bottom"/>
            <w:hideMark/>
          </w:tcPr>
          <w:p w:rsidR="000D3479" w:rsidRPr="003669CB" w:rsidRDefault="000D3479" w:rsidP="005F756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202</w:t>
            </w:r>
            <w:r w:rsidR="005F756A" w:rsidRPr="003669CB">
              <w:rPr>
                <w:rFonts w:ascii="Barlow" w:eastAsia="Times New Roman" w:hAnsi="Barlow" w:cs="Arial"/>
                <w:b/>
                <w:bCs/>
                <w:color w:val="000000"/>
                <w:sz w:val="20"/>
                <w:szCs w:val="20"/>
                <w:lang w:eastAsia="es-MX"/>
              </w:rPr>
              <w:t>2</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0D3479" w:rsidRPr="003669CB" w:rsidRDefault="000D3479" w:rsidP="005F756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202</w:t>
            </w:r>
            <w:r w:rsidR="005F756A" w:rsidRPr="003669CB">
              <w:rPr>
                <w:rFonts w:ascii="Barlow" w:eastAsia="Times New Roman" w:hAnsi="Barlow" w:cs="Arial"/>
                <w:b/>
                <w:bCs/>
                <w:color w:val="000000"/>
                <w:sz w:val="20"/>
                <w:szCs w:val="20"/>
                <w:lang w:eastAsia="es-MX"/>
              </w:rPr>
              <w:t>1</w:t>
            </w:r>
          </w:p>
        </w:tc>
      </w:tr>
      <w:tr w:rsidR="000D3479" w:rsidRPr="003669CB" w:rsidTr="007656F3">
        <w:trPr>
          <w:trHeight w:val="255"/>
          <w:jc w:val="center"/>
        </w:trPr>
        <w:tc>
          <w:tcPr>
            <w:tcW w:w="3280" w:type="dxa"/>
            <w:tcBorders>
              <w:top w:val="nil"/>
              <w:left w:val="single" w:sz="4" w:space="0" w:color="auto"/>
              <w:bottom w:val="single" w:sz="4" w:space="0" w:color="auto"/>
              <w:right w:val="single" w:sz="4" w:space="0" w:color="auto"/>
            </w:tcBorders>
            <w:shd w:val="clear" w:color="auto" w:fill="auto"/>
            <w:noWrap/>
            <w:vAlign w:val="bottom"/>
            <w:hideMark/>
          </w:tcPr>
          <w:p w:rsidR="000D3479" w:rsidRPr="003669CB" w:rsidRDefault="000D3479" w:rsidP="000D3479">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Edificios no Habitacionales</w:t>
            </w:r>
          </w:p>
        </w:tc>
        <w:tc>
          <w:tcPr>
            <w:tcW w:w="1709" w:type="dxa"/>
            <w:tcBorders>
              <w:top w:val="nil"/>
              <w:left w:val="nil"/>
              <w:bottom w:val="single" w:sz="4" w:space="0" w:color="auto"/>
              <w:right w:val="single" w:sz="4" w:space="0" w:color="auto"/>
            </w:tcBorders>
            <w:shd w:val="clear" w:color="auto" w:fill="auto"/>
            <w:noWrap/>
            <w:vAlign w:val="bottom"/>
            <w:hideMark/>
          </w:tcPr>
          <w:p w:rsidR="000D3479" w:rsidRPr="003669CB" w:rsidRDefault="00995D9C" w:rsidP="000D3479">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$78,211,724.15</w:t>
            </w:r>
          </w:p>
        </w:tc>
        <w:tc>
          <w:tcPr>
            <w:tcW w:w="1551" w:type="dxa"/>
            <w:tcBorders>
              <w:top w:val="nil"/>
              <w:left w:val="nil"/>
              <w:bottom w:val="single" w:sz="4" w:space="0" w:color="auto"/>
              <w:right w:val="single" w:sz="4" w:space="0" w:color="auto"/>
            </w:tcBorders>
            <w:shd w:val="clear" w:color="auto" w:fill="auto"/>
            <w:noWrap/>
            <w:vAlign w:val="bottom"/>
            <w:hideMark/>
          </w:tcPr>
          <w:p w:rsidR="000D3479" w:rsidRPr="003669CB" w:rsidRDefault="005F756A" w:rsidP="005F756A">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$ 7</w:t>
            </w:r>
            <w:r w:rsidR="000D3479" w:rsidRPr="003669CB">
              <w:rPr>
                <w:rFonts w:ascii="Barlow" w:eastAsia="Times New Roman" w:hAnsi="Barlow" w:cs="Arial"/>
                <w:color w:val="000000"/>
                <w:sz w:val="20"/>
                <w:szCs w:val="20"/>
                <w:lang w:eastAsia="es-MX"/>
              </w:rPr>
              <w:t>8,</w:t>
            </w:r>
            <w:r w:rsidRPr="003669CB">
              <w:rPr>
                <w:rFonts w:ascii="Barlow" w:eastAsia="Times New Roman" w:hAnsi="Barlow" w:cs="Arial"/>
                <w:color w:val="000000"/>
                <w:sz w:val="20"/>
                <w:szCs w:val="20"/>
                <w:lang w:eastAsia="es-MX"/>
              </w:rPr>
              <w:t>211</w:t>
            </w:r>
            <w:r w:rsidR="000D3479" w:rsidRPr="003669CB">
              <w:rPr>
                <w:rFonts w:ascii="Barlow" w:eastAsia="Times New Roman" w:hAnsi="Barlow" w:cs="Arial"/>
                <w:color w:val="000000"/>
                <w:sz w:val="20"/>
                <w:szCs w:val="20"/>
                <w:lang w:eastAsia="es-MX"/>
              </w:rPr>
              <w:t>,</w:t>
            </w:r>
            <w:r w:rsidRPr="003669CB">
              <w:rPr>
                <w:rFonts w:ascii="Barlow" w:eastAsia="Times New Roman" w:hAnsi="Barlow" w:cs="Arial"/>
                <w:color w:val="000000"/>
                <w:sz w:val="20"/>
                <w:szCs w:val="20"/>
                <w:lang w:eastAsia="es-MX"/>
              </w:rPr>
              <w:t>72</w:t>
            </w:r>
            <w:r w:rsidR="000D3479" w:rsidRPr="003669CB">
              <w:rPr>
                <w:rFonts w:ascii="Barlow" w:eastAsia="Times New Roman" w:hAnsi="Barlow" w:cs="Arial"/>
                <w:color w:val="000000"/>
                <w:sz w:val="20"/>
                <w:szCs w:val="20"/>
                <w:lang w:eastAsia="es-MX"/>
              </w:rPr>
              <w:t>4.1</w:t>
            </w:r>
            <w:r w:rsidRPr="003669CB">
              <w:rPr>
                <w:rFonts w:ascii="Barlow" w:eastAsia="Times New Roman" w:hAnsi="Barlow" w:cs="Arial"/>
                <w:color w:val="000000"/>
                <w:sz w:val="20"/>
                <w:szCs w:val="20"/>
                <w:lang w:eastAsia="es-MX"/>
              </w:rPr>
              <w:t>5</w:t>
            </w:r>
          </w:p>
        </w:tc>
      </w:tr>
      <w:tr w:rsidR="000D3479" w:rsidRPr="003669CB" w:rsidTr="007656F3">
        <w:trPr>
          <w:trHeight w:val="720"/>
          <w:jc w:val="center"/>
        </w:trPr>
        <w:tc>
          <w:tcPr>
            <w:tcW w:w="3280" w:type="dxa"/>
            <w:tcBorders>
              <w:top w:val="nil"/>
              <w:left w:val="single" w:sz="4" w:space="0" w:color="auto"/>
              <w:bottom w:val="single" w:sz="4" w:space="0" w:color="auto"/>
              <w:right w:val="single" w:sz="4" w:space="0" w:color="auto"/>
            </w:tcBorders>
            <w:shd w:val="clear" w:color="auto" w:fill="auto"/>
            <w:vAlign w:val="bottom"/>
            <w:hideMark/>
          </w:tcPr>
          <w:p w:rsidR="000D3479" w:rsidRPr="003669CB" w:rsidRDefault="000D3479" w:rsidP="000D3479">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Subtotal Bienes Inmuebles, Infraestructura y Construcciones en Proceso</w:t>
            </w:r>
          </w:p>
        </w:tc>
        <w:tc>
          <w:tcPr>
            <w:tcW w:w="1709" w:type="dxa"/>
            <w:tcBorders>
              <w:top w:val="nil"/>
              <w:left w:val="nil"/>
              <w:bottom w:val="single" w:sz="4" w:space="0" w:color="auto"/>
              <w:right w:val="single" w:sz="4" w:space="0" w:color="auto"/>
            </w:tcBorders>
            <w:shd w:val="clear" w:color="auto" w:fill="auto"/>
            <w:noWrap/>
            <w:vAlign w:val="bottom"/>
            <w:hideMark/>
          </w:tcPr>
          <w:p w:rsidR="000D3479" w:rsidRPr="003669CB" w:rsidRDefault="000D3479" w:rsidP="00995D9C">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 </w:t>
            </w:r>
            <w:r w:rsidR="00995D9C" w:rsidRPr="003669CB">
              <w:rPr>
                <w:rFonts w:ascii="Barlow" w:eastAsia="Times New Roman" w:hAnsi="Barlow" w:cs="Arial"/>
                <w:b/>
                <w:bCs/>
                <w:color w:val="000000"/>
                <w:sz w:val="20"/>
                <w:szCs w:val="20"/>
                <w:lang w:eastAsia="es-MX"/>
              </w:rPr>
              <w:t>7</w:t>
            </w:r>
            <w:r w:rsidRPr="003669CB">
              <w:rPr>
                <w:rFonts w:ascii="Barlow" w:eastAsia="Times New Roman" w:hAnsi="Barlow" w:cs="Arial"/>
                <w:b/>
                <w:bCs/>
                <w:color w:val="000000"/>
                <w:sz w:val="20"/>
                <w:szCs w:val="20"/>
                <w:lang w:eastAsia="es-MX"/>
              </w:rPr>
              <w:t>8,</w:t>
            </w:r>
            <w:r w:rsidR="00995D9C" w:rsidRPr="003669CB">
              <w:rPr>
                <w:rFonts w:ascii="Barlow" w:eastAsia="Times New Roman" w:hAnsi="Barlow" w:cs="Arial"/>
                <w:b/>
                <w:bCs/>
                <w:color w:val="000000"/>
                <w:sz w:val="20"/>
                <w:szCs w:val="20"/>
                <w:lang w:eastAsia="es-MX"/>
              </w:rPr>
              <w:t>211</w:t>
            </w:r>
            <w:r w:rsidRPr="003669CB">
              <w:rPr>
                <w:rFonts w:ascii="Barlow" w:eastAsia="Times New Roman" w:hAnsi="Barlow" w:cs="Arial"/>
                <w:b/>
                <w:bCs/>
                <w:color w:val="000000"/>
                <w:sz w:val="20"/>
                <w:szCs w:val="20"/>
                <w:lang w:eastAsia="es-MX"/>
              </w:rPr>
              <w:t>,</w:t>
            </w:r>
            <w:r w:rsidR="00995D9C" w:rsidRPr="003669CB">
              <w:rPr>
                <w:rFonts w:ascii="Barlow" w:eastAsia="Times New Roman" w:hAnsi="Barlow" w:cs="Arial"/>
                <w:b/>
                <w:bCs/>
                <w:color w:val="000000"/>
                <w:sz w:val="20"/>
                <w:szCs w:val="20"/>
                <w:lang w:eastAsia="es-MX"/>
              </w:rPr>
              <w:t>72</w:t>
            </w:r>
            <w:r w:rsidRPr="003669CB">
              <w:rPr>
                <w:rFonts w:ascii="Barlow" w:eastAsia="Times New Roman" w:hAnsi="Barlow" w:cs="Arial"/>
                <w:b/>
                <w:bCs/>
                <w:color w:val="000000"/>
                <w:sz w:val="20"/>
                <w:szCs w:val="20"/>
                <w:lang w:eastAsia="es-MX"/>
              </w:rPr>
              <w:t>4.1</w:t>
            </w:r>
            <w:r w:rsidR="00995D9C" w:rsidRPr="003669CB">
              <w:rPr>
                <w:rFonts w:ascii="Barlow" w:eastAsia="Times New Roman" w:hAnsi="Barlow" w:cs="Arial"/>
                <w:b/>
                <w:bCs/>
                <w:color w:val="000000"/>
                <w:sz w:val="20"/>
                <w:szCs w:val="20"/>
                <w:lang w:eastAsia="es-MX"/>
              </w:rPr>
              <w:t>5</w:t>
            </w:r>
          </w:p>
        </w:tc>
        <w:tc>
          <w:tcPr>
            <w:tcW w:w="1551" w:type="dxa"/>
            <w:tcBorders>
              <w:top w:val="nil"/>
              <w:left w:val="nil"/>
              <w:bottom w:val="single" w:sz="4" w:space="0" w:color="auto"/>
              <w:right w:val="single" w:sz="4" w:space="0" w:color="auto"/>
            </w:tcBorders>
            <w:shd w:val="clear" w:color="auto" w:fill="auto"/>
            <w:noWrap/>
            <w:vAlign w:val="bottom"/>
            <w:hideMark/>
          </w:tcPr>
          <w:p w:rsidR="000D3479" w:rsidRPr="003669CB" w:rsidRDefault="000D3479" w:rsidP="005F756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 </w:t>
            </w:r>
            <w:r w:rsidR="005F756A" w:rsidRPr="003669CB">
              <w:rPr>
                <w:rFonts w:ascii="Barlow" w:eastAsia="Times New Roman" w:hAnsi="Barlow" w:cs="Arial"/>
                <w:b/>
                <w:bCs/>
                <w:color w:val="000000"/>
                <w:sz w:val="20"/>
                <w:szCs w:val="20"/>
                <w:lang w:eastAsia="es-MX"/>
              </w:rPr>
              <w:t>7</w:t>
            </w:r>
            <w:r w:rsidRPr="003669CB">
              <w:rPr>
                <w:rFonts w:ascii="Barlow" w:eastAsia="Times New Roman" w:hAnsi="Barlow" w:cs="Arial"/>
                <w:b/>
                <w:bCs/>
                <w:color w:val="000000"/>
                <w:sz w:val="20"/>
                <w:szCs w:val="20"/>
                <w:lang w:eastAsia="es-MX"/>
              </w:rPr>
              <w:t>8,</w:t>
            </w:r>
            <w:r w:rsidR="005F756A" w:rsidRPr="003669CB">
              <w:rPr>
                <w:rFonts w:ascii="Barlow" w:eastAsia="Times New Roman" w:hAnsi="Barlow" w:cs="Arial"/>
                <w:b/>
                <w:bCs/>
                <w:color w:val="000000"/>
                <w:sz w:val="20"/>
                <w:szCs w:val="20"/>
                <w:lang w:eastAsia="es-MX"/>
              </w:rPr>
              <w:t>211</w:t>
            </w:r>
            <w:r w:rsidRPr="003669CB">
              <w:rPr>
                <w:rFonts w:ascii="Barlow" w:eastAsia="Times New Roman" w:hAnsi="Barlow" w:cs="Arial"/>
                <w:b/>
                <w:bCs/>
                <w:color w:val="000000"/>
                <w:sz w:val="20"/>
                <w:szCs w:val="20"/>
                <w:lang w:eastAsia="es-MX"/>
              </w:rPr>
              <w:t>,</w:t>
            </w:r>
            <w:r w:rsidR="005F756A" w:rsidRPr="003669CB">
              <w:rPr>
                <w:rFonts w:ascii="Barlow" w:eastAsia="Times New Roman" w:hAnsi="Barlow" w:cs="Arial"/>
                <w:b/>
                <w:bCs/>
                <w:color w:val="000000"/>
                <w:sz w:val="20"/>
                <w:szCs w:val="20"/>
                <w:lang w:eastAsia="es-MX"/>
              </w:rPr>
              <w:t>72</w:t>
            </w:r>
            <w:r w:rsidRPr="003669CB">
              <w:rPr>
                <w:rFonts w:ascii="Barlow" w:eastAsia="Times New Roman" w:hAnsi="Barlow" w:cs="Arial"/>
                <w:b/>
                <w:bCs/>
                <w:color w:val="000000"/>
                <w:sz w:val="20"/>
                <w:szCs w:val="20"/>
                <w:lang w:eastAsia="es-MX"/>
              </w:rPr>
              <w:t>4.1</w:t>
            </w:r>
            <w:r w:rsidR="005F756A" w:rsidRPr="003669CB">
              <w:rPr>
                <w:rFonts w:ascii="Barlow" w:eastAsia="Times New Roman" w:hAnsi="Barlow" w:cs="Arial"/>
                <w:b/>
                <w:bCs/>
                <w:color w:val="000000"/>
                <w:sz w:val="20"/>
                <w:szCs w:val="20"/>
                <w:lang w:eastAsia="es-MX"/>
              </w:rPr>
              <w:t>5</w:t>
            </w:r>
          </w:p>
        </w:tc>
      </w:tr>
    </w:tbl>
    <w:p w:rsidR="006724A0" w:rsidRPr="003669CB" w:rsidRDefault="006724A0" w:rsidP="000D3479">
      <w:pPr>
        <w:ind w:firstLine="708"/>
        <w:jc w:val="both"/>
        <w:rPr>
          <w:rFonts w:ascii="Barlow" w:hAnsi="Barlow" w:cs="Calibri"/>
          <w:b/>
          <w:bCs/>
          <w:color w:val="000000"/>
          <w:sz w:val="20"/>
          <w:szCs w:val="20"/>
        </w:rPr>
      </w:pPr>
    </w:p>
    <w:p w:rsidR="000D3479" w:rsidRPr="003669CB" w:rsidRDefault="000D3479" w:rsidP="000D3479">
      <w:pPr>
        <w:ind w:firstLine="708"/>
        <w:jc w:val="both"/>
        <w:rPr>
          <w:rFonts w:ascii="Barlow" w:hAnsi="Barlow" w:cs="Calibri"/>
          <w:b/>
          <w:bCs/>
          <w:color w:val="000000"/>
          <w:sz w:val="20"/>
          <w:szCs w:val="20"/>
        </w:rPr>
      </w:pPr>
      <w:r w:rsidRPr="003669CB">
        <w:rPr>
          <w:rFonts w:ascii="Barlow" w:hAnsi="Barlow" w:cs="Calibri"/>
          <w:b/>
          <w:bCs/>
          <w:color w:val="000000"/>
          <w:sz w:val="20"/>
          <w:szCs w:val="20"/>
        </w:rPr>
        <w:t>Bienes Muebles, Intangibles y Depreciaciones</w:t>
      </w:r>
    </w:p>
    <w:tbl>
      <w:tblPr>
        <w:tblW w:w="6080" w:type="dxa"/>
        <w:jc w:val="center"/>
        <w:tblCellMar>
          <w:left w:w="70" w:type="dxa"/>
          <w:right w:w="70" w:type="dxa"/>
        </w:tblCellMar>
        <w:tblLook w:val="04A0" w:firstRow="1" w:lastRow="0" w:firstColumn="1" w:lastColumn="0" w:noHBand="0" w:noVBand="1"/>
      </w:tblPr>
      <w:tblGrid>
        <w:gridCol w:w="3600"/>
        <w:gridCol w:w="1468"/>
        <w:gridCol w:w="1490"/>
      </w:tblGrid>
      <w:tr w:rsidR="005F756A" w:rsidRPr="003669CB" w:rsidTr="005F756A">
        <w:trPr>
          <w:trHeight w:val="315"/>
          <w:jc w:val="center"/>
        </w:trPr>
        <w:tc>
          <w:tcPr>
            <w:tcW w:w="3600" w:type="dxa"/>
            <w:tcBorders>
              <w:top w:val="single" w:sz="8" w:space="0" w:color="auto"/>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Concepto</w:t>
            </w:r>
          </w:p>
        </w:tc>
        <w:tc>
          <w:tcPr>
            <w:tcW w:w="1240" w:type="dxa"/>
            <w:tcBorders>
              <w:top w:val="single" w:sz="8" w:space="0" w:color="auto"/>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center"/>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2022</w:t>
            </w:r>
          </w:p>
        </w:tc>
        <w:tc>
          <w:tcPr>
            <w:tcW w:w="1240"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5F756A" w:rsidRPr="003669CB" w:rsidRDefault="005F756A" w:rsidP="005F756A">
            <w:pPr>
              <w:spacing w:after="0" w:line="240" w:lineRule="auto"/>
              <w:jc w:val="center"/>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2021</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MOBILIARIO Y EQUIPO DE ADMINISTRACIÓN</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$6,134,292.44</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$6,134,292.44</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BIENES INFORMÁTICOS</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$9,136,202.46</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$9,128,662.46</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EQUIPO DE ADMINISTRACIÓN</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$1,586,289.12</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$1,586,289.12</w:t>
            </w:r>
          </w:p>
        </w:tc>
      </w:tr>
      <w:tr w:rsidR="005F756A" w:rsidRPr="003669CB" w:rsidTr="005F756A">
        <w:trPr>
          <w:trHeight w:val="365"/>
          <w:jc w:val="center"/>
        </w:trPr>
        <w:tc>
          <w:tcPr>
            <w:tcW w:w="3600" w:type="dxa"/>
            <w:tcBorders>
              <w:top w:val="nil"/>
              <w:left w:val="single" w:sz="8" w:space="0" w:color="auto"/>
              <w:bottom w:val="single" w:sz="8" w:space="0" w:color="auto"/>
              <w:right w:val="nil"/>
            </w:tcBorders>
            <w:shd w:val="clear" w:color="auto" w:fill="auto"/>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EQUIPO EDUCACIONAL Y RECREATIVO</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$14,986,932.89</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$14,986,932.89</w:t>
            </w:r>
          </w:p>
        </w:tc>
      </w:tr>
      <w:tr w:rsidR="005F756A" w:rsidRPr="003669CB" w:rsidTr="005F756A">
        <w:trPr>
          <w:trHeight w:val="257"/>
          <w:jc w:val="center"/>
        </w:trPr>
        <w:tc>
          <w:tcPr>
            <w:tcW w:w="3600" w:type="dxa"/>
            <w:tcBorders>
              <w:top w:val="nil"/>
              <w:left w:val="single" w:sz="8" w:space="0" w:color="auto"/>
              <w:bottom w:val="single" w:sz="8" w:space="0" w:color="auto"/>
              <w:right w:val="nil"/>
            </w:tcBorders>
            <w:shd w:val="clear" w:color="auto" w:fill="auto"/>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EQUIPO DE TRANSPORTE</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$989,213.00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$989,213.00</w:t>
            </w:r>
          </w:p>
        </w:tc>
      </w:tr>
      <w:tr w:rsidR="005F756A" w:rsidRPr="003669CB" w:rsidTr="005F756A">
        <w:trPr>
          <w:trHeight w:val="416"/>
          <w:jc w:val="center"/>
        </w:trPr>
        <w:tc>
          <w:tcPr>
            <w:tcW w:w="3600" w:type="dxa"/>
            <w:tcBorders>
              <w:top w:val="nil"/>
              <w:left w:val="single" w:sz="8" w:space="0" w:color="auto"/>
              <w:bottom w:val="single" w:sz="8" w:space="0" w:color="auto"/>
              <w:right w:val="nil"/>
            </w:tcBorders>
            <w:shd w:val="clear" w:color="auto" w:fill="auto"/>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MAQUINARIA, OTROS EQUIPOS Y HERRAMIENTAS</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$2,292,795.90</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$2,292,795.90</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Subtotal Bienes Muebles</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$35,125,725.81</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$35,118,185.81</w:t>
            </w:r>
          </w:p>
        </w:tc>
      </w:tr>
      <w:tr w:rsidR="005F756A" w:rsidRPr="003669CB" w:rsidTr="005F756A">
        <w:trPr>
          <w:trHeight w:val="173"/>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lastRenderedPageBreak/>
              <w:t>Software</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$177,705.72</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$177,705.72</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Licencias</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$2,633,535.85</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color w:val="000000"/>
                <w:sz w:val="20"/>
                <w:szCs w:val="20"/>
                <w:lang w:eastAsia="es-MX"/>
              </w:rPr>
            </w:pPr>
            <w:r w:rsidRPr="003669CB">
              <w:rPr>
                <w:rFonts w:ascii="Barlow" w:eastAsia="Times New Roman" w:hAnsi="Barlow" w:cs="Times New Roman"/>
                <w:color w:val="000000"/>
                <w:sz w:val="20"/>
                <w:szCs w:val="20"/>
                <w:lang w:eastAsia="es-MX"/>
              </w:rPr>
              <w:t>$2,633,535.85</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Subtotal Activos Intangibles</w:t>
            </w:r>
          </w:p>
        </w:tc>
        <w:tc>
          <w:tcPr>
            <w:tcW w:w="124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$2,811,241.57</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$2,811,241.57</w:t>
            </w:r>
          </w:p>
        </w:tc>
      </w:tr>
      <w:tr w:rsidR="005F756A" w:rsidRPr="003669CB" w:rsidTr="005F756A">
        <w:trPr>
          <w:trHeight w:val="315"/>
          <w:jc w:val="center"/>
        </w:trPr>
        <w:tc>
          <w:tcPr>
            <w:tcW w:w="3600" w:type="dxa"/>
            <w:tcBorders>
              <w:top w:val="nil"/>
              <w:left w:val="single" w:sz="8" w:space="0" w:color="auto"/>
              <w:bottom w:val="single" w:sz="8" w:space="0" w:color="auto"/>
              <w:right w:val="nil"/>
            </w:tcBorders>
            <w:shd w:val="clear" w:color="auto" w:fill="auto"/>
            <w:noWrap/>
            <w:vAlign w:val="center"/>
            <w:hideMark/>
          </w:tcPr>
          <w:p w:rsidR="005F756A" w:rsidRPr="003669CB" w:rsidRDefault="005F756A" w:rsidP="005F756A">
            <w:pPr>
              <w:spacing w:after="0" w:line="240" w:lineRule="auto"/>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Suma Bienes Muebles e Intangibles</w:t>
            </w:r>
          </w:p>
        </w:tc>
        <w:tc>
          <w:tcPr>
            <w:tcW w:w="1240" w:type="dxa"/>
            <w:tcBorders>
              <w:top w:val="nil"/>
              <w:left w:val="single" w:sz="8" w:space="0" w:color="auto"/>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$37,936,967.38</w:t>
            </w:r>
          </w:p>
        </w:tc>
        <w:tc>
          <w:tcPr>
            <w:tcW w:w="1240" w:type="dxa"/>
            <w:tcBorders>
              <w:top w:val="nil"/>
              <w:left w:val="nil"/>
              <w:bottom w:val="single" w:sz="8" w:space="0" w:color="auto"/>
              <w:right w:val="single" w:sz="8" w:space="0" w:color="auto"/>
            </w:tcBorders>
            <w:shd w:val="clear" w:color="auto" w:fill="auto"/>
            <w:noWrap/>
            <w:vAlign w:val="center"/>
            <w:hideMark/>
          </w:tcPr>
          <w:p w:rsidR="005F756A" w:rsidRPr="003669CB" w:rsidRDefault="005F756A" w:rsidP="005F756A">
            <w:pPr>
              <w:spacing w:after="0" w:line="240" w:lineRule="auto"/>
              <w:jc w:val="right"/>
              <w:rPr>
                <w:rFonts w:ascii="Barlow" w:eastAsia="Times New Roman" w:hAnsi="Barlow" w:cs="Times New Roman"/>
                <w:b/>
                <w:bCs/>
                <w:color w:val="000000"/>
                <w:sz w:val="20"/>
                <w:szCs w:val="20"/>
                <w:lang w:eastAsia="es-MX"/>
              </w:rPr>
            </w:pPr>
            <w:r w:rsidRPr="003669CB">
              <w:rPr>
                <w:rFonts w:ascii="Barlow" w:eastAsia="Times New Roman" w:hAnsi="Barlow" w:cs="Times New Roman"/>
                <w:b/>
                <w:bCs/>
                <w:color w:val="000000"/>
                <w:sz w:val="20"/>
                <w:szCs w:val="20"/>
                <w:lang w:eastAsia="es-MX"/>
              </w:rPr>
              <w:t>$37,929,427.38</w:t>
            </w:r>
          </w:p>
        </w:tc>
      </w:tr>
    </w:tbl>
    <w:p w:rsidR="003A7C8A" w:rsidRPr="003669CB" w:rsidRDefault="003A7C8A" w:rsidP="003A7C8A">
      <w:pPr>
        <w:pStyle w:val="Prrafodelista"/>
        <w:spacing w:after="0" w:line="240" w:lineRule="auto"/>
        <w:jc w:val="both"/>
        <w:rPr>
          <w:rFonts w:ascii="Barlow" w:eastAsia="Times New Roman" w:hAnsi="Barlow" w:cs="Times New Roman"/>
          <w:b/>
          <w:sz w:val="20"/>
          <w:szCs w:val="20"/>
          <w:lang w:eastAsia="es-ES"/>
        </w:rPr>
      </w:pPr>
    </w:p>
    <w:p w:rsidR="00D20BF3" w:rsidRPr="003669CB" w:rsidRDefault="00D20BF3"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El criterio de aplicación de la depreciación en el ejercicio es de acuerdo a los “Parámetros de Vida Útil” con base en la Guía de Vida Útil Estimada y Porcentajes de Depreciación, de ac</w:t>
      </w:r>
      <w:r w:rsidR="00040417" w:rsidRPr="003669CB">
        <w:rPr>
          <w:rFonts w:ascii="Barlow" w:eastAsia="Times New Roman" w:hAnsi="Barlow" w:cs="Times New Roman"/>
          <w:sz w:val="20"/>
          <w:szCs w:val="20"/>
          <w:lang w:eastAsia="es-ES"/>
        </w:rPr>
        <w:t>uerdo a la siguiente tabl</w:t>
      </w:r>
      <w:r w:rsidRPr="003669CB">
        <w:rPr>
          <w:rFonts w:ascii="Barlow" w:eastAsia="Times New Roman" w:hAnsi="Barlow" w:cs="Times New Roman"/>
          <w:sz w:val="20"/>
          <w:szCs w:val="20"/>
          <w:lang w:eastAsia="es-ES"/>
        </w:rPr>
        <w:t>a:</w:t>
      </w:r>
    </w:p>
    <w:tbl>
      <w:tblPr>
        <w:tblW w:w="9480" w:type="dxa"/>
        <w:jc w:val="center"/>
        <w:tblCellMar>
          <w:left w:w="70" w:type="dxa"/>
          <w:right w:w="70" w:type="dxa"/>
        </w:tblCellMar>
        <w:tblLook w:val="04A0" w:firstRow="1" w:lastRow="0" w:firstColumn="1" w:lastColumn="0" w:noHBand="0" w:noVBand="1"/>
      </w:tblPr>
      <w:tblGrid>
        <w:gridCol w:w="4198"/>
        <w:gridCol w:w="1412"/>
        <w:gridCol w:w="1600"/>
        <w:gridCol w:w="1200"/>
        <w:gridCol w:w="1182"/>
      </w:tblGrid>
      <w:tr w:rsidR="00C90648" w:rsidRPr="003669CB" w:rsidTr="00C90648">
        <w:trPr>
          <w:trHeight w:val="255"/>
          <w:jc w:val="center"/>
        </w:trPr>
        <w:tc>
          <w:tcPr>
            <w:tcW w:w="4198"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Rubro</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Del Ejercicio</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Acumulada a 2021</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Método</w:t>
            </w:r>
          </w:p>
        </w:tc>
        <w:tc>
          <w:tcPr>
            <w:tcW w:w="1182" w:type="dxa"/>
            <w:tcBorders>
              <w:top w:val="nil"/>
              <w:left w:val="nil"/>
              <w:bottom w:val="nil"/>
              <w:right w:val="nil"/>
            </w:tcBorders>
            <w:shd w:val="clear" w:color="auto" w:fill="auto"/>
            <w:vAlign w:val="center"/>
            <w:hideMark/>
          </w:tcPr>
          <w:p w:rsidR="00C90648" w:rsidRPr="003669CB" w:rsidRDefault="00C90648" w:rsidP="00C90648">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Tasa Aplicada</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MOBILIARIO Y EQUIPO DE ADMINISTRACIÓN</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$155,298.21</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$4,823,879.23</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10%</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BIENES INFORMATICOS</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$45,196.84</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$10,190,942.30</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33.30%</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EQUIPO EDUCACIONAL Y RECREATIVO</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$1,272,789.15</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$9,183,542.53</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20%</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EQUIPO DE TRANSPORTE</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$0.00</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$989,212.91</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20%</w:t>
            </w:r>
          </w:p>
        </w:tc>
      </w:tr>
      <w:tr w:rsidR="00C90648" w:rsidRPr="003669CB" w:rsidTr="00C90648">
        <w:trPr>
          <w:trHeight w:val="255"/>
          <w:jc w:val="center"/>
        </w:trPr>
        <w:tc>
          <w:tcPr>
            <w:tcW w:w="4198"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MAQUINARIA, OTROS EQUIPOS Y HERRAMIENTAS</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$22,715.97</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$1,404,475.79</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10%</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EDIFICIOS Y LOCALES NO RESIDENCIALES</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$645,246.75</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$26,356,201.01</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3.30%</w:t>
            </w:r>
          </w:p>
        </w:tc>
      </w:tr>
      <w:tr w:rsidR="00C90648" w:rsidRPr="003669CB" w:rsidTr="00C90648">
        <w:trPr>
          <w:trHeight w:val="255"/>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ACTIVOS INTANGIBLES</w:t>
            </w: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$87,135.51</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2,225,492.62</w:t>
            </w:r>
          </w:p>
        </w:tc>
        <w:tc>
          <w:tcPr>
            <w:tcW w:w="12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Líneal</w:t>
            </w:r>
          </w:p>
        </w:tc>
        <w:tc>
          <w:tcPr>
            <w:tcW w:w="1182"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30%</w:t>
            </w:r>
          </w:p>
        </w:tc>
      </w:tr>
      <w:tr w:rsidR="00C90648" w:rsidRPr="003669CB" w:rsidTr="00C90648">
        <w:trPr>
          <w:trHeight w:val="300"/>
          <w:jc w:val="center"/>
        </w:trPr>
        <w:tc>
          <w:tcPr>
            <w:tcW w:w="4198"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3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$2,228,382.43</w:t>
            </w: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$55,173,746.39</w:t>
            </w:r>
          </w:p>
        </w:tc>
        <w:tc>
          <w:tcPr>
            <w:tcW w:w="12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182"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r>
      <w:tr w:rsidR="00C90648" w:rsidRPr="003669CB" w:rsidTr="00C90648">
        <w:trPr>
          <w:trHeight w:val="300"/>
          <w:jc w:val="center"/>
        </w:trPr>
        <w:tc>
          <w:tcPr>
            <w:tcW w:w="4198"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3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6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2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182"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r>
      <w:tr w:rsidR="00C90648" w:rsidRPr="003669CB" w:rsidTr="00C90648">
        <w:trPr>
          <w:trHeight w:val="300"/>
          <w:jc w:val="center"/>
        </w:trPr>
        <w:tc>
          <w:tcPr>
            <w:tcW w:w="4198" w:type="dxa"/>
            <w:tcBorders>
              <w:top w:val="nil"/>
              <w:left w:val="nil"/>
              <w:bottom w:val="nil"/>
              <w:right w:val="nil"/>
            </w:tcBorders>
            <w:shd w:val="clear" w:color="000000" w:fill="FFFFFF"/>
            <w:noWrap/>
            <w:vAlign w:val="center"/>
            <w:hideMark/>
          </w:tcPr>
          <w:p w:rsidR="00C90648" w:rsidRPr="003669CB" w:rsidRDefault="00C90648" w:rsidP="00C90648">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Acumulado al 31 Marzo 2022</w:t>
            </w:r>
          </w:p>
        </w:tc>
        <w:tc>
          <w:tcPr>
            <w:tcW w:w="13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600" w:type="dxa"/>
            <w:tcBorders>
              <w:top w:val="nil"/>
              <w:left w:val="nil"/>
              <w:bottom w:val="nil"/>
              <w:right w:val="nil"/>
            </w:tcBorders>
            <w:shd w:val="clear" w:color="auto" w:fill="auto"/>
            <w:noWrap/>
            <w:vAlign w:val="center"/>
            <w:hideMark/>
          </w:tcPr>
          <w:p w:rsidR="00C90648" w:rsidRPr="003669CB" w:rsidRDefault="00C90648" w:rsidP="00C90648">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$57,402,128.82</w:t>
            </w:r>
          </w:p>
        </w:tc>
        <w:tc>
          <w:tcPr>
            <w:tcW w:w="1200"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c>
          <w:tcPr>
            <w:tcW w:w="1182" w:type="dxa"/>
            <w:tcBorders>
              <w:top w:val="nil"/>
              <w:left w:val="nil"/>
              <w:bottom w:val="nil"/>
              <w:right w:val="nil"/>
            </w:tcBorders>
            <w:shd w:val="clear" w:color="auto" w:fill="auto"/>
            <w:noWrap/>
            <w:vAlign w:val="bottom"/>
            <w:hideMark/>
          </w:tcPr>
          <w:p w:rsidR="00C90648" w:rsidRPr="003669CB" w:rsidRDefault="00C90648" w:rsidP="00C90648">
            <w:pPr>
              <w:spacing w:after="0" w:line="240" w:lineRule="auto"/>
              <w:rPr>
                <w:rFonts w:ascii="Barlow" w:eastAsia="Times New Roman" w:hAnsi="Barlow" w:cs="Arial"/>
                <w:sz w:val="20"/>
                <w:szCs w:val="20"/>
                <w:lang w:eastAsia="es-MX"/>
              </w:rPr>
            </w:pPr>
          </w:p>
        </w:tc>
      </w:tr>
    </w:tbl>
    <w:p w:rsidR="00D652A5" w:rsidRPr="003669CB" w:rsidRDefault="00D652A5" w:rsidP="004800D9">
      <w:pPr>
        <w:spacing w:after="0" w:line="240" w:lineRule="auto"/>
        <w:jc w:val="both"/>
        <w:rPr>
          <w:rFonts w:ascii="Barlow" w:eastAsia="Times New Roman" w:hAnsi="Barlow" w:cs="Times New Roman"/>
          <w:b/>
          <w:sz w:val="20"/>
          <w:szCs w:val="20"/>
          <w:lang w:eastAsia="es-ES"/>
        </w:rPr>
      </w:pPr>
    </w:p>
    <w:p w:rsidR="004800D9" w:rsidRPr="003669CB" w:rsidRDefault="004800D9" w:rsidP="004800D9">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Estimaciones y Deterioros</w:t>
      </w:r>
    </w:p>
    <w:p w:rsidR="004800D9" w:rsidRPr="003669CB" w:rsidRDefault="004800D9"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Éste Instituto no cuenta con estimaciones en el ejercicio</w:t>
      </w:r>
    </w:p>
    <w:p w:rsidR="00D8607D" w:rsidRPr="003669CB" w:rsidRDefault="00D8607D" w:rsidP="004800D9">
      <w:pPr>
        <w:spacing w:after="0" w:line="240" w:lineRule="auto"/>
        <w:jc w:val="both"/>
        <w:rPr>
          <w:rFonts w:ascii="Barlow" w:eastAsia="Times New Roman" w:hAnsi="Barlow" w:cs="Times New Roman"/>
          <w:b/>
          <w:sz w:val="20"/>
          <w:szCs w:val="20"/>
          <w:lang w:eastAsia="es-ES"/>
        </w:rPr>
      </w:pPr>
    </w:p>
    <w:p w:rsidR="004800D9" w:rsidRPr="003669CB" w:rsidRDefault="004800D9" w:rsidP="004800D9">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Otros Activos</w:t>
      </w:r>
    </w:p>
    <w:p w:rsidR="00BB7F95" w:rsidRPr="003669CB" w:rsidRDefault="00BB7F95" w:rsidP="007E4305">
      <w:pPr>
        <w:pStyle w:val="Prrafodelista"/>
        <w:numPr>
          <w:ilvl w:val="0"/>
          <w:numId w:val="20"/>
        </w:num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sz w:val="20"/>
          <w:szCs w:val="20"/>
          <w:lang w:eastAsia="es-ES"/>
        </w:rPr>
        <w:t>Se consideran aquellas amortizaciones de Segu</w:t>
      </w:r>
      <w:r w:rsidR="009B400C" w:rsidRPr="003669CB">
        <w:rPr>
          <w:rFonts w:ascii="Barlow" w:eastAsia="Times New Roman" w:hAnsi="Barlow" w:cs="Times New Roman"/>
          <w:sz w:val="20"/>
          <w:szCs w:val="20"/>
          <w:lang w:eastAsia="es-ES"/>
        </w:rPr>
        <w:t xml:space="preserve">ros Patrimoniales cuyo monto al </w:t>
      </w:r>
      <w:r w:rsidR="00304ED3" w:rsidRPr="003669CB">
        <w:rPr>
          <w:rFonts w:ascii="Barlow" w:eastAsia="Times New Roman" w:hAnsi="Barlow" w:cs="Times New Roman"/>
          <w:sz w:val="20"/>
          <w:szCs w:val="20"/>
          <w:lang w:eastAsia="es-ES"/>
        </w:rPr>
        <w:t>3</w:t>
      </w:r>
      <w:r w:rsidR="00067015" w:rsidRPr="003669CB">
        <w:rPr>
          <w:rFonts w:ascii="Barlow" w:eastAsia="Times New Roman" w:hAnsi="Barlow" w:cs="Times New Roman"/>
          <w:sz w:val="20"/>
          <w:szCs w:val="20"/>
          <w:lang w:eastAsia="es-ES"/>
        </w:rPr>
        <w:t>1</w:t>
      </w:r>
      <w:r w:rsidR="000328D2" w:rsidRPr="003669CB">
        <w:rPr>
          <w:rFonts w:ascii="Barlow" w:eastAsia="Times New Roman" w:hAnsi="Barlow" w:cs="Times New Roman"/>
          <w:sz w:val="20"/>
          <w:szCs w:val="20"/>
          <w:lang w:eastAsia="es-ES"/>
        </w:rPr>
        <w:t xml:space="preserve"> de </w:t>
      </w:r>
      <w:r w:rsidR="00C90648" w:rsidRPr="003669CB">
        <w:rPr>
          <w:rFonts w:ascii="Barlow" w:eastAsia="Times New Roman" w:hAnsi="Barlow" w:cs="Times New Roman"/>
          <w:sz w:val="20"/>
          <w:szCs w:val="20"/>
          <w:lang w:eastAsia="es-ES"/>
        </w:rPr>
        <w:t>Marzo</w:t>
      </w:r>
      <w:r w:rsidRPr="003669CB">
        <w:rPr>
          <w:rFonts w:ascii="Barlow" w:eastAsia="Times New Roman" w:hAnsi="Barlow" w:cs="Times New Roman"/>
          <w:sz w:val="20"/>
          <w:szCs w:val="20"/>
          <w:lang w:eastAsia="es-ES"/>
        </w:rPr>
        <w:t xml:space="preserve"> asciende a $</w:t>
      </w:r>
      <w:r w:rsidR="00C90648" w:rsidRPr="003669CB">
        <w:rPr>
          <w:rFonts w:ascii="Barlow" w:eastAsia="Times New Roman" w:hAnsi="Barlow" w:cs="Times New Roman"/>
          <w:sz w:val="20"/>
          <w:szCs w:val="20"/>
          <w:lang w:eastAsia="es-ES"/>
        </w:rPr>
        <w:t>58</w:t>
      </w:r>
      <w:r w:rsidR="00021118" w:rsidRPr="003669CB">
        <w:rPr>
          <w:rFonts w:ascii="Barlow" w:eastAsia="Times New Roman" w:hAnsi="Barlow" w:cs="Times New Roman"/>
          <w:sz w:val="20"/>
          <w:szCs w:val="20"/>
          <w:lang w:eastAsia="es-ES"/>
        </w:rPr>
        <w:t>,</w:t>
      </w:r>
      <w:r w:rsidR="00C90648" w:rsidRPr="003669CB">
        <w:rPr>
          <w:rFonts w:ascii="Barlow" w:eastAsia="Times New Roman" w:hAnsi="Barlow" w:cs="Times New Roman"/>
          <w:sz w:val="20"/>
          <w:szCs w:val="20"/>
          <w:lang w:eastAsia="es-ES"/>
        </w:rPr>
        <w:t>70</w:t>
      </w:r>
      <w:r w:rsidR="00CA3C07" w:rsidRPr="003669CB">
        <w:rPr>
          <w:rFonts w:ascii="Barlow" w:eastAsia="Times New Roman" w:hAnsi="Barlow" w:cs="Times New Roman"/>
          <w:sz w:val="20"/>
          <w:szCs w:val="20"/>
          <w:lang w:eastAsia="es-ES"/>
        </w:rPr>
        <w:t>9</w:t>
      </w:r>
      <w:r w:rsidR="009D1331" w:rsidRPr="003669CB">
        <w:rPr>
          <w:rFonts w:ascii="Barlow" w:eastAsia="Times New Roman" w:hAnsi="Barlow" w:cs="Times New Roman"/>
          <w:sz w:val="20"/>
          <w:szCs w:val="20"/>
          <w:lang w:eastAsia="es-ES"/>
        </w:rPr>
        <w:t>.</w:t>
      </w:r>
      <w:r w:rsidR="00C90648" w:rsidRPr="003669CB">
        <w:rPr>
          <w:rFonts w:ascii="Barlow" w:eastAsia="Times New Roman" w:hAnsi="Barlow" w:cs="Times New Roman"/>
          <w:sz w:val="20"/>
          <w:szCs w:val="20"/>
          <w:lang w:eastAsia="es-ES"/>
        </w:rPr>
        <w:t>95</w:t>
      </w:r>
      <w:r w:rsidRPr="003669CB">
        <w:rPr>
          <w:rFonts w:ascii="Barlow" w:eastAsia="Times New Roman" w:hAnsi="Barlow" w:cs="Times New Roman"/>
          <w:sz w:val="20"/>
          <w:szCs w:val="20"/>
          <w:lang w:eastAsia="es-ES"/>
        </w:rPr>
        <w:t xml:space="preserve">  así como Seguro de Accidentes para la matrícula del Instituto que asciende a un monto de $</w:t>
      </w:r>
      <w:r w:rsidR="00C90648" w:rsidRPr="003669CB">
        <w:rPr>
          <w:rFonts w:ascii="Barlow" w:eastAsia="Times New Roman" w:hAnsi="Barlow" w:cs="Times New Roman"/>
          <w:sz w:val="20"/>
          <w:szCs w:val="20"/>
          <w:lang w:eastAsia="es-ES"/>
        </w:rPr>
        <w:t>135</w:t>
      </w:r>
      <w:r w:rsidR="00F45F02" w:rsidRPr="003669CB">
        <w:rPr>
          <w:rFonts w:ascii="Barlow" w:eastAsia="Times New Roman" w:hAnsi="Barlow" w:cs="Times New Roman"/>
          <w:sz w:val="20"/>
          <w:szCs w:val="20"/>
          <w:lang w:eastAsia="es-ES"/>
        </w:rPr>
        <w:t>,</w:t>
      </w:r>
      <w:r w:rsidR="00067015" w:rsidRPr="003669CB">
        <w:rPr>
          <w:rFonts w:ascii="Barlow" w:eastAsia="Times New Roman" w:hAnsi="Barlow" w:cs="Times New Roman"/>
          <w:sz w:val="20"/>
          <w:szCs w:val="20"/>
          <w:lang w:eastAsia="es-ES"/>
        </w:rPr>
        <w:t>0</w:t>
      </w:r>
      <w:r w:rsidR="00C90648" w:rsidRPr="003669CB">
        <w:rPr>
          <w:rFonts w:ascii="Barlow" w:eastAsia="Times New Roman" w:hAnsi="Barlow" w:cs="Times New Roman"/>
          <w:sz w:val="20"/>
          <w:szCs w:val="20"/>
          <w:lang w:eastAsia="es-ES"/>
        </w:rPr>
        <w:t>41</w:t>
      </w:r>
      <w:r w:rsidR="00F45F02" w:rsidRPr="003669CB">
        <w:rPr>
          <w:rFonts w:ascii="Barlow" w:eastAsia="Times New Roman" w:hAnsi="Barlow" w:cs="Times New Roman"/>
          <w:sz w:val="20"/>
          <w:szCs w:val="20"/>
          <w:lang w:eastAsia="es-ES"/>
        </w:rPr>
        <w:t>.</w:t>
      </w:r>
      <w:r w:rsidR="00C90648" w:rsidRPr="003669CB">
        <w:rPr>
          <w:rFonts w:ascii="Barlow" w:eastAsia="Times New Roman" w:hAnsi="Barlow" w:cs="Times New Roman"/>
          <w:sz w:val="20"/>
          <w:szCs w:val="20"/>
          <w:lang w:eastAsia="es-ES"/>
        </w:rPr>
        <w:t>93</w:t>
      </w:r>
      <w:r w:rsidR="00723384" w:rsidRPr="003669CB">
        <w:rPr>
          <w:rFonts w:ascii="Barlow" w:eastAsia="Times New Roman" w:hAnsi="Barlow" w:cs="Times New Roman"/>
          <w:sz w:val="20"/>
          <w:szCs w:val="20"/>
          <w:lang w:eastAsia="es-ES"/>
        </w:rPr>
        <w:t>. Depósitos en garantía de años anteriores por $11,567.50</w:t>
      </w:r>
    </w:p>
    <w:p w:rsidR="00B0010B" w:rsidRPr="003669CB" w:rsidRDefault="00EB77A1" w:rsidP="00EB77A1">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P</w:t>
      </w:r>
      <w:r w:rsidR="00B0010B" w:rsidRPr="003669CB">
        <w:rPr>
          <w:rFonts w:ascii="Barlow" w:eastAsia="Times New Roman" w:hAnsi="Barlow" w:cs="Times New Roman"/>
          <w:b/>
          <w:sz w:val="20"/>
          <w:szCs w:val="20"/>
          <w:lang w:eastAsia="es-ES"/>
        </w:rPr>
        <w:t>asivo</w:t>
      </w:r>
    </w:p>
    <w:p w:rsidR="001D1EC6" w:rsidRPr="003669CB" w:rsidRDefault="001D1EC6" w:rsidP="007E4305">
      <w:pPr>
        <w:pStyle w:val="Prrafodelista"/>
        <w:numPr>
          <w:ilvl w:val="0"/>
          <w:numId w:val="2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Representa el saldo de las cuentas por pagar de la entidad:</w:t>
      </w:r>
    </w:p>
    <w:p w:rsidR="00E23C1B" w:rsidRPr="003669CB" w:rsidRDefault="00E23C1B" w:rsidP="00E23C1B">
      <w:pPr>
        <w:pStyle w:val="Prrafodelista"/>
        <w:spacing w:after="0" w:line="240" w:lineRule="auto"/>
        <w:jc w:val="both"/>
        <w:rPr>
          <w:rFonts w:ascii="Barlow" w:eastAsia="Times New Roman" w:hAnsi="Barlow" w:cs="Times New Roman"/>
          <w:sz w:val="20"/>
          <w:szCs w:val="20"/>
          <w:lang w:eastAsia="es-ES"/>
        </w:rPr>
      </w:pPr>
    </w:p>
    <w:tbl>
      <w:tblPr>
        <w:tblW w:w="5360" w:type="dxa"/>
        <w:jc w:val="center"/>
        <w:tblCellMar>
          <w:left w:w="70" w:type="dxa"/>
          <w:right w:w="70" w:type="dxa"/>
        </w:tblCellMar>
        <w:tblLook w:val="04A0" w:firstRow="1" w:lastRow="0" w:firstColumn="1" w:lastColumn="0" w:noHBand="0" w:noVBand="1"/>
      </w:tblPr>
      <w:tblGrid>
        <w:gridCol w:w="3920"/>
        <w:gridCol w:w="1440"/>
      </w:tblGrid>
      <w:tr w:rsidR="00E23C1B" w:rsidRPr="003669CB" w:rsidTr="00E23C1B">
        <w:trPr>
          <w:trHeight w:val="255"/>
          <w:jc w:val="center"/>
        </w:trPr>
        <w:tc>
          <w:tcPr>
            <w:tcW w:w="3920" w:type="dxa"/>
            <w:tcBorders>
              <w:top w:val="single" w:sz="4" w:space="0" w:color="auto"/>
              <w:left w:val="single" w:sz="4" w:space="0" w:color="auto"/>
              <w:bottom w:val="single" w:sz="4" w:space="0" w:color="auto"/>
              <w:right w:val="nil"/>
            </w:tcBorders>
            <w:shd w:val="clear" w:color="auto" w:fill="auto"/>
            <w:noWrap/>
            <w:vAlign w:val="bottom"/>
            <w:hideMark/>
          </w:tcPr>
          <w:p w:rsidR="00E23C1B" w:rsidRPr="003669CB" w:rsidRDefault="00E23C1B" w:rsidP="00E23C1B">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Concepto</w:t>
            </w:r>
          </w:p>
        </w:tc>
        <w:tc>
          <w:tcPr>
            <w:tcW w:w="1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23C1B" w:rsidRPr="003669CB" w:rsidRDefault="00E23C1B" w:rsidP="00E23C1B">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Saldo Final</w:t>
            </w:r>
          </w:p>
        </w:tc>
      </w:tr>
      <w:tr w:rsidR="00E23C1B" w:rsidRPr="003669CB" w:rsidTr="00E23C1B">
        <w:trPr>
          <w:trHeight w:val="255"/>
          <w:jc w:val="center"/>
        </w:trPr>
        <w:tc>
          <w:tcPr>
            <w:tcW w:w="3920" w:type="dxa"/>
            <w:tcBorders>
              <w:top w:val="nil"/>
              <w:left w:val="single" w:sz="4" w:space="0" w:color="auto"/>
              <w:bottom w:val="single" w:sz="4" w:space="0" w:color="auto"/>
              <w:right w:val="nil"/>
            </w:tcBorders>
            <w:shd w:val="clear" w:color="auto" w:fill="auto"/>
            <w:noWrap/>
            <w:vAlign w:val="bottom"/>
            <w:hideMark/>
          </w:tcPr>
          <w:p w:rsidR="00E23C1B" w:rsidRPr="003669CB" w:rsidRDefault="00E23C1B" w:rsidP="00E23C1B">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Proveedores por Pagar a Corto Plazo</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E23C1B" w:rsidRPr="003669CB" w:rsidRDefault="00E23C1B" w:rsidP="00D3183C">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F17815" w:rsidRPr="003669CB">
              <w:rPr>
                <w:rFonts w:ascii="Barlow" w:eastAsia="Times New Roman" w:hAnsi="Barlow" w:cs="Arial"/>
                <w:color w:val="000000"/>
                <w:sz w:val="20"/>
                <w:szCs w:val="20"/>
                <w:lang w:eastAsia="es-MX"/>
              </w:rPr>
              <w:t>4</w:t>
            </w:r>
            <w:r w:rsidR="00D3183C" w:rsidRPr="003669CB">
              <w:rPr>
                <w:rFonts w:ascii="Barlow" w:eastAsia="Times New Roman" w:hAnsi="Barlow" w:cs="Arial"/>
                <w:color w:val="000000"/>
                <w:sz w:val="20"/>
                <w:szCs w:val="20"/>
                <w:lang w:eastAsia="es-MX"/>
              </w:rPr>
              <w:t>53</w:t>
            </w:r>
            <w:r w:rsidR="00834400"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094</w:t>
            </w:r>
            <w:r w:rsidR="00834400"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9</w:t>
            </w:r>
            <w:r w:rsidR="00914AB8" w:rsidRPr="003669CB">
              <w:rPr>
                <w:rFonts w:ascii="Barlow" w:eastAsia="Times New Roman" w:hAnsi="Barlow" w:cs="Arial"/>
                <w:color w:val="000000"/>
                <w:sz w:val="20"/>
                <w:szCs w:val="20"/>
                <w:lang w:eastAsia="es-MX"/>
              </w:rPr>
              <w:t>5</w:t>
            </w:r>
          </w:p>
        </w:tc>
      </w:tr>
      <w:tr w:rsidR="00E23C1B" w:rsidRPr="003669CB" w:rsidTr="00E23C1B">
        <w:trPr>
          <w:trHeight w:val="480"/>
          <w:jc w:val="center"/>
        </w:trPr>
        <w:tc>
          <w:tcPr>
            <w:tcW w:w="3920" w:type="dxa"/>
            <w:tcBorders>
              <w:top w:val="nil"/>
              <w:left w:val="single" w:sz="4" w:space="0" w:color="auto"/>
              <w:bottom w:val="single" w:sz="4" w:space="0" w:color="auto"/>
              <w:right w:val="nil"/>
            </w:tcBorders>
            <w:shd w:val="clear" w:color="auto" w:fill="auto"/>
            <w:vAlign w:val="bottom"/>
            <w:hideMark/>
          </w:tcPr>
          <w:p w:rsidR="00E23C1B" w:rsidRPr="003669CB" w:rsidRDefault="00E23C1B" w:rsidP="00E23C1B">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Retenciones y Contribuciones por Pagar a Corto Plazo</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E23C1B" w:rsidRPr="003669CB" w:rsidRDefault="00EB6D75" w:rsidP="00D3183C">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D3183C" w:rsidRPr="003669CB">
              <w:rPr>
                <w:rFonts w:ascii="Barlow" w:eastAsia="Times New Roman" w:hAnsi="Barlow" w:cs="Arial"/>
                <w:color w:val="000000"/>
                <w:sz w:val="20"/>
                <w:szCs w:val="20"/>
                <w:lang w:eastAsia="es-MX"/>
              </w:rPr>
              <w:t>6</w:t>
            </w:r>
            <w:r w:rsidR="00834400"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537</w:t>
            </w:r>
            <w:r w:rsidR="00834400"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964</w:t>
            </w:r>
            <w:r w:rsidR="00834400"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4</w:t>
            </w:r>
            <w:r w:rsidR="00914AB8" w:rsidRPr="003669CB">
              <w:rPr>
                <w:rFonts w:ascii="Barlow" w:eastAsia="Times New Roman" w:hAnsi="Barlow" w:cs="Arial"/>
                <w:color w:val="000000"/>
                <w:sz w:val="20"/>
                <w:szCs w:val="20"/>
                <w:lang w:eastAsia="es-MX"/>
              </w:rPr>
              <w:t>1</w:t>
            </w:r>
          </w:p>
        </w:tc>
      </w:tr>
      <w:tr w:rsidR="00E23C1B" w:rsidRPr="003669CB" w:rsidTr="00E23C1B">
        <w:trPr>
          <w:trHeight w:val="255"/>
          <w:jc w:val="center"/>
        </w:trPr>
        <w:tc>
          <w:tcPr>
            <w:tcW w:w="3920" w:type="dxa"/>
            <w:tcBorders>
              <w:top w:val="nil"/>
              <w:left w:val="single" w:sz="4" w:space="0" w:color="auto"/>
              <w:bottom w:val="single" w:sz="4" w:space="0" w:color="auto"/>
              <w:right w:val="nil"/>
            </w:tcBorders>
            <w:shd w:val="clear" w:color="auto" w:fill="auto"/>
            <w:noWrap/>
            <w:vAlign w:val="bottom"/>
            <w:hideMark/>
          </w:tcPr>
          <w:p w:rsidR="00E23C1B" w:rsidRPr="003669CB" w:rsidRDefault="00E23C1B" w:rsidP="00E23C1B">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Otras Cuentas por Pagar a Corto Plazo</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E23C1B" w:rsidRPr="003669CB" w:rsidRDefault="00B462C1" w:rsidP="00D3183C">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D3183C" w:rsidRPr="003669CB">
              <w:rPr>
                <w:rFonts w:ascii="Barlow" w:eastAsia="Times New Roman" w:hAnsi="Barlow" w:cs="Arial"/>
                <w:color w:val="000000"/>
                <w:sz w:val="20"/>
                <w:szCs w:val="20"/>
                <w:lang w:eastAsia="es-MX"/>
              </w:rPr>
              <w:t>3</w:t>
            </w:r>
            <w:r w:rsidR="00914AB8"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891</w:t>
            </w:r>
            <w:r w:rsidR="00E23C1B" w:rsidRPr="003669CB">
              <w:rPr>
                <w:rFonts w:ascii="Barlow" w:eastAsia="Times New Roman" w:hAnsi="Barlow" w:cs="Arial"/>
                <w:color w:val="000000"/>
                <w:sz w:val="20"/>
                <w:szCs w:val="20"/>
                <w:lang w:eastAsia="es-MX"/>
              </w:rPr>
              <w:t>.</w:t>
            </w:r>
            <w:r w:rsidR="00D3183C" w:rsidRPr="003669CB">
              <w:rPr>
                <w:rFonts w:ascii="Barlow" w:eastAsia="Times New Roman" w:hAnsi="Barlow" w:cs="Arial"/>
                <w:color w:val="000000"/>
                <w:sz w:val="20"/>
                <w:szCs w:val="20"/>
                <w:lang w:eastAsia="es-MX"/>
              </w:rPr>
              <w:t>54</w:t>
            </w:r>
          </w:p>
        </w:tc>
      </w:tr>
      <w:tr w:rsidR="00E23C1B" w:rsidRPr="003669CB" w:rsidTr="00E23C1B">
        <w:trPr>
          <w:trHeight w:val="255"/>
          <w:jc w:val="center"/>
        </w:trPr>
        <w:tc>
          <w:tcPr>
            <w:tcW w:w="3920" w:type="dxa"/>
            <w:tcBorders>
              <w:top w:val="nil"/>
              <w:left w:val="single" w:sz="4" w:space="0" w:color="auto"/>
              <w:bottom w:val="single" w:sz="4" w:space="0" w:color="auto"/>
              <w:right w:val="nil"/>
            </w:tcBorders>
            <w:shd w:val="clear" w:color="auto" w:fill="auto"/>
            <w:noWrap/>
            <w:vAlign w:val="bottom"/>
            <w:hideMark/>
          </w:tcPr>
          <w:p w:rsidR="00E23C1B" w:rsidRPr="003669CB" w:rsidRDefault="00E23C1B" w:rsidP="00E23C1B">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Suma PASIVO CIRCULANTE</w:t>
            </w:r>
          </w:p>
        </w:tc>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E23C1B" w:rsidRPr="003669CB" w:rsidRDefault="00E23C1B" w:rsidP="00914AB8">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 </w:t>
            </w:r>
            <w:r w:rsidR="00914AB8" w:rsidRPr="003669CB">
              <w:rPr>
                <w:rFonts w:ascii="Barlow" w:eastAsia="Times New Roman" w:hAnsi="Barlow" w:cs="Arial"/>
                <w:b/>
                <w:bCs/>
                <w:color w:val="000000"/>
                <w:sz w:val="20"/>
                <w:szCs w:val="20"/>
                <w:lang w:eastAsia="es-MX"/>
              </w:rPr>
              <w:t>8</w:t>
            </w:r>
            <w:r w:rsidR="00B462C1" w:rsidRPr="003669CB">
              <w:rPr>
                <w:rFonts w:ascii="Barlow" w:eastAsia="Times New Roman" w:hAnsi="Barlow" w:cs="Arial"/>
                <w:b/>
                <w:bCs/>
                <w:color w:val="000000"/>
                <w:sz w:val="20"/>
                <w:szCs w:val="20"/>
                <w:lang w:eastAsia="es-MX"/>
              </w:rPr>
              <w:t>,</w:t>
            </w:r>
            <w:r w:rsidR="00F17815" w:rsidRPr="003669CB">
              <w:rPr>
                <w:rFonts w:ascii="Barlow" w:eastAsia="Times New Roman" w:hAnsi="Barlow" w:cs="Arial"/>
                <w:b/>
                <w:bCs/>
                <w:color w:val="000000"/>
                <w:sz w:val="20"/>
                <w:szCs w:val="20"/>
                <w:lang w:eastAsia="es-MX"/>
              </w:rPr>
              <w:t>9</w:t>
            </w:r>
            <w:r w:rsidR="00914AB8" w:rsidRPr="003669CB">
              <w:rPr>
                <w:rFonts w:ascii="Barlow" w:eastAsia="Times New Roman" w:hAnsi="Barlow" w:cs="Arial"/>
                <w:b/>
                <w:bCs/>
                <w:color w:val="000000"/>
                <w:sz w:val="20"/>
                <w:szCs w:val="20"/>
                <w:lang w:eastAsia="es-MX"/>
              </w:rPr>
              <w:t>3</w:t>
            </w:r>
            <w:r w:rsidR="00F17815" w:rsidRPr="003669CB">
              <w:rPr>
                <w:rFonts w:ascii="Barlow" w:eastAsia="Times New Roman" w:hAnsi="Barlow" w:cs="Arial"/>
                <w:b/>
                <w:bCs/>
                <w:color w:val="000000"/>
                <w:sz w:val="20"/>
                <w:szCs w:val="20"/>
                <w:lang w:eastAsia="es-MX"/>
              </w:rPr>
              <w:t>3</w:t>
            </w:r>
            <w:r w:rsidR="00B462C1" w:rsidRPr="003669CB">
              <w:rPr>
                <w:rFonts w:ascii="Barlow" w:eastAsia="Times New Roman" w:hAnsi="Barlow" w:cs="Arial"/>
                <w:b/>
                <w:bCs/>
                <w:color w:val="000000"/>
                <w:sz w:val="20"/>
                <w:szCs w:val="20"/>
                <w:lang w:eastAsia="es-MX"/>
              </w:rPr>
              <w:t>,</w:t>
            </w:r>
            <w:r w:rsidR="00914AB8" w:rsidRPr="003669CB">
              <w:rPr>
                <w:rFonts w:ascii="Barlow" w:eastAsia="Times New Roman" w:hAnsi="Barlow" w:cs="Arial"/>
                <w:b/>
                <w:bCs/>
                <w:color w:val="000000"/>
                <w:sz w:val="20"/>
                <w:szCs w:val="20"/>
                <w:lang w:eastAsia="es-MX"/>
              </w:rPr>
              <w:t>085</w:t>
            </w:r>
            <w:r w:rsidR="00B462C1" w:rsidRPr="003669CB">
              <w:rPr>
                <w:rFonts w:ascii="Barlow" w:eastAsia="Times New Roman" w:hAnsi="Barlow" w:cs="Arial"/>
                <w:b/>
                <w:bCs/>
                <w:color w:val="000000"/>
                <w:sz w:val="20"/>
                <w:szCs w:val="20"/>
                <w:lang w:eastAsia="es-MX"/>
              </w:rPr>
              <w:t>.</w:t>
            </w:r>
            <w:r w:rsidR="00914AB8" w:rsidRPr="003669CB">
              <w:rPr>
                <w:rFonts w:ascii="Barlow" w:eastAsia="Times New Roman" w:hAnsi="Barlow" w:cs="Arial"/>
                <w:b/>
                <w:bCs/>
                <w:color w:val="000000"/>
                <w:sz w:val="20"/>
                <w:szCs w:val="20"/>
                <w:lang w:eastAsia="es-MX"/>
              </w:rPr>
              <w:t>04</w:t>
            </w:r>
          </w:p>
        </w:tc>
      </w:tr>
    </w:tbl>
    <w:p w:rsidR="00035880" w:rsidRPr="003669CB" w:rsidRDefault="00035880" w:rsidP="00035880">
      <w:pPr>
        <w:pStyle w:val="Prrafodelista"/>
        <w:spacing w:after="0" w:line="240" w:lineRule="auto"/>
        <w:jc w:val="both"/>
        <w:rPr>
          <w:rFonts w:ascii="Barlow" w:eastAsia="Times New Roman" w:hAnsi="Barlow" w:cs="Times New Roman"/>
          <w:sz w:val="20"/>
          <w:szCs w:val="20"/>
          <w:lang w:eastAsia="es-ES"/>
        </w:rPr>
      </w:pPr>
    </w:p>
    <w:p w:rsidR="00E23C1B" w:rsidRPr="003669CB" w:rsidRDefault="00E23C1B" w:rsidP="00E23C1B">
      <w:pPr>
        <w:ind w:firstLine="360"/>
        <w:jc w:val="both"/>
        <w:rPr>
          <w:rFonts w:ascii="Barlow" w:hAnsi="Barlow" w:cs="Calibri"/>
          <w:b/>
          <w:sz w:val="20"/>
          <w:szCs w:val="20"/>
        </w:rPr>
      </w:pPr>
      <w:r w:rsidRPr="003669CB">
        <w:rPr>
          <w:rFonts w:ascii="Barlow" w:hAnsi="Barlow" w:cs="Calibri"/>
          <w:b/>
          <w:sz w:val="20"/>
          <w:szCs w:val="20"/>
        </w:rPr>
        <w:t>Proveedores por Pagar a Corto Plazo</w:t>
      </w:r>
    </w:p>
    <w:p w:rsidR="00E23C1B" w:rsidRPr="003669CB" w:rsidRDefault="00E23C1B" w:rsidP="00E23C1B">
      <w:pPr>
        <w:ind w:firstLine="360"/>
        <w:jc w:val="both"/>
        <w:rPr>
          <w:rFonts w:ascii="Barlow" w:hAnsi="Barlow" w:cs="Calibri"/>
          <w:sz w:val="20"/>
          <w:szCs w:val="20"/>
        </w:rPr>
      </w:pPr>
      <w:r w:rsidRPr="003669CB">
        <w:rPr>
          <w:rFonts w:ascii="Barlow" w:hAnsi="Barlow" w:cs="Calibri"/>
          <w:sz w:val="20"/>
          <w:szCs w:val="20"/>
        </w:rPr>
        <w:t>El saldo de la cuenta de Proveedores a corto plazo al 3</w:t>
      </w:r>
      <w:r w:rsidR="004F7428" w:rsidRPr="003669CB">
        <w:rPr>
          <w:rFonts w:ascii="Barlow" w:hAnsi="Barlow" w:cs="Calibri"/>
          <w:sz w:val="20"/>
          <w:szCs w:val="20"/>
        </w:rPr>
        <w:t>1</w:t>
      </w:r>
      <w:r w:rsidR="00F64ACA" w:rsidRPr="003669CB">
        <w:rPr>
          <w:rFonts w:ascii="Barlow" w:hAnsi="Barlow" w:cs="Calibri"/>
          <w:sz w:val="20"/>
          <w:szCs w:val="20"/>
        </w:rPr>
        <w:t xml:space="preserve"> de </w:t>
      </w:r>
      <w:r w:rsidR="003669CB" w:rsidRPr="003669CB">
        <w:rPr>
          <w:rFonts w:ascii="Barlow" w:hAnsi="Barlow" w:cs="Calibri"/>
          <w:sz w:val="20"/>
          <w:szCs w:val="20"/>
        </w:rPr>
        <w:t>marzo</w:t>
      </w:r>
      <w:r w:rsidRPr="003669CB">
        <w:rPr>
          <w:rFonts w:ascii="Barlow" w:hAnsi="Barlow" w:cs="Calibri"/>
          <w:sz w:val="20"/>
          <w:szCs w:val="20"/>
        </w:rPr>
        <w:t xml:space="preserve"> de 202</w:t>
      </w:r>
      <w:r w:rsidR="00D94A2F" w:rsidRPr="003669CB">
        <w:rPr>
          <w:rFonts w:ascii="Barlow" w:hAnsi="Barlow" w:cs="Calibri"/>
          <w:sz w:val="20"/>
          <w:szCs w:val="20"/>
        </w:rPr>
        <w:t>2</w:t>
      </w:r>
      <w:r w:rsidRPr="003669CB">
        <w:rPr>
          <w:rFonts w:ascii="Barlow" w:hAnsi="Barlow" w:cs="Calibri"/>
          <w:sz w:val="20"/>
          <w:szCs w:val="20"/>
        </w:rPr>
        <w:t xml:space="preserve"> es de $ </w:t>
      </w:r>
      <w:r w:rsidR="004F7428" w:rsidRPr="003669CB">
        <w:rPr>
          <w:rFonts w:ascii="Barlow" w:hAnsi="Barlow" w:cs="Calibri"/>
          <w:sz w:val="20"/>
          <w:szCs w:val="20"/>
        </w:rPr>
        <w:t>4</w:t>
      </w:r>
      <w:r w:rsidR="00D3183C" w:rsidRPr="003669CB">
        <w:rPr>
          <w:rFonts w:ascii="Barlow" w:hAnsi="Barlow" w:cs="Calibri"/>
          <w:sz w:val="20"/>
          <w:szCs w:val="20"/>
        </w:rPr>
        <w:t>53</w:t>
      </w:r>
      <w:r w:rsidR="009057FC" w:rsidRPr="003669CB">
        <w:rPr>
          <w:rFonts w:ascii="Barlow" w:hAnsi="Barlow" w:cs="Calibri"/>
          <w:sz w:val="20"/>
          <w:szCs w:val="20"/>
        </w:rPr>
        <w:t>,</w:t>
      </w:r>
      <w:r w:rsidR="00D3183C" w:rsidRPr="003669CB">
        <w:rPr>
          <w:rFonts w:ascii="Barlow" w:hAnsi="Barlow" w:cs="Calibri"/>
          <w:sz w:val="20"/>
          <w:szCs w:val="20"/>
        </w:rPr>
        <w:t>094</w:t>
      </w:r>
      <w:r w:rsidRPr="003669CB">
        <w:rPr>
          <w:rFonts w:ascii="Barlow" w:hAnsi="Barlow" w:cs="Calibri"/>
          <w:sz w:val="20"/>
          <w:szCs w:val="20"/>
        </w:rPr>
        <w:t>.</w:t>
      </w:r>
      <w:r w:rsidR="00D3183C" w:rsidRPr="003669CB">
        <w:rPr>
          <w:rFonts w:ascii="Barlow" w:hAnsi="Barlow" w:cs="Calibri"/>
          <w:sz w:val="20"/>
          <w:szCs w:val="20"/>
        </w:rPr>
        <w:t>9</w:t>
      </w:r>
      <w:r w:rsidR="00D94A2F" w:rsidRPr="003669CB">
        <w:rPr>
          <w:rFonts w:ascii="Barlow" w:hAnsi="Barlow" w:cs="Calibri"/>
          <w:sz w:val="20"/>
          <w:szCs w:val="20"/>
        </w:rPr>
        <w:t>5</w:t>
      </w:r>
    </w:p>
    <w:p w:rsidR="00E23C1B" w:rsidRPr="003669CB" w:rsidRDefault="00E23C1B" w:rsidP="00E23C1B">
      <w:pPr>
        <w:jc w:val="both"/>
        <w:rPr>
          <w:rFonts w:ascii="Barlow" w:hAnsi="Barlow" w:cs="Calibri"/>
          <w:sz w:val="20"/>
          <w:szCs w:val="20"/>
        </w:rPr>
      </w:pPr>
      <w:r w:rsidRPr="003669CB">
        <w:rPr>
          <w:rFonts w:ascii="Barlow" w:hAnsi="Barlow" w:cs="Calibri"/>
          <w:b/>
          <w:bCs/>
          <w:color w:val="000000"/>
          <w:sz w:val="20"/>
          <w:szCs w:val="20"/>
          <w:lang w:eastAsia="es-MX"/>
        </w:rPr>
        <w:t xml:space="preserve">        REPORTE DE ANTIGÜEDAD DE SALDOS AL 3</w:t>
      </w:r>
      <w:r w:rsidR="004F7428" w:rsidRPr="003669CB">
        <w:rPr>
          <w:rFonts w:ascii="Barlow" w:hAnsi="Barlow" w:cs="Calibri"/>
          <w:b/>
          <w:bCs/>
          <w:color w:val="000000"/>
          <w:sz w:val="20"/>
          <w:szCs w:val="20"/>
          <w:lang w:eastAsia="es-MX"/>
        </w:rPr>
        <w:t>1</w:t>
      </w:r>
      <w:r w:rsidRPr="003669CB">
        <w:rPr>
          <w:rFonts w:ascii="Barlow" w:hAnsi="Barlow" w:cs="Calibri"/>
          <w:b/>
          <w:bCs/>
          <w:color w:val="000000"/>
          <w:sz w:val="20"/>
          <w:szCs w:val="20"/>
          <w:lang w:eastAsia="es-MX"/>
        </w:rPr>
        <w:t xml:space="preserve"> DE </w:t>
      </w:r>
      <w:r w:rsidR="00D3183C" w:rsidRPr="003669CB">
        <w:rPr>
          <w:rFonts w:ascii="Barlow" w:hAnsi="Barlow" w:cs="Calibri"/>
          <w:b/>
          <w:bCs/>
          <w:color w:val="000000"/>
          <w:sz w:val="20"/>
          <w:szCs w:val="20"/>
          <w:lang w:eastAsia="es-MX"/>
        </w:rPr>
        <w:t>MARZ</w:t>
      </w:r>
      <w:r w:rsidR="00D94A2F" w:rsidRPr="003669CB">
        <w:rPr>
          <w:rFonts w:ascii="Barlow" w:hAnsi="Barlow" w:cs="Calibri"/>
          <w:b/>
          <w:bCs/>
          <w:color w:val="000000"/>
          <w:sz w:val="20"/>
          <w:szCs w:val="20"/>
          <w:lang w:eastAsia="es-MX"/>
        </w:rPr>
        <w:t>O</w:t>
      </w:r>
      <w:r w:rsidRPr="003669CB">
        <w:rPr>
          <w:rFonts w:ascii="Barlow" w:hAnsi="Barlow" w:cs="Calibri"/>
          <w:b/>
          <w:bCs/>
          <w:color w:val="000000"/>
          <w:sz w:val="20"/>
          <w:szCs w:val="20"/>
          <w:lang w:eastAsia="es-MX"/>
        </w:rPr>
        <w:t xml:space="preserve"> DE 202</w:t>
      </w:r>
      <w:r w:rsidR="00D94A2F" w:rsidRPr="003669CB">
        <w:rPr>
          <w:rFonts w:ascii="Barlow" w:hAnsi="Barlow" w:cs="Calibri"/>
          <w:b/>
          <w:bCs/>
          <w:color w:val="000000"/>
          <w:sz w:val="20"/>
          <w:szCs w:val="20"/>
          <w:lang w:eastAsia="es-MX"/>
        </w:rPr>
        <w:t>2</w:t>
      </w:r>
    </w:p>
    <w:tbl>
      <w:tblPr>
        <w:tblW w:w="8581" w:type="dxa"/>
        <w:jc w:val="center"/>
        <w:tblCellMar>
          <w:left w:w="70" w:type="dxa"/>
          <w:right w:w="70" w:type="dxa"/>
        </w:tblCellMar>
        <w:tblLook w:val="04A0" w:firstRow="1" w:lastRow="0" w:firstColumn="1" w:lastColumn="0" w:noHBand="0" w:noVBand="1"/>
      </w:tblPr>
      <w:tblGrid>
        <w:gridCol w:w="1200"/>
        <w:gridCol w:w="1512"/>
        <w:gridCol w:w="1111"/>
        <w:gridCol w:w="1111"/>
        <w:gridCol w:w="1225"/>
        <w:gridCol w:w="1222"/>
        <w:gridCol w:w="1200"/>
      </w:tblGrid>
      <w:tr w:rsidR="008F0C66" w:rsidRPr="003669CB" w:rsidTr="008F0C66">
        <w:trPr>
          <w:trHeight w:val="330"/>
          <w:jc w:val="center"/>
        </w:trPr>
        <w:tc>
          <w:tcPr>
            <w:tcW w:w="120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xml:space="preserve">N O M B R E  </w:t>
            </w:r>
          </w:p>
        </w:tc>
        <w:tc>
          <w:tcPr>
            <w:tcW w:w="6181" w:type="dxa"/>
            <w:gridSpan w:val="5"/>
            <w:tcBorders>
              <w:top w:val="double" w:sz="6" w:space="0" w:color="auto"/>
              <w:left w:val="nil"/>
              <w:bottom w:val="double" w:sz="6" w:space="0" w:color="auto"/>
              <w:right w:val="double" w:sz="6" w:space="0" w:color="000000"/>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A N T I G Ü E D A D</w:t>
            </w:r>
          </w:p>
        </w:tc>
        <w:tc>
          <w:tcPr>
            <w:tcW w:w="1200" w:type="dxa"/>
            <w:vMerge w:val="restart"/>
            <w:tcBorders>
              <w:top w:val="double" w:sz="6" w:space="0" w:color="auto"/>
              <w:left w:val="double" w:sz="6" w:space="0" w:color="auto"/>
              <w:bottom w:val="double" w:sz="6" w:space="0" w:color="000000"/>
              <w:right w:val="double" w:sz="6" w:space="0" w:color="auto"/>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xml:space="preserve">TOTAL </w:t>
            </w:r>
          </w:p>
        </w:tc>
      </w:tr>
      <w:tr w:rsidR="008F0C66" w:rsidRPr="003669CB" w:rsidTr="008F0C66">
        <w:trPr>
          <w:trHeight w:val="315"/>
          <w:jc w:val="center"/>
        </w:trPr>
        <w:tc>
          <w:tcPr>
            <w:tcW w:w="1200" w:type="dxa"/>
            <w:vMerge/>
            <w:tcBorders>
              <w:top w:val="double" w:sz="6" w:space="0" w:color="auto"/>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512" w:type="dxa"/>
            <w:vMerge w:val="restart"/>
            <w:tcBorders>
              <w:top w:val="nil"/>
              <w:left w:val="double" w:sz="6" w:space="0" w:color="auto"/>
              <w:bottom w:val="double" w:sz="6" w:space="0" w:color="000000"/>
              <w:right w:val="double" w:sz="6" w:space="0" w:color="auto"/>
            </w:tcBorders>
            <w:shd w:val="clear" w:color="auto" w:fill="auto"/>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MENOS DE 90 DÍAS</w:t>
            </w:r>
          </w:p>
        </w:tc>
        <w:tc>
          <w:tcPr>
            <w:tcW w:w="1111" w:type="dxa"/>
            <w:vMerge w:val="restart"/>
            <w:tcBorders>
              <w:top w:val="nil"/>
              <w:left w:val="double" w:sz="6" w:space="0" w:color="auto"/>
              <w:bottom w:val="double" w:sz="6" w:space="0" w:color="000000"/>
              <w:right w:val="double" w:sz="6" w:space="0" w:color="auto"/>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90 DÍAS</w:t>
            </w:r>
          </w:p>
        </w:tc>
        <w:tc>
          <w:tcPr>
            <w:tcW w:w="1111" w:type="dxa"/>
            <w:vMerge w:val="restart"/>
            <w:tcBorders>
              <w:top w:val="nil"/>
              <w:left w:val="double" w:sz="6" w:space="0" w:color="auto"/>
              <w:bottom w:val="double" w:sz="6" w:space="0" w:color="000000"/>
              <w:right w:val="double" w:sz="6" w:space="0" w:color="auto"/>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180 DÍAS</w:t>
            </w:r>
          </w:p>
        </w:tc>
        <w:tc>
          <w:tcPr>
            <w:tcW w:w="1225" w:type="dxa"/>
            <w:vMerge w:val="restart"/>
            <w:tcBorders>
              <w:top w:val="nil"/>
              <w:left w:val="double" w:sz="6" w:space="0" w:color="auto"/>
              <w:bottom w:val="double" w:sz="6" w:space="0" w:color="000000"/>
              <w:right w:val="double" w:sz="6" w:space="0" w:color="auto"/>
            </w:tcBorders>
            <w:shd w:val="clear" w:color="auto" w:fill="auto"/>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MENOR O IGUAL A 365 DÍAS</w:t>
            </w:r>
          </w:p>
        </w:tc>
        <w:tc>
          <w:tcPr>
            <w:tcW w:w="1222" w:type="dxa"/>
            <w:vMerge w:val="restart"/>
            <w:tcBorders>
              <w:top w:val="nil"/>
              <w:left w:val="double" w:sz="6" w:space="0" w:color="auto"/>
              <w:bottom w:val="double" w:sz="6" w:space="0" w:color="000000"/>
              <w:right w:val="double" w:sz="6" w:space="0" w:color="auto"/>
            </w:tcBorders>
            <w:shd w:val="clear" w:color="auto" w:fill="auto"/>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MAYOR A 365 DÍAS</w:t>
            </w:r>
          </w:p>
        </w:tc>
        <w:tc>
          <w:tcPr>
            <w:tcW w:w="1200" w:type="dxa"/>
            <w:vMerge/>
            <w:tcBorders>
              <w:top w:val="double" w:sz="6" w:space="0" w:color="auto"/>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r>
      <w:tr w:rsidR="008F0C66" w:rsidRPr="003669CB" w:rsidTr="008F0C66">
        <w:trPr>
          <w:trHeight w:val="465"/>
          <w:jc w:val="center"/>
        </w:trPr>
        <w:tc>
          <w:tcPr>
            <w:tcW w:w="1200" w:type="dxa"/>
            <w:vMerge/>
            <w:tcBorders>
              <w:top w:val="double" w:sz="6" w:space="0" w:color="auto"/>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512" w:type="dxa"/>
            <w:vMerge/>
            <w:tcBorders>
              <w:top w:val="nil"/>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111" w:type="dxa"/>
            <w:vMerge/>
            <w:tcBorders>
              <w:top w:val="nil"/>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111" w:type="dxa"/>
            <w:vMerge/>
            <w:tcBorders>
              <w:top w:val="nil"/>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225" w:type="dxa"/>
            <w:vMerge/>
            <w:tcBorders>
              <w:top w:val="nil"/>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222" w:type="dxa"/>
            <w:vMerge/>
            <w:tcBorders>
              <w:top w:val="nil"/>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c>
          <w:tcPr>
            <w:tcW w:w="1200" w:type="dxa"/>
            <w:vMerge/>
            <w:tcBorders>
              <w:top w:val="double" w:sz="6" w:space="0" w:color="auto"/>
              <w:left w:val="double" w:sz="6" w:space="0" w:color="auto"/>
              <w:bottom w:val="double" w:sz="6" w:space="0" w:color="000000"/>
              <w:right w:val="double" w:sz="6" w:space="0" w:color="auto"/>
            </w:tcBorders>
            <w:vAlign w:val="center"/>
            <w:hideMark/>
          </w:tcPr>
          <w:p w:rsidR="008F0C66" w:rsidRPr="003669CB" w:rsidRDefault="008F0C66" w:rsidP="008F0C66">
            <w:pPr>
              <w:spacing w:after="0" w:line="240" w:lineRule="auto"/>
              <w:rPr>
                <w:rFonts w:ascii="Barlow" w:eastAsia="Times New Roman" w:hAnsi="Barlow" w:cs="Arial"/>
                <w:b/>
                <w:bCs/>
                <w:sz w:val="20"/>
                <w:szCs w:val="20"/>
                <w:lang w:eastAsia="es-MX"/>
              </w:rPr>
            </w:pPr>
          </w:p>
        </w:tc>
      </w:tr>
      <w:tr w:rsidR="008F0C66" w:rsidRPr="003669CB" w:rsidTr="008F0C66">
        <w:trPr>
          <w:trHeight w:val="330"/>
          <w:jc w:val="center"/>
        </w:trPr>
        <w:tc>
          <w:tcPr>
            <w:tcW w:w="1200" w:type="dxa"/>
            <w:tcBorders>
              <w:top w:val="nil"/>
              <w:left w:val="double" w:sz="6" w:space="0" w:color="auto"/>
              <w:bottom w:val="single" w:sz="8" w:space="0" w:color="auto"/>
              <w:right w:val="double" w:sz="6" w:space="0" w:color="auto"/>
            </w:tcBorders>
            <w:shd w:val="clear" w:color="auto" w:fill="auto"/>
            <w:noWrap/>
            <w:vAlign w:val="center"/>
            <w:hideMark/>
          </w:tcPr>
          <w:p w:rsidR="008F0C66" w:rsidRPr="003669CB" w:rsidRDefault="008F0C66" w:rsidP="008F0C66">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TOTAL</w:t>
            </w:r>
          </w:p>
        </w:tc>
        <w:tc>
          <w:tcPr>
            <w:tcW w:w="1512" w:type="dxa"/>
            <w:tcBorders>
              <w:top w:val="nil"/>
              <w:left w:val="nil"/>
              <w:bottom w:val="single" w:sz="8" w:space="0" w:color="auto"/>
              <w:right w:val="double" w:sz="6" w:space="0" w:color="auto"/>
            </w:tcBorders>
            <w:shd w:val="clear" w:color="auto" w:fill="auto"/>
            <w:noWrap/>
            <w:vAlign w:val="center"/>
            <w:hideMark/>
          </w:tcPr>
          <w:p w:rsidR="008F0C66" w:rsidRPr="003669CB" w:rsidRDefault="003A507A" w:rsidP="003A507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215</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040</w:t>
            </w:r>
            <w:r w:rsidR="008F0C66" w:rsidRPr="003669CB">
              <w:rPr>
                <w:rFonts w:ascii="Barlow" w:eastAsia="Times New Roman" w:hAnsi="Barlow" w:cs="Arial"/>
                <w:b/>
                <w:bCs/>
                <w:color w:val="000000"/>
                <w:sz w:val="20"/>
                <w:szCs w:val="20"/>
                <w:lang w:eastAsia="es-MX"/>
              </w:rPr>
              <w:t>.</w:t>
            </w:r>
            <w:r w:rsidR="00560332" w:rsidRPr="003669CB">
              <w:rPr>
                <w:rFonts w:ascii="Barlow" w:eastAsia="Times New Roman" w:hAnsi="Barlow" w:cs="Arial"/>
                <w:b/>
                <w:bCs/>
                <w:color w:val="000000"/>
                <w:sz w:val="20"/>
                <w:szCs w:val="20"/>
                <w:lang w:eastAsia="es-MX"/>
              </w:rPr>
              <w:t>8</w:t>
            </w:r>
            <w:r w:rsidRPr="003669CB">
              <w:rPr>
                <w:rFonts w:ascii="Barlow" w:eastAsia="Times New Roman" w:hAnsi="Barlow" w:cs="Arial"/>
                <w:b/>
                <w:bCs/>
                <w:color w:val="000000"/>
                <w:sz w:val="20"/>
                <w:szCs w:val="20"/>
                <w:lang w:eastAsia="es-MX"/>
              </w:rPr>
              <w:t>9</w:t>
            </w:r>
          </w:p>
        </w:tc>
        <w:tc>
          <w:tcPr>
            <w:tcW w:w="1111" w:type="dxa"/>
            <w:tcBorders>
              <w:top w:val="nil"/>
              <w:left w:val="nil"/>
              <w:bottom w:val="single" w:sz="8" w:space="0" w:color="auto"/>
              <w:right w:val="double" w:sz="6" w:space="0" w:color="auto"/>
            </w:tcBorders>
            <w:shd w:val="clear" w:color="auto" w:fill="auto"/>
            <w:noWrap/>
            <w:vAlign w:val="center"/>
            <w:hideMark/>
          </w:tcPr>
          <w:p w:rsidR="008F0C66" w:rsidRPr="003669CB" w:rsidRDefault="003A507A" w:rsidP="003A507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10</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323</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18</w:t>
            </w:r>
          </w:p>
        </w:tc>
        <w:tc>
          <w:tcPr>
            <w:tcW w:w="1111" w:type="dxa"/>
            <w:tcBorders>
              <w:top w:val="nil"/>
              <w:left w:val="nil"/>
              <w:bottom w:val="single" w:sz="8" w:space="0" w:color="auto"/>
              <w:right w:val="double" w:sz="6" w:space="0" w:color="auto"/>
            </w:tcBorders>
            <w:shd w:val="clear" w:color="auto" w:fill="auto"/>
            <w:noWrap/>
            <w:vAlign w:val="center"/>
            <w:hideMark/>
          </w:tcPr>
          <w:p w:rsidR="008F0C66" w:rsidRPr="003669CB" w:rsidRDefault="003A507A" w:rsidP="003A507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136</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783</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4</w:t>
            </w:r>
            <w:r w:rsidR="008F0C66" w:rsidRPr="003669CB">
              <w:rPr>
                <w:rFonts w:ascii="Barlow" w:eastAsia="Times New Roman" w:hAnsi="Barlow" w:cs="Arial"/>
                <w:b/>
                <w:bCs/>
                <w:color w:val="000000"/>
                <w:sz w:val="20"/>
                <w:szCs w:val="20"/>
                <w:lang w:eastAsia="es-MX"/>
              </w:rPr>
              <w:t>0</w:t>
            </w:r>
          </w:p>
        </w:tc>
        <w:tc>
          <w:tcPr>
            <w:tcW w:w="1225" w:type="dxa"/>
            <w:tcBorders>
              <w:top w:val="nil"/>
              <w:left w:val="nil"/>
              <w:bottom w:val="single" w:sz="8" w:space="0" w:color="auto"/>
              <w:right w:val="double" w:sz="6" w:space="0" w:color="auto"/>
            </w:tcBorders>
            <w:shd w:val="clear" w:color="auto" w:fill="auto"/>
            <w:noWrap/>
            <w:vAlign w:val="center"/>
            <w:hideMark/>
          </w:tcPr>
          <w:p w:rsidR="008F0C66" w:rsidRPr="003669CB" w:rsidRDefault="003A507A" w:rsidP="003A507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90,947</w:t>
            </w:r>
            <w:r w:rsidR="008F0C66" w:rsidRPr="003669CB">
              <w:rPr>
                <w:rFonts w:ascii="Barlow" w:eastAsia="Times New Roman" w:hAnsi="Barlow" w:cs="Arial"/>
                <w:b/>
                <w:bCs/>
                <w:color w:val="000000"/>
                <w:sz w:val="20"/>
                <w:szCs w:val="20"/>
                <w:lang w:eastAsia="es-MX"/>
              </w:rPr>
              <w:t>.</w:t>
            </w:r>
            <w:r w:rsidRPr="003669CB">
              <w:rPr>
                <w:rFonts w:ascii="Barlow" w:eastAsia="Times New Roman" w:hAnsi="Barlow" w:cs="Arial"/>
                <w:b/>
                <w:bCs/>
                <w:color w:val="000000"/>
                <w:sz w:val="20"/>
                <w:szCs w:val="20"/>
                <w:lang w:eastAsia="es-MX"/>
              </w:rPr>
              <w:t>48</w:t>
            </w:r>
          </w:p>
        </w:tc>
        <w:tc>
          <w:tcPr>
            <w:tcW w:w="1222" w:type="dxa"/>
            <w:tcBorders>
              <w:top w:val="nil"/>
              <w:left w:val="nil"/>
              <w:bottom w:val="single" w:sz="8" w:space="0" w:color="auto"/>
              <w:right w:val="double" w:sz="6" w:space="0" w:color="auto"/>
            </w:tcBorders>
            <w:shd w:val="clear" w:color="auto" w:fill="auto"/>
            <w:noWrap/>
            <w:vAlign w:val="center"/>
            <w:hideMark/>
          </w:tcPr>
          <w:p w:rsidR="008F0C66" w:rsidRPr="003669CB" w:rsidRDefault="008F0C66" w:rsidP="008F0C66">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0.00</w:t>
            </w:r>
          </w:p>
        </w:tc>
        <w:tc>
          <w:tcPr>
            <w:tcW w:w="1200" w:type="dxa"/>
            <w:tcBorders>
              <w:top w:val="nil"/>
              <w:left w:val="nil"/>
              <w:bottom w:val="single" w:sz="8" w:space="0" w:color="auto"/>
              <w:right w:val="double" w:sz="6" w:space="0" w:color="auto"/>
            </w:tcBorders>
            <w:shd w:val="clear" w:color="auto" w:fill="auto"/>
            <w:noWrap/>
            <w:vAlign w:val="center"/>
            <w:hideMark/>
          </w:tcPr>
          <w:p w:rsidR="008F0C66" w:rsidRPr="003669CB" w:rsidRDefault="008F0C66" w:rsidP="003A507A">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4</w:t>
            </w:r>
            <w:r w:rsidR="003A507A" w:rsidRPr="003669CB">
              <w:rPr>
                <w:rFonts w:ascii="Barlow" w:eastAsia="Times New Roman" w:hAnsi="Barlow" w:cs="Arial"/>
                <w:b/>
                <w:bCs/>
                <w:color w:val="000000"/>
                <w:sz w:val="20"/>
                <w:szCs w:val="20"/>
                <w:lang w:eastAsia="es-MX"/>
              </w:rPr>
              <w:t>53</w:t>
            </w:r>
            <w:r w:rsidRPr="003669CB">
              <w:rPr>
                <w:rFonts w:ascii="Barlow" w:eastAsia="Times New Roman" w:hAnsi="Barlow" w:cs="Arial"/>
                <w:b/>
                <w:bCs/>
                <w:color w:val="000000"/>
                <w:sz w:val="20"/>
                <w:szCs w:val="20"/>
                <w:lang w:eastAsia="es-MX"/>
              </w:rPr>
              <w:t>,</w:t>
            </w:r>
            <w:r w:rsidR="003A507A" w:rsidRPr="003669CB">
              <w:rPr>
                <w:rFonts w:ascii="Barlow" w:eastAsia="Times New Roman" w:hAnsi="Barlow" w:cs="Arial"/>
                <w:b/>
                <w:bCs/>
                <w:color w:val="000000"/>
                <w:sz w:val="20"/>
                <w:szCs w:val="20"/>
                <w:lang w:eastAsia="es-MX"/>
              </w:rPr>
              <w:t>094</w:t>
            </w:r>
            <w:r w:rsidRPr="003669CB">
              <w:rPr>
                <w:rFonts w:ascii="Barlow" w:eastAsia="Times New Roman" w:hAnsi="Barlow" w:cs="Arial"/>
                <w:b/>
                <w:bCs/>
                <w:color w:val="000000"/>
                <w:sz w:val="20"/>
                <w:szCs w:val="20"/>
                <w:lang w:eastAsia="es-MX"/>
              </w:rPr>
              <w:t>.</w:t>
            </w:r>
            <w:r w:rsidR="003A507A" w:rsidRPr="003669CB">
              <w:rPr>
                <w:rFonts w:ascii="Barlow" w:eastAsia="Times New Roman" w:hAnsi="Barlow" w:cs="Arial"/>
                <w:b/>
                <w:bCs/>
                <w:color w:val="000000"/>
                <w:sz w:val="20"/>
                <w:szCs w:val="20"/>
                <w:lang w:eastAsia="es-MX"/>
              </w:rPr>
              <w:t>9</w:t>
            </w:r>
            <w:r w:rsidR="00560332" w:rsidRPr="003669CB">
              <w:rPr>
                <w:rFonts w:ascii="Barlow" w:eastAsia="Times New Roman" w:hAnsi="Barlow" w:cs="Arial"/>
                <w:b/>
                <w:bCs/>
                <w:color w:val="000000"/>
                <w:sz w:val="20"/>
                <w:szCs w:val="20"/>
                <w:lang w:eastAsia="es-MX"/>
              </w:rPr>
              <w:t>5</w:t>
            </w:r>
          </w:p>
        </w:tc>
      </w:tr>
    </w:tbl>
    <w:p w:rsidR="003A507A" w:rsidRPr="003669CB" w:rsidRDefault="003A507A" w:rsidP="00365A3E">
      <w:pPr>
        <w:jc w:val="both"/>
        <w:rPr>
          <w:rFonts w:ascii="Barlow" w:hAnsi="Barlow" w:cs="Calibri"/>
          <w:b/>
          <w:sz w:val="20"/>
          <w:szCs w:val="20"/>
        </w:rPr>
      </w:pPr>
    </w:p>
    <w:p w:rsidR="00365A3E" w:rsidRPr="003669CB" w:rsidRDefault="00365A3E" w:rsidP="00365A3E">
      <w:pPr>
        <w:jc w:val="both"/>
        <w:rPr>
          <w:rFonts w:ascii="Barlow" w:hAnsi="Barlow" w:cs="Calibri"/>
          <w:b/>
          <w:sz w:val="20"/>
          <w:szCs w:val="20"/>
        </w:rPr>
      </w:pPr>
      <w:r w:rsidRPr="003669CB">
        <w:rPr>
          <w:rFonts w:ascii="Barlow" w:hAnsi="Barlow" w:cs="Calibri"/>
          <w:b/>
          <w:sz w:val="20"/>
          <w:szCs w:val="20"/>
        </w:rPr>
        <w:t>Retenciones y Contribuciones por Pagar a Corto Plazo</w:t>
      </w:r>
    </w:p>
    <w:p w:rsidR="00365A3E" w:rsidRDefault="00365A3E" w:rsidP="00365A3E">
      <w:pPr>
        <w:jc w:val="both"/>
        <w:rPr>
          <w:rFonts w:ascii="Barlow" w:hAnsi="Barlow" w:cs="Calibri"/>
          <w:sz w:val="20"/>
          <w:szCs w:val="20"/>
        </w:rPr>
      </w:pPr>
      <w:r w:rsidRPr="003669CB">
        <w:rPr>
          <w:rFonts w:ascii="Barlow" w:hAnsi="Barlow" w:cs="Calibri"/>
          <w:sz w:val="20"/>
          <w:szCs w:val="20"/>
        </w:rPr>
        <w:t>Los importes correspondientes a las retenciones y contribuciones por pagar al 3</w:t>
      </w:r>
      <w:r w:rsidR="00DC1CDA" w:rsidRPr="003669CB">
        <w:rPr>
          <w:rFonts w:ascii="Barlow" w:hAnsi="Barlow" w:cs="Calibri"/>
          <w:sz w:val="20"/>
          <w:szCs w:val="20"/>
        </w:rPr>
        <w:t>1</w:t>
      </w:r>
      <w:r w:rsidRPr="003669CB">
        <w:rPr>
          <w:rFonts w:ascii="Barlow" w:hAnsi="Barlow" w:cs="Calibri"/>
          <w:sz w:val="20"/>
          <w:szCs w:val="20"/>
        </w:rPr>
        <w:t xml:space="preserve"> de </w:t>
      </w:r>
      <w:r w:rsidR="003669CB" w:rsidRPr="003669CB">
        <w:rPr>
          <w:rFonts w:ascii="Barlow" w:hAnsi="Barlow" w:cs="Calibri"/>
          <w:sz w:val="20"/>
          <w:szCs w:val="20"/>
        </w:rPr>
        <w:t>marzo</w:t>
      </w:r>
      <w:r w:rsidRPr="003669CB">
        <w:rPr>
          <w:rFonts w:ascii="Barlow" w:hAnsi="Barlow" w:cs="Calibri"/>
          <w:sz w:val="20"/>
          <w:szCs w:val="20"/>
        </w:rPr>
        <w:t xml:space="preserve"> de 202</w:t>
      </w:r>
      <w:r w:rsidR="00950F5B" w:rsidRPr="003669CB">
        <w:rPr>
          <w:rFonts w:ascii="Barlow" w:hAnsi="Barlow" w:cs="Calibri"/>
          <w:sz w:val="20"/>
          <w:szCs w:val="20"/>
        </w:rPr>
        <w:t>2</w:t>
      </w:r>
      <w:r w:rsidRPr="003669CB">
        <w:rPr>
          <w:rFonts w:ascii="Barlow" w:hAnsi="Barlow" w:cs="Calibri"/>
          <w:sz w:val="20"/>
          <w:szCs w:val="20"/>
        </w:rPr>
        <w:t xml:space="preserve"> son los siguientes: </w:t>
      </w:r>
    </w:p>
    <w:p w:rsidR="003669CB" w:rsidRDefault="003669CB" w:rsidP="00365A3E">
      <w:pPr>
        <w:jc w:val="both"/>
        <w:rPr>
          <w:rFonts w:ascii="Barlow" w:hAnsi="Barlow" w:cs="Calibri"/>
          <w:sz w:val="20"/>
          <w:szCs w:val="20"/>
        </w:rPr>
      </w:pPr>
    </w:p>
    <w:p w:rsidR="003669CB" w:rsidRPr="003669CB" w:rsidRDefault="003669CB" w:rsidP="00365A3E">
      <w:pPr>
        <w:jc w:val="both"/>
        <w:rPr>
          <w:rFonts w:ascii="Barlow" w:hAnsi="Barlow" w:cs="Calibri"/>
          <w:sz w:val="20"/>
          <w:szCs w:val="20"/>
        </w:rPr>
      </w:pPr>
    </w:p>
    <w:tbl>
      <w:tblPr>
        <w:tblW w:w="10243" w:type="dxa"/>
        <w:jc w:val="center"/>
        <w:tblCellMar>
          <w:left w:w="70" w:type="dxa"/>
          <w:right w:w="70" w:type="dxa"/>
        </w:tblCellMar>
        <w:tblLook w:val="04A0" w:firstRow="1" w:lastRow="0" w:firstColumn="1" w:lastColumn="0" w:noHBand="0" w:noVBand="1"/>
      </w:tblPr>
      <w:tblGrid>
        <w:gridCol w:w="3770"/>
        <w:gridCol w:w="1238"/>
        <w:gridCol w:w="1088"/>
        <w:gridCol w:w="1069"/>
        <w:gridCol w:w="1102"/>
        <w:gridCol w:w="1302"/>
        <w:gridCol w:w="1252"/>
      </w:tblGrid>
      <w:tr w:rsidR="0032207D" w:rsidRPr="003669CB" w:rsidTr="0032207D">
        <w:trPr>
          <w:trHeight w:val="315"/>
          <w:jc w:val="center"/>
        </w:trPr>
        <w:tc>
          <w:tcPr>
            <w:tcW w:w="10243" w:type="dxa"/>
            <w:gridSpan w:val="7"/>
            <w:tcBorders>
              <w:top w:val="nil"/>
              <w:left w:val="nil"/>
              <w:bottom w:val="double" w:sz="6" w:space="0" w:color="auto"/>
              <w:right w:val="nil"/>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lastRenderedPageBreak/>
              <w:t>REPORTE DE ANTIGÜEDAD DE SALDOS AL  31 DE MARZO DE 2022</w:t>
            </w:r>
          </w:p>
        </w:tc>
      </w:tr>
      <w:tr w:rsidR="0032207D" w:rsidRPr="003669CB" w:rsidTr="0032207D">
        <w:trPr>
          <w:trHeight w:val="330"/>
          <w:jc w:val="center"/>
        </w:trPr>
        <w:tc>
          <w:tcPr>
            <w:tcW w:w="3770" w:type="dxa"/>
            <w:vMerge w:val="restart"/>
            <w:tcBorders>
              <w:top w:val="nil"/>
              <w:left w:val="double" w:sz="6" w:space="0" w:color="auto"/>
              <w:bottom w:val="single" w:sz="8" w:space="0" w:color="000000"/>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N O M B R E  </w:t>
            </w:r>
          </w:p>
        </w:tc>
        <w:tc>
          <w:tcPr>
            <w:tcW w:w="5374" w:type="dxa"/>
            <w:gridSpan w:val="5"/>
            <w:tcBorders>
              <w:top w:val="double" w:sz="6" w:space="0" w:color="auto"/>
              <w:left w:val="nil"/>
              <w:bottom w:val="single" w:sz="8" w:space="0" w:color="auto"/>
              <w:right w:val="single" w:sz="8" w:space="0" w:color="000000"/>
            </w:tcBorders>
            <w:shd w:val="clear" w:color="auto" w:fill="auto"/>
            <w:noWrap/>
            <w:vAlign w:val="center"/>
            <w:hideMark/>
          </w:tcPr>
          <w:p w:rsidR="0032207D" w:rsidRPr="003669CB" w:rsidRDefault="0032207D" w:rsidP="0032207D">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A N T I G Ü E D A D</w:t>
            </w:r>
          </w:p>
        </w:tc>
        <w:tc>
          <w:tcPr>
            <w:tcW w:w="1099" w:type="dxa"/>
            <w:vMerge w:val="restart"/>
            <w:tcBorders>
              <w:top w:val="nil"/>
              <w:left w:val="nil"/>
              <w:bottom w:val="single" w:sz="8" w:space="0" w:color="000000"/>
              <w:right w:val="double" w:sz="6"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TOTAL </w:t>
            </w:r>
          </w:p>
        </w:tc>
      </w:tr>
      <w:tr w:rsidR="0032207D" w:rsidRPr="003669CB" w:rsidTr="0032207D">
        <w:trPr>
          <w:trHeight w:val="450"/>
          <w:jc w:val="center"/>
        </w:trPr>
        <w:tc>
          <w:tcPr>
            <w:tcW w:w="3770" w:type="dxa"/>
            <w:vMerge/>
            <w:tcBorders>
              <w:top w:val="nil"/>
              <w:left w:val="double" w:sz="6"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color w:val="000000"/>
                <w:sz w:val="20"/>
                <w:szCs w:val="20"/>
                <w:lang w:eastAsia="es-MX"/>
              </w:rPr>
            </w:pPr>
          </w:p>
        </w:tc>
        <w:tc>
          <w:tcPr>
            <w:tcW w:w="1191" w:type="dxa"/>
            <w:vMerge w:val="restart"/>
            <w:tcBorders>
              <w:top w:val="nil"/>
              <w:left w:val="single" w:sz="8" w:space="0" w:color="auto"/>
              <w:bottom w:val="single" w:sz="8" w:space="0" w:color="000000"/>
              <w:right w:val="single" w:sz="8" w:space="0" w:color="auto"/>
            </w:tcBorders>
            <w:shd w:val="clear" w:color="auto" w:fill="auto"/>
            <w:vAlign w:val="center"/>
            <w:hideMark/>
          </w:tcPr>
          <w:p w:rsidR="0032207D" w:rsidRPr="003669CB" w:rsidRDefault="0032207D" w:rsidP="0032207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MENOS DE 90 DÍAS</w:t>
            </w:r>
          </w:p>
        </w:tc>
        <w:tc>
          <w:tcPr>
            <w:tcW w:w="1020" w:type="dxa"/>
            <w:vMerge w:val="restart"/>
            <w:tcBorders>
              <w:top w:val="nil"/>
              <w:left w:val="single" w:sz="8" w:space="0" w:color="auto"/>
              <w:bottom w:val="single" w:sz="8" w:space="0" w:color="000000"/>
              <w:right w:val="single" w:sz="8" w:space="0" w:color="auto"/>
            </w:tcBorders>
            <w:shd w:val="clear" w:color="auto" w:fill="auto"/>
            <w:vAlign w:val="center"/>
            <w:hideMark/>
          </w:tcPr>
          <w:p w:rsidR="0032207D" w:rsidRPr="003669CB" w:rsidRDefault="0032207D" w:rsidP="0032207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90 DÍAS</w:t>
            </w:r>
          </w:p>
        </w:tc>
        <w:tc>
          <w:tcPr>
            <w:tcW w:w="1010" w:type="dxa"/>
            <w:vMerge w:val="restart"/>
            <w:tcBorders>
              <w:top w:val="nil"/>
              <w:left w:val="single" w:sz="8" w:space="0" w:color="auto"/>
              <w:bottom w:val="single" w:sz="8" w:space="0" w:color="000000"/>
              <w:right w:val="single" w:sz="8" w:space="0" w:color="auto"/>
            </w:tcBorders>
            <w:shd w:val="clear" w:color="auto" w:fill="auto"/>
            <w:vAlign w:val="center"/>
            <w:hideMark/>
          </w:tcPr>
          <w:p w:rsidR="0032207D" w:rsidRPr="003669CB" w:rsidRDefault="0032207D" w:rsidP="0032207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180 DÍAS</w:t>
            </w:r>
          </w:p>
        </w:tc>
        <w:tc>
          <w:tcPr>
            <w:tcW w:w="1002" w:type="dxa"/>
            <w:vMerge w:val="restart"/>
            <w:tcBorders>
              <w:top w:val="nil"/>
              <w:left w:val="single" w:sz="8" w:space="0" w:color="auto"/>
              <w:bottom w:val="single" w:sz="8" w:space="0" w:color="000000"/>
              <w:right w:val="single" w:sz="8" w:space="0" w:color="auto"/>
            </w:tcBorders>
            <w:shd w:val="clear" w:color="auto" w:fill="auto"/>
            <w:vAlign w:val="center"/>
            <w:hideMark/>
          </w:tcPr>
          <w:p w:rsidR="0032207D" w:rsidRPr="003669CB" w:rsidRDefault="0032207D" w:rsidP="0032207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MENOR O IGUAL A 365 DÍAS</w:t>
            </w:r>
          </w:p>
        </w:tc>
        <w:tc>
          <w:tcPr>
            <w:tcW w:w="1151" w:type="dxa"/>
            <w:vMerge w:val="restart"/>
            <w:tcBorders>
              <w:top w:val="nil"/>
              <w:left w:val="single" w:sz="8" w:space="0" w:color="auto"/>
              <w:bottom w:val="single" w:sz="8" w:space="0" w:color="000000"/>
              <w:right w:val="single" w:sz="8" w:space="0" w:color="auto"/>
            </w:tcBorders>
            <w:shd w:val="clear" w:color="auto" w:fill="auto"/>
            <w:vAlign w:val="center"/>
            <w:hideMark/>
          </w:tcPr>
          <w:p w:rsidR="0032207D" w:rsidRPr="003669CB" w:rsidRDefault="0032207D" w:rsidP="0032207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MAYOR A 365 DÍAS</w:t>
            </w:r>
          </w:p>
        </w:tc>
        <w:tc>
          <w:tcPr>
            <w:tcW w:w="1099" w:type="dxa"/>
            <w:vMerge/>
            <w:tcBorders>
              <w:top w:val="nil"/>
              <w:left w:val="nil"/>
              <w:bottom w:val="single" w:sz="8" w:space="0" w:color="000000"/>
              <w:right w:val="double" w:sz="6" w:space="0" w:color="auto"/>
            </w:tcBorders>
            <w:vAlign w:val="center"/>
            <w:hideMark/>
          </w:tcPr>
          <w:p w:rsidR="0032207D" w:rsidRPr="003669CB" w:rsidRDefault="0032207D" w:rsidP="0032207D">
            <w:pPr>
              <w:spacing w:after="0" w:line="240" w:lineRule="auto"/>
              <w:rPr>
                <w:rFonts w:ascii="Barlow" w:eastAsia="Times New Roman" w:hAnsi="Barlow" w:cs="Arial"/>
                <w:b/>
                <w:bCs/>
                <w:color w:val="000000"/>
                <w:sz w:val="20"/>
                <w:szCs w:val="20"/>
                <w:lang w:eastAsia="es-MX"/>
              </w:rPr>
            </w:pPr>
          </w:p>
        </w:tc>
      </w:tr>
      <w:tr w:rsidR="0032207D" w:rsidRPr="003669CB" w:rsidTr="0032207D">
        <w:trPr>
          <w:trHeight w:val="315"/>
          <w:jc w:val="center"/>
        </w:trPr>
        <w:tc>
          <w:tcPr>
            <w:tcW w:w="3770" w:type="dxa"/>
            <w:vMerge/>
            <w:tcBorders>
              <w:top w:val="nil"/>
              <w:left w:val="double" w:sz="6"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color w:val="000000"/>
                <w:sz w:val="20"/>
                <w:szCs w:val="20"/>
                <w:lang w:eastAsia="es-MX"/>
              </w:rPr>
            </w:pPr>
          </w:p>
        </w:tc>
        <w:tc>
          <w:tcPr>
            <w:tcW w:w="1191" w:type="dxa"/>
            <w:vMerge/>
            <w:tcBorders>
              <w:top w:val="nil"/>
              <w:left w:val="single" w:sz="8"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sz w:val="20"/>
                <w:szCs w:val="20"/>
                <w:lang w:eastAsia="es-MX"/>
              </w:rPr>
            </w:pPr>
          </w:p>
        </w:tc>
        <w:tc>
          <w:tcPr>
            <w:tcW w:w="1020" w:type="dxa"/>
            <w:vMerge/>
            <w:tcBorders>
              <w:top w:val="nil"/>
              <w:left w:val="single" w:sz="8"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sz w:val="20"/>
                <w:szCs w:val="20"/>
                <w:lang w:eastAsia="es-MX"/>
              </w:rPr>
            </w:pPr>
          </w:p>
        </w:tc>
        <w:tc>
          <w:tcPr>
            <w:tcW w:w="1010" w:type="dxa"/>
            <w:vMerge/>
            <w:tcBorders>
              <w:top w:val="nil"/>
              <w:left w:val="single" w:sz="8"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sz w:val="20"/>
                <w:szCs w:val="20"/>
                <w:lang w:eastAsia="es-MX"/>
              </w:rPr>
            </w:pPr>
          </w:p>
        </w:tc>
        <w:tc>
          <w:tcPr>
            <w:tcW w:w="1002" w:type="dxa"/>
            <w:vMerge/>
            <w:tcBorders>
              <w:top w:val="nil"/>
              <w:left w:val="single" w:sz="8"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sz w:val="20"/>
                <w:szCs w:val="20"/>
                <w:lang w:eastAsia="es-MX"/>
              </w:rPr>
            </w:pPr>
          </w:p>
        </w:tc>
        <w:tc>
          <w:tcPr>
            <w:tcW w:w="1151" w:type="dxa"/>
            <w:vMerge/>
            <w:tcBorders>
              <w:top w:val="nil"/>
              <w:left w:val="single" w:sz="8" w:space="0" w:color="auto"/>
              <w:bottom w:val="single" w:sz="8" w:space="0" w:color="000000"/>
              <w:right w:val="single" w:sz="8" w:space="0" w:color="auto"/>
            </w:tcBorders>
            <w:vAlign w:val="center"/>
            <w:hideMark/>
          </w:tcPr>
          <w:p w:rsidR="0032207D" w:rsidRPr="003669CB" w:rsidRDefault="0032207D" w:rsidP="0032207D">
            <w:pPr>
              <w:spacing w:after="0" w:line="240" w:lineRule="auto"/>
              <w:rPr>
                <w:rFonts w:ascii="Barlow" w:eastAsia="Times New Roman" w:hAnsi="Barlow" w:cs="Arial"/>
                <w:b/>
                <w:bCs/>
                <w:sz w:val="20"/>
                <w:szCs w:val="20"/>
                <w:lang w:eastAsia="es-MX"/>
              </w:rPr>
            </w:pPr>
          </w:p>
        </w:tc>
        <w:tc>
          <w:tcPr>
            <w:tcW w:w="1099" w:type="dxa"/>
            <w:vMerge/>
            <w:tcBorders>
              <w:top w:val="nil"/>
              <w:left w:val="nil"/>
              <w:bottom w:val="single" w:sz="8" w:space="0" w:color="000000"/>
              <w:right w:val="double" w:sz="6" w:space="0" w:color="auto"/>
            </w:tcBorders>
            <w:vAlign w:val="center"/>
            <w:hideMark/>
          </w:tcPr>
          <w:p w:rsidR="0032207D" w:rsidRPr="003669CB" w:rsidRDefault="0032207D" w:rsidP="0032207D">
            <w:pPr>
              <w:spacing w:after="0" w:line="240" w:lineRule="auto"/>
              <w:rPr>
                <w:rFonts w:ascii="Barlow" w:eastAsia="Times New Roman" w:hAnsi="Barlow" w:cs="Arial"/>
                <w:b/>
                <w:bCs/>
                <w:color w:val="000000"/>
                <w:sz w:val="20"/>
                <w:szCs w:val="20"/>
                <w:lang w:eastAsia="es-MX"/>
              </w:rPr>
            </w:pP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ISR</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396,245.23</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396,245.23</w:t>
            </w:r>
          </w:p>
        </w:tc>
      </w:tr>
      <w:tr w:rsidR="0032207D" w:rsidRPr="003669CB" w:rsidTr="0032207D">
        <w:trPr>
          <w:trHeight w:val="315"/>
          <w:jc w:val="center"/>
        </w:trPr>
        <w:tc>
          <w:tcPr>
            <w:tcW w:w="3770" w:type="dxa"/>
            <w:tcBorders>
              <w:top w:val="nil"/>
              <w:left w:val="double" w:sz="6" w:space="0" w:color="auto"/>
              <w:bottom w:val="nil"/>
              <w:right w:val="single" w:sz="8" w:space="0" w:color="auto"/>
            </w:tcBorders>
            <w:shd w:val="clear" w:color="auto" w:fill="auto"/>
            <w:noWrap/>
            <w:vAlign w:val="center"/>
            <w:hideMark/>
          </w:tcPr>
          <w:p w:rsidR="0032207D" w:rsidRPr="003669CB" w:rsidRDefault="0032207D" w:rsidP="0032207D">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RETENCIÓN 8% ISSTEY POR ENTERAR</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303,213.05</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156,829.91</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165,127.29</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625,170.25</w:t>
            </w:r>
          </w:p>
        </w:tc>
      </w:tr>
      <w:tr w:rsidR="0032207D" w:rsidRPr="003669CB" w:rsidTr="0032207D">
        <w:trPr>
          <w:trHeight w:val="315"/>
          <w:jc w:val="center"/>
        </w:trPr>
        <w:tc>
          <w:tcPr>
            <w:tcW w:w="37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PRÉSTAMO ISSTEY</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316,574.86</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255,505.99</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1,203.14</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573,283.99</w:t>
            </w: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ISR ASIMILABLES</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4,130.90</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4,130.90</w:t>
            </w: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ISR SERVICIOS</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7,082.76</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7,082.76</w:t>
            </w: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4% SOBRE NÓMINA</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107,731.00</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706,775.00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3,045,353.00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3,859,859.00</w:t>
            </w: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CUOTA 13.75% ISSTEY</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536,513.05</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269,551.36</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254,770.79</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1,060,835.20</w:t>
            </w:r>
          </w:p>
        </w:tc>
      </w:tr>
      <w:tr w:rsidR="0032207D" w:rsidRPr="003669CB" w:rsidTr="0032207D">
        <w:trPr>
          <w:trHeight w:val="315"/>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PRÉSTAMO FINANCIERA</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0.00</w:t>
            </w:r>
          </w:p>
        </w:tc>
      </w:tr>
      <w:tr w:rsidR="0032207D" w:rsidRPr="003669CB" w:rsidTr="0032207D">
        <w:trPr>
          <w:trHeight w:val="373"/>
          <w:jc w:val="center"/>
        </w:trPr>
        <w:tc>
          <w:tcPr>
            <w:tcW w:w="3770" w:type="dxa"/>
            <w:tcBorders>
              <w:top w:val="nil"/>
              <w:left w:val="double" w:sz="6" w:space="0" w:color="auto"/>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both"/>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APORTACIÓN PENSIÓN 8% POR PAGAR ISSTEY</w:t>
            </w:r>
          </w:p>
        </w:tc>
        <w:tc>
          <w:tcPr>
            <w:tcW w:w="119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1,627.48</w:t>
            </w:r>
          </w:p>
        </w:tc>
        <w:tc>
          <w:tcPr>
            <w:tcW w:w="102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10"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02"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151" w:type="dxa"/>
            <w:tcBorders>
              <w:top w:val="nil"/>
              <w:left w:val="nil"/>
              <w:bottom w:val="single" w:sz="8"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1,627.48</w:t>
            </w:r>
          </w:p>
        </w:tc>
      </w:tr>
      <w:tr w:rsidR="0032207D" w:rsidRPr="003669CB" w:rsidTr="0032207D">
        <w:trPr>
          <w:trHeight w:val="315"/>
          <w:jc w:val="center"/>
        </w:trPr>
        <w:tc>
          <w:tcPr>
            <w:tcW w:w="3770" w:type="dxa"/>
            <w:tcBorders>
              <w:top w:val="nil"/>
              <w:left w:val="double" w:sz="6" w:space="0" w:color="auto"/>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PRÉSTAMO FINANCIERA SLC</w:t>
            </w:r>
          </w:p>
        </w:tc>
        <w:tc>
          <w:tcPr>
            <w:tcW w:w="1191"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9,729.60</w:t>
            </w:r>
          </w:p>
        </w:tc>
        <w:tc>
          <w:tcPr>
            <w:tcW w:w="1020"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10"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02"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151"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w:t>
            </w:r>
          </w:p>
        </w:tc>
        <w:tc>
          <w:tcPr>
            <w:tcW w:w="1099" w:type="dxa"/>
            <w:tcBorders>
              <w:top w:val="nil"/>
              <w:left w:val="nil"/>
              <w:bottom w:val="single" w:sz="8" w:space="0" w:color="auto"/>
              <w:right w:val="double" w:sz="6"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9,729.60</w:t>
            </w:r>
          </w:p>
        </w:tc>
      </w:tr>
      <w:tr w:rsidR="0032207D" w:rsidRPr="003669CB" w:rsidTr="0032207D">
        <w:trPr>
          <w:trHeight w:val="330"/>
          <w:jc w:val="center"/>
        </w:trPr>
        <w:tc>
          <w:tcPr>
            <w:tcW w:w="3770" w:type="dxa"/>
            <w:tcBorders>
              <w:top w:val="nil"/>
              <w:left w:val="double" w:sz="6" w:space="0" w:color="auto"/>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TOTAL</w:t>
            </w:r>
          </w:p>
        </w:tc>
        <w:tc>
          <w:tcPr>
            <w:tcW w:w="1191"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1,682,847.93</w:t>
            </w:r>
          </w:p>
        </w:tc>
        <w:tc>
          <w:tcPr>
            <w:tcW w:w="1020"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681,887.26</w:t>
            </w:r>
          </w:p>
        </w:tc>
        <w:tc>
          <w:tcPr>
            <w:tcW w:w="1010"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421,101.22</w:t>
            </w:r>
          </w:p>
        </w:tc>
        <w:tc>
          <w:tcPr>
            <w:tcW w:w="1002"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706,775.00</w:t>
            </w:r>
          </w:p>
        </w:tc>
        <w:tc>
          <w:tcPr>
            <w:tcW w:w="1151"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3,045,353.00</w:t>
            </w:r>
          </w:p>
        </w:tc>
        <w:tc>
          <w:tcPr>
            <w:tcW w:w="1099" w:type="dxa"/>
            <w:tcBorders>
              <w:top w:val="nil"/>
              <w:left w:val="nil"/>
              <w:bottom w:val="double" w:sz="6" w:space="0" w:color="auto"/>
              <w:right w:val="single" w:sz="8" w:space="0" w:color="auto"/>
            </w:tcBorders>
            <w:shd w:val="clear" w:color="auto" w:fill="auto"/>
            <w:noWrap/>
            <w:vAlign w:val="center"/>
            <w:hideMark/>
          </w:tcPr>
          <w:p w:rsidR="0032207D" w:rsidRPr="003669CB" w:rsidRDefault="0032207D" w:rsidP="0032207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6,537,964.41</w:t>
            </w:r>
          </w:p>
        </w:tc>
      </w:tr>
    </w:tbl>
    <w:p w:rsidR="00365A3E" w:rsidRPr="003669CB" w:rsidRDefault="00365A3E" w:rsidP="006F3019">
      <w:pPr>
        <w:spacing w:line="240" w:lineRule="auto"/>
        <w:rPr>
          <w:rFonts w:ascii="Barlow" w:hAnsi="Barlow" w:cs="Arial"/>
          <w:b/>
          <w:sz w:val="20"/>
          <w:szCs w:val="20"/>
        </w:rPr>
      </w:pPr>
    </w:p>
    <w:p w:rsidR="00D521C6" w:rsidRPr="003669CB" w:rsidRDefault="00D521C6" w:rsidP="00D521C6">
      <w:pPr>
        <w:jc w:val="both"/>
        <w:rPr>
          <w:rFonts w:ascii="Barlow" w:hAnsi="Barlow" w:cs="Calibri"/>
          <w:b/>
          <w:sz w:val="20"/>
          <w:szCs w:val="20"/>
        </w:rPr>
      </w:pPr>
      <w:r w:rsidRPr="003669CB">
        <w:rPr>
          <w:rFonts w:ascii="Barlow" w:hAnsi="Barlow" w:cs="Calibri"/>
          <w:b/>
          <w:sz w:val="20"/>
          <w:szCs w:val="20"/>
        </w:rPr>
        <w:t xml:space="preserve">Otras Cuentas por Pagar a corto plazo  </w:t>
      </w:r>
    </w:p>
    <w:p w:rsidR="00D521C6" w:rsidRDefault="00D521C6" w:rsidP="00D521C6">
      <w:pPr>
        <w:jc w:val="both"/>
        <w:rPr>
          <w:rFonts w:ascii="Barlow" w:hAnsi="Barlow" w:cs="Calibri"/>
          <w:sz w:val="20"/>
          <w:szCs w:val="20"/>
        </w:rPr>
      </w:pPr>
      <w:r w:rsidRPr="003669CB">
        <w:rPr>
          <w:rFonts w:ascii="Barlow" w:hAnsi="Barlow" w:cs="Calibri"/>
          <w:sz w:val="20"/>
          <w:szCs w:val="20"/>
        </w:rPr>
        <w:t xml:space="preserve">El saldo corresponde por concepto de retención por pensión alimenticia </w:t>
      </w:r>
      <w:r w:rsidR="00194117" w:rsidRPr="003669CB">
        <w:rPr>
          <w:rFonts w:ascii="Barlow" w:hAnsi="Barlow" w:cs="Calibri"/>
          <w:sz w:val="20"/>
          <w:szCs w:val="20"/>
        </w:rPr>
        <w:t>al</w:t>
      </w:r>
      <w:r w:rsidR="00181665" w:rsidRPr="003669CB">
        <w:rPr>
          <w:rFonts w:ascii="Barlow" w:hAnsi="Barlow" w:cs="Calibri"/>
          <w:sz w:val="20"/>
          <w:szCs w:val="20"/>
        </w:rPr>
        <w:t xml:space="preserve"> mes de </w:t>
      </w:r>
      <w:r w:rsidR="003669CB" w:rsidRPr="003669CB">
        <w:rPr>
          <w:rFonts w:ascii="Barlow" w:hAnsi="Barlow" w:cs="Calibri"/>
          <w:sz w:val="20"/>
          <w:szCs w:val="20"/>
        </w:rPr>
        <w:t>marzo</w:t>
      </w:r>
      <w:r w:rsidRPr="003669CB">
        <w:rPr>
          <w:rFonts w:ascii="Barlow" w:hAnsi="Barlow" w:cs="Calibri"/>
          <w:sz w:val="20"/>
          <w:szCs w:val="20"/>
        </w:rPr>
        <w:t xml:space="preserve"> </w:t>
      </w:r>
      <w:r w:rsidR="00181665" w:rsidRPr="003669CB">
        <w:rPr>
          <w:rFonts w:ascii="Barlow" w:hAnsi="Barlow" w:cs="Calibri"/>
          <w:sz w:val="20"/>
          <w:szCs w:val="20"/>
        </w:rPr>
        <w:t>202</w:t>
      </w:r>
      <w:r w:rsidR="003F7101" w:rsidRPr="003669CB">
        <w:rPr>
          <w:rFonts w:ascii="Barlow" w:hAnsi="Barlow" w:cs="Calibri"/>
          <w:sz w:val="20"/>
          <w:szCs w:val="20"/>
        </w:rPr>
        <w:t>2</w:t>
      </w:r>
      <w:r w:rsidR="00181665" w:rsidRPr="003669CB">
        <w:rPr>
          <w:rFonts w:ascii="Barlow" w:hAnsi="Barlow" w:cs="Calibri"/>
          <w:sz w:val="20"/>
          <w:szCs w:val="20"/>
        </w:rPr>
        <w:t xml:space="preserve"> por un importe de $</w:t>
      </w:r>
      <w:r w:rsidR="00D3183C" w:rsidRPr="003669CB">
        <w:rPr>
          <w:rFonts w:ascii="Barlow" w:hAnsi="Barlow" w:cs="Calibri"/>
          <w:sz w:val="20"/>
          <w:szCs w:val="20"/>
        </w:rPr>
        <w:t>3</w:t>
      </w:r>
      <w:r w:rsidR="003F7101" w:rsidRPr="003669CB">
        <w:rPr>
          <w:rFonts w:ascii="Barlow" w:hAnsi="Barlow" w:cs="Calibri"/>
          <w:sz w:val="20"/>
          <w:szCs w:val="20"/>
        </w:rPr>
        <w:t>,</w:t>
      </w:r>
      <w:r w:rsidR="00D3183C" w:rsidRPr="003669CB">
        <w:rPr>
          <w:rFonts w:ascii="Barlow" w:hAnsi="Barlow" w:cs="Calibri"/>
          <w:sz w:val="20"/>
          <w:szCs w:val="20"/>
        </w:rPr>
        <w:t>891</w:t>
      </w:r>
      <w:r w:rsidR="00B66736" w:rsidRPr="003669CB">
        <w:rPr>
          <w:rFonts w:ascii="Barlow" w:hAnsi="Barlow" w:cs="Calibri"/>
          <w:sz w:val="20"/>
          <w:szCs w:val="20"/>
        </w:rPr>
        <w:t>.</w:t>
      </w:r>
      <w:r w:rsidR="00D3183C" w:rsidRPr="003669CB">
        <w:rPr>
          <w:rFonts w:ascii="Barlow" w:hAnsi="Barlow" w:cs="Calibri"/>
          <w:sz w:val="20"/>
          <w:szCs w:val="20"/>
        </w:rPr>
        <w:t>54</w:t>
      </w:r>
      <w:r w:rsidRPr="003669CB">
        <w:rPr>
          <w:rFonts w:ascii="Barlow" w:hAnsi="Barlow" w:cs="Calibri"/>
          <w:sz w:val="20"/>
          <w:szCs w:val="20"/>
        </w:rPr>
        <w:t xml:space="preserve">   </w:t>
      </w:r>
    </w:p>
    <w:p w:rsidR="003669CB" w:rsidRDefault="003669CB" w:rsidP="00D521C6">
      <w:pPr>
        <w:jc w:val="both"/>
        <w:rPr>
          <w:rFonts w:ascii="Barlow" w:hAnsi="Barlow" w:cs="Calibri"/>
          <w:sz w:val="20"/>
          <w:szCs w:val="20"/>
        </w:rPr>
      </w:pPr>
    </w:p>
    <w:p w:rsidR="003669CB" w:rsidRPr="003669CB" w:rsidRDefault="003669CB" w:rsidP="00D521C6">
      <w:pPr>
        <w:jc w:val="both"/>
        <w:rPr>
          <w:rFonts w:ascii="Barlow" w:hAnsi="Barlow" w:cs="Calibri"/>
          <w:sz w:val="20"/>
          <w:szCs w:val="20"/>
        </w:rPr>
      </w:pPr>
    </w:p>
    <w:p w:rsidR="00B0010B" w:rsidRPr="003669CB" w:rsidRDefault="00B0010B" w:rsidP="00B0010B">
      <w:pPr>
        <w:pStyle w:val="Prrafodelista"/>
        <w:numPr>
          <w:ilvl w:val="0"/>
          <w:numId w:val="5"/>
        </w:numPr>
        <w:ind w:left="567" w:hanging="567"/>
        <w:rPr>
          <w:rFonts w:ascii="Barlow" w:hAnsi="Barlow"/>
          <w:b/>
          <w:sz w:val="20"/>
          <w:szCs w:val="20"/>
        </w:rPr>
      </w:pPr>
      <w:r w:rsidRPr="003669CB">
        <w:rPr>
          <w:rFonts w:ascii="Barlow" w:hAnsi="Barlow"/>
          <w:b/>
          <w:sz w:val="20"/>
          <w:szCs w:val="20"/>
        </w:rPr>
        <w:lastRenderedPageBreak/>
        <w:t>NOTAS AL ESTADO DE ACTIVIDADES</w:t>
      </w:r>
    </w:p>
    <w:p w:rsidR="00B0010B" w:rsidRPr="003669CB" w:rsidRDefault="00B0010B" w:rsidP="00B0010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Ingresos de Gestión.</w:t>
      </w:r>
    </w:p>
    <w:p w:rsidR="00B0010B" w:rsidRPr="003669CB" w:rsidRDefault="00B0010B" w:rsidP="00B0010B">
      <w:pPr>
        <w:spacing w:after="0" w:line="240" w:lineRule="auto"/>
        <w:ind w:left="360"/>
        <w:jc w:val="both"/>
        <w:rPr>
          <w:rFonts w:ascii="Barlow" w:eastAsia="Times New Roman" w:hAnsi="Barlow" w:cs="Times New Roman"/>
          <w:sz w:val="20"/>
          <w:szCs w:val="20"/>
          <w:lang w:eastAsia="es-ES"/>
        </w:rPr>
      </w:pPr>
    </w:p>
    <w:p w:rsidR="00691A22" w:rsidRPr="003669CB" w:rsidRDefault="00B0010B" w:rsidP="00F71CF2">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Ingresos por venta de bienes y prestación de servicios.</w:t>
      </w:r>
      <w:r w:rsidR="006A7192" w:rsidRPr="003669CB">
        <w:rPr>
          <w:rFonts w:ascii="Barlow" w:eastAsia="Times New Roman" w:hAnsi="Barlow" w:cs="Times New Roman"/>
          <w:b/>
          <w:sz w:val="20"/>
          <w:szCs w:val="20"/>
          <w:lang w:eastAsia="es-ES"/>
        </w:rPr>
        <w:t xml:space="preserve"> </w:t>
      </w:r>
      <w:r w:rsidR="00F44678" w:rsidRPr="003669CB">
        <w:rPr>
          <w:rFonts w:ascii="Barlow" w:eastAsia="Times New Roman" w:hAnsi="Barlow" w:cs="Times New Roman"/>
          <w:sz w:val="20"/>
          <w:szCs w:val="20"/>
          <w:lang w:eastAsia="es-ES"/>
        </w:rPr>
        <w:t xml:space="preserve">Generalmente por inscripciones, examen de admisión, titulación, etc. </w:t>
      </w:r>
      <w:r w:rsidR="007247D4" w:rsidRPr="003669CB">
        <w:rPr>
          <w:rFonts w:ascii="Barlow" w:eastAsia="Times New Roman" w:hAnsi="Barlow" w:cs="Times New Roman"/>
          <w:sz w:val="20"/>
          <w:szCs w:val="20"/>
          <w:lang w:eastAsia="es-ES"/>
        </w:rPr>
        <w:t>a</w:t>
      </w:r>
      <w:r w:rsidRPr="003669CB">
        <w:rPr>
          <w:rFonts w:ascii="Barlow" w:eastAsia="Times New Roman" w:hAnsi="Barlow" w:cs="Times New Roman"/>
          <w:sz w:val="20"/>
          <w:szCs w:val="20"/>
          <w:lang w:eastAsia="es-ES"/>
        </w:rPr>
        <w:t xml:space="preserve">l </w:t>
      </w:r>
      <w:r w:rsidR="00ED3C77" w:rsidRPr="003669CB">
        <w:rPr>
          <w:rFonts w:ascii="Barlow" w:eastAsia="Times New Roman" w:hAnsi="Barlow" w:cs="Times New Roman"/>
          <w:sz w:val="20"/>
          <w:szCs w:val="20"/>
          <w:lang w:eastAsia="es-ES"/>
        </w:rPr>
        <w:t>3</w:t>
      </w:r>
      <w:r w:rsidR="00B66736" w:rsidRPr="003669CB">
        <w:rPr>
          <w:rFonts w:ascii="Barlow" w:eastAsia="Times New Roman" w:hAnsi="Barlow" w:cs="Times New Roman"/>
          <w:sz w:val="20"/>
          <w:szCs w:val="20"/>
          <w:lang w:eastAsia="es-ES"/>
        </w:rPr>
        <w:t>1</w:t>
      </w:r>
      <w:r w:rsidR="00F71CF2" w:rsidRPr="003669CB">
        <w:rPr>
          <w:rFonts w:ascii="Barlow" w:eastAsia="Times New Roman" w:hAnsi="Barlow" w:cs="Times New Roman"/>
          <w:sz w:val="20"/>
          <w:szCs w:val="20"/>
          <w:lang w:eastAsia="es-ES"/>
        </w:rPr>
        <w:t xml:space="preserve"> de </w:t>
      </w:r>
      <w:r w:rsidR="003669CB" w:rsidRPr="003669CB">
        <w:rPr>
          <w:rFonts w:ascii="Barlow" w:eastAsia="Times New Roman" w:hAnsi="Barlow" w:cs="Times New Roman"/>
          <w:sz w:val="20"/>
          <w:szCs w:val="20"/>
          <w:lang w:eastAsia="es-ES"/>
        </w:rPr>
        <w:t>marzo</w:t>
      </w:r>
      <w:r w:rsidR="00691A22" w:rsidRPr="003669CB">
        <w:rPr>
          <w:rFonts w:ascii="Barlow" w:eastAsia="Times New Roman" w:hAnsi="Barlow" w:cs="Times New Roman"/>
          <w:sz w:val="20"/>
          <w:szCs w:val="20"/>
          <w:lang w:eastAsia="es-ES"/>
        </w:rPr>
        <w:t xml:space="preserve"> de</w:t>
      </w:r>
      <w:r w:rsidR="00C6564A" w:rsidRPr="003669CB">
        <w:rPr>
          <w:rFonts w:ascii="Barlow" w:eastAsia="Times New Roman" w:hAnsi="Barlow" w:cs="Times New Roman"/>
          <w:sz w:val="20"/>
          <w:szCs w:val="20"/>
          <w:lang w:eastAsia="es-ES"/>
        </w:rPr>
        <w:t xml:space="preserve"> 202</w:t>
      </w:r>
      <w:r w:rsidR="003F7101" w:rsidRPr="003669CB">
        <w:rPr>
          <w:rFonts w:ascii="Barlow" w:eastAsia="Times New Roman" w:hAnsi="Barlow" w:cs="Times New Roman"/>
          <w:sz w:val="20"/>
          <w:szCs w:val="20"/>
          <w:lang w:eastAsia="es-ES"/>
        </w:rPr>
        <w:t>2</w:t>
      </w:r>
      <w:r w:rsidR="00660E2F" w:rsidRPr="003669CB">
        <w:rPr>
          <w:rFonts w:ascii="Barlow" w:eastAsia="Times New Roman" w:hAnsi="Barlow" w:cs="Times New Roman"/>
          <w:sz w:val="20"/>
          <w:szCs w:val="20"/>
          <w:lang w:eastAsia="es-ES"/>
        </w:rPr>
        <w:t xml:space="preserve"> se registraron $</w:t>
      </w:r>
      <w:r w:rsidR="00F71CF2" w:rsidRPr="003669CB">
        <w:rPr>
          <w:rFonts w:ascii="Barlow" w:hAnsi="Barlow"/>
          <w:sz w:val="20"/>
          <w:szCs w:val="20"/>
        </w:rPr>
        <w:t xml:space="preserve"> </w:t>
      </w:r>
      <w:r w:rsidR="00D3183C" w:rsidRPr="003669CB">
        <w:rPr>
          <w:rFonts w:ascii="Barlow" w:hAnsi="Barlow"/>
          <w:sz w:val="20"/>
          <w:szCs w:val="20"/>
        </w:rPr>
        <w:t>2</w:t>
      </w:r>
      <w:r w:rsidR="004D2DAC" w:rsidRPr="003669CB">
        <w:rPr>
          <w:rFonts w:ascii="Barlow" w:hAnsi="Barlow"/>
          <w:sz w:val="20"/>
          <w:szCs w:val="20"/>
        </w:rPr>
        <w:t>,</w:t>
      </w:r>
      <w:r w:rsidR="00D3183C" w:rsidRPr="003669CB">
        <w:rPr>
          <w:rFonts w:ascii="Barlow" w:hAnsi="Barlow"/>
          <w:sz w:val="20"/>
          <w:szCs w:val="20"/>
        </w:rPr>
        <w:t>171</w:t>
      </w:r>
      <w:r w:rsidR="004D2DAC" w:rsidRPr="003669CB">
        <w:rPr>
          <w:rFonts w:ascii="Barlow" w:hAnsi="Barlow"/>
          <w:sz w:val="20"/>
          <w:szCs w:val="20"/>
        </w:rPr>
        <w:t>,</w:t>
      </w:r>
      <w:r w:rsidR="00D3183C" w:rsidRPr="003669CB">
        <w:rPr>
          <w:rFonts w:ascii="Barlow" w:hAnsi="Barlow"/>
          <w:sz w:val="20"/>
          <w:szCs w:val="20"/>
        </w:rPr>
        <w:t>178</w:t>
      </w:r>
      <w:r w:rsidR="00212716" w:rsidRPr="003669CB">
        <w:rPr>
          <w:rFonts w:ascii="Barlow" w:hAnsi="Barlow"/>
          <w:sz w:val="20"/>
          <w:szCs w:val="20"/>
        </w:rPr>
        <w:t>.</w:t>
      </w:r>
      <w:r w:rsidR="00D3183C" w:rsidRPr="003669CB">
        <w:rPr>
          <w:rFonts w:ascii="Barlow" w:hAnsi="Barlow"/>
          <w:sz w:val="20"/>
          <w:szCs w:val="20"/>
        </w:rPr>
        <w:t>7</w:t>
      </w:r>
      <w:r w:rsidR="003F7101" w:rsidRPr="003669CB">
        <w:rPr>
          <w:rFonts w:ascii="Barlow" w:hAnsi="Barlow"/>
          <w:sz w:val="20"/>
          <w:szCs w:val="20"/>
        </w:rPr>
        <w:t>0</w:t>
      </w:r>
    </w:p>
    <w:p w:rsidR="00712793" w:rsidRPr="003669CB" w:rsidRDefault="00712793" w:rsidP="00712793">
      <w:pPr>
        <w:spacing w:after="0" w:line="240" w:lineRule="auto"/>
        <w:ind w:left="1440"/>
        <w:jc w:val="both"/>
        <w:rPr>
          <w:rFonts w:ascii="Barlow" w:eastAsia="Times New Roman" w:hAnsi="Barlow" w:cs="Times New Roman"/>
          <w:sz w:val="20"/>
          <w:szCs w:val="20"/>
          <w:lang w:eastAsia="es-ES"/>
        </w:rPr>
      </w:pPr>
    </w:p>
    <w:p w:rsidR="00712793" w:rsidRPr="003669CB" w:rsidRDefault="00712793" w:rsidP="00F71CF2">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Productos de Tipo Corriente. </w:t>
      </w:r>
      <w:r w:rsidRPr="003669CB">
        <w:rPr>
          <w:rFonts w:ascii="Barlow" w:eastAsia="Times New Roman" w:hAnsi="Barlow" w:cs="Times New Roman"/>
          <w:sz w:val="20"/>
          <w:szCs w:val="20"/>
          <w:lang w:eastAsia="es-ES"/>
        </w:rPr>
        <w:t xml:space="preserve">Corresponden a los productos financieros derivados de las inversiones bancarias. Al </w:t>
      </w:r>
      <w:r w:rsidR="00F1576E" w:rsidRPr="003669CB">
        <w:rPr>
          <w:rFonts w:ascii="Barlow" w:eastAsia="Times New Roman" w:hAnsi="Barlow" w:cs="Times New Roman"/>
          <w:sz w:val="20"/>
          <w:szCs w:val="20"/>
          <w:lang w:eastAsia="es-ES"/>
        </w:rPr>
        <w:t>3</w:t>
      </w:r>
      <w:r w:rsidR="00B66736" w:rsidRPr="003669CB">
        <w:rPr>
          <w:rFonts w:ascii="Barlow" w:eastAsia="Times New Roman" w:hAnsi="Barlow" w:cs="Times New Roman"/>
          <w:sz w:val="20"/>
          <w:szCs w:val="20"/>
          <w:lang w:eastAsia="es-ES"/>
        </w:rPr>
        <w:t>1</w:t>
      </w:r>
      <w:r w:rsidRPr="003669CB">
        <w:rPr>
          <w:rFonts w:ascii="Barlow" w:eastAsia="Times New Roman" w:hAnsi="Barlow" w:cs="Times New Roman"/>
          <w:sz w:val="20"/>
          <w:szCs w:val="20"/>
          <w:lang w:eastAsia="es-ES"/>
        </w:rPr>
        <w:t xml:space="preserve"> de </w:t>
      </w:r>
      <w:r w:rsidR="003669CB" w:rsidRPr="003669CB">
        <w:rPr>
          <w:rFonts w:ascii="Barlow" w:eastAsia="Times New Roman" w:hAnsi="Barlow" w:cs="Times New Roman"/>
          <w:sz w:val="20"/>
          <w:szCs w:val="20"/>
          <w:lang w:eastAsia="es-ES"/>
        </w:rPr>
        <w:t>marzo</w:t>
      </w:r>
      <w:r w:rsidRPr="003669CB">
        <w:rPr>
          <w:rFonts w:ascii="Barlow" w:eastAsia="Times New Roman" w:hAnsi="Barlow" w:cs="Times New Roman"/>
          <w:sz w:val="20"/>
          <w:szCs w:val="20"/>
          <w:lang w:eastAsia="es-ES"/>
        </w:rPr>
        <w:t xml:space="preserve"> de 202</w:t>
      </w:r>
      <w:r w:rsidR="003F7101" w:rsidRPr="003669CB">
        <w:rPr>
          <w:rFonts w:ascii="Barlow" w:eastAsia="Times New Roman" w:hAnsi="Barlow" w:cs="Times New Roman"/>
          <w:sz w:val="20"/>
          <w:szCs w:val="20"/>
          <w:lang w:eastAsia="es-ES"/>
        </w:rPr>
        <w:t>2</w:t>
      </w:r>
      <w:r w:rsidRPr="003669CB">
        <w:rPr>
          <w:rFonts w:ascii="Barlow" w:eastAsia="Times New Roman" w:hAnsi="Barlow" w:cs="Times New Roman"/>
          <w:sz w:val="20"/>
          <w:szCs w:val="20"/>
          <w:lang w:eastAsia="es-ES"/>
        </w:rPr>
        <w:t xml:space="preserve"> el importe registrado es de $</w:t>
      </w:r>
      <w:r w:rsidRPr="003669CB">
        <w:rPr>
          <w:rFonts w:ascii="Barlow" w:hAnsi="Barlow"/>
          <w:sz w:val="20"/>
          <w:szCs w:val="20"/>
        </w:rPr>
        <w:t xml:space="preserve"> </w:t>
      </w:r>
      <w:r w:rsidR="00181665" w:rsidRPr="003669CB">
        <w:rPr>
          <w:rFonts w:ascii="Barlow" w:eastAsia="Times New Roman" w:hAnsi="Barlow" w:cs="Times New Roman"/>
          <w:sz w:val="20"/>
          <w:szCs w:val="20"/>
          <w:lang w:eastAsia="es-ES"/>
        </w:rPr>
        <w:t>$</w:t>
      </w:r>
      <w:r w:rsidR="00D3183C" w:rsidRPr="003669CB">
        <w:rPr>
          <w:rFonts w:ascii="Barlow" w:eastAsia="Times New Roman" w:hAnsi="Barlow" w:cs="Times New Roman"/>
          <w:sz w:val="20"/>
          <w:szCs w:val="20"/>
          <w:lang w:eastAsia="es-ES"/>
        </w:rPr>
        <w:t>3,433</w:t>
      </w:r>
      <w:r w:rsidR="003F7101" w:rsidRPr="003669CB">
        <w:rPr>
          <w:rFonts w:ascii="Barlow" w:eastAsia="Times New Roman" w:hAnsi="Barlow" w:cs="Times New Roman"/>
          <w:sz w:val="20"/>
          <w:szCs w:val="20"/>
          <w:lang w:eastAsia="es-ES"/>
        </w:rPr>
        <w:t>.</w:t>
      </w:r>
      <w:r w:rsidR="00D3183C" w:rsidRPr="003669CB">
        <w:rPr>
          <w:rFonts w:ascii="Barlow" w:eastAsia="Times New Roman" w:hAnsi="Barlow" w:cs="Times New Roman"/>
          <w:sz w:val="20"/>
          <w:szCs w:val="20"/>
          <w:lang w:eastAsia="es-ES"/>
        </w:rPr>
        <w:t>55</w:t>
      </w:r>
    </w:p>
    <w:p w:rsidR="00F71CF2" w:rsidRPr="003669CB" w:rsidRDefault="00F71CF2" w:rsidP="00F71CF2">
      <w:pPr>
        <w:spacing w:after="0" w:line="240" w:lineRule="auto"/>
        <w:ind w:left="1440"/>
        <w:jc w:val="both"/>
        <w:rPr>
          <w:rFonts w:ascii="Barlow" w:eastAsia="Times New Roman" w:hAnsi="Barlow" w:cs="Times New Roman"/>
          <w:sz w:val="20"/>
          <w:szCs w:val="20"/>
          <w:lang w:eastAsia="es-ES"/>
        </w:rPr>
      </w:pPr>
    </w:p>
    <w:p w:rsidR="003D2DBB" w:rsidRPr="003669CB" w:rsidRDefault="00F44678" w:rsidP="00F71CF2">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Transferencias, Asignaciones, Subsidios y Otras Ayudas.</w:t>
      </w:r>
      <w:r w:rsidR="006A7192" w:rsidRPr="003669CB">
        <w:rPr>
          <w:rFonts w:ascii="Barlow" w:eastAsia="Times New Roman" w:hAnsi="Barlow" w:cs="Times New Roman"/>
          <w:b/>
          <w:sz w:val="20"/>
          <w:szCs w:val="20"/>
          <w:lang w:eastAsia="es-ES"/>
        </w:rPr>
        <w:t xml:space="preserve"> </w:t>
      </w:r>
      <w:r w:rsidR="00B0010B" w:rsidRPr="003669CB">
        <w:rPr>
          <w:rFonts w:ascii="Barlow" w:eastAsia="Times New Roman" w:hAnsi="Barlow" w:cs="Times New Roman"/>
          <w:sz w:val="20"/>
          <w:szCs w:val="20"/>
          <w:lang w:eastAsia="es-ES"/>
        </w:rPr>
        <w:t xml:space="preserve">Son los Ingresos por subsidio provenientes del presupuesto asignado por el gobierno estatal </w:t>
      </w:r>
      <w:r w:rsidR="00A57759" w:rsidRPr="003669CB">
        <w:rPr>
          <w:rFonts w:ascii="Barlow" w:eastAsia="Times New Roman" w:hAnsi="Barlow" w:cs="Times New Roman"/>
          <w:sz w:val="20"/>
          <w:szCs w:val="20"/>
          <w:lang w:eastAsia="es-ES"/>
        </w:rPr>
        <w:t xml:space="preserve">y federal </w:t>
      </w:r>
      <w:r w:rsidR="00B0010B" w:rsidRPr="003669CB">
        <w:rPr>
          <w:rFonts w:ascii="Barlow" w:eastAsia="Times New Roman" w:hAnsi="Barlow" w:cs="Times New Roman"/>
          <w:sz w:val="20"/>
          <w:szCs w:val="20"/>
          <w:lang w:eastAsia="es-ES"/>
        </w:rPr>
        <w:t>de acuerdo a la ley de egresos vigente para cada año y se registran conforme se transfieren los recursos.</w:t>
      </w:r>
      <w:r w:rsidRPr="003669CB">
        <w:rPr>
          <w:rFonts w:ascii="Barlow" w:eastAsia="Times New Roman" w:hAnsi="Barlow" w:cs="Times New Roman"/>
          <w:sz w:val="20"/>
          <w:szCs w:val="20"/>
          <w:lang w:eastAsia="es-ES"/>
        </w:rPr>
        <w:t xml:space="preserve"> Al </w:t>
      </w:r>
      <w:r w:rsidR="00F1576E" w:rsidRPr="003669CB">
        <w:rPr>
          <w:rFonts w:ascii="Barlow" w:eastAsia="Times New Roman" w:hAnsi="Barlow" w:cs="Times New Roman"/>
          <w:sz w:val="20"/>
          <w:szCs w:val="20"/>
          <w:lang w:eastAsia="es-ES"/>
        </w:rPr>
        <w:t>3</w:t>
      </w:r>
      <w:r w:rsidR="00B66736" w:rsidRPr="003669CB">
        <w:rPr>
          <w:rFonts w:ascii="Barlow" w:eastAsia="Times New Roman" w:hAnsi="Barlow" w:cs="Times New Roman"/>
          <w:sz w:val="20"/>
          <w:szCs w:val="20"/>
          <w:lang w:eastAsia="es-ES"/>
        </w:rPr>
        <w:t>1</w:t>
      </w:r>
      <w:r w:rsidR="00F71CF2" w:rsidRPr="003669CB">
        <w:rPr>
          <w:rFonts w:ascii="Barlow" w:eastAsia="Times New Roman" w:hAnsi="Barlow" w:cs="Times New Roman"/>
          <w:sz w:val="20"/>
          <w:szCs w:val="20"/>
          <w:lang w:eastAsia="es-ES"/>
        </w:rPr>
        <w:t xml:space="preserve"> de </w:t>
      </w:r>
      <w:r w:rsidR="003669CB" w:rsidRPr="003669CB">
        <w:rPr>
          <w:rFonts w:ascii="Barlow" w:eastAsia="Times New Roman" w:hAnsi="Barlow" w:cs="Times New Roman"/>
          <w:sz w:val="20"/>
          <w:szCs w:val="20"/>
          <w:lang w:eastAsia="es-ES"/>
        </w:rPr>
        <w:t>marzo</w:t>
      </w:r>
      <w:r w:rsidR="00C6564A" w:rsidRPr="003669CB">
        <w:rPr>
          <w:rFonts w:ascii="Barlow" w:eastAsia="Times New Roman" w:hAnsi="Barlow" w:cs="Times New Roman"/>
          <w:sz w:val="20"/>
          <w:szCs w:val="20"/>
          <w:lang w:eastAsia="es-ES"/>
        </w:rPr>
        <w:t xml:space="preserve"> de 202</w:t>
      </w:r>
      <w:r w:rsidR="003F7101" w:rsidRPr="003669CB">
        <w:rPr>
          <w:rFonts w:ascii="Barlow" w:eastAsia="Times New Roman" w:hAnsi="Barlow" w:cs="Times New Roman"/>
          <w:sz w:val="20"/>
          <w:szCs w:val="20"/>
          <w:lang w:eastAsia="es-ES"/>
        </w:rPr>
        <w:t>2</w:t>
      </w:r>
      <w:r w:rsidR="00A57759" w:rsidRPr="003669CB">
        <w:rPr>
          <w:rFonts w:ascii="Barlow" w:eastAsia="Times New Roman" w:hAnsi="Barlow" w:cs="Times New Roman"/>
          <w:sz w:val="20"/>
          <w:szCs w:val="20"/>
          <w:lang w:eastAsia="es-ES"/>
        </w:rPr>
        <w:t xml:space="preserve"> </w:t>
      </w:r>
      <w:r w:rsidR="007247D4" w:rsidRPr="003669CB">
        <w:rPr>
          <w:rFonts w:ascii="Barlow" w:eastAsia="Times New Roman" w:hAnsi="Barlow" w:cs="Times New Roman"/>
          <w:sz w:val="20"/>
          <w:szCs w:val="20"/>
          <w:lang w:eastAsia="es-ES"/>
        </w:rPr>
        <w:t>se registraron ingresos</w:t>
      </w:r>
      <w:r w:rsidR="00E94CD0" w:rsidRPr="003669CB">
        <w:rPr>
          <w:rFonts w:ascii="Barlow" w:eastAsia="Times New Roman" w:hAnsi="Barlow" w:cs="Times New Roman"/>
          <w:sz w:val="20"/>
          <w:szCs w:val="20"/>
          <w:lang w:eastAsia="es-ES"/>
        </w:rPr>
        <w:t xml:space="preserve"> por $</w:t>
      </w:r>
      <w:r w:rsidR="00F71CF2" w:rsidRPr="003669CB">
        <w:rPr>
          <w:rFonts w:ascii="Barlow" w:hAnsi="Barlow"/>
          <w:sz w:val="20"/>
          <w:szCs w:val="20"/>
        </w:rPr>
        <w:t xml:space="preserve"> </w:t>
      </w:r>
      <w:r w:rsidR="00D3183C" w:rsidRPr="003669CB">
        <w:rPr>
          <w:rFonts w:ascii="Barlow" w:hAnsi="Barlow"/>
          <w:sz w:val="20"/>
          <w:szCs w:val="20"/>
        </w:rPr>
        <w:t>9</w:t>
      </w:r>
      <w:r w:rsidR="003F7101" w:rsidRPr="003669CB">
        <w:rPr>
          <w:rFonts w:ascii="Barlow" w:hAnsi="Barlow"/>
          <w:sz w:val="20"/>
          <w:szCs w:val="20"/>
        </w:rPr>
        <w:t>,9</w:t>
      </w:r>
      <w:r w:rsidR="00D3183C" w:rsidRPr="003669CB">
        <w:rPr>
          <w:rFonts w:ascii="Barlow" w:hAnsi="Barlow"/>
          <w:sz w:val="20"/>
          <w:szCs w:val="20"/>
        </w:rPr>
        <w:t>98</w:t>
      </w:r>
      <w:r w:rsidR="003F7101" w:rsidRPr="003669CB">
        <w:rPr>
          <w:rFonts w:ascii="Barlow" w:hAnsi="Barlow"/>
          <w:sz w:val="20"/>
          <w:szCs w:val="20"/>
        </w:rPr>
        <w:t>,2</w:t>
      </w:r>
      <w:r w:rsidR="00D3183C" w:rsidRPr="003669CB">
        <w:rPr>
          <w:rFonts w:ascii="Barlow" w:hAnsi="Barlow"/>
          <w:sz w:val="20"/>
          <w:szCs w:val="20"/>
        </w:rPr>
        <w:t>73</w:t>
      </w:r>
      <w:r w:rsidR="003F7101" w:rsidRPr="003669CB">
        <w:rPr>
          <w:rFonts w:ascii="Barlow" w:hAnsi="Barlow"/>
          <w:sz w:val="20"/>
          <w:szCs w:val="20"/>
        </w:rPr>
        <w:t>.00</w:t>
      </w:r>
    </w:p>
    <w:p w:rsidR="00F71CF2" w:rsidRPr="003669CB" w:rsidRDefault="00F71CF2" w:rsidP="00F71CF2">
      <w:pPr>
        <w:pStyle w:val="Prrafodelista"/>
        <w:spacing w:after="0"/>
        <w:contextualSpacing w:val="0"/>
        <w:rPr>
          <w:rFonts w:ascii="Barlow" w:eastAsia="Times New Roman" w:hAnsi="Barlow" w:cs="Times New Roman"/>
          <w:sz w:val="20"/>
          <w:szCs w:val="20"/>
          <w:lang w:eastAsia="es-ES"/>
        </w:rPr>
      </w:pPr>
    </w:p>
    <w:p w:rsidR="000759F3" w:rsidRPr="003669CB" w:rsidRDefault="00F44678" w:rsidP="000759F3">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Otros Ingresos y Beneficios</w:t>
      </w:r>
      <w:r w:rsidRPr="003669CB">
        <w:rPr>
          <w:rFonts w:ascii="Barlow" w:eastAsia="Times New Roman" w:hAnsi="Barlow" w:cs="Times New Roman"/>
          <w:sz w:val="20"/>
          <w:szCs w:val="20"/>
          <w:lang w:eastAsia="es-ES"/>
        </w:rPr>
        <w:t>.</w:t>
      </w:r>
      <w:r w:rsidR="00712793" w:rsidRPr="003669CB">
        <w:rPr>
          <w:rFonts w:ascii="Barlow" w:eastAsia="Times New Roman" w:hAnsi="Barlow" w:cs="Times New Roman"/>
          <w:sz w:val="20"/>
          <w:szCs w:val="20"/>
          <w:lang w:eastAsia="es-ES"/>
        </w:rPr>
        <w:t xml:space="preserve"> </w:t>
      </w:r>
      <w:r w:rsidR="000759F3" w:rsidRPr="003669CB">
        <w:rPr>
          <w:rFonts w:ascii="Barlow" w:eastAsia="Times New Roman" w:hAnsi="Barlow" w:cs="Times New Roman"/>
          <w:sz w:val="20"/>
          <w:szCs w:val="20"/>
          <w:lang w:eastAsia="es-ES"/>
        </w:rPr>
        <w:t>Al cierre de éste ejercicio no se presenta información.</w:t>
      </w:r>
    </w:p>
    <w:p w:rsidR="00181665" w:rsidRPr="003669CB" w:rsidRDefault="00181665" w:rsidP="000759F3">
      <w:pPr>
        <w:spacing w:after="0" w:line="240" w:lineRule="auto"/>
        <w:ind w:left="1440"/>
        <w:jc w:val="both"/>
        <w:rPr>
          <w:rFonts w:ascii="Barlow" w:eastAsia="Times New Roman" w:hAnsi="Barlow" w:cs="Times New Roman"/>
          <w:sz w:val="20"/>
          <w:szCs w:val="20"/>
          <w:lang w:eastAsia="es-ES"/>
        </w:rPr>
      </w:pPr>
    </w:p>
    <w:p w:rsidR="00B0010B" w:rsidRPr="003669CB" w:rsidRDefault="00937B54" w:rsidP="00B0010B">
      <w:p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Gastos y Otras Pérdidas:</w:t>
      </w:r>
    </w:p>
    <w:p w:rsidR="00B0010B" w:rsidRPr="003669CB" w:rsidRDefault="00B0010B" w:rsidP="00B0010B">
      <w:pPr>
        <w:spacing w:after="0" w:line="240" w:lineRule="auto"/>
        <w:jc w:val="both"/>
        <w:rPr>
          <w:rFonts w:ascii="Barlow" w:eastAsia="Times New Roman" w:hAnsi="Barlow" w:cs="Times New Roman"/>
          <w:sz w:val="20"/>
          <w:szCs w:val="20"/>
          <w:lang w:eastAsia="es-ES"/>
        </w:rPr>
      </w:pPr>
    </w:p>
    <w:p w:rsidR="00B0010B" w:rsidRPr="003669CB" w:rsidRDefault="00B0010B" w:rsidP="00B0010B">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Servicios personales. </w:t>
      </w:r>
      <w:r w:rsidRPr="003669CB">
        <w:rPr>
          <w:rFonts w:ascii="Barlow" w:eastAsia="Times New Roman" w:hAnsi="Barlow" w:cs="Times New Roman"/>
          <w:sz w:val="20"/>
          <w:szCs w:val="20"/>
          <w:lang w:eastAsia="es-ES"/>
        </w:rPr>
        <w:t>Asignaciones destinadas a pagos al personal empleado en la entidad, así como las cuotas por conceptos de seguridad social derivadas de estos servicios y otras prestaciones sociales. Se registran como se devengan.</w:t>
      </w:r>
    </w:p>
    <w:p w:rsidR="00C9381D" w:rsidRPr="003669CB" w:rsidRDefault="00C9381D" w:rsidP="00C9381D">
      <w:pPr>
        <w:spacing w:after="0" w:line="240" w:lineRule="auto"/>
        <w:ind w:left="1440"/>
        <w:jc w:val="both"/>
        <w:rPr>
          <w:rFonts w:ascii="Barlow" w:eastAsia="Times New Roman" w:hAnsi="Barlow" w:cs="Times New Roman"/>
          <w:sz w:val="20"/>
          <w:szCs w:val="20"/>
          <w:lang w:eastAsia="es-ES"/>
        </w:rPr>
      </w:pPr>
    </w:p>
    <w:p w:rsidR="00B0010B" w:rsidRPr="003669CB" w:rsidRDefault="00B0010B" w:rsidP="00B0010B">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Materiales y suministros. </w:t>
      </w:r>
      <w:r w:rsidRPr="003669CB">
        <w:rPr>
          <w:rFonts w:ascii="Barlow" w:eastAsia="Times New Roman" w:hAnsi="Barlow" w:cs="Times New Roman"/>
          <w:sz w:val="20"/>
          <w:szCs w:val="20"/>
          <w:lang w:eastAsia="es-ES"/>
        </w:rPr>
        <w:t>Asignaciones destinadas a la adquisición de toda clase de insumos requeridos para el desempeño de las actividades administrativas. Se registran conforme se devengan.</w:t>
      </w:r>
    </w:p>
    <w:p w:rsidR="00B0010B" w:rsidRPr="003669CB" w:rsidRDefault="00B0010B" w:rsidP="00B0010B">
      <w:pPr>
        <w:spacing w:after="0" w:line="240" w:lineRule="auto"/>
        <w:ind w:left="1080"/>
        <w:jc w:val="both"/>
        <w:rPr>
          <w:rFonts w:ascii="Barlow" w:eastAsia="Times New Roman" w:hAnsi="Barlow" w:cs="Times New Roman"/>
          <w:sz w:val="20"/>
          <w:szCs w:val="20"/>
          <w:lang w:eastAsia="es-ES"/>
        </w:rPr>
      </w:pPr>
    </w:p>
    <w:p w:rsidR="00B0010B" w:rsidRPr="003669CB" w:rsidRDefault="00B0010B" w:rsidP="00B0010B">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Servicios generales. </w:t>
      </w:r>
      <w:r w:rsidRPr="003669CB">
        <w:rPr>
          <w:rFonts w:ascii="Barlow" w:eastAsia="Times New Roman" w:hAnsi="Barlow" w:cs="Times New Roman"/>
          <w:sz w:val="20"/>
          <w:szCs w:val="20"/>
          <w:lang w:eastAsia="es-ES"/>
        </w:rPr>
        <w:t xml:space="preserve">Asignaciones destinadas a cubrir el costo de todo tipo que se contraten a particulares y al sector público. </w:t>
      </w:r>
      <w:r w:rsidR="003669CB" w:rsidRPr="003669CB">
        <w:rPr>
          <w:rFonts w:ascii="Barlow" w:eastAsia="Times New Roman" w:hAnsi="Barlow" w:cs="Times New Roman"/>
          <w:sz w:val="20"/>
          <w:szCs w:val="20"/>
          <w:lang w:eastAsia="es-ES"/>
        </w:rPr>
        <w:t>Asimismo,</w:t>
      </w:r>
      <w:r w:rsidRPr="003669CB">
        <w:rPr>
          <w:rFonts w:ascii="Barlow" w:eastAsia="Times New Roman" w:hAnsi="Barlow" w:cs="Times New Roman"/>
          <w:sz w:val="20"/>
          <w:szCs w:val="20"/>
          <w:lang w:eastAsia="es-ES"/>
        </w:rPr>
        <w:t xml:space="preserve"> incluyen el importe del impuesto al valor agregado no acreditado por adquisiciones de materiales y servicios. Se registran conforme se devengan.</w:t>
      </w:r>
    </w:p>
    <w:p w:rsidR="00B0010B" w:rsidRPr="003669CB" w:rsidRDefault="00B0010B" w:rsidP="00B0010B">
      <w:pPr>
        <w:spacing w:after="0" w:line="240" w:lineRule="auto"/>
        <w:ind w:left="1080"/>
        <w:jc w:val="both"/>
        <w:rPr>
          <w:rFonts w:ascii="Barlow" w:eastAsia="Times New Roman" w:hAnsi="Barlow" w:cs="Times New Roman"/>
          <w:sz w:val="20"/>
          <w:szCs w:val="20"/>
          <w:lang w:eastAsia="es-ES"/>
        </w:rPr>
      </w:pPr>
    </w:p>
    <w:p w:rsidR="00B0010B" w:rsidRPr="003669CB" w:rsidRDefault="00B0010B" w:rsidP="00B0010B">
      <w:pPr>
        <w:numPr>
          <w:ilvl w:val="1"/>
          <w:numId w:val="5"/>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Bienes muebles e inmuebles. </w:t>
      </w:r>
      <w:r w:rsidRPr="003669CB">
        <w:rPr>
          <w:rFonts w:ascii="Barlow" w:eastAsia="Times New Roman" w:hAnsi="Barlow" w:cs="Times New Roman"/>
          <w:sz w:val="20"/>
          <w:szCs w:val="20"/>
          <w:lang w:eastAsia="es-ES"/>
        </w:rPr>
        <w:t xml:space="preserve">Asignaciones destinadas a la adquisición de toda clase de bienes inmuebles requeridos en el desempeño de las actividades. </w:t>
      </w:r>
      <w:r w:rsidR="003669CB" w:rsidRPr="003669CB">
        <w:rPr>
          <w:rFonts w:ascii="Barlow" w:eastAsia="Times New Roman" w:hAnsi="Barlow" w:cs="Times New Roman"/>
          <w:sz w:val="20"/>
          <w:szCs w:val="20"/>
          <w:lang w:eastAsia="es-ES"/>
        </w:rPr>
        <w:t>Asimismo,</w:t>
      </w:r>
      <w:r w:rsidRPr="003669CB">
        <w:rPr>
          <w:rFonts w:ascii="Barlow" w:eastAsia="Times New Roman" w:hAnsi="Barlow" w:cs="Times New Roman"/>
          <w:sz w:val="20"/>
          <w:szCs w:val="20"/>
          <w:lang w:eastAsia="es-ES"/>
        </w:rPr>
        <w:t xml:space="preserve"> el importe del impuesto al valor agregado no acreditado por adquisiciones de materiales y servicios se registran conforme se devengan.</w:t>
      </w:r>
    </w:p>
    <w:p w:rsidR="0063090C" w:rsidRPr="003669CB" w:rsidRDefault="0063090C" w:rsidP="0063090C">
      <w:pPr>
        <w:pStyle w:val="Prrafodelista"/>
        <w:rPr>
          <w:rFonts w:ascii="Barlow" w:eastAsia="Times New Roman" w:hAnsi="Barlow" w:cs="Times New Roman"/>
          <w:sz w:val="20"/>
          <w:szCs w:val="20"/>
          <w:lang w:eastAsia="es-ES"/>
        </w:rPr>
      </w:pPr>
    </w:p>
    <w:p w:rsidR="0063090C" w:rsidRPr="003669CB" w:rsidRDefault="0063090C" w:rsidP="0063090C">
      <w:pPr>
        <w:pStyle w:val="Prrafodelista"/>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 xml:space="preserve">Con un saldo </w:t>
      </w:r>
      <w:r w:rsidR="00475A0E" w:rsidRPr="003669CB">
        <w:rPr>
          <w:rFonts w:ascii="Barlow" w:eastAsia="Times New Roman" w:hAnsi="Barlow" w:cs="Times New Roman"/>
          <w:sz w:val="20"/>
          <w:szCs w:val="20"/>
          <w:lang w:eastAsia="es-ES"/>
        </w:rPr>
        <w:t>de $</w:t>
      </w:r>
      <w:r w:rsidR="008066ED" w:rsidRPr="003669CB">
        <w:rPr>
          <w:rFonts w:ascii="Barlow" w:eastAsia="Times New Roman" w:hAnsi="Barlow" w:cs="Times New Roman"/>
          <w:sz w:val="20"/>
          <w:szCs w:val="20"/>
          <w:lang w:eastAsia="es-ES"/>
        </w:rPr>
        <w:t>4</w:t>
      </w:r>
      <w:r w:rsidR="00475A0E" w:rsidRPr="003669CB">
        <w:rPr>
          <w:rFonts w:ascii="Barlow" w:eastAsia="Times New Roman" w:hAnsi="Barlow" w:cs="Times New Roman"/>
          <w:sz w:val="20"/>
          <w:szCs w:val="20"/>
          <w:lang w:eastAsia="es-ES"/>
        </w:rPr>
        <w:t xml:space="preserve">, </w:t>
      </w:r>
      <w:r w:rsidR="008066ED" w:rsidRPr="003669CB">
        <w:rPr>
          <w:rFonts w:ascii="Barlow" w:eastAsia="Times New Roman" w:hAnsi="Barlow" w:cs="Times New Roman"/>
          <w:sz w:val="20"/>
          <w:szCs w:val="20"/>
          <w:lang w:eastAsia="es-ES"/>
        </w:rPr>
        <w:t>400</w:t>
      </w:r>
      <w:r w:rsidR="00475A0E" w:rsidRPr="003669CB">
        <w:rPr>
          <w:rFonts w:ascii="Barlow" w:eastAsia="Times New Roman" w:hAnsi="Barlow" w:cs="Times New Roman"/>
          <w:sz w:val="20"/>
          <w:szCs w:val="20"/>
          <w:lang w:eastAsia="es-ES"/>
        </w:rPr>
        <w:t>,7</w:t>
      </w:r>
      <w:r w:rsidR="008066ED" w:rsidRPr="003669CB">
        <w:rPr>
          <w:rFonts w:ascii="Barlow" w:eastAsia="Times New Roman" w:hAnsi="Barlow" w:cs="Times New Roman"/>
          <w:sz w:val="20"/>
          <w:szCs w:val="20"/>
          <w:lang w:eastAsia="es-ES"/>
        </w:rPr>
        <w:t>50</w:t>
      </w:r>
      <w:r w:rsidR="00475A0E" w:rsidRPr="003669CB">
        <w:rPr>
          <w:rFonts w:ascii="Barlow" w:eastAsia="Times New Roman" w:hAnsi="Barlow" w:cs="Times New Roman"/>
          <w:sz w:val="20"/>
          <w:szCs w:val="20"/>
          <w:lang w:eastAsia="es-ES"/>
        </w:rPr>
        <w:t>.</w:t>
      </w:r>
      <w:r w:rsidR="008066ED" w:rsidRPr="003669CB">
        <w:rPr>
          <w:rFonts w:ascii="Barlow" w:eastAsia="Times New Roman" w:hAnsi="Barlow" w:cs="Times New Roman"/>
          <w:sz w:val="20"/>
          <w:szCs w:val="20"/>
          <w:lang w:eastAsia="es-ES"/>
        </w:rPr>
        <w:t>5</w:t>
      </w:r>
      <w:r w:rsidR="00475A0E" w:rsidRPr="003669CB">
        <w:rPr>
          <w:rFonts w:ascii="Barlow" w:eastAsia="Times New Roman" w:hAnsi="Barlow" w:cs="Times New Roman"/>
          <w:sz w:val="20"/>
          <w:szCs w:val="20"/>
          <w:lang w:eastAsia="es-ES"/>
        </w:rPr>
        <w:t xml:space="preserve">2 </w:t>
      </w:r>
      <w:r w:rsidRPr="003669CB">
        <w:rPr>
          <w:rFonts w:ascii="Barlow" w:eastAsia="Times New Roman" w:hAnsi="Barlow" w:cs="Times New Roman"/>
          <w:sz w:val="20"/>
          <w:szCs w:val="20"/>
          <w:lang w:eastAsia="es-ES"/>
        </w:rPr>
        <w:t>al 3</w:t>
      </w:r>
      <w:r w:rsidR="00506529" w:rsidRPr="003669CB">
        <w:rPr>
          <w:rFonts w:ascii="Barlow" w:eastAsia="Times New Roman" w:hAnsi="Barlow" w:cs="Times New Roman"/>
          <w:sz w:val="20"/>
          <w:szCs w:val="20"/>
          <w:lang w:eastAsia="es-ES"/>
        </w:rPr>
        <w:t>1</w:t>
      </w:r>
      <w:r w:rsidR="004B72C7" w:rsidRPr="003669CB">
        <w:rPr>
          <w:rFonts w:ascii="Barlow" w:eastAsia="Times New Roman" w:hAnsi="Barlow" w:cs="Times New Roman"/>
          <w:sz w:val="20"/>
          <w:szCs w:val="20"/>
          <w:lang w:eastAsia="es-ES"/>
        </w:rPr>
        <w:t xml:space="preserve"> de </w:t>
      </w:r>
      <w:r w:rsidR="003669CB" w:rsidRPr="003669CB">
        <w:rPr>
          <w:rFonts w:ascii="Barlow" w:eastAsia="Times New Roman" w:hAnsi="Barlow" w:cs="Times New Roman"/>
          <w:sz w:val="20"/>
          <w:szCs w:val="20"/>
          <w:lang w:eastAsia="es-ES"/>
        </w:rPr>
        <w:t>marzo</w:t>
      </w:r>
      <w:r w:rsidRPr="003669CB">
        <w:rPr>
          <w:rFonts w:ascii="Barlow" w:eastAsia="Times New Roman" w:hAnsi="Barlow" w:cs="Times New Roman"/>
          <w:sz w:val="20"/>
          <w:szCs w:val="20"/>
          <w:lang w:eastAsia="es-ES"/>
        </w:rPr>
        <w:t xml:space="preserve"> 202</w:t>
      </w:r>
      <w:r w:rsidR="00475A0E" w:rsidRPr="003669CB">
        <w:rPr>
          <w:rFonts w:ascii="Barlow" w:eastAsia="Times New Roman" w:hAnsi="Barlow" w:cs="Times New Roman"/>
          <w:sz w:val="20"/>
          <w:szCs w:val="20"/>
          <w:lang w:eastAsia="es-ES"/>
        </w:rPr>
        <w:t>2</w:t>
      </w:r>
      <w:r w:rsidRPr="003669CB">
        <w:rPr>
          <w:rFonts w:ascii="Barlow" w:eastAsia="Times New Roman" w:hAnsi="Barlow" w:cs="Times New Roman"/>
          <w:sz w:val="20"/>
          <w:szCs w:val="20"/>
          <w:lang w:eastAsia="es-ES"/>
        </w:rPr>
        <w:t>, se integran de la siguiente manera:</w:t>
      </w:r>
    </w:p>
    <w:tbl>
      <w:tblPr>
        <w:tblW w:w="7757" w:type="dxa"/>
        <w:jc w:val="center"/>
        <w:tblCellMar>
          <w:left w:w="70" w:type="dxa"/>
          <w:right w:w="70" w:type="dxa"/>
        </w:tblCellMar>
        <w:tblLook w:val="04A0" w:firstRow="1" w:lastRow="0" w:firstColumn="1" w:lastColumn="0" w:noHBand="0" w:noVBand="1"/>
      </w:tblPr>
      <w:tblGrid>
        <w:gridCol w:w="6100"/>
        <w:gridCol w:w="1657"/>
      </w:tblGrid>
      <w:tr w:rsidR="0063090C" w:rsidRPr="003669CB" w:rsidTr="0063090C">
        <w:trPr>
          <w:trHeight w:val="255"/>
          <w:jc w:val="center"/>
        </w:trPr>
        <w:tc>
          <w:tcPr>
            <w:tcW w:w="6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90C" w:rsidRPr="003669CB" w:rsidRDefault="0063090C" w:rsidP="0063090C">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Concepto</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63090C" w:rsidRPr="003669CB" w:rsidRDefault="0063090C" w:rsidP="0063090C">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Importe</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63090C" w:rsidRPr="003669CB" w:rsidRDefault="0063090C" w:rsidP="0063090C">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GASTOS DE FUNCIONAMIENTO</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63090C" w:rsidP="008066E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475A0E" w:rsidRPr="003669CB">
              <w:rPr>
                <w:rFonts w:ascii="Barlow" w:eastAsia="Times New Roman" w:hAnsi="Barlow" w:cs="Arial"/>
                <w:color w:val="000000"/>
                <w:sz w:val="20"/>
                <w:szCs w:val="20"/>
                <w:lang w:eastAsia="es-MX"/>
              </w:rPr>
              <w:t>3</w:t>
            </w:r>
            <w:r w:rsidR="004B72C7" w:rsidRPr="003669CB">
              <w:rPr>
                <w:rFonts w:ascii="Barlow" w:eastAsia="Times New Roman" w:hAnsi="Barlow" w:cs="Arial"/>
                <w:color w:val="000000"/>
                <w:sz w:val="20"/>
                <w:szCs w:val="20"/>
                <w:lang w:eastAsia="es-MX"/>
              </w:rPr>
              <w:t>,</w:t>
            </w:r>
            <w:r w:rsidR="008066ED" w:rsidRPr="003669CB">
              <w:rPr>
                <w:rFonts w:ascii="Barlow" w:eastAsia="Times New Roman" w:hAnsi="Barlow" w:cs="Arial"/>
                <w:color w:val="000000"/>
                <w:sz w:val="20"/>
                <w:szCs w:val="20"/>
                <w:lang w:eastAsia="es-MX"/>
              </w:rPr>
              <w:t>663</w:t>
            </w:r>
            <w:r w:rsidR="004B72C7" w:rsidRPr="003669CB">
              <w:rPr>
                <w:rFonts w:ascii="Barlow" w:eastAsia="Times New Roman" w:hAnsi="Barlow" w:cs="Arial"/>
                <w:color w:val="000000"/>
                <w:sz w:val="20"/>
                <w:szCs w:val="20"/>
                <w:lang w:eastAsia="es-MX"/>
              </w:rPr>
              <w:t>,</w:t>
            </w:r>
            <w:r w:rsidR="008066ED" w:rsidRPr="003669CB">
              <w:rPr>
                <w:rFonts w:ascii="Barlow" w:eastAsia="Times New Roman" w:hAnsi="Barlow" w:cs="Arial"/>
                <w:color w:val="000000"/>
                <w:sz w:val="20"/>
                <w:szCs w:val="20"/>
                <w:lang w:eastAsia="es-MX"/>
              </w:rPr>
              <w:t>069</w:t>
            </w:r>
            <w:r w:rsidR="004B72C7" w:rsidRPr="003669CB">
              <w:rPr>
                <w:rFonts w:ascii="Barlow" w:eastAsia="Times New Roman" w:hAnsi="Barlow" w:cs="Arial"/>
                <w:color w:val="000000"/>
                <w:sz w:val="20"/>
                <w:szCs w:val="20"/>
                <w:lang w:eastAsia="es-MX"/>
              </w:rPr>
              <w:t>.</w:t>
            </w:r>
            <w:r w:rsidR="008066ED" w:rsidRPr="003669CB">
              <w:rPr>
                <w:rFonts w:ascii="Barlow" w:eastAsia="Times New Roman" w:hAnsi="Barlow" w:cs="Arial"/>
                <w:color w:val="000000"/>
                <w:sz w:val="20"/>
                <w:szCs w:val="20"/>
                <w:lang w:eastAsia="es-MX"/>
              </w:rPr>
              <w:t>22</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63090C" w:rsidRPr="003669CB" w:rsidRDefault="0063090C" w:rsidP="0063090C">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TRANSFERENCIAS, ASIGNACIONES, SUBSIDIOS Y OTRAS AYUDAS</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63090C" w:rsidP="00475A0E">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475A0E" w:rsidRPr="003669CB">
              <w:rPr>
                <w:rFonts w:ascii="Barlow" w:eastAsia="Times New Roman" w:hAnsi="Barlow" w:cs="Arial"/>
                <w:color w:val="000000"/>
                <w:sz w:val="20"/>
                <w:szCs w:val="20"/>
                <w:lang w:eastAsia="es-MX"/>
              </w:rPr>
              <w:t>0</w:t>
            </w:r>
            <w:r w:rsidRPr="003669CB">
              <w:rPr>
                <w:rFonts w:ascii="Barlow" w:eastAsia="Times New Roman" w:hAnsi="Barlow" w:cs="Arial"/>
                <w:color w:val="000000"/>
                <w:sz w:val="20"/>
                <w:szCs w:val="20"/>
                <w:lang w:eastAsia="es-MX"/>
              </w:rPr>
              <w:t>.</w:t>
            </w:r>
            <w:r w:rsidR="00475A0E" w:rsidRPr="003669CB">
              <w:rPr>
                <w:rFonts w:ascii="Barlow" w:eastAsia="Times New Roman" w:hAnsi="Barlow" w:cs="Arial"/>
                <w:color w:val="000000"/>
                <w:sz w:val="20"/>
                <w:szCs w:val="20"/>
                <w:lang w:eastAsia="es-MX"/>
              </w:rPr>
              <w:t>00</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63090C" w:rsidRPr="003669CB" w:rsidRDefault="0063090C" w:rsidP="0063090C">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PARTICIPACIONES Y APORTACIONES</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63090C" w:rsidP="0063090C">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.00</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63090C" w:rsidRPr="003669CB" w:rsidRDefault="0063090C" w:rsidP="0063090C">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INTERESES, COMISIONES Y OTROS GASTOS DE LA DEUDA PÚBLICA</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63090C" w:rsidP="0063090C">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.00</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vAlign w:val="bottom"/>
            <w:hideMark/>
          </w:tcPr>
          <w:p w:rsidR="0063090C" w:rsidRPr="003669CB" w:rsidRDefault="0063090C" w:rsidP="0063090C">
            <w:pPr>
              <w:spacing w:after="0" w:line="240" w:lineRule="auto"/>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OTROS GASTOS Y PÉRDIDAS EXTRAORDINARIAS</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63090C" w:rsidP="008066ED">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 xml:space="preserve">$ </w:t>
            </w:r>
            <w:r w:rsidR="00475A0E" w:rsidRPr="003669CB">
              <w:rPr>
                <w:rFonts w:ascii="Barlow" w:eastAsia="Times New Roman" w:hAnsi="Barlow" w:cs="Arial"/>
                <w:color w:val="000000"/>
                <w:sz w:val="20"/>
                <w:szCs w:val="20"/>
                <w:lang w:eastAsia="es-MX"/>
              </w:rPr>
              <w:t>7</w:t>
            </w:r>
            <w:r w:rsidR="008066ED" w:rsidRPr="003669CB">
              <w:rPr>
                <w:rFonts w:ascii="Barlow" w:eastAsia="Times New Roman" w:hAnsi="Barlow" w:cs="Arial"/>
                <w:color w:val="000000"/>
                <w:sz w:val="20"/>
                <w:szCs w:val="20"/>
                <w:lang w:eastAsia="es-MX"/>
              </w:rPr>
              <w:t>37</w:t>
            </w:r>
            <w:r w:rsidR="004B72C7" w:rsidRPr="003669CB">
              <w:rPr>
                <w:rFonts w:ascii="Barlow" w:eastAsia="Times New Roman" w:hAnsi="Barlow" w:cs="Arial"/>
                <w:color w:val="000000"/>
                <w:sz w:val="20"/>
                <w:szCs w:val="20"/>
                <w:lang w:eastAsia="es-MX"/>
              </w:rPr>
              <w:t>,</w:t>
            </w:r>
            <w:r w:rsidR="008066ED" w:rsidRPr="003669CB">
              <w:rPr>
                <w:rFonts w:ascii="Barlow" w:eastAsia="Times New Roman" w:hAnsi="Barlow" w:cs="Arial"/>
                <w:color w:val="000000"/>
                <w:sz w:val="20"/>
                <w:szCs w:val="20"/>
                <w:lang w:eastAsia="es-MX"/>
              </w:rPr>
              <w:t>681</w:t>
            </w:r>
            <w:r w:rsidR="004B72C7" w:rsidRPr="003669CB">
              <w:rPr>
                <w:rFonts w:ascii="Barlow" w:eastAsia="Times New Roman" w:hAnsi="Barlow" w:cs="Arial"/>
                <w:color w:val="000000"/>
                <w:sz w:val="20"/>
                <w:szCs w:val="20"/>
                <w:lang w:eastAsia="es-MX"/>
              </w:rPr>
              <w:t>.</w:t>
            </w:r>
            <w:r w:rsidR="008066ED" w:rsidRPr="003669CB">
              <w:rPr>
                <w:rFonts w:ascii="Barlow" w:eastAsia="Times New Roman" w:hAnsi="Barlow" w:cs="Arial"/>
                <w:color w:val="000000"/>
                <w:sz w:val="20"/>
                <w:szCs w:val="20"/>
                <w:lang w:eastAsia="es-MX"/>
              </w:rPr>
              <w:t>30</w:t>
            </w:r>
          </w:p>
        </w:tc>
      </w:tr>
      <w:tr w:rsidR="0063090C" w:rsidRPr="003669CB" w:rsidTr="0063090C">
        <w:trPr>
          <w:trHeight w:val="255"/>
          <w:jc w:val="center"/>
        </w:trPr>
        <w:tc>
          <w:tcPr>
            <w:tcW w:w="6100" w:type="dxa"/>
            <w:tcBorders>
              <w:top w:val="nil"/>
              <w:left w:val="single" w:sz="4" w:space="0" w:color="auto"/>
              <w:bottom w:val="single" w:sz="4" w:space="0" w:color="auto"/>
              <w:right w:val="single" w:sz="4" w:space="0" w:color="auto"/>
            </w:tcBorders>
            <w:shd w:val="clear" w:color="auto" w:fill="auto"/>
            <w:noWrap/>
            <w:vAlign w:val="bottom"/>
            <w:hideMark/>
          </w:tcPr>
          <w:p w:rsidR="0063090C" w:rsidRPr="003669CB" w:rsidRDefault="0063090C" w:rsidP="0063090C">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SUMA DE GASTOS Y OTRAS PÉRDIDAS</w:t>
            </w:r>
          </w:p>
        </w:tc>
        <w:tc>
          <w:tcPr>
            <w:tcW w:w="1657" w:type="dxa"/>
            <w:tcBorders>
              <w:top w:val="nil"/>
              <w:left w:val="nil"/>
              <w:bottom w:val="single" w:sz="4" w:space="0" w:color="auto"/>
              <w:right w:val="single" w:sz="4" w:space="0" w:color="auto"/>
            </w:tcBorders>
            <w:shd w:val="clear" w:color="auto" w:fill="auto"/>
            <w:noWrap/>
            <w:vAlign w:val="bottom"/>
            <w:hideMark/>
          </w:tcPr>
          <w:p w:rsidR="0063090C" w:rsidRPr="003669CB" w:rsidRDefault="004B72C7" w:rsidP="008066ED">
            <w:pPr>
              <w:spacing w:after="0" w:line="240" w:lineRule="auto"/>
              <w:jc w:val="right"/>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 xml:space="preserve">$ </w:t>
            </w:r>
            <w:r w:rsidR="008066ED" w:rsidRPr="003669CB">
              <w:rPr>
                <w:rFonts w:ascii="Barlow" w:eastAsia="Times New Roman" w:hAnsi="Barlow" w:cs="Arial"/>
                <w:b/>
                <w:bCs/>
                <w:color w:val="000000"/>
                <w:sz w:val="20"/>
                <w:szCs w:val="20"/>
                <w:lang w:eastAsia="es-MX"/>
              </w:rPr>
              <w:t>4</w:t>
            </w:r>
            <w:r w:rsidRPr="003669CB">
              <w:rPr>
                <w:rFonts w:ascii="Barlow" w:eastAsia="Times New Roman" w:hAnsi="Barlow" w:cs="Arial"/>
                <w:b/>
                <w:bCs/>
                <w:color w:val="000000"/>
                <w:sz w:val="20"/>
                <w:szCs w:val="20"/>
                <w:lang w:eastAsia="es-MX"/>
              </w:rPr>
              <w:t>,</w:t>
            </w:r>
            <w:r w:rsidR="00475A0E" w:rsidRPr="003669CB">
              <w:rPr>
                <w:rFonts w:ascii="Barlow" w:eastAsia="Times New Roman" w:hAnsi="Barlow" w:cs="Arial"/>
                <w:b/>
                <w:bCs/>
                <w:color w:val="000000"/>
                <w:sz w:val="20"/>
                <w:szCs w:val="20"/>
                <w:lang w:eastAsia="es-MX"/>
              </w:rPr>
              <w:t>4</w:t>
            </w:r>
            <w:r w:rsidR="008066ED" w:rsidRPr="003669CB">
              <w:rPr>
                <w:rFonts w:ascii="Barlow" w:eastAsia="Times New Roman" w:hAnsi="Barlow" w:cs="Arial"/>
                <w:b/>
                <w:bCs/>
                <w:color w:val="000000"/>
                <w:sz w:val="20"/>
                <w:szCs w:val="20"/>
                <w:lang w:eastAsia="es-MX"/>
              </w:rPr>
              <w:t>0</w:t>
            </w:r>
            <w:r w:rsidR="00475A0E" w:rsidRPr="003669CB">
              <w:rPr>
                <w:rFonts w:ascii="Barlow" w:eastAsia="Times New Roman" w:hAnsi="Barlow" w:cs="Arial"/>
                <w:b/>
                <w:bCs/>
                <w:color w:val="000000"/>
                <w:sz w:val="20"/>
                <w:szCs w:val="20"/>
                <w:lang w:eastAsia="es-MX"/>
              </w:rPr>
              <w:t>0</w:t>
            </w:r>
            <w:r w:rsidRPr="003669CB">
              <w:rPr>
                <w:rFonts w:ascii="Barlow" w:eastAsia="Times New Roman" w:hAnsi="Barlow" w:cs="Arial"/>
                <w:b/>
                <w:bCs/>
                <w:color w:val="000000"/>
                <w:sz w:val="20"/>
                <w:szCs w:val="20"/>
                <w:lang w:eastAsia="es-MX"/>
              </w:rPr>
              <w:t>,</w:t>
            </w:r>
            <w:r w:rsidR="00475A0E" w:rsidRPr="003669CB">
              <w:rPr>
                <w:rFonts w:ascii="Barlow" w:eastAsia="Times New Roman" w:hAnsi="Barlow" w:cs="Arial"/>
                <w:b/>
                <w:bCs/>
                <w:color w:val="000000"/>
                <w:sz w:val="20"/>
                <w:szCs w:val="20"/>
                <w:lang w:eastAsia="es-MX"/>
              </w:rPr>
              <w:t>7</w:t>
            </w:r>
            <w:r w:rsidR="008066ED" w:rsidRPr="003669CB">
              <w:rPr>
                <w:rFonts w:ascii="Barlow" w:eastAsia="Times New Roman" w:hAnsi="Barlow" w:cs="Arial"/>
                <w:b/>
                <w:bCs/>
                <w:color w:val="000000"/>
                <w:sz w:val="20"/>
                <w:szCs w:val="20"/>
                <w:lang w:eastAsia="es-MX"/>
              </w:rPr>
              <w:t>50</w:t>
            </w:r>
            <w:r w:rsidRPr="003669CB">
              <w:rPr>
                <w:rFonts w:ascii="Barlow" w:eastAsia="Times New Roman" w:hAnsi="Barlow" w:cs="Arial"/>
                <w:b/>
                <w:bCs/>
                <w:color w:val="000000"/>
                <w:sz w:val="20"/>
                <w:szCs w:val="20"/>
                <w:lang w:eastAsia="es-MX"/>
              </w:rPr>
              <w:t>.</w:t>
            </w:r>
            <w:r w:rsidR="008066ED" w:rsidRPr="003669CB">
              <w:rPr>
                <w:rFonts w:ascii="Barlow" w:eastAsia="Times New Roman" w:hAnsi="Barlow" w:cs="Arial"/>
                <w:b/>
                <w:bCs/>
                <w:color w:val="000000"/>
                <w:sz w:val="20"/>
                <w:szCs w:val="20"/>
                <w:lang w:eastAsia="es-MX"/>
              </w:rPr>
              <w:t>5</w:t>
            </w:r>
            <w:r w:rsidR="00475A0E" w:rsidRPr="003669CB">
              <w:rPr>
                <w:rFonts w:ascii="Barlow" w:eastAsia="Times New Roman" w:hAnsi="Barlow" w:cs="Arial"/>
                <w:b/>
                <w:bCs/>
                <w:color w:val="000000"/>
                <w:sz w:val="20"/>
                <w:szCs w:val="20"/>
                <w:lang w:eastAsia="es-MX"/>
              </w:rPr>
              <w:t>2</w:t>
            </w:r>
          </w:p>
        </w:tc>
      </w:tr>
    </w:tbl>
    <w:p w:rsidR="00B4036E" w:rsidRPr="003669CB" w:rsidRDefault="00B4036E" w:rsidP="003669CB">
      <w:pPr>
        <w:spacing w:after="0" w:line="240" w:lineRule="auto"/>
        <w:jc w:val="both"/>
        <w:rPr>
          <w:rFonts w:ascii="Barlow" w:eastAsia="Times New Roman" w:hAnsi="Barlow" w:cs="Times New Roman"/>
          <w:sz w:val="20"/>
          <w:szCs w:val="20"/>
          <w:lang w:eastAsia="es-ES"/>
        </w:rPr>
      </w:pPr>
    </w:p>
    <w:p w:rsidR="00B4036E" w:rsidRPr="003669CB" w:rsidRDefault="00B4036E" w:rsidP="0063090C">
      <w:pPr>
        <w:spacing w:after="0" w:line="240" w:lineRule="auto"/>
        <w:ind w:left="1440"/>
        <w:jc w:val="both"/>
        <w:rPr>
          <w:rFonts w:ascii="Barlow" w:eastAsia="Times New Roman" w:hAnsi="Barlow" w:cs="Times New Roman"/>
          <w:sz w:val="20"/>
          <w:szCs w:val="20"/>
          <w:lang w:eastAsia="es-ES"/>
        </w:rPr>
      </w:pPr>
    </w:p>
    <w:p w:rsidR="00B4036E" w:rsidRPr="003669CB" w:rsidRDefault="00B4036E" w:rsidP="0063090C">
      <w:pPr>
        <w:spacing w:after="0" w:line="240" w:lineRule="auto"/>
        <w:ind w:left="1440"/>
        <w:jc w:val="both"/>
        <w:rPr>
          <w:rFonts w:ascii="Barlow" w:eastAsia="Times New Roman" w:hAnsi="Barlow" w:cs="Times New Roman"/>
          <w:sz w:val="20"/>
          <w:szCs w:val="20"/>
          <w:lang w:eastAsia="es-ES"/>
        </w:rPr>
      </w:pPr>
    </w:p>
    <w:p w:rsidR="00937B54" w:rsidRPr="003669CB" w:rsidRDefault="00937B54" w:rsidP="00937B54">
      <w:pPr>
        <w:pStyle w:val="Prrafodelista"/>
        <w:numPr>
          <w:ilvl w:val="0"/>
          <w:numId w:val="5"/>
        </w:numPr>
        <w:spacing w:line="240" w:lineRule="auto"/>
        <w:rPr>
          <w:rFonts w:ascii="Barlow" w:hAnsi="Barlow" w:cs="Arial"/>
          <w:b/>
          <w:sz w:val="20"/>
          <w:szCs w:val="20"/>
        </w:rPr>
      </w:pPr>
      <w:r w:rsidRPr="003669CB">
        <w:rPr>
          <w:rFonts w:ascii="Barlow" w:hAnsi="Barlow" w:cs="Arial"/>
          <w:b/>
          <w:sz w:val="20"/>
          <w:szCs w:val="20"/>
        </w:rPr>
        <w:t>NOTAS AL ESTADO DE VARIACIÓN DE LA HACIENDA PÚBLICA</w:t>
      </w:r>
    </w:p>
    <w:p w:rsidR="00937B54" w:rsidRPr="003669CB" w:rsidRDefault="00937B54" w:rsidP="00BB7F95">
      <w:pPr>
        <w:pStyle w:val="Prrafodelista"/>
        <w:numPr>
          <w:ilvl w:val="0"/>
          <w:numId w:val="17"/>
        </w:numPr>
        <w:spacing w:line="240" w:lineRule="auto"/>
        <w:rPr>
          <w:rFonts w:ascii="Barlow" w:hAnsi="Barlow" w:cs="Arial"/>
          <w:sz w:val="20"/>
          <w:szCs w:val="20"/>
          <w:lang w:val="es-MX"/>
        </w:rPr>
      </w:pPr>
      <w:r w:rsidRPr="003669CB">
        <w:rPr>
          <w:rFonts w:ascii="Barlow" w:hAnsi="Barlow" w:cs="Arial"/>
          <w:sz w:val="20"/>
          <w:szCs w:val="20"/>
        </w:rPr>
        <w:t xml:space="preserve">El resultado del ejercicio (Ahorro/Desahorro) generado del ejercicio </w:t>
      </w:r>
      <w:r w:rsidR="00164324" w:rsidRPr="003669CB">
        <w:rPr>
          <w:rFonts w:ascii="Barlow" w:hAnsi="Barlow" w:cs="Arial"/>
          <w:sz w:val="20"/>
          <w:szCs w:val="20"/>
        </w:rPr>
        <w:t xml:space="preserve">a la fecha </w:t>
      </w:r>
      <w:r w:rsidRPr="003669CB">
        <w:rPr>
          <w:rFonts w:ascii="Barlow" w:hAnsi="Barlow" w:cs="Arial"/>
          <w:sz w:val="20"/>
          <w:szCs w:val="20"/>
        </w:rPr>
        <w:t xml:space="preserve">asciende a un importe de </w:t>
      </w:r>
      <w:r w:rsidR="00A77147" w:rsidRPr="003669CB">
        <w:rPr>
          <w:rFonts w:ascii="Barlow" w:hAnsi="Barlow" w:cs="Arial"/>
          <w:sz w:val="20"/>
          <w:szCs w:val="20"/>
        </w:rPr>
        <w:t>-</w:t>
      </w:r>
      <w:r w:rsidR="007C2925" w:rsidRPr="003669CB">
        <w:rPr>
          <w:rFonts w:ascii="Barlow" w:hAnsi="Barlow" w:cs="Arial"/>
          <w:sz w:val="20"/>
          <w:szCs w:val="20"/>
        </w:rPr>
        <w:t>$</w:t>
      </w:r>
      <w:r w:rsidR="00A77147" w:rsidRPr="003669CB">
        <w:rPr>
          <w:rFonts w:ascii="Barlow" w:hAnsi="Barlow" w:cs="Arial"/>
          <w:sz w:val="20"/>
          <w:szCs w:val="20"/>
        </w:rPr>
        <w:t>474</w:t>
      </w:r>
      <w:r w:rsidR="00B4036E" w:rsidRPr="003669CB">
        <w:rPr>
          <w:rFonts w:ascii="Barlow" w:hAnsi="Barlow" w:cs="Arial"/>
          <w:sz w:val="20"/>
          <w:szCs w:val="20"/>
        </w:rPr>
        <w:t>,</w:t>
      </w:r>
      <w:r w:rsidR="00A77147" w:rsidRPr="003669CB">
        <w:rPr>
          <w:rFonts w:ascii="Barlow" w:hAnsi="Barlow" w:cs="Arial"/>
          <w:sz w:val="20"/>
          <w:szCs w:val="20"/>
        </w:rPr>
        <w:t>860</w:t>
      </w:r>
      <w:r w:rsidR="00B4036E" w:rsidRPr="003669CB">
        <w:rPr>
          <w:rFonts w:ascii="Barlow" w:hAnsi="Barlow" w:cs="Arial"/>
          <w:sz w:val="20"/>
          <w:szCs w:val="20"/>
        </w:rPr>
        <w:t>.</w:t>
      </w:r>
      <w:r w:rsidR="00A77147" w:rsidRPr="003669CB">
        <w:rPr>
          <w:rFonts w:ascii="Barlow" w:hAnsi="Barlow" w:cs="Arial"/>
          <w:sz w:val="20"/>
          <w:szCs w:val="20"/>
        </w:rPr>
        <w:t>25</w:t>
      </w:r>
    </w:p>
    <w:p w:rsidR="003F6299" w:rsidRPr="003669CB" w:rsidRDefault="003F6299" w:rsidP="003F6299">
      <w:pPr>
        <w:pStyle w:val="Prrafodelista"/>
        <w:jc w:val="both"/>
        <w:rPr>
          <w:rFonts w:ascii="Barlow" w:hAnsi="Barlow" w:cs="Calibri"/>
          <w:sz w:val="20"/>
          <w:szCs w:val="20"/>
        </w:rPr>
      </w:pPr>
    </w:p>
    <w:p w:rsidR="003F6299" w:rsidRPr="003669CB" w:rsidRDefault="003F6299" w:rsidP="003F6299">
      <w:pPr>
        <w:pStyle w:val="Prrafodelista"/>
        <w:jc w:val="both"/>
        <w:rPr>
          <w:rFonts w:ascii="Barlow" w:hAnsi="Barlow" w:cs="Calibri"/>
          <w:sz w:val="20"/>
          <w:szCs w:val="20"/>
        </w:rPr>
      </w:pPr>
      <w:r w:rsidRPr="003669CB">
        <w:rPr>
          <w:rFonts w:ascii="Barlow" w:hAnsi="Barlow" w:cs="Calibri"/>
          <w:sz w:val="20"/>
          <w:szCs w:val="20"/>
        </w:rPr>
        <w:t xml:space="preserve">Los Saldos de las cuentas de Hacienda Pública/Patrimonio son:  </w:t>
      </w:r>
    </w:p>
    <w:tbl>
      <w:tblPr>
        <w:tblW w:w="4476" w:type="dxa"/>
        <w:jc w:val="center"/>
        <w:tblCellMar>
          <w:left w:w="70" w:type="dxa"/>
          <w:right w:w="70" w:type="dxa"/>
        </w:tblCellMar>
        <w:tblLook w:val="04A0" w:firstRow="1" w:lastRow="0" w:firstColumn="1" w:lastColumn="0" w:noHBand="0" w:noVBand="1"/>
      </w:tblPr>
      <w:tblGrid>
        <w:gridCol w:w="3180"/>
        <w:gridCol w:w="1471"/>
      </w:tblGrid>
      <w:tr w:rsidR="003F6299" w:rsidRPr="003669CB" w:rsidTr="00114A8E">
        <w:trPr>
          <w:trHeight w:val="255"/>
          <w:jc w:val="center"/>
        </w:trPr>
        <w:tc>
          <w:tcPr>
            <w:tcW w:w="3180" w:type="dxa"/>
            <w:tcBorders>
              <w:top w:val="nil"/>
              <w:left w:val="nil"/>
              <w:bottom w:val="nil"/>
              <w:right w:val="nil"/>
            </w:tcBorders>
            <w:shd w:val="clear" w:color="000000" w:fill="FFFFFF"/>
            <w:noWrap/>
            <w:vAlign w:val="bottom"/>
            <w:hideMark/>
          </w:tcPr>
          <w:p w:rsidR="003F6299" w:rsidRPr="003669CB" w:rsidRDefault="003F6299" w:rsidP="003F6299">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xml:space="preserve">Hacienda Pública/Patrimonio </w:t>
            </w:r>
            <w:r w:rsidR="00B0335A" w:rsidRPr="003669CB">
              <w:rPr>
                <w:rFonts w:ascii="Barlow" w:eastAsia="Times New Roman" w:hAnsi="Barlow" w:cs="Arial"/>
                <w:b/>
                <w:bCs/>
                <w:sz w:val="20"/>
                <w:szCs w:val="20"/>
                <w:lang w:eastAsia="es-MX"/>
              </w:rPr>
              <w:t>Contribuido</w:t>
            </w:r>
          </w:p>
        </w:tc>
        <w:tc>
          <w:tcPr>
            <w:tcW w:w="1296" w:type="dxa"/>
            <w:tcBorders>
              <w:top w:val="nil"/>
              <w:left w:val="nil"/>
              <w:bottom w:val="nil"/>
              <w:right w:val="nil"/>
            </w:tcBorders>
            <w:shd w:val="clear" w:color="000000" w:fill="FFFFFF"/>
            <w:noWrap/>
            <w:vAlign w:val="bottom"/>
            <w:hideMark/>
          </w:tcPr>
          <w:p w:rsidR="003F6299" w:rsidRPr="003669CB" w:rsidRDefault="00B4036E" w:rsidP="00B4036E">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103</w:t>
            </w:r>
            <w:r w:rsidR="003F6299"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406</w:t>
            </w:r>
            <w:r w:rsidR="003F6299"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47</w:t>
            </w:r>
            <w:r w:rsidR="003F6299" w:rsidRPr="003669CB">
              <w:rPr>
                <w:rFonts w:ascii="Barlow" w:eastAsia="Times New Roman" w:hAnsi="Barlow" w:cs="Arial"/>
                <w:b/>
                <w:bCs/>
                <w:sz w:val="20"/>
                <w:szCs w:val="20"/>
                <w:lang w:eastAsia="es-MX"/>
              </w:rPr>
              <w:t>7.2</w:t>
            </w:r>
            <w:r w:rsidRPr="003669CB">
              <w:rPr>
                <w:rFonts w:ascii="Barlow" w:eastAsia="Times New Roman" w:hAnsi="Barlow" w:cs="Arial"/>
                <w:b/>
                <w:bCs/>
                <w:sz w:val="20"/>
                <w:szCs w:val="20"/>
                <w:lang w:eastAsia="es-MX"/>
              </w:rPr>
              <w:t>6</w:t>
            </w:r>
          </w:p>
        </w:tc>
      </w:tr>
      <w:tr w:rsidR="003F6299" w:rsidRPr="003669CB" w:rsidTr="00114A8E">
        <w:trPr>
          <w:trHeight w:val="255"/>
          <w:jc w:val="center"/>
        </w:trPr>
        <w:tc>
          <w:tcPr>
            <w:tcW w:w="3180" w:type="dxa"/>
            <w:tcBorders>
              <w:top w:val="nil"/>
              <w:left w:val="nil"/>
              <w:bottom w:val="nil"/>
              <w:right w:val="nil"/>
            </w:tcBorders>
            <w:shd w:val="clear" w:color="000000" w:fill="FFFFFF"/>
            <w:noWrap/>
            <w:vAlign w:val="bottom"/>
            <w:hideMark/>
          </w:tcPr>
          <w:p w:rsidR="003F6299" w:rsidRPr="003669CB" w:rsidRDefault="003F6299" w:rsidP="003F6299">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Hacienda Pública/Patrimonio Generado</w:t>
            </w:r>
          </w:p>
        </w:tc>
        <w:tc>
          <w:tcPr>
            <w:tcW w:w="1296" w:type="dxa"/>
            <w:tcBorders>
              <w:top w:val="nil"/>
              <w:left w:val="nil"/>
              <w:bottom w:val="nil"/>
              <w:right w:val="nil"/>
            </w:tcBorders>
            <w:shd w:val="clear" w:color="000000" w:fill="FFFFFF"/>
            <w:noWrap/>
            <w:vAlign w:val="bottom"/>
            <w:hideMark/>
          </w:tcPr>
          <w:p w:rsidR="003F6299" w:rsidRPr="003669CB" w:rsidRDefault="00814BFC" w:rsidP="00A77147">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w:t>
            </w:r>
            <w:r w:rsidR="00B4036E" w:rsidRPr="003669CB">
              <w:rPr>
                <w:rFonts w:ascii="Barlow" w:eastAsia="Times New Roman" w:hAnsi="Barlow" w:cs="Arial"/>
                <w:b/>
                <w:bCs/>
                <w:sz w:val="20"/>
                <w:szCs w:val="20"/>
                <w:lang w:eastAsia="es-MX"/>
              </w:rPr>
              <w:t>4</w:t>
            </w:r>
            <w:r w:rsidR="00A77147" w:rsidRPr="003669CB">
              <w:rPr>
                <w:rFonts w:ascii="Barlow" w:eastAsia="Times New Roman" w:hAnsi="Barlow" w:cs="Arial"/>
                <w:b/>
                <w:bCs/>
                <w:sz w:val="20"/>
                <w:szCs w:val="20"/>
                <w:lang w:eastAsia="es-MX"/>
              </w:rPr>
              <w:t>8</w:t>
            </w:r>
            <w:r w:rsidR="00B0335A" w:rsidRPr="003669CB">
              <w:rPr>
                <w:rFonts w:ascii="Barlow" w:eastAsia="Times New Roman" w:hAnsi="Barlow" w:cs="Arial"/>
                <w:b/>
                <w:bCs/>
                <w:sz w:val="20"/>
                <w:szCs w:val="20"/>
                <w:lang w:eastAsia="es-MX"/>
              </w:rPr>
              <w:t>,</w:t>
            </w:r>
            <w:r w:rsidR="000C7800" w:rsidRPr="003669CB">
              <w:rPr>
                <w:rFonts w:ascii="Barlow" w:eastAsia="Times New Roman" w:hAnsi="Barlow" w:cs="Arial"/>
                <w:b/>
                <w:bCs/>
                <w:sz w:val="20"/>
                <w:szCs w:val="20"/>
                <w:lang w:eastAsia="es-MX"/>
              </w:rPr>
              <w:t>9</w:t>
            </w:r>
            <w:r w:rsidR="00A77147" w:rsidRPr="003669CB">
              <w:rPr>
                <w:rFonts w:ascii="Barlow" w:eastAsia="Times New Roman" w:hAnsi="Barlow" w:cs="Arial"/>
                <w:b/>
                <w:bCs/>
                <w:sz w:val="20"/>
                <w:szCs w:val="20"/>
                <w:lang w:eastAsia="es-MX"/>
              </w:rPr>
              <w:t>7</w:t>
            </w:r>
            <w:r w:rsidR="009D1623" w:rsidRPr="003669CB">
              <w:rPr>
                <w:rFonts w:ascii="Barlow" w:eastAsia="Times New Roman" w:hAnsi="Barlow" w:cs="Arial"/>
                <w:b/>
                <w:bCs/>
                <w:sz w:val="20"/>
                <w:szCs w:val="20"/>
                <w:lang w:eastAsia="es-MX"/>
              </w:rPr>
              <w:t>7</w:t>
            </w:r>
            <w:r w:rsidR="00B0335A" w:rsidRPr="003669CB">
              <w:rPr>
                <w:rFonts w:ascii="Barlow" w:eastAsia="Times New Roman" w:hAnsi="Barlow" w:cs="Arial"/>
                <w:b/>
                <w:bCs/>
                <w:sz w:val="20"/>
                <w:szCs w:val="20"/>
                <w:lang w:eastAsia="es-MX"/>
              </w:rPr>
              <w:t>,</w:t>
            </w:r>
            <w:r w:rsidR="00A77147" w:rsidRPr="003669CB">
              <w:rPr>
                <w:rFonts w:ascii="Barlow" w:eastAsia="Times New Roman" w:hAnsi="Barlow" w:cs="Arial"/>
                <w:b/>
                <w:bCs/>
                <w:sz w:val="20"/>
                <w:szCs w:val="20"/>
                <w:lang w:eastAsia="es-MX"/>
              </w:rPr>
              <w:t>571</w:t>
            </w:r>
            <w:r w:rsidR="00B0335A" w:rsidRPr="003669CB">
              <w:rPr>
                <w:rFonts w:ascii="Barlow" w:eastAsia="Times New Roman" w:hAnsi="Barlow" w:cs="Arial"/>
                <w:b/>
                <w:bCs/>
                <w:sz w:val="20"/>
                <w:szCs w:val="20"/>
                <w:lang w:eastAsia="es-MX"/>
              </w:rPr>
              <w:t>.</w:t>
            </w:r>
            <w:r w:rsidR="00A77147" w:rsidRPr="003669CB">
              <w:rPr>
                <w:rFonts w:ascii="Barlow" w:eastAsia="Times New Roman" w:hAnsi="Barlow" w:cs="Arial"/>
                <w:b/>
                <w:bCs/>
                <w:sz w:val="20"/>
                <w:szCs w:val="20"/>
                <w:lang w:eastAsia="es-MX"/>
              </w:rPr>
              <w:t>47</w:t>
            </w:r>
          </w:p>
        </w:tc>
      </w:tr>
      <w:tr w:rsidR="003F6299" w:rsidRPr="003669CB" w:rsidTr="00114A8E">
        <w:trPr>
          <w:trHeight w:val="255"/>
          <w:jc w:val="center"/>
        </w:trPr>
        <w:tc>
          <w:tcPr>
            <w:tcW w:w="3180" w:type="dxa"/>
            <w:tcBorders>
              <w:top w:val="nil"/>
              <w:left w:val="nil"/>
              <w:bottom w:val="nil"/>
              <w:right w:val="nil"/>
            </w:tcBorders>
            <w:shd w:val="clear" w:color="000000" w:fill="FFFFFF"/>
            <w:noWrap/>
            <w:vAlign w:val="bottom"/>
            <w:hideMark/>
          </w:tcPr>
          <w:p w:rsidR="003F6299" w:rsidRPr="003669CB" w:rsidRDefault="003F6299" w:rsidP="003F6299">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w:t>
            </w:r>
          </w:p>
        </w:tc>
        <w:tc>
          <w:tcPr>
            <w:tcW w:w="1296" w:type="dxa"/>
            <w:tcBorders>
              <w:top w:val="single" w:sz="4" w:space="0" w:color="auto"/>
              <w:left w:val="nil"/>
              <w:bottom w:val="nil"/>
              <w:right w:val="nil"/>
            </w:tcBorders>
            <w:shd w:val="clear" w:color="000000" w:fill="FFFFFF"/>
            <w:noWrap/>
            <w:vAlign w:val="bottom"/>
            <w:hideMark/>
          </w:tcPr>
          <w:p w:rsidR="003F6299" w:rsidRPr="003669CB" w:rsidRDefault="000C7800" w:rsidP="00A77147">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5</w:t>
            </w:r>
            <w:r w:rsidR="00A77147" w:rsidRPr="003669CB">
              <w:rPr>
                <w:rFonts w:ascii="Barlow" w:eastAsia="Times New Roman" w:hAnsi="Barlow" w:cs="Arial"/>
                <w:b/>
                <w:bCs/>
                <w:sz w:val="20"/>
                <w:szCs w:val="20"/>
                <w:lang w:eastAsia="es-MX"/>
              </w:rPr>
              <w:t>4</w:t>
            </w:r>
            <w:r w:rsidR="00B0335A" w:rsidRPr="003669CB">
              <w:rPr>
                <w:rFonts w:ascii="Barlow" w:eastAsia="Times New Roman" w:hAnsi="Barlow" w:cs="Arial"/>
                <w:b/>
                <w:bCs/>
                <w:sz w:val="20"/>
                <w:szCs w:val="20"/>
                <w:lang w:eastAsia="es-MX"/>
              </w:rPr>
              <w:t>,</w:t>
            </w:r>
            <w:r w:rsidR="009D1623" w:rsidRPr="003669CB">
              <w:rPr>
                <w:rFonts w:ascii="Barlow" w:eastAsia="Times New Roman" w:hAnsi="Barlow" w:cs="Arial"/>
                <w:b/>
                <w:bCs/>
                <w:sz w:val="20"/>
                <w:szCs w:val="20"/>
                <w:lang w:eastAsia="es-MX"/>
              </w:rPr>
              <w:t>4</w:t>
            </w:r>
            <w:r w:rsidR="00A77147" w:rsidRPr="003669CB">
              <w:rPr>
                <w:rFonts w:ascii="Barlow" w:eastAsia="Times New Roman" w:hAnsi="Barlow" w:cs="Arial"/>
                <w:b/>
                <w:bCs/>
                <w:sz w:val="20"/>
                <w:szCs w:val="20"/>
                <w:lang w:eastAsia="es-MX"/>
              </w:rPr>
              <w:t>28</w:t>
            </w:r>
            <w:r w:rsidR="00B0335A" w:rsidRPr="003669CB">
              <w:rPr>
                <w:rFonts w:ascii="Barlow" w:eastAsia="Times New Roman" w:hAnsi="Barlow" w:cs="Arial"/>
                <w:b/>
                <w:bCs/>
                <w:sz w:val="20"/>
                <w:szCs w:val="20"/>
                <w:lang w:eastAsia="es-MX"/>
              </w:rPr>
              <w:t>,</w:t>
            </w:r>
            <w:r w:rsidR="00A77147" w:rsidRPr="003669CB">
              <w:rPr>
                <w:rFonts w:ascii="Barlow" w:eastAsia="Times New Roman" w:hAnsi="Barlow" w:cs="Arial"/>
                <w:b/>
                <w:bCs/>
                <w:sz w:val="20"/>
                <w:szCs w:val="20"/>
                <w:lang w:eastAsia="es-MX"/>
              </w:rPr>
              <w:t>9</w:t>
            </w:r>
            <w:r w:rsidR="009D1623" w:rsidRPr="003669CB">
              <w:rPr>
                <w:rFonts w:ascii="Barlow" w:eastAsia="Times New Roman" w:hAnsi="Barlow" w:cs="Arial"/>
                <w:b/>
                <w:bCs/>
                <w:sz w:val="20"/>
                <w:szCs w:val="20"/>
                <w:lang w:eastAsia="es-MX"/>
              </w:rPr>
              <w:t>0</w:t>
            </w:r>
            <w:r w:rsidR="00A77147" w:rsidRPr="003669CB">
              <w:rPr>
                <w:rFonts w:ascii="Barlow" w:eastAsia="Times New Roman" w:hAnsi="Barlow" w:cs="Arial"/>
                <w:b/>
                <w:bCs/>
                <w:sz w:val="20"/>
                <w:szCs w:val="20"/>
                <w:lang w:eastAsia="es-MX"/>
              </w:rPr>
              <w:t>5</w:t>
            </w:r>
            <w:r w:rsidR="00B0335A" w:rsidRPr="003669CB">
              <w:rPr>
                <w:rFonts w:ascii="Barlow" w:eastAsia="Times New Roman" w:hAnsi="Barlow" w:cs="Arial"/>
                <w:b/>
                <w:bCs/>
                <w:sz w:val="20"/>
                <w:szCs w:val="20"/>
                <w:lang w:eastAsia="es-MX"/>
              </w:rPr>
              <w:t>.</w:t>
            </w:r>
            <w:r w:rsidR="009D1623" w:rsidRPr="003669CB">
              <w:rPr>
                <w:rFonts w:ascii="Barlow" w:eastAsia="Times New Roman" w:hAnsi="Barlow" w:cs="Arial"/>
                <w:b/>
                <w:bCs/>
                <w:sz w:val="20"/>
                <w:szCs w:val="20"/>
                <w:lang w:eastAsia="es-MX"/>
              </w:rPr>
              <w:t>7</w:t>
            </w:r>
            <w:r w:rsidR="00A77147" w:rsidRPr="003669CB">
              <w:rPr>
                <w:rFonts w:ascii="Barlow" w:eastAsia="Times New Roman" w:hAnsi="Barlow" w:cs="Arial"/>
                <w:b/>
                <w:bCs/>
                <w:sz w:val="20"/>
                <w:szCs w:val="20"/>
                <w:lang w:eastAsia="es-MX"/>
              </w:rPr>
              <w:t>9</w:t>
            </w:r>
          </w:p>
        </w:tc>
      </w:tr>
    </w:tbl>
    <w:p w:rsidR="00035880" w:rsidRDefault="00035880" w:rsidP="00035880">
      <w:pPr>
        <w:pStyle w:val="Prrafodelista"/>
        <w:spacing w:line="240" w:lineRule="auto"/>
        <w:rPr>
          <w:rFonts w:ascii="Barlow" w:hAnsi="Barlow" w:cs="Arial"/>
          <w:sz w:val="20"/>
          <w:szCs w:val="20"/>
        </w:rPr>
      </w:pPr>
    </w:p>
    <w:p w:rsidR="003669CB" w:rsidRDefault="003669CB" w:rsidP="00035880">
      <w:pPr>
        <w:pStyle w:val="Prrafodelista"/>
        <w:spacing w:line="240" w:lineRule="auto"/>
        <w:rPr>
          <w:rFonts w:ascii="Barlow" w:hAnsi="Barlow" w:cs="Arial"/>
          <w:sz w:val="20"/>
          <w:szCs w:val="20"/>
        </w:rPr>
      </w:pPr>
    </w:p>
    <w:p w:rsidR="003669CB" w:rsidRDefault="003669CB" w:rsidP="00035880">
      <w:pPr>
        <w:pStyle w:val="Prrafodelista"/>
        <w:spacing w:line="240" w:lineRule="auto"/>
        <w:rPr>
          <w:rFonts w:ascii="Barlow" w:hAnsi="Barlow" w:cs="Arial"/>
          <w:sz w:val="20"/>
          <w:szCs w:val="20"/>
        </w:rPr>
      </w:pPr>
    </w:p>
    <w:p w:rsidR="003669CB" w:rsidRDefault="003669CB" w:rsidP="00035880">
      <w:pPr>
        <w:pStyle w:val="Prrafodelista"/>
        <w:spacing w:line="240" w:lineRule="auto"/>
        <w:rPr>
          <w:rFonts w:ascii="Barlow" w:hAnsi="Barlow" w:cs="Arial"/>
          <w:sz w:val="20"/>
          <w:szCs w:val="20"/>
        </w:rPr>
      </w:pPr>
    </w:p>
    <w:p w:rsidR="003669CB" w:rsidRDefault="003669CB" w:rsidP="00035880">
      <w:pPr>
        <w:pStyle w:val="Prrafodelista"/>
        <w:spacing w:line="240" w:lineRule="auto"/>
        <w:rPr>
          <w:rFonts w:ascii="Barlow" w:hAnsi="Barlow" w:cs="Arial"/>
          <w:sz w:val="20"/>
          <w:szCs w:val="20"/>
        </w:rPr>
      </w:pPr>
    </w:p>
    <w:p w:rsidR="003669CB" w:rsidRDefault="003669CB" w:rsidP="00035880">
      <w:pPr>
        <w:pStyle w:val="Prrafodelista"/>
        <w:spacing w:line="240" w:lineRule="auto"/>
        <w:rPr>
          <w:rFonts w:ascii="Barlow" w:hAnsi="Barlow" w:cs="Arial"/>
          <w:sz w:val="20"/>
          <w:szCs w:val="20"/>
        </w:rPr>
      </w:pPr>
    </w:p>
    <w:p w:rsidR="003669CB" w:rsidRPr="003669CB" w:rsidRDefault="003669CB" w:rsidP="00035880">
      <w:pPr>
        <w:pStyle w:val="Prrafodelista"/>
        <w:spacing w:line="240" w:lineRule="auto"/>
        <w:rPr>
          <w:rFonts w:ascii="Barlow" w:hAnsi="Barlow" w:cs="Arial"/>
          <w:sz w:val="20"/>
          <w:szCs w:val="20"/>
        </w:rPr>
      </w:pPr>
    </w:p>
    <w:p w:rsidR="008A7622" w:rsidRPr="003669CB" w:rsidRDefault="00B84430" w:rsidP="00B84430">
      <w:pPr>
        <w:pStyle w:val="Prrafodelista"/>
        <w:numPr>
          <w:ilvl w:val="0"/>
          <w:numId w:val="5"/>
        </w:numPr>
        <w:spacing w:line="240" w:lineRule="auto"/>
        <w:rPr>
          <w:rFonts w:ascii="Barlow" w:hAnsi="Barlow" w:cs="Arial"/>
          <w:b/>
          <w:sz w:val="20"/>
          <w:szCs w:val="20"/>
        </w:rPr>
      </w:pPr>
      <w:r w:rsidRPr="003669CB">
        <w:rPr>
          <w:rFonts w:ascii="Barlow" w:hAnsi="Barlow" w:cs="Arial"/>
          <w:b/>
          <w:sz w:val="20"/>
          <w:szCs w:val="20"/>
        </w:rPr>
        <w:lastRenderedPageBreak/>
        <w:t>NOTAS AL ESTADO DE FLUJO</w:t>
      </w:r>
      <w:r w:rsidR="00F40711" w:rsidRPr="003669CB">
        <w:rPr>
          <w:rFonts w:ascii="Barlow" w:hAnsi="Barlow" w:cs="Arial"/>
          <w:b/>
          <w:sz w:val="20"/>
          <w:szCs w:val="20"/>
        </w:rPr>
        <w:t>S</w:t>
      </w:r>
      <w:r w:rsidRPr="003669CB">
        <w:rPr>
          <w:rFonts w:ascii="Barlow" w:hAnsi="Barlow" w:cs="Arial"/>
          <w:b/>
          <w:sz w:val="20"/>
          <w:szCs w:val="20"/>
        </w:rPr>
        <w:t xml:space="preserve"> DE EFECTIVO</w:t>
      </w:r>
    </w:p>
    <w:p w:rsidR="00B84430" w:rsidRPr="003669CB" w:rsidRDefault="00B84430" w:rsidP="00B84430">
      <w:pPr>
        <w:spacing w:line="240" w:lineRule="auto"/>
        <w:rPr>
          <w:rFonts w:ascii="Barlow" w:hAnsi="Barlow" w:cs="Arial"/>
          <w:b/>
          <w:sz w:val="20"/>
          <w:szCs w:val="20"/>
        </w:rPr>
      </w:pPr>
      <w:r w:rsidRPr="003669CB">
        <w:rPr>
          <w:rFonts w:ascii="Barlow" w:hAnsi="Barlow" w:cs="Arial"/>
          <w:b/>
          <w:sz w:val="20"/>
          <w:szCs w:val="20"/>
        </w:rPr>
        <w:t>Efectivo y Equivalentes.</w:t>
      </w:r>
    </w:p>
    <w:p w:rsidR="00B84430" w:rsidRPr="003669CB" w:rsidRDefault="00B84430" w:rsidP="00C414CF">
      <w:pPr>
        <w:pStyle w:val="Prrafodelista"/>
        <w:numPr>
          <w:ilvl w:val="0"/>
          <w:numId w:val="21"/>
        </w:numPr>
        <w:spacing w:line="240" w:lineRule="auto"/>
        <w:rPr>
          <w:rFonts w:ascii="Barlow" w:hAnsi="Barlow" w:cs="Arial"/>
          <w:sz w:val="20"/>
          <w:szCs w:val="20"/>
        </w:rPr>
      </w:pPr>
      <w:r w:rsidRPr="003669CB">
        <w:rPr>
          <w:rFonts w:ascii="Barlow" w:hAnsi="Barlow" w:cs="Arial"/>
          <w:sz w:val="20"/>
          <w:szCs w:val="20"/>
        </w:rPr>
        <w:t>El análisis de los saldos inicial y final que figuran en la última parte del Estado de Flujo de Efectivo en la cuenta de efectivo y equivalentes es como sigue:</w:t>
      </w:r>
    </w:p>
    <w:p w:rsidR="00FC3076" w:rsidRPr="003669CB" w:rsidRDefault="00FC3076" w:rsidP="00FC3076">
      <w:pPr>
        <w:pStyle w:val="Prrafodelista"/>
        <w:spacing w:line="240" w:lineRule="auto"/>
        <w:rPr>
          <w:rFonts w:ascii="Barlow" w:hAnsi="Barlow" w:cs="Arial"/>
          <w:sz w:val="20"/>
          <w:szCs w:val="20"/>
        </w:rPr>
      </w:pPr>
    </w:p>
    <w:tbl>
      <w:tblPr>
        <w:tblpPr w:leftFromText="141" w:rightFromText="141" w:vertAnchor="text" w:tblpXSpec="center" w:tblpY="1"/>
        <w:tblOverlap w:val="never"/>
        <w:tblW w:w="6496" w:type="dxa"/>
        <w:tblCellMar>
          <w:left w:w="70" w:type="dxa"/>
          <w:right w:w="70" w:type="dxa"/>
        </w:tblCellMar>
        <w:tblLook w:val="04A0" w:firstRow="1" w:lastRow="0" w:firstColumn="1" w:lastColumn="0" w:noHBand="0" w:noVBand="1"/>
      </w:tblPr>
      <w:tblGrid>
        <w:gridCol w:w="3991"/>
        <w:gridCol w:w="1297"/>
        <w:gridCol w:w="1268"/>
      </w:tblGrid>
      <w:tr w:rsidR="00B84430" w:rsidRPr="003669CB" w:rsidTr="002E2996">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B84430" w:rsidRPr="003669CB" w:rsidRDefault="00802E9B" w:rsidP="00AE4F26">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2022</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B84430" w:rsidRPr="003669CB" w:rsidRDefault="00D1300B" w:rsidP="00AE4F26">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xml:space="preserve">Fin </w:t>
            </w:r>
            <w:r w:rsidR="00802E9B" w:rsidRPr="003669CB">
              <w:rPr>
                <w:rFonts w:ascii="Barlow" w:eastAsia="Times New Roman" w:hAnsi="Barlow" w:cs="Arial"/>
                <w:sz w:val="20"/>
                <w:szCs w:val="20"/>
                <w:lang w:eastAsia="es-MX"/>
              </w:rPr>
              <w:t>2021</w:t>
            </w:r>
          </w:p>
        </w:tc>
      </w:tr>
      <w:tr w:rsidR="00B84430" w:rsidRPr="003669CB"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xml:space="preserve">Efectivo en Bancos </w:t>
            </w:r>
            <w:r w:rsidR="00041CA8"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 xml:space="preserve"> Tesorería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3669CB" w:rsidRDefault="000E34F3" w:rsidP="000E34F3">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2</w:t>
            </w:r>
            <w:r w:rsidR="00431656" w:rsidRPr="003669CB">
              <w:rPr>
                <w:rFonts w:ascii="Barlow" w:eastAsia="Times New Roman" w:hAnsi="Barlow" w:cs="Arial"/>
                <w:sz w:val="20"/>
                <w:szCs w:val="20"/>
                <w:lang w:eastAsia="es-MX"/>
              </w:rPr>
              <w:t>,</w:t>
            </w:r>
            <w:r w:rsidR="00802E9B" w:rsidRPr="003669CB">
              <w:rPr>
                <w:rFonts w:ascii="Barlow" w:eastAsia="Times New Roman" w:hAnsi="Barlow" w:cs="Arial"/>
                <w:sz w:val="20"/>
                <w:szCs w:val="20"/>
                <w:lang w:eastAsia="es-MX"/>
              </w:rPr>
              <w:t>3</w:t>
            </w:r>
            <w:r w:rsidRPr="003669CB">
              <w:rPr>
                <w:rFonts w:ascii="Barlow" w:eastAsia="Times New Roman" w:hAnsi="Barlow" w:cs="Arial"/>
                <w:sz w:val="20"/>
                <w:szCs w:val="20"/>
                <w:lang w:eastAsia="es-MX"/>
              </w:rPr>
              <w:t>69</w:t>
            </w:r>
            <w:r w:rsidR="00431656" w:rsidRPr="003669CB">
              <w:rPr>
                <w:rFonts w:ascii="Barlow" w:eastAsia="Times New Roman" w:hAnsi="Barlow" w:cs="Arial"/>
                <w:sz w:val="20"/>
                <w:szCs w:val="20"/>
                <w:lang w:eastAsia="es-MX"/>
              </w:rPr>
              <w:t>,</w:t>
            </w:r>
            <w:r w:rsidRPr="003669CB">
              <w:rPr>
                <w:rFonts w:ascii="Barlow" w:eastAsia="Times New Roman" w:hAnsi="Barlow" w:cs="Arial"/>
                <w:sz w:val="20"/>
                <w:szCs w:val="20"/>
                <w:lang w:eastAsia="es-MX"/>
              </w:rPr>
              <w:t>2</w:t>
            </w:r>
            <w:r w:rsidR="00802E9B" w:rsidRPr="003669CB">
              <w:rPr>
                <w:rFonts w:ascii="Barlow" w:eastAsia="Times New Roman" w:hAnsi="Barlow" w:cs="Arial"/>
                <w:sz w:val="20"/>
                <w:szCs w:val="20"/>
                <w:lang w:eastAsia="es-MX"/>
              </w:rPr>
              <w:t>02</w:t>
            </w:r>
            <w:r w:rsidR="00431656" w:rsidRPr="003669CB">
              <w:rPr>
                <w:rFonts w:ascii="Barlow" w:eastAsia="Times New Roman" w:hAnsi="Barlow" w:cs="Arial"/>
                <w:sz w:val="20"/>
                <w:szCs w:val="20"/>
                <w:lang w:eastAsia="es-MX"/>
              </w:rPr>
              <w:t>.</w:t>
            </w:r>
            <w:r w:rsidRPr="003669CB">
              <w:rPr>
                <w:rFonts w:ascii="Barlow" w:eastAsia="Times New Roman" w:hAnsi="Barlow" w:cs="Arial"/>
                <w:sz w:val="20"/>
                <w:szCs w:val="20"/>
                <w:lang w:eastAsia="es-MX"/>
              </w:rPr>
              <w:t>20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3669CB" w:rsidRDefault="00416832" w:rsidP="00802E9B">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1,</w:t>
            </w:r>
            <w:r w:rsidR="00802E9B" w:rsidRPr="003669CB">
              <w:rPr>
                <w:rFonts w:ascii="Barlow" w:eastAsia="Times New Roman" w:hAnsi="Barlow" w:cs="Arial"/>
                <w:sz w:val="20"/>
                <w:szCs w:val="20"/>
                <w:lang w:eastAsia="es-MX"/>
              </w:rPr>
              <w:t>561</w:t>
            </w:r>
            <w:r w:rsidR="00C6564A" w:rsidRPr="003669CB">
              <w:rPr>
                <w:rFonts w:ascii="Barlow" w:eastAsia="Times New Roman" w:hAnsi="Barlow" w:cs="Arial"/>
                <w:sz w:val="20"/>
                <w:szCs w:val="20"/>
                <w:lang w:eastAsia="es-MX"/>
              </w:rPr>
              <w:t>,</w:t>
            </w:r>
            <w:r w:rsidR="00802E9B" w:rsidRPr="003669CB">
              <w:rPr>
                <w:rFonts w:ascii="Barlow" w:eastAsia="Times New Roman" w:hAnsi="Barlow" w:cs="Arial"/>
                <w:sz w:val="20"/>
                <w:szCs w:val="20"/>
                <w:lang w:eastAsia="es-MX"/>
              </w:rPr>
              <w:t>556</w:t>
            </w:r>
            <w:r w:rsidR="00C6564A" w:rsidRPr="003669CB">
              <w:rPr>
                <w:rFonts w:ascii="Barlow" w:eastAsia="Times New Roman" w:hAnsi="Barlow" w:cs="Arial"/>
                <w:sz w:val="20"/>
                <w:szCs w:val="20"/>
                <w:lang w:eastAsia="es-MX"/>
              </w:rPr>
              <w:t>.</w:t>
            </w:r>
            <w:r w:rsidR="00802E9B" w:rsidRPr="003669CB">
              <w:rPr>
                <w:rFonts w:ascii="Barlow" w:eastAsia="Times New Roman" w:hAnsi="Barlow" w:cs="Arial"/>
                <w:sz w:val="20"/>
                <w:szCs w:val="20"/>
                <w:lang w:eastAsia="es-MX"/>
              </w:rPr>
              <w:t>75</w:t>
            </w:r>
          </w:p>
        </w:tc>
      </w:tr>
      <w:tr w:rsidR="00B84430" w:rsidRPr="003669CB"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Efectivo en Bancos - Dependencias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r>
      <w:tr w:rsidR="00B84430" w:rsidRPr="003669CB"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Inversiones temporales (hasta 3 meses)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r>
      <w:tr w:rsidR="00B84430" w:rsidRPr="003669CB"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Fondos con afectación específica</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r>
      <w:tr w:rsidR="00B84430" w:rsidRPr="003669CB" w:rsidTr="002E2996">
        <w:trPr>
          <w:trHeight w:val="262"/>
        </w:trPr>
        <w:tc>
          <w:tcPr>
            <w:tcW w:w="3991" w:type="dxa"/>
            <w:tcBorders>
              <w:top w:val="nil"/>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Depósitos de fondos de terceros y otros</w:t>
            </w:r>
          </w:p>
        </w:tc>
        <w:tc>
          <w:tcPr>
            <w:tcW w:w="1237"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c>
          <w:tcPr>
            <w:tcW w:w="1268" w:type="dxa"/>
            <w:tcBorders>
              <w:top w:val="nil"/>
              <w:left w:val="nil"/>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0.00</w:t>
            </w:r>
          </w:p>
        </w:tc>
      </w:tr>
      <w:tr w:rsidR="00B84430" w:rsidRPr="003669CB" w:rsidTr="002E2996">
        <w:trPr>
          <w:trHeight w:val="262"/>
        </w:trPr>
        <w:tc>
          <w:tcPr>
            <w:tcW w:w="399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4430" w:rsidRPr="003669CB" w:rsidRDefault="00B84430" w:rsidP="00AE4F26">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Total de Efectivo y Equivalentes</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rsidR="00B84430" w:rsidRPr="003669CB" w:rsidRDefault="000E34F3" w:rsidP="000E34F3">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2</w:t>
            </w:r>
            <w:r w:rsidR="00431656"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369</w:t>
            </w:r>
            <w:r w:rsidR="00431656"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2</w:t>
            </w:r>
            <w:r w:rsidR="00802E9B" w:rsidRPr="003669CB">
              <w:rPr>
                <w:rFonts w:ascii="Barlow" w:eastAsia="Times New Roman" w:hAnsi="Barlow" w:cs="Arial"/>
                <w:b/>
                <w:bCs/>
                <w:sz w:val="20"/>
                <w:szCs w:val="20"/>
                <w:lang w:eastAsia="es-MX"/>
              </w:rPr>
              <w:t>02</w:t>
            </w:r>
            <w:r w:rsidR="00431656"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20</w:t>
            </w:r>
          </w:p>
        </w:tc>
        <w:tc>
          <w:tcPr>
            <w:tcW w:w="1268" w:type="dxa"/>
            <w:tcBorders>
              <w:top w:val="single" w:sz="4" w:space="0" w:color="auto"/>
              <w:left w:val="nil"/>
              <w:bottom w:val="single" w:sz="4" w:space="0" w:color="auto"/>
              <w:right w:val="single" w:sz="4" w:space="0" w:color="auto"/>
            </w:tcBorders>
            <w:shd w:val="clear" w:color="auto" w:fill="auto"/>
            <w:noWrap/>
            <w:vAlign w:val="bottom"/>
            <w:hideMark/>
          </w:tcPr>
          <w:p w:rsidR="00B84430" w:rsidRPr="003669CB" w:rsidRDefault="00416832" w:rsidP="00802E9B">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w:t>
            </w:r>
            <w:r w:rsidR="00802E9B" w:rsidRPr="003669CB">
              <w:rPr>
                <w:rFonts w:ascii="Barlow" w:eastAsia="Times New Roman" w:hAnsi="Barlow" w:cs="Arial"/>
                <w:b/>
                <w:bCs/>
                <w:sz w:val="20"/>
                <w:szCs w:val="20"/>
                <w:lang w:eastAsia="es-MX"/>
              </w:rPr>
              <w:t>561</w:t>
            </w:r>
            <w:r w:rsidRPr="003669CB">
              <w:rPr>
                <w:rFonts w:ascii="Barlow" w:eastAsia="Times New Roman" w:hAnsi="Barlow" w:cs="Arial"/>
                <w:b/>
                <w:bCs/>
                <w:sz w:val="20"/>
                <w:szCs w:val="20"/>
                <w:lang w:eastAsia="es-MX"/>
              </w:rPr>
              <w:t>,</w:t>
            </w:r>
            <w:r w:rsidR="00802E9B" w:rsidRPr="003669CB">
              <w:rPr>
                <w:rFonts w:ascii="Barlow" w:eastAsia="Times New Roman" w:hAnsi="Barlow" w:cs="Arial"/>
                <w:b/>
                <w:bCs/>
                <w:sz w:val="20"/>
                <w:szCs w:val="20"/>
                <w:lang w:eastAsia="es-MX"/>
              </w:rPr>
              <w:t>556</w:t>
            </w:r>
            <w:r w:rsidR="00C6564A" w:rsidRPr="003669CB">
              <w:rPr>
                <w:rFonts w:ascii="Barlow" w:eastAsia="Times New Roman" w:hAnsi="Barlow" w:cs="Arial"/>
                <w:b/>
                <w:bCs/>
                <w:sz w:val="20"/>
                <w:szCs w:val="20"/>
                <w:lang w:eastAsia="es-MX"/>
              </w:rPr>
              <w:t>.</w:t>
            </w:r>
            <w:r w:rsidR="00802E9B" w:rsidRPr="003669CB">
              <w:rPr>
                <w:rFonts w:ascii="Barlow" w:eastAsia="Times New Roman" w:hAnsi="Barlow" w:cs="Arial"/>
                <w:b/>
                <w:bCs/>
                <w:sz w:val="20"/>
                <w:szCs w:val="20"/>
                <w:lang w:eastAsia="es-MX"/>
              </w:rPr>
              <w:t>75</w:t>
            </w:r>
          </w:p>
        </w:tc>
      </w:tr>
    </w:tbl>
    <w:p w:rsidR="00FC3076" w:rsidRPr="003669CB" w:rsidRDefault="00FC3076" w:rsidP="00D1300B">
      <w:pPr>
        <w:pStyle w:val="Prrafodelista"/>
        <w:spacing w:line="240" w:lineRule="auto"/>
        <w:rPr>
          <w:rFonts w:ascii="Barlow" w:hAnsi="Barlow" w:cs="Arial"/>
          <w:sz w:val="20"/>
          <w:szCs w:val="20"/>
          <w:highlight w:val="cyan"/>
        </w:rPr>
      </w:pPr>
    </w:p>
    <w:p w:rsidR="00FC3076" w:rsidRPr="003669CB" w:rsidRDefault="00FC3076"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8A7622" w:rsidRPr="003669CB" w:rsidRDefault="008A7622" w:rsidP="00D1300B">
      <w:pPr>
        <w:pStyle w:val="Prrafodelista"/>
        <w:spacing w:line="240" w:lineRule="auto"/>
        <w:rPr>
          <w:rFonts w:ascii="Barlow" w:hAnsi="Barlow" w:cs="Arial"/>
          <w:sz w:val="20"/>
          <w:szCs w:val="20"/>
          <w:highlight w:val="cyan"/>
        </w:rPr>
      </w:pPr>
    </w:p>
    <w:p w:rsidR="00FC3076" w:rsidRPr="003669CB" w:rsidRDefault="00FC3076" w:rsidP="00D1300B">
      <w:pPr>
        <w:pStyle w:val="Prrafodelista"/>
        <w:spacing w:line="240" w:lineRule="auto"/>
        <w:rPr>
          <w:rFonts w:ascii="Barlow" w:hAnsi="Barlow" w:cs="Arial"/>
          <w:sz w:val="20"/>
          <w:szCs w:val="20"/>
          <w:highlight w:val="cyan"/>
        </w:rPr>
      </w:pPr>
    </w:p>
    <w:p w:rsidR="001A723C" w:rsidRPr="003669CB" w:rsidRDefault="001A723C" w:rsidP="00D1300B">
      <w:pPr>
        <w:pStyle w:val="Prrafodelista"/>
        <w:spacing w:line="240" w:lineRule="auto"/>
        <w:rPr>
          <w:rFonts w:ascii="Barlow" w:hAnsi="Barlow" w:cs="Arial"/>
          <w:sz w:val="20"/>
          <w:szCs w:val="20"/>
          <w:highlight w:val="cyan"/>
        </w:rPr>
      </w:pPr>
    </w:p>
    <w:p w:rsidR="001F0CE3" w:rsidRPr="003669CB" w:rsidRDefault="001F0CE3" w:rsidP="00292473">
      <w:pPr>
        <w:pStyle w:val="Prrafodelista"/>
        <w:numPr>
          <w:ilvl w:val="0"/>
          <w:numId w:val="17"/>
        </w:numPr>
        <w:spacing w:line="240" w:lineRule="auto"/>
        <w:rPr>
          <w:rFonts w:ascii="Barlow" w:hAnsi="Barlow" w:cs="Arial"/>
          <w:sz w:val="20"/>
          <w:szCs w:val="20"/>
        </w:rPr>
      </w:pPr>
      <w:r w:rsidRPr="003669CB">
        <w:rPr>
          <w:rFonts w:ascii="Barlow" w:hAnsi="Barlow" w:cs="Arial"/>
          <w:sz w:val="20"/>
          <w:szCs w:val="20"/>
        </w:rPr>
        <w:t>Conciliación de los Flujos de Efectivo Netos de las Actividades de Operación y l</w:t>
      </w:r>
      <w:r w:rsidR="00F40711" w:rsidRPr="003669CB">
        <w:rPr>
          <w:rFonts w:ascii="Barlow" w:hAnsi="Barlow" w:cs="Arial"/>
          <w:sz w:val="20"/>
          <w:szCs w:val="20"/>
        </w:rPr>
        <w:t>os</w:t>
      </w:r>
      <w:r w:rsidRPr="003669CB">
        <w:rPr>
          <w:rFonts w:ascii="Barlow" w:hAnsi="Barlow" w:cs="Arial"/>
          <w:sz w:val="20"/>
          <w:szCs w:val="20"/>
        </w:rPr>
        <w:t xml:space="preserve"> </w:t>
      </w:r>
      <w:r w:rsidR="00F40711" w:rsidRPr="003669CB">
        <w:rPr>
          <w:rFonts w:ascii="Barlow" w:hAnsi="Barlow" w:cs="Arial"/>
          <w:sz w:val="20"/>
          <w:szCs w:val="20"/>
        </w:rPr>
        <w:t>saldos de Resultados del Ejercicio</w:t>
      </w:r>
      <w:r w:rsidRPr="003669CB">
        <w:rPr>
          <w:rFonts w:ascii="Barlow" w:hAnsi="Barlow" w:cs="Arial"/>
          <w:sz w:val="20"/>
          <w:szCs w:val="20"/>
        </w:rPr>
        <w:t xml:space="preserve"> </w:t>
      </w:r>
      <w:r w:rsidR="00F40711" w:rsidRPr="003669CB">
        <w:rPr>
          <w:rFonts w:ascii="Barlow" w:hAnsi="Barlow" w:cs="Arial"/>
          <w:sz w:val="20"/>
          <w:szCs w:val="20"/>
        </w:rPr>
        <w:t>(</w:t>
      </w:r>
      <w:r w:rsidRPr="003669CB">
        <w:rPr>
          <w:rFonts w:ascii="Barlow" w:hAnsi="Barlow" w:cs="Arial"/>
          <w:sz w:val="20"/>
          <w:szCs w:val="20"/>
        </w:rPr>
        <w:t>Ahorro/Desahorro</w:t>
      </w:r>
      <w:r w:rsidR="00F40711" w:rsidRPr="003669CB">
        <w:rPr>
          <w:rFonts w:ascii="Barlow" w:hAnsi="Barlow" w:cs="Arial"/>
          <w:sz w:val="20"/>
          <w:szCs w:val="20"/>
        </w:rPr>
        <w:t>)</w:t>
      </w:r>
      <w:r w:rsidRPr="003669CB">
        <w:rPr>
          <w:rFonts w:ascii="Barlow" w:hAnsi="Barlow" w:cs="Arial"/>
          <w:sz w:val="20"/>
          <w:szCs w:val="20"/>
        </w:rPr>
        <w:t xml:space="preserve"> al 3</w:t>
      </w:r>
      <w:r w:rsidR="003A5F82" w:rsidRPr="003669CB">
        <w:rPr>
          <w:rFonts w:ascii="Barlow" w:hAnsi="Barlow" w:cs="Arial"/>
          <w:sz w:val="20"/>
          <w:szCs w:val="20"/>
        </w:rPr>
        <w:t>1</w:t>
      </w:r>
      <w:r w:rsidRPr="003669CB">
        <w:rPr>
          <w:rFonts w:ascii="Barlow" w:hAnsi="Barlow" w:cs="Arial"/>
          <w:sz w:val="20"/>
          <w:szCs w:val="20"/>
        </w:rPr>
        <w:t xml:space="preserve"> de </w:t>
      </w:r>
      <w:r w:rsidR="003669CB" w:rsidRPr="003669CB">
        <w:rPr>
          <w:rFonts w:ascii="Barlow" w:hAnsi="Barlow" w:cs="Arial"/>
          <w:sz w:val="20"/>
          <w:szCs w:val="20"/>
        </w:rPr>
        <w:t>marzo</w:t>
      </w:r>
      <w:r w:rsidR="00512E24" w:rsidRPr="003669CB">
        <w:rPr>
          <w:rFonts w:ascii="Barlow" w:hAnsi="Barlow" w:cs="Arial"/>
          <w:sz w:val="20"/>
          <w:szCs w:val="20"/>
        </w:rPr>
        <w:t xml:space="preserve"> de 202</w:t>
      </w:r>
      <w:r w:rsidR="00802E9B" w:rsidRPr="003669CB">
        <w:rPr>
          <w:rFonts w:ascii="Barlow" w:hAnsi="Barlow" w:cs="Arial"/>
          <w:sz w:val="20"/>
          <w:szCs w:val="20"/>
        </w:rPr>
        <w:t>2</w:t>
      </w:r>
      <w:r w:rsidRPr="003669CB">
        <w:rPr>
          <w:rFonts w:ascii="Barlow" w:hAnsi="Barlow" w:cs="Arial"/>
          <w:sz w:val="20"/>
          <w:szCs w:val="20"/>
        </w:rPr>
        <w:t>.</w:t>
      </w:r>
    </w:p>
    <w:tbl>
      <w:tblPr>
        <w:tblW w:w="0" w:type="auto"/>
        <w:jc w:val="center"/>
        <w:tblLayout w:type="fixed"/>
        <w:tblLook w:val="0000" w:firstRow="0" w:lastRow="0" w:firstColumn="0" w:lastColumn="0" w:noHBand="0" w:noVBand="0"/>
      </w:tblPr>
      <w:tblGrid>
        <w:gridCol w:w="3177"/>
        <w:gridCol w:w="1405"/>
        <w:gridCol w:w="1276"/>
      </w:tblGrid>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sz w:val="20"/>
                <w:lang w:val="es-MX"/>
              </w:rPr>
            </w:pP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802E9B" w:rsidP="00B74EBB">
            <w:pPr>
              <w:pStyle w:val="Texto"/>
              <w:spacing w:after="80" w:line="224" w:lineRule="exact"/>
              <w:ind w:firstLine="0"/>
              <w:jc w:val="center"/>
              <w:rPr>
                <w:rFonts w:ascii="Barlow" w:hAnsi="Barlow"/>
                <w:sz w:val="20"/>
                <w:lang w:val="es-MX"/>
              </w:rPr>
            </w:pPr>
            <w:r w:rsidRPr="003669CB">
              <w:rPr>
                <w:rFonts w:ascii="Barlow" w:hAnsi="Barlow"/>
                <w:sz w:val="20"/>
                <w:lang w:val="es-MX"/>
              </w:rPr>
              <w:t>2022</w:t>
            </w: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802E9B" w:rsidP="001F0CE3">
            <w:pPr>
              <w:pStyle w:val="Texto"/>
              <w:spacing w:after="80" w:line="224" w:lineRule="exact"/>
              <w:ind w:firstLine="0"/>
              <w:jc w:val="center"/>
              <w:rPr>
                <w:rFonts w:ascii="Barlow" w:hAnsi="Barlow"/>
                <w:sz w:val="20"/>
                <w:lang w:val="es-MX"/>
              </w:rPr>
            </w:pPr>
            <w:r w:rsidRPr="003669CB">
              <w:rPr>
                <w:rFonts w:ascii="Barlow" w:hAnsi="Barlow"/>
                <w:sz w:val="20"/>
                <w:lang w:val="es-MX"/>
              </w:rPr>
              <w:t>2021</w:t>
            </w: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5C5D14" w:rsidP="00B74EBB">
            <w:pPr>
              <w:pStyle w:val="Texto"/>
              <w:spacing w:after="80" w:line="224" w:lineRule="exact"/>
              <w:ind w:firstLine="0"/>
              <w:rPr>
                <w:rFonts w:ascii="Barlow" w:hAnsi="Barlow"/>
                <w:b/>
                <w:sz w:val="20"/>
                <w:lang w:val="es-MX"/>
              </w:rPr>
            </w:pPr>
            <w:r w:rsidRPr="003669CB">
              <w:rPr>
                <w:rFonts w:ascii="Barlow" w:hAnsi="Barlow"/>
                <w:b/>
                <w:sz w:val="20"/>
                <w:lang w:val="es-MX"/>
              </w:rPr>
              <w:t xml:space="preserve">Resultados del Ejercicio </w:t>
            </w:r>
            <w:r w:rsidR="001F0CE3" w:rsidRPr="003669CB">
              <w:rPr>
                <w:rFonts w:ascii="Barlow" w:hAnsi="Barlow"/>
                <w:b/>
                <w:sz w:val="20"/>
                <w:lang w:val="es-MX"/>
              </w:rPr>
              <w:t>Ahorro/</w:t>
            </w:r>
            <w:r w:rsidRPr="003669CB">
              <w:rPr>
                <w:rFonts w:ascii="Barlow" w:hAnsi="Barlow"/>
                <w:b/>
                <w:sz w:val="20"/>
                <w:lang w:val="es-MX"/>
              </w:rPr>
              <w:t xml:space="preserve">Desahorro </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0E34F3" w:rsidP="000E34F3">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66337B" w:rsidRPr="003669CB">
              <w:rPr>
                <w:rFonts w:ascii="Barlow" w:hAnsi="Barlow"/>
                <w:b/>
                <w:sz w:val="20"/>
                <w:lang w:val="es-MX"/>
              </w:rPr>
              <w:t>$</w:t>
            </w:r>
            <w:r w:rsidRPr="003669CB">
              <w:rPr>
                <w:rFonts w:ascii="Barlow" w:hAnsi="Barlow"/>
                <w:b/>
                <w:sz w:val="20"/>
                <w:lang w:val="es-MX"/>
              </w:rPr>
              <w:t>474</w:t>
            </w:r>
            <w:r w:rsidR="00431656" w:rsidRPr="003669CB">
              <w:rPr>
                <w:rFonts w:ascii="Barlow" w:hAnsi="Barlow"/>
                <w:b/>
                <w:sz w:val="20"/>
                <w:lang w:val="es-MX"/>
              </w:rPr>
              <w:t>,</w:t>
            </w:r>
            <w:r w:rsidRPr="003669CB">
              <w:rPr>
                <w:rFonts w:ascii="Barlow" w:hAnsi="Barlow"/>
                <w:b/>
                <w:sz w:val="20"/>
                <w:lang w:val="es-MX"/>
              </w:rPr>
              <w:t>860</w:t>
            </w:r>
            <w:r w:rsidR="00431656" w:rsidRPr="003669CB">
              <w:rPr>
                <w:rFonts w:ascii="Barlow" w:hAnsi="Barlow"/>
                <w:b/>
                <w:sz w:val="20"/>
                <w:lang w:val="es-MX"/>
              </w:rPr>
              <w:t>.</w:t>
            </w:r>
            <w:r w:rsidRPr="003669CB">
              <w:rPr>
                <w:rFonts w:ascii="Barlow" w:hAnsi="Barlow"/>
                <w:b/>
                <w:sz w:val="20"/>
                <w:lang w:val="es-MX"/>
              </w:rPr>
              <w:t>25</w:t>
            </w: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66337B" w:rsidP="00802E9B">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802E9B" w:rsidRPr="003669CB">
              <w:rPr>
                <w:rFonts w:ascii="Barlow" w:hAnsi="Barlow"/>
                <w:b/>
                <w:sz w:val="20"/>
                <w:lang w:val="es-MX"/>
              </w:rPr>
              <w:t>7</w:t>
            </w:r>
            <w:r w:rsidR="004349AA" w:rsidRPr="003669CB">
              <w:rPr>
                <w:rFonts w:ascii="Barlow" w:hAnsi="Barlow"/>
                <w:b/>
                <w:sz w:val="20"/>
                <w:lang w:val="es-MX"/>
              </w:rPr>
              <w:t>,5</w:t>
            </w:r>
            <w:r w:rsidR="00802E9B" w:rsidRPr="003669CB">
              <w:rPr>
                <w:rFonts w:ascii="Barlow" w:hAnsi="Barlow"/>
                <w:b/>
                <w:sz w:val="20"/>
                <w:lang w:val="es-MX"/>
              </w:rPr>
              <w:t>13</w:t>
            </w:r>
            <w:r w:rsidRPr="003669CB">
              <w:rPr>
                <w:rFonts w:ascii="Barlow" w:hAnsi="Barlow"/>
                <w:b/>
                <w:sz w:val="20"/>
                <w:lang w:val="es-MX"/>
              </w:rPr>
              <w:t>,</w:t>
            </w:r>
            <w:r w:rsidR="00802E9B" w:rsidRPr="003669CB">
              <w:rPr>
                <w:rFonts w:ascii="Barlow" w:hAnsi="Barlow"/>
                <w:b/>
                <w:sz w:val="20"/>
                <w:lang w:val="es-MX"/>
              </w:rPr>
              <w:t>168</w:t>
            </w:r>
            <w:r w:rsidRPr="003669CB">
              <w:rPr>
                <w:rFonts w:ascii="Barlow" w:hAnsi="Barlow"/>
                <w:b/>
                <w:sz w:val="20"/>
                <w:lang w:val="es-MX"/>
              </w:rPr>
              <w:t>.</w:t>
            </w:r>
            <w:r w:rsidR="00802E9B" w:rsidRPr="003669CB">
              <w:rPr>
                <w:rFonts w:ascii="Barlow" w:hAnsi="Barlow"/>
                <w:b/>
                <w:sz w:val="20"/>
                <w:lang w:val="es-MX"/>
              </w:rPr>
              <w:t>88</w:t>
            </w: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b/>
                <w:i/>
                <w:sz w:val="20"/>
                <w:lang w:val="es-MX"/>
              </w:rPr>
            </w:pPr>
            <w:r w:rsidRPr="003669CB">
              <w:rPr>
                <w:rFonts w:ascii="Barlow" w:hAnsi="Barlow"/>
                <w:b/>
                <w:i/>
                <w:sz w:val="20"/>
                <w:lang w:val="es-MX"/>
              </w:rPr>
              <w:t>Movimientos de partidas (o rubros) que no afectan al efectivo.</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4349AA" w:rsidP="000E34F3">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0E34F3" w:rsidRPr="003669CB">
              <w:rPr>
                <w:rFonts w:ascii="Barlow" w:hAnsi="Barlow"/>
                <w:b/>
                <w:sz w:val="20"/>
                <w:lang w:val="es-MX"/>
              </w:rPr>
              <w:t>2,</w:t>
            </w:r>
            <w:r w:rsidR="00216B12" w:rsidRPr="003669CB">
              <w:rPr>
                <w:rFonts w:ascii="Barlow" w:hAnsi="Barlow"/>
                <w:b/>
                <w:sz w:val="20"/>
                <w:lang w:val="es-MX"/>
              </w:rPr>
              <w:t>2</w:t>
            </w:r>
            <w:r w:rsidR="000E34F3" w:rsidRPr="003669CB">
              <w:rPr>
                <w:rFonts w:ascii="Barlow" w:hAnsi="Barlow"/>
                <w:b/>
                <w:sz w:val="20"/>
                <w:lang w:val="es-MX"/>
              </w:rPr>
              <w:t>28</w:t>
            </w:r>
            <w:r w:rsidRPr="003669CB">
              <w:rPr>
                <w:rFonts w:ascii="Barlow" w:hAnsi="Barlow"/>
                <w:b/>
                <w:sz w:val="20"/>
                <w:lang w:val="es-MX"/>
              </w:rPr>
              <w:t>,</w:t>
            </w:r>
            <w:r w:rsidR="000E34F3" w:rsidRPr="003669CB">
              <w:rPr>
                <w:rFonts w:ascii="Barlow" w:hAnsi="Barlow"/>
                <w:b/>
                <w:sz w:val="20"/>
                <w:lang w:val="es-MX"/>
              </w:rPr>
              <w:t>382</w:t>
            </w:r>
            <w:r w:rsidRPr="003669CB">
              <w:rPr>
                <w:rFonts w:ascii="Barlow" w:hAnsi="Barlow"/>
                <w:b/>
                <w:sz w:val="20"/>
                <w:lang w:val="es-MX"/>
              </w:rPr>
              <w:t>.</w:t>
            </w:r>
            <w:r w:rsidR="00561B47" w:rsidRPr="003669CB">
              <w:rPr>
                <w:rFonts w:ascii="Barlow" w:hAnsi="Barlow"/>
                <w:b/>
                <w:sz w:val="20"/>
                <w:lang w:val="es-MX"/>
              </w:rPr>
              <w:t>4</w:t>
            </w:r>
            <w:r w:rsidR="000E34F3" w:rsidRPr="003669CB">
              <w:rPr>
                <w:rFonts w:ascii="Barlow" w:hAnsi="Barlow"/>
                <w:b/>
                <w:sz w:val="20"/>
                <w:lang w:val="es-MX"/>
              </w:rPr>
              <w:t>3</w:t>
            </w: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99132B" w:rsidP="00802E9B">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802E9B" w:rsidRPr="003669CB">
              <w:rPr>
                <w:rFonts w:ascii="Barlow" w:hAnsi="Barlow"/>
                <w:b/>
                <w:sz w:val="20"/>
                <w:lang w:val="es-MX"/>
              </w:rPr>
              <w:t>10</w:t>
            </w:r>
            <w:r w:rsidRPr="003669CB">
              <w:rPr>
                <w:rFonts w:ascii="Barlow" w:hAnsi="Barlow"/>
                <w:b/>
                <w:sz w:val="20"/>
                <w:lang w:val="es-MX"/>
              </w:rPr>
              <w:t>,</w:t>
            </w:r>
            <w:r w:rsidR="00802E9B" w:rsidRPr="003669CB">
              <w:rPr>
                <w:rFonts w:ascii="Barlow" w:hAnsi="Barlow"/>
                <w:b/>
                <w:sz w:val="20"/>
                <w:lang w:val="es-MX"/>
              </w:rPr>
              <w:t>662</w:t>
            </w:r>
            <w:r w:rsidRPr="003669CB">
              <w:rPr>
                <w:rFonts w:ascii="Barlow" w:hAnsi="Barlow"/>
                <w:b/>
                <w:sz w:val="20"/>
                <w:lang w:val="es-MX"/>
              </w:rPr>
              <w:t>,</w:t>
            </w:r>
            <w:r w:rsidR="00802E9B" w:rsidRPr="003669CB">
              <w:rPr>
                <w:rFonts w:ascii="Barlow" w:hAnsi="Barlow"/>
                <w:b/>
                <w:sz w:val="20"/>
                <w:lang w:val="es-MX"/>
              </w:rPr>
              <w:t>172</w:t>
            </w:r>
            <w:r w:rsidRPr="003669CB">
              <w:rPr>
                <w:rFonts w:ascii="Barlow" w:hAnsi="Barlow"/>
                <w:b/>
                <w:sz w:val="20"/>
                <w:lang w:val="es-MX"/>
              </w:rPr>
              <w:t>.</w:t>
            </w:r>
            <w:r w:rsidR="00802E9B" w:rsidRPr="003669CB">
              <w:rPr>
                <w:rFonts w:ascii="Barlow" w:hAnsi="Barlow"/>
                <w:b/>
                <w:sz w:val="20"/>
                <w:lang w:val="es-MX"/>
              </w:rPr>
              <w:t>84</w:t>
            </w:r>
          </w:p>
        </w:tc>
      </w:tr>
      <w:tr w:rsidR="0099132B"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99132B" w:rsidRPr="003669CB" w:rsidRDefault="0099132B" w:rsidP="00B74EBB">
            <w:pPr>
              <w:pStyle w:val="Texto"/>
              <w:spacing w:after="80" w:line="224" w:lineRule="exact"/>
              <w:ind w:firstLine="0"/>
              <w:rPr>
                <w:rFonts w:ascii="Barlow" w:hAnsi="Barlow"/>
                <w:sz w:val="20"/>
                <w:lang w:val="es-MX"/>
              </w:rPr>
            </w:pPr>
            <w:r w:rsidRPr="003669CB">
              <w:rPr>
                <w:rFonts w:ascii="Barlow" w:hAnsi="Barlow"/>
                <w:sz w:val="20"/>
                <w:lang w:val="es-MX"/>
              </w:rPr>
              <w:t>Depreciación</w:t>
            </w:r>
          </w:p>
        </w:tc>
        <w:tc>
          <w:tcPr>
            <w:tcW w:w="1405" w:type="dxa"/>
            <w:tcBorders>
              <w:top w:val="single" w:sz="6" w:space="0" w:color="auto"/>
              <w:left w:val="single" w:sz="6" w:space="0" w:color="auto"/>
              <w:bottom w:val="single" w:sz="6" w:space="0" w:color="auto"/>
              <w:right w:val="single" w:sz="6" w:space="0" w:color="auto"/>
            </w:tcBorders>
          </w:tcPr>
          <w:p w:rsidR="0099132B" w:rsidRPr="003669CB" w:rsidRDefault="000E34F3" w:rsidP="000E34F3">
            <w:pPr>
              <w:pStyle w:val="Texto"/>
              <w:spacing w:after="80" w:line="224" w:lineRule="exact"/>
              <w:ind w:firstLine="0"/>
              <w:jc w:val="center"/>
              <w:rPr>
                <w:rFonts w:ascii="Barlow" w:hAnsi="Barlow"/>
                <w:sz w:val="20"/>
                <w:lang w:val="es-MX"/>
              </w:rPr>
            </w:pPr>
            <w:r w:rsidRPr="003669CB">
              <w:rPr>
                <w:rFonts w:ascii="Barlow" w:hAnsi="Barlow"/>
                <w:sz w:val="20"/>
                <w:lang w:val="es-MX"/>
              </w:rPr>
              <w:t>2,141,246</w:t>
            </w:r>
            <w:r w:rsidR="0099132B" w:rsidRPr="003669CB">
              <w:rPr>
                <w:rFonts w:ascii="Barlow" w:hAnsi="Barlow"/>
                <w:sz w:val="20"/>
                <w:lang w:val="es-MX"/>
              </w:rPr>
              <w:t>.</w:t>
            </w:r>
            <w:r w:rsidRPr="003669CB">
              <w:rPr>
                <w:rFonts w:ascii="Barlow" w:hAnsi="Barlow"/>
                <w:sz w:val="20"/>
                <w:lang w:val="es-MX"/>
              </w:rPr>
              <w:t>9</w:t>
            </w:r>
            <w:r w:rsidR="00802E9B" w:rsidRPr="003669CB">
              <w:rPr>
                <w:rFonts w:ascii="Barlow" w:hAnsi="Barlow"/>
                <w:sz w:val="20"/>
                <w:lang w:val="es-MX"/>
              </w:rPr>
              <w:t>2</w:t>
            </w:r>
          </w:p>
        </w:tc>
        <w:tc>
          <w:tcPr>
            <w:tcW w:w="1276" w:type="dxa"/>
            <w:tcBorders>
              <w:top w:val="single" w:sz="6" w:space="0" w:color="auto"/>
              <w:left w:val="single" w:sz="6" w:space="0" w:color="auto"/>
              <w:bottom w:val="single" w:sz="6" w:space="0" w:color="auto"/>
              <w:right w:val="single" w:sz="6" w:space="0" w:color="auto"/>
            </w:tcBorders>
          </w:tcPr>
          <w:p w:rsidR="0099132B" w:rsidRPr="003669CB" w:rsidRDefault="00802E9B" w:rsidP="00802E9B">
            <w:pPr>
              <w:pStyle w:val="Texto"/>
              <w:spacing w:after="80" w:line="224" w:lineRule="exact"/>
              <w:ind w:firstLine="0"/>
              <w:jc w:val="center"/>
              <w:rPr>
                <w:rFonts w:ascii="Barlow" w:hAnsi="Barlow"/>
                <w:sz w:val="20"/>
              </w:rPr>
            </w:pPr>
            <w:r w:rsidRPr="003669CB">
              <w:rPr>
                <w:rFonts w:ascii="Barlow" w:hAnsi="Barlow"/>
                <w:sz w:val="20"/>
                <w:lang w:val="es-MX"/>
              </w:rPr>
              <w:t>10</w:t>
            </w:r>
            <w:r w:rsidR="0099132B" w:rsidRPr="003669CB">
              <w:rPr>
                <w:rFonts w:ascii="Barlow" w:hAnsi="Barlow"/>
                <w:sz w:val="20"/>
                <w:lang w:val="es-MX"/>
              </w:rPr>
              <w:t>,</w:t>
            </w:r>
            <w:r w:rsidRPr="003669CB">
              <w:rPr>
                <w:rFonts w:ascii="Barlow" w:hAnsi="Barlow"/>
                <w:sz w:val="20"/>
                <w:lang w:val="es-MX"/>
              </w:rPr>
              <w:t>206</w:t>
            </w:r>
            <w:r w:rsidR="0099132B" w:rsidRPr="003669CB">
              <w:rPr>
                <w:rFonts w:ascii="Barlow" w:hAnsi="Barlow"/>
                <w:sz w:val="20"/>
                <w:lang w:val="es-MX"/>
              </w:rPr>
              <w:t>,5</w:t>
            </w:r>
            <w:r w:rsidRPr="003669CB">
              <w:rPr>
                <w:rFonts w:ascii="Barlow" w:hAnsi="Barlow"/>
                <w:sz w:val="20"/>
                <w:lang w:val="es-MX"/>
              </w:rPr>
              <w:t>78</w:t>
            </w:r>
            <w:r w:rsidR="0099132B" w:rsidRPr="003669CB">
              <w:rPr>
                <w:rFonts w:ascii="Barlow" w:hAnsi="Barlow"/>
                <w:sz w:val="20"/>
                <w:lang w:val="es-MX"/>
              </w:rPr>
              <w:t>.</w:t>
            </w:r>
            <w:r w:rsidRPr="003669CB">
              <w:rPr>
                <w:rFonts w:ascii="Barlow" w:hAnsi="Barlow"/>
                <w:sz w:val="20"/>
                <w:lang w:val="es-MX"/>
              </w:rPr>
              <w:t>97</w:t>
            </w:r>
          </w:p>
        </w:tc>
      </w:tr>
      <w:tr w:rsidR="0099132B"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99132B" w:rsidRPr="003669CB" w:rsidRDefault="0099132B" w:rsidP="00B74EBB">
            <w:pPr>
              <w:pStyle w:val="Texto"/>
              <w:spacing w:after="80" w:line="224" w:lineRule="exact"/>
              <w:ind w:firstLine="0"/>
              <w:rPr>
                <w:rFonts w:ascii="Barlow" w:hAnsi="Barlow"/>
                <w:sz w:val="20"/>
                <w:lang w:val="es-MX"/>
              </w:rPr>
            </w:pPr>
            <w:r w:rsidRPr="003669CB">
              <w:rPr>
                <w:rFonts w:ascii="Barlow" w:hAnsi="Barlow"/>
                <w:sz w:val="20"/>
                <w:lang w:val="es-MX"/>
              </w:rPr>
              <w:t>Amortización</w:t>
            </w:r>
          </w:p>
        </w:tc>
        <w:tc>
          <w:tcPr>
            <w:tcW w:w="1405" w:type="dxa"/>
            <w:tcBorders>
              <w:top w:val="single" w:sz="6" w:space="0" w:color="auto"/>
              <w:left w:val="single" w:sz="6" w:space="0" w:color="auto"/>
              <w:bottom w:val="single" w:sz="6" w:space="0" w:color="auto"/>
              <w:right w:val="single" w:sz="6" w:space="0" w:color="auto"/>
            </w:tcBorders>
          </w:tcPr>
          <w:p w:rsidR="0099132B" w:rsidRPr="003669CB" w:rsidRDefault="0099132B" w:rsidP="000E34F3">
            <w:pPr>
              <w:pStyle w:val="Texto"/>
              <w:spacing w:after="80" w:line="224" w:lineRule="exact"/>
              <w:ind w:firstLine="0"/>
              <w:jc w:val="center"/>
              <w:rPr>
                <w:rFonts w:ascii="Barlow" w:hAnsi="Barlow"/>
                <w:sz w:val="20"/>
                <w:lang w:val="es-MX"/>
              </w:rPr>
            </w:pPr>
            <w:r w:rsidRPr="003669CB">
              <w:rPr>
                <w:rFonts w:ascii="Barlow" w:hAnsi="Barlow"/>
                <w:sz w:val="20"/>
                <w:lang w:val="es-MX"/>
              </w:rPr>
              <w:t xml:space="preserve">   </w:t>
            </w:r>
            <w:r w:rsidR="000E34F3" w:rsidRPr="003669CB">
              <w:rPr>
                <w:rFonts w:ascii="Barlow" w:hAnsi="Barlow"/>
                <w:sz w:val="20"/>
                <w:lang w:val="es-MX"/>
              </w:rPr>
              <w:t>87</w:t>
            </w:r>
            <w:r w:rsidRPr="003669CB">
              <w:rPr>
                <w:rFonts w:ascii="Barlow" w:hAnsi="Barlow"/>
                <w:sz w:val="20"/>
                <w:lang w:val="es-MX"/>
              </w:rPr>
              <w:t>,</w:t>
            </w:r>
            <w:r w:rsidR="000E34F3" w:rsidRPr="003669CB">
              <w:rPr>
                <w:rFonts w:ascii="Barlow" w:hAnsi="Barlow"/>
                <w:sz w:val="20"/>
                <w:lang w:val="es-MX"/>
              </w:rPr>
              <w:t>13</w:t>
            </w:r>
            <w:r w:rsidR="00802E9B" w:rsidRPr="003669CB">
              <w:rPr>
                <w:rFonts w:ascii="Barlow" w:hAnsi="Barlow"/>
                <w:sz w:val="20"/>
                <w:lang w:val="es-MX"/>
              </w:rPr>
              <w:t>5</w:t>
            </w:r>
            <w:r w:rsidRPr="003669CB">
              <w:rPr>
                <w:rFonts w:ascii="Barlow" w:hAnsi="Barlow"/>
                <w:sz w:val="20"/>
                <w:lang w:val="es-MX"/>
              </w:rPr>
              <w:t>.</w:t>
            </w:r>
            <w:r w:rsidR="000E34F3" w:rsidRPr="003669CB">
              <w:rPr>
                <w:rFonts w:ascii="Barlow" w:hAnsi="Barlow"/>
                <w:sz w:val="20"/>
                <w:lang w:val="es-MX"/>
              </w:rPr>
              <w:t>5</w:t>
            </w:r>
            <w:r w:rsidR="00802E9B" w:rsidRPr="003669CB">
              <w:rPr>
                <w:rFonts w:ascii="Barlow" w:hAnsi="Barlow"/>
                <w:sz w:val="20"/>
                <w:lang w:val="es-MX"/>
              </w:rPr>
              <w:t>1</w:t>
            </w:r>
          </w:p>
        </w:tc>
        <w:tc>
          <w:tcPr>
            <w:tcW w:w="1276" w:type="dxa"/>
            <w:tcBorders>
              <w:top w:val="single" w:sz="6" w:space="0" w:color="auto"/>
              <w:left w:val="single" w:sz="6" w:space="0" w:color="auto"/>
              <w:bottom w:val="single" w:sz="6" w:space="0" w:color="auto"/>
              <w:right w:val="single" w:sz="6" w:space="0" w:color="auto"/>
            </w:tcBorders>
          </w:tcPr>
          <w:p w:rsidR="0099132B" w:rsidRPr="003669CB" w:rsidRDefault="0099132B" w:rsidP="00802E9B">
            <w:pPr>
              <w:pStyle w:val="Texto"/>
              <w:spacing w:after="80" w:line="224" w:lineRule="exact"/>
              <w:ind w:firstLine="0"/>
              <w:jc w:val="center"/>
              <w:rPr>
                <w:rFonts w:ascii="Barlow" w:hAnsi="Barlow"/>
                <w:sz w:val="20"/>
              </w:rPr>
            </w:pPr>
            <w:r w:rsidRPr="003669CB">
              <w:rPr>
                <w:rFonts w:ascii="Barlow" w:hAnsi="Barlow"/>
                <w:sz w:val="20"/>
              </w:rPr>
              <w:t xml:space="preserve">   </w:t>
            </w:r>
            <w:r w:rsidR="00802E9B" w:rsidRPr="003669CB">
              <w:rPr>
                <w:rFonts w:ascii="Barlow" w:hAnsi="Barlow"/>
                <w:sz w:val="20"/>
                <w:lang w:val="es-MX"/>
              </w:rPr>
              <w:t>455</w:t>
            </w:r>
            <w:r w:rsidRPr="003669CB">
              <w:rPr>
                <w:rFonts w:ascii="Barlow" w:hAnsi="Barlow"/>
                <w:sz w:val="20"/>
                <w:lang w:val="es-MX"/>
              </w:rPr>
              <w:t>,</w:t>
            </w:r>
            <w:r w:rsidR="00802E9B" w:rsidRPr="003669CB">
              <w:rPr>
                <w:rFonts w:ascii="Barlow" w:hAnsi="Barlow"/>
                <w:sz w:val="20"/>
                <w:lang w:val="es-MX"/>
              </w:rPr>
              <w:t>593</w:t>
            </w:r>
            <w:r w:rsidRPr="003669CB">
              <w:rPr>
                <w:rFonts w:ascii="Barlow" w:hAnsi="Barlow"/>
                <w:sz w:val="20"/>
                <w:lang w:val="es-MX"/>
              </w:rPr>
              <w:t>.</w:t>
            </w:r>
            <w:r w:rsidR="00802E9B" w:rsidRPr="003669CB">
              <w:rPr>
                <w:rFonts w:ascii="Barlow" w:hAnsi="Barlow"/>
                <w:sz w:val="20"/>
                <w:lang w:val="es-MX"/>
              </w:rPr>
              <w:t>87</w:t>
            </w: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sz w:val="20"/>
                <w:lang w:val="es-MX"/>
              </w:rPr>
            </w:pPr>
            <w:r w:rsidRPr="003669CB">
              <w:rPr>
                <w:rFonts w:ascii="Barlow" w:hAnsi="Barlow"/>
                <w:sz w:val="20"/>
                <w:lang w:val="es-MX"/>
              </w:rPr>
              <w:lastRenderedPageBreak/>
              <w:t>Incrementos en las provisiones</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sz w:val="20"/>
                <w:lang w:val="es-MX"/>
              </w:rPr>
            </w:pPr>
            <w:r w:rsidRPr="003669CB">
              <w:rPr>
                <w:rFonts w:ascii="Barlow" w:hAnsi="Barlow"/>
                <w:sz w:val="20"/>
                <w:lang w:val="es-MX"/>
              </w:rPr>
              <w:t>Incremento en inversiones producido por revaluación</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sz w:val="20"/>
                <w:lang w:val="es-MX"/>
              </w:rPr>
            </w:pPr>
            <w:r w:rsidRPr="003669CB">
              <w:rPr>
                <w:rFonts w:ascii="Barlow" w:hAnsi="Barlow"/>
                <w:sz w:val="20"/>
                <w:lang w:val="es-MX"/>
              </w:rPr>
              <w:t>Ganancia/pérdida en venta de propiedad, planta y equipo</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rPr>
                <w:rFonts w:ascii="Barlow" w:hAnsi="Barlow"/>
                <w:sz w:val="20"/>
                <w:lang w:val="es-MX"/>
              </w:rPr>
            </w:pPr>
            <w:r w:rsidRPr="003669CB">
              <w:rPr>
                <w:rFonts w:ascii="Barlow" w:hAnsi="Barlow"/>
                <w:sz w:val="20"/>
                <w:lang w:val="es-MX"/>
              </w:rPr>
              <w:t>Incremento en cuentas por cobrar</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1F0CE3" w:rsidP="00B74EBB">
            <w:pPr>
              <w:pStyle w:val="Texto"/>
              <w:spacing w:after="80" w:line="224" w:lineRule="exact"/>
              <w:ind w:firstLine="0"/>
              <w:jc w:val="center"/>
              <w:rPr>
                <w:rFonts w:ascii="Barlow" w:hAnsi="Barlow"/>
                <w:sz w:val="20"/>
                <w:lang w:val="es-MX"/>
              </w:rPr>
            </w:pPr>
          </w:p>
        </w:tc>
      </w:tr>
      <w:tr w:rsidR="001F0CE3" w:rsidRPr="003669CB" w:rsidTr="0066337B">
        <w:trPr>
          <w:trHeight w:val="20"/>
          <w:jc w:val="center"/>
        </w:trPr>
        <w:tc>
          <w:tcPr>
            <w:tcW w:w="3177" w:type="dxa"/>
            <w:tcBorders>
              <w:top w:val="single" w:sz="6" w:space="0" w:color="auto"/>
              <w:left w:val="single" w:sz="6" w:space="0" w:color="auto"/>
              <w:bottom w:val="single" w:sz="6" w:space="0" w:color="auto"/>
              <w:right w:val="single" w:sz="6" w:space="0" w:color="auto"/>
            </w:tcBorders>
          </w:tcPr>
          <w:p w:rsidR="001F0CE3" w:rsidRPr="003669CB" w:rsidRDefault="00292473" w:rsidP="00B74EBB">
            <w:pPr>
              <w:pStyle w:val="Texto"/>
              <w:spacing w:after="80" w:line="224" w:lineRule="exact"/>
              <w:ind w:firstLine="0"/>
              <w:rPr>
                <w:rFonts w:ascii="Barlow" w:hAnsi="Barlow"/>
                <w:b/>
                <w:sz w:val="20"/>
                <w:lang w:val="es-MX"/>
              </w:rPr>
            </w:pPr>
            <w:r w:rsidRPr="003669CB">
              <w:rPr>
                <w:rFonts w:ascii="Barlow" w:hAnsi="Barlow"/>
                <w:b/>
                <w:sz w:val="20"/>
                <w:lang w:val="es-MX"/>
              </w:rPr>
              <w:t>Flujos de Efectivo Netos de las Actividades de Operación.</w:t>
            </w:r>
          </w:p>
        </w:tc>
        <w:tc>
          <w:tcPr>
            <w:tcW w:w="1405" w:type="dxa"/>
            <w:tcBorders>
              <w:top w:val="single" w:sz="6" w:space="0" w:color="auto"/>
              <w:left w:val="single" w:sz="6" w:space="0" w:color="auto"/>
              <w:bottom w:val="single" w:sz="6" w:space="0" w:color="auto"/>
              <w:right w:val="single" w:sz="6" w:space="0" w:color="auto"/>
            </w:tcBorders>
          </w:tcPr>
          <w:p w:rsidR="001F0CE3" w:rsidRPr="003669CB" w:rsidRDefault="004349AA" w:rsidP="000E34F3">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0E34F3" w:rsidRPr="003669CB">
              <w:rPr>
                <w:rFonts w:ascii="Barlow" w:hAnsi="Barlow"/>
                <w:b/>
                <w:sz w:val="20"/>
                <w:lang w:val="es-MX"/>
              </w:rPr>
              <w:t>1</w:t>
            </w:r>
            <w:r w:rsidRPr="003669CB">
              <w:rPr>
                <w:rFonts w:ascii="Barlow" w:hAnsi="Barlow"/>
                <w:b/>
                <w:sz w:val="20"/>
                <w:lang w:val="es-MX"/>
              </w:rPr>
              <w:t>,</w:t>
            </w:r>
            <w:r w:rsidR="00802E9B" w:rsidRPr="003669CB">
              <w:rPr>
                <w:rFonts w:ascii="Barlow" w:hAnsi="Barlow"/>
                <w:b/>
                <w:sz w:val="20"/>
                <w:lang w:val="es-MX"/>
              </w:rPr>
              <w:t>7</w:t>
            </w:r>
            <w:r w:rsidR="000E34F3" w:rsidRPr="003669CB">
              <w:rPr>
                <w:rFonts w:ascii="Barlow" w:hAnsi="Barlow"/>
                <w:b/>
                <w:sz w:val="20"/>
                <w:lang w:val="es-MX"/>
              </w:rPr>
              <w:t>53</w:t>
            </w:r>
            <w:r w:rsidRPr="003669CB">
              <w:rPr>
                <w:rFonts w:ascii="Barlow" w:hAnsi="Barlow"/>
                <w:b/>
                <w:sz w:val="20"/>
                <w:lang w:val="es-MX"/>
              </w:rPr>
              <w:t>,</w:t>
            </w:r>
            <w:r w:rsidR="000E34F3" w:rsidRPr="003669CB">
              <w:rPr>
                <w:rFonts w:ascii="Barlow" w:hAnsi="Barlow"/>
                <w:b/>
                <w:sz w:val="20"/>
                <w:lang w:val="es-MX"/>
              </w:rPr>
              <w:t>522</w:t>
            </w:r>
            <w:r w:rsidRPr="003669CB">
              <w:rPr>
                <w:rFonts w:ascii="Barlow" w:hAnsi="Barlow"/>
                <w:b/>
                <w:sz w:val="20"/>
                <w:lang w:val="es-MX"/>
              </w:rPr>
              <w:t>.</w:t>
            </w:r>
            <w:r w:rsidR="00802E9B" w:rsidRPr="003669CB">
              <w:rPr>
                <w:rFonts w:ascii="Barlow" w:hAnsi="Barlow"/>
                <w:b/>
                <w:sz w:val="20"/>
                <w:lang w:val="es-MX"/>
              </w:rPr>
              <w:t>1</w:t>
            </w:r>
            <w:r w:rsidR="000E34F3" w:rsidRPr="003669CB">
              <w:rPr>
                <w:rFonts w:ascii="Barlow" w:hAnsi="Barlow"/>
                <w:b/>
                <w:sz w:val="20"/>
                <w:lang w:val="es-MX"/>
              </w:rPr>
              <w:t>8</w:t>
            </w:r>
          </w:p>
        </w:tc>
        <w:tc>
          <w:tcPr>
            <w:tcW w:w="1276" w:type="dxa"/>
            <w:tcBorders>
              <w:top w:val="single" w:sz="6" w:space="0" w:color="auto"/>
              <w:left w:val="single" w:sz="6" w:space="0" w:color="auto"/>
              <w:bottom w:val="single" w:sz="6" w:space="0" w:color="auto"/>
              <w:right w:val="single" w:sz="6" w:space="0" w:color="auto"/>
            </w:tcBorders>
          </w:tcPr>
          <w:p w:rsidR="001F0CE3" w:rsidRPr="003669CB" w:rsidRDefault="0099132B" w:rsidP="00802E9B">
            <w:pPr>
              <w:pStyle w:val="Texto"/>
              <w:spacing w:after="80" w:line="224" w:lineRule="exact"/>
              <w:ind w:firstLine="0"/>
              <w:jc w:val="center"/>
              <w:rPr>
                <w:rFonts w:ascii="Barlow" w:hAnsi="Barlow"/>
                <w:b/>
                <w:sz w:val="20"/>
                <w:lang w:val="es-MX"/>
              </w:rPr>
            </w:pPr>
            <w:r w:rsidRPr="003669CB">
              <w:rPr>
                <w:rFonts w:ascii="Barlow" w:hAnsi="Barlow"/>
                <w:b/>
                <w:sz w:val="20"/>
                <w:lang w:val="es-MX"/>
              </w:rPr>
              <w:t>$</w:t>
            </w:r>
            <w:r w:rsidR="00802E9B" w:rsidRPr="003669CB">
              <w:rPr>
                <w:rFonts w:ascii="Barlow" w:hAnsi="Barlow"/>
                <w:b/>
                <w:sz w:val="20"/>
                <w:lang w:val="es-MX"/>
              </w:rPr>
              <w:t>2</w:t>
            </w:r>
            <w:r w:rsidRPr="003669CB">
              <w:rPr>
                <w:rFonts w:ascii="Barlow" w:hAnsi="Barlow"/>
                <w:b/>
                <w:sz w:val="20"/>
                <w:lang w:val="es-MX"/>
              </w:rPr>
              <w:t>,</w:t>
            </w:r>
            <w:r w:rsidR="00802E9B" w:rsidRPr="003669CB">
              <w:rPr>
                <w:rFonts w:ascii="Barlow" w:hAnsi="Barlow"/>
                <w:b/>
                <w:sz w:val="20"/>
                <w:lang w:val="es-MX"/>
              </w:rPr>
              <w:t>69</w:t>
            </w:r>
            <w:r w:rsidRPr="003669CB">
              <w:rPr>
                <w:rFonts w:ascii="Barlow" w:hAnsi="Barlow"/>
                <w:b/>
                <w:sz w:val="20"/>
                <w:lang w:val="es-MX"/>
              </w:rPr>
              <w:t>3</w:t>
            </w:r>
            <w:r w:rsidR="00802E9B" w:rsidRPr="003669CB">
              <w:rPr>
                <w:rFonts w:ascii="Barlow" w:hAnsi="Barlow"/>
                <w:b/>
                <w:sz w:val="20"/>
                <w:lang w:val="es-MX"/>
              </w:rPr>
              <w:t>,410</w:t>
            </w:r>
            <w:r w:rsidRPr="003669CB">
              <w:rPr>
                <w:rFonts w:ascii="Barlow" w:hAnsi="Barlow"/>
                <w:b/>
                <w:sz w:val="20"/>
                <w:lang w:val="es-MX"/>
              </w:rPr>
              <w:t>.</w:t>
            </w:r>
            <w:r w:rsidR="00802E9B" w:rsidRPr="003669CB">
              <w:rPr>
                <w:rFonts w:ascii="Barlow" w:hAnsi="Barlow"/>
                <w:b/>
                <w:sz w:val="20"/>
                <w:lang w:val="es-MX"/>
              </w:rPr>
              <w:t>09</w:t>
            </w:r>
          </w:p>
        </w:tc>
      </w:tr>
    </w:tbl>
    <w:p w:rsidR="007B4F7F" w:rsidRPr="003669CB" w:rsidRDefault="007B4F7F" w:rsidP="007A51DC">
      <w:pPr>
        <w:rPr>
          <w:rFonts w:ascii="Barlow" w:hAnsi="Barlow"/>
          <w:b/>
          <w:sz w:val="20"/>
          <w:szCs w:val="20"/>
        </w:rPr>
      </w:pPr>
    </w:p>
    <w:p w:rsidR="00A45A39" w:rsidRPr="003669CB" w:rsidRDefault="00A45A39" w:rsidP="00A45A39">
      <w:pPr>
        <w:pStyle w:val="Prrafodelista"/>
        <w:numPr>
          <w:ilvl w:val="0"/>
          <w:numId w:val="5"/>
        </w:numPr>
        <w:ind w:left="567" w:hanging="567"/>
        <w:rPr>
          <w:rFonts w:ascii="Barlow" w:hAnsi="Barlow"/>
          <w:b/>
          <w:sz w:val="20"/>
          <w:szCs w:val="20"/>
        </w:rPr>
      </w:pPr>
      <w:r w:rsidRPr="003669CB">
        <w:rPr>
          <w:rFonts w:ascii="Barlow" w:hAnsi="Barlow"/>
          <w:b/>
          <w:sz w:val="20"/>
          <w:szCs w:val="20"/>
        </w:rPr>
        <w:t>CONCILIACIÓN ENTRE LOS INGRESOS PRESUPUESTARIOS Y CONTABLES, ASÍ COMO ENTRE LOS EGRESOS PRESUPUESTARIOS Y LOS GASTOS CONTABLES.</w:t>
      </w:r>
    </w:p>
    <w:p w:rsidR="00BC235E" w:rsidRPr="003669CB" w:rsidRDefault="00BC235E" w:rsidP="00BC235E">
      <w:pPr>
        <w:pStyle w:val="Prrafodelista"/>
        <w:ind w:left="567"/>
        <w:rPr>
          <w:rFonts w:ascii="Barlow" w:hAnsi="Barlow"/>
          <w:b/>
          <w:sz w:val="20"/>
          <w:szCs w:val="20"/>
        </w:rPr>
      </w:pPr>
    </w:p>
    <w:tbl>
      <w:tblPr>
        <w:tblW w:w="0" w:type="auto"/>
        <w:tblCellMar>
          <w:left w:w="70" w:type="dxa"/>
          <w:right w:w="70" w:type="dxa"/>
        </w:tblCellMar>
        <w:tblLook w:val="04A0" w:firstRow="1" w:lastRow="0" w:firstColumn="1" w:lastColumn="0" w:noHBand="0" w:noVBand="1"/>
      </w:tblPr>
      <w:tblGrid>
        <w:gridCol w:w="180"/>
        <w:gridCol w:w="7327"/>
        <w:gridCol w:w="1095"/>
        <w:gridCol w:w="1097"/>
      </w:tblGrid>
      <w:tr w:rsidR="0040410D" w:rsidRPr="003669CB" w:rsidTr="00D14213">
        <w:trPr>
          <w:trHeight w:val="255"/>
        </w:trPr>
        <w:tc>
          <w:tcPr>
            <w:tcW w:w="0" w:type="auto"/>
            <w:gridSpan w:val="4"/>
            <w:tcBorders>
              <w:top w:val="single" w:sz="8" w:space="0" w:color="auto"/>
              <w:left w:val="single" w:sz="8" w:space="0" w:color="auto"/>
              <w:bottom w:val="nil"/>
              <w:right w:val="single" w:sz="8" w:space="0" w:color="000000"/>
            </w:tcBorders>
            <w:shd w:val="clear" w:color="000000" w:fill="C0C0C0"/>
            <w:noWrap/>
            <w:vAlign w:val="center"/>
            <w:hideMark/>
          </w:tcPr>
          <w:p w:rsidR="0040410D" w:rsidRPr="003669CB" w:rsidRDefault="0040410D" w:rsidP="0040410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INSTITUTO TECNOLÓGICO SUPERIOR PROGRESO</w:t>
            </w:r>
          </w:p>
        </w:tc>
      </w:tr>
      <w:tr w:rsidR="0040410D" w:rsidRPr="003669CB" w:rsidTr="00D14213">
        <w:trPr>
          <w:trHeight w:val="480"/>
        </w:trPr>
        <w:tc>
          <w:tcPr>
            <w:tcW w:w="0" w:type="auto"/>
            <w:gridSpan w:val="4"/>
            <w:tcBorders>
              <w:top w:val="nil"/>
              <w:left w:val="single" w:sz="8" w:space="0" w:color="auto"/>
              <w:bottom w:val="nil"/>
              <w:right w:val="single" w:sz="8" w:space="0" w:color="000000"/>
            </w:tcBorders>
            <w:shd w:val="clear" w:color="000000" w:fill="C0C0C0"/>
            <w:vAlign w:val="center"/>
            <w:hideMark/>
          </w:tcPr>
          <w:p w:rsidR="0040410D" w:rsidRPr="003669CB" w:rsidRDefault="0040410D" w:rsidP="0040410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Conciliación entre los Ingresos Presupuestarios y Contables</w:t>
            </w:r>
          </w:p>
        </w:tc>
      </w:tr>
      <w:tr w:rsidR="0040410D" w:rsidRPr="003669CB" w:rsidTr="00D14213">
        <w:trPr>
          <w:trHeight w:val="255"/>
        </w:trPr>
        <w:tc>
          <w:tcPr>
            <w:tcW w:w="0" w:type="auto"/>
            <w:gridSpan w:val="4"/>
            <w:tcBorders>
              <w:top w:val="nil"/>
              <w:left w:val="single" w:sz="8" w:space="0" w:color="auto"/>
              <w:bottom w:val="nil"/>
              <w:right w:val="single" w:sz="8" w:space="0" w:color="000000"/>
            </w:tcBorders>
            <w:shd w:val="clear" w:color="000000" w:fill="C0C0C0"/>
            <w:vAlign w:val="center"/>
            <w:hideMark/>
          </w:tcPr>
          <w:p w:rsidR="0040410D" w:rsidRPr="003669CB" w:rsidRDefault="0040410D"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Corr</w:t>
            </w:r>
            <w:r w:rsidR="00942D45" w:rsidRPr="003669CB">
              <w:rPr>
                <w:rFonts w:ascii="Barlow" w:eastAsia="Times New Roman" w:hAnsi="Barlow" w:cs="Arial"/>
                <w:b/>
                <w:bCs/>
                <w:sz w:val="20"/>
                <w:szCs w:val="20"/>
                <w:lang w:eastAsia="es-MX"/>
              </w:rPr>
              <w:t>e</w:t>
            </w:r>
            <w:r w:rsidR="007C2925" w:rsidRPr="003669CB">
              <w:rPr>
                <w:rFonts w:ascii="Barlow" w:eastAsia="Times New Roman" w:hAnsi="Barlow" w:cs="Arial"/>
                <w:b/>
                <w:bCs/>
                <w:sz w:val="20"/>
                <w:szCs w:val="20"/>
                <w:lang w:eastAsia="es-MX"/>
              </w:rPr>
              <w:t xml:space="preserve">spondiente del 01 </w:t>
            </w:r>
            <w:r w:rsidR="00E231EB" w:rsidRPr="003669CB">
              <w:rPr>
                <w:rFonts w:ascii="Barlow" w:eastAsia="Times New Roman" w:hAnsi="Barlow" w:cs="Arial"/>
                <w:b/>
                <w:bCs/>
                <w:sz w:val="20"/>
                <w:szCs w:val="20"/>
                <w:lang w:eastAsia="es-MX"/>
              </w:rPr>
              <w:t xml:space="preserve">de Enero </w:t>
            </w:r>
            <w:r w:rsidR="003B6865" w:rsidRPr="003669CB">
              <w:rPr>
                <w:rFonts w:ascii="Barlow" w:eastAsia="Times New Roman" w:hAnsi="Barlow" w:cs="Arial"/>
                <w:b/>
                <w:bCs/>
                <w:sz w:val="20"/>
                <w:szCs w:val="20"/>
                <w:lang w:eastAsia="es-MX"/>
              </w:rPr>
              <w:t xml:space="preserve">al </w:t>
            </w:r>
            <w:r w:rsidR="006F2D00" w:rsidRPr="003669CB">
              <w:rPr>
                <w:rFonts w:ascii="Barlow" w:eastAsia="Times New Roman" w:hAnsi="Barlow" w:cs="Arial"/>
                <w:b/>
                <w:bCs/>
                <w:sz w:val="20"/>
                <w:szCs w:val="20"/>
                <w:lang w:eastAsia="es-MX"/>
              </w:rPr>
              <w:t>3</w:t>
            </w:r>
            <w:r w:rsidR="00094A28" w:rsidRPr="003669CB">
              <w:rPr>
                <w:rFonts w:ascii="Barlow" w:eastAsia="Times New Roman" w:hAnsi="Barlow" w:cs="Arial"/>
                <w:b/>
                <w:bCs/>
                <w:sz w:val="20"/>
                <w:szCs w:val="20"/>
                <w:lang w:eastAsia="es-MX"/>
              </w:rPr>
              <w:t>1</w:t>
            </w:r>
            <w:r w:rsidR="003B6865" w:rsidRPr="003669CB">
              <w:rPr>
                <w:rFonts w:ascii="Barlow" w:eastAsia="Times New Roman" w:hAnsi="Barlow" w:cs="Arial"/>
                <w:b/>
                <w:bCs/>
                <w:sz w:val="20"/>
                <w:szCs w:val="20"/>
                <w:lang w:eastAsia="es-MX"/>
              </w:rPr>
              <w:t xml:space="preserve"> </w:t>
            </w:r>
            <w:r w:rsidR="007C2925" w:rsidRPr="003669CB">
              <w:rPr>
                <w:rFonts w:ascii="Barlow" w:eastAsia="Times New Roman" w:hAnsi="Barlow" w:cs="Arial"/>
                <w:b/>
                <w:bCs/>
                <w:sz w:val="20"/>
                <w:szCs w:val="20"/>
                <w:lang w:eastAsia="es-MX"/>
              </w:rPr>
              <w:t xml:space="preserve">de </w:t>
            </w:r>
            <w:r w:rsidR="00776A7A" w:rsidRPr="003669CB">
              <w:rPr>
                <w:rFonts w:ascii="Barlow" w:eastAsia="Times New Roman" w:hAnsi="Barlow" w:cs="Arial"/>
                <w:b/>
                <w:bCs/>
                <w:sz w:val="20"/>
                <w:szCs w:val="20"/>
                <w:lang w:eastAsia="es-MX"/>
              </w:rPr>
              <w:t>Marz</w:t>
            </w:r>
            <w:r w:rsidR="000C3346" w:rsidRPr="003669CB">
              <w:rPr>
                <w:rFonts w:ascii="Barlow" w:eastAsia="Times New Roman" w:hAnsi="Barlow" w:cs="Arial"/>
                <w:b/>
                <w:bCs/>
                <w:sz w:val="20"/>
                <w:szCs w:val="20"/>
                <w:lang w:eastAsia="es-MX"/>
              </w:rPr>
              <w:t>o</w:t>
            </w:r>
            <w:r w:rsidR="007C2925" w:rsidRPr="003669CB">
              <w:rPr>
                <w:rFonts w:ascii="Barlow" w:eastAsia="Times New Roman" w:hAnsi="Barlow" w:cs="Arial"/>
                <w:b/>
                <w:bCs/>
                <w:sz w:val="20"/>
                <w:szCs w:val="20"/>
                <w:lang w:eastAsia="es-MX"/>
              </w:rPr>
              <w:t xml:space="preserve"> </w:t>
            </w:r>
            <w:r w:rsidR="001C4F6E" w:rsidRPr="003669CB">
              <w:rPr>
                <w:rFonts w:ascii="Barlow" w:eastAsia="Times New Roman" w:hAnsi="Barlow" w:cs="Arial"/>
                <w:b/>
                <w:bCs/>
                <w:sz w:val="20"/>
                <w:szCs w:val="20"/>
                <w:lang w:eastAsia="es-MX"/>
              </w:rPr>
              <w:t>de 202</w:t>
            </w:r>
            <w:r w:rsidR="000C3346" w:rsidRPr="003669CB">
              <w:rPr>
                <w:rFonts w:ascii="Barlow" w:eastAsia="Times New Roman" w:hAnsi="Barlow" w:cs="Arial"/>
                <w:b/>
                <w:bCs/>
                <w:sz w:val="20"/>
                <w:szCs w:val="20"/>
                <w:lang w:eastAsia="es-MX"/>
              </w:rPr>
              <w:t>2</w:t>
            </w:r>
          </w:p>
        </w:tc>
      </w:tr>
      <w:tr w:rsidR="0040410D" w:rsidRPr="003669CB" w:rsidTr="00D14213">
        <w:trPr>
          <w:trHeight w:val="270"/>
        </w:trPr>
        <w:tc>
          <w:tcPr>
            <w:tcW w:w="0" w:type="auto"/>
            <w:gridSpan w:val="4"/>
            <w:tcBorders>
              <w:top w:val="nil"/>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40410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(Cifras en pesos)</w:t>
            </w:r>
          </w:p>
        </w:tc>
      </w:tr>
      <w:tr w:rsidR="0040410D" w:rsidRPr="003669CB" w:rsidTr="00D14213">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 Ingresos Presupuestarios</w:t>
            </w:r>
          </w:p>
        </w:tc>
        <w:tc>
          <w:tcPr>
            <w:tcW w:w="0" w:type="auto"/>
            <w:tcBorders>
              <w:top w:val="nil"/>
              <w:left w:val="nil"/>
              <w:bottom w:val="nil"/>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000000" w:fill="C0C0C0"/>
            <w:vAlign w:val="center"/>
            <w:hideMark/>
          </w:tcPr>
          <w:p w:rsidR="0040410D" w:rsidRPr="003669CB" w:rsidRDefault="00776A7A"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12</w:t>
            </w:r>
            <w:r w:rsidR="0065354F"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172</w:t>
            </w:r>
            <w:r w:rsidR="0065354F"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886</w:t>
            </w:r>
          </w:p>
        </w:tc>
      </w:tr>
      <w:tr w:rsidR="0040410D" w:rsidRPr="003669CB" w:rsidTr="00D14213">
        <w:trPr>
          <w:trHeight w:val="36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2. Más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Incremento por variación de inventarios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2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Disminución del exceso de estimaciones por pérdida o deterioro u obsolescencia</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Disminución del exceso de provisiones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ingresos y beneficios varios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r w:rsidR="00167345"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3"/>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6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lastRenderedPageBreak/>
              <w:t>3. Menos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Productos de capital</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Aprovechamientos capital</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Ingresos derivados de financiamientos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4. Ingresos Contables (4 = 1 + 2 - 3)</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000000" w:fill="C0C0C0"/>
            <w:vAlign w:val="center"/>
            <w:hideMark/>
          </w:tcPr>
          <w:p w:rsidR="0040410D" w:rsidRPr="003669CB" w:rsidRDefault="00776A7A"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12</w:t>
            </w:r>
            <w:r w:rsidR="00167345"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172</w:t>
            </w:r>
            <w:r w:rsidR="00167345"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886</w:t>
            </w:r>
          </w:p>
        </w:tc>
      </w:tr>
      <w:tr w:rsidR="00D14213" w:rsidRPr="003669CB" w:rsidTr="00E113BF">
        <w:trPr>
          <w:trHeight w:val="20"/>
        </w:trPr>
        <w:tc>
          <w:tcPr>
            <w:tcW w:w="0" w:type="auto"/>
            <w:gridSpan w:val="4"/>
            <w:tcBorders>
              <w:top w:val="single" w:sz="8" w:space="0" w:color="auto"/>
              <w:left w:val="single" w:sz="8" w:space="0" w:color="auto"/>
              <w:bottom w:val="nil"/>
              <w:right w:val="single" w:sz="8" w:space="0" w:color="000000"/>
            </w:tcBorders>
            <w:shd w:val="clear" w:color="000000" w:fill="auto"/>
            <w:noWrap/>
            <w:vAlign w:val="center"/>
          </w:tcPr>
          <w:p w:rsidR="00D14213" w:rsidRPr="003669CB" w:rsidRDefault="00D14213" w:rsidP="0040410D">
            <w:pPr>
              <w:spacing w:after="0" w:line="240" w:lineRule="auto"/>
              <w:jc w:val="center"/>
              <w:rPr>
                <w:rFonts w:ascii="Barlow" w:eastAsia="Times New Roman" w:hAnsi="Barlow" w:cs="Arial"/>
                <w:b/>
                <w:bCs/>
                <w:sz w:val="20"/>
                <w:szCs w:val="20"/>
                <w:lang w:eastAsia="es-MX"/>
              </w:rPr>
            </w:pPr>
          </w:p>
          <w:p w:rsidR="00861077" w:rsidRPr="003669CB" w:rsidRDefault="00861077" w:rsidP="0040410D">
            <w:pPr>
              <w:spacing w:after="0" w:line="240" w:lineRule="auto"/>
              <w:jc w:val="center"/>
              <w:rPr>
                <w:rFonts w:ascii="Barlow" w:eastAsia="Times New Roman" w:hAnsi="Barlow" w:cs="Arial"/>
                <w:b/>
                <w:bCs/>
                <w:sz w:val="20"/>
                <w:szCs w:val="20"/>
                <w:lang w:eastAsia="es-MX"/>
              </w:rPr>
            </w:pPr>
          </w:p>
          <w:p w:rsidR="00861077" w:rsidRPr="003669CB" w:rsidRDefault="00861077" w:rsidP="0040410D">
            <w:pPr>
              <w:spacing w:after="0" w:line="240" w:lineRule="auto"/>
              <w:jc w:val="center"/>
              <w:rPr>
                <w:rFonts w:ascii="Barlow" w:eastAsia="Times New Roman" w:hAnsi="Barlow" w:cs="Arial"/>
                <w:b/>
                <w:bCs/>
                <w:sz w:val="20"/>
                <w:szCs w:val="20"/>
                <w:lang w:eastAsia="es-MX"/>
              </w:rPr>
            </w:pPr>
          </w:p>
          <w:p w:rsidR="00861077" w:rsidRPr="003669CB" w:rsidRDefault="00861077" w:rsidP="0040410D">
            <w:pPr>
              <w:spacing w:after="0" w:line="240" w:lineRule="auto"/>
              <w:jc w:val="center"/>
              <w:rPr>
                <w:rFonts w:ascii="Barlow" w:eastAsia="Times New Roman" w:hAnsi="Barlow" w:cs="Arial"/>
                <w:b/>
                <w:bCs/>
                <w:sz w:val="20"/>
                <w:szCs w:val="20"/>
                <w:lang w:eastAsia="es-MX"/>
              </w:rPr>
            </w:pPr>
          </w:p>
          <w:p w:rsidR="00861077" w:rsidRPr="003669CB" w:rsidRDefault="00861077" w:rsidP="0040410D">
            <w:pPr>
              <w:spacing w:after="0" w:line="240" w:lineRule="auto"/>
              <w:jc w:val="center"/>
              <w:rPr>
                <w:rFonts w:ascii="Barlow" w:eastAsia="Times New Roman" w:hAnsi="Barlow" w:cs="Arial"/>
                <w:b/>
                <w:bCs/>
                <w:sz w:val="20"/>
                <w:szCs w:val="20"/>
                <w:lang w:eastAsia="es-MX"/>
              </w:rPr>
            </w:pPr>
          </w:p>
        </w:tc>
      </w:tr>
      <w:tr w:rsidR="00D14213" w:rsidRPr="003669CB" w:rsidTr="00E113BF">
        <w:trPr>
          <w:trHeight w:val="20"/>
        </w:trPr>
        <w:tc>
          <w:tcPr>
            <w:tcW w:w="0" w:type="auto"/>
            <w:gridSpan w:val="4"/>
            <w:tcBorders>
              <w:top w:val="single" w:sz="8" w:space="0" w:color="auto"/>
              <w:left w:val="single" w:sz="8" w:space="0" w:color="auto"/>
              <w:bottom w:val="nil"/>
              <w:right w:val="single" w:sz="8" w:space="0" w:color="000000"/>
            </w:tcBorders>
            <w:shd w:val="clear" w:color="000000" w:fill="C0C0C0"/>
            <w:noWrap/>
            <w:vAlign w:val="center"/>
            <w:hideMark/>
          </w:tcPr>
          <w:p w:rsidR="00D14213" w:rsidRPr="003669CB" w:rsidRDefault="00D14213" w:rsidP="0040410D">
            <w:pPr>
              <w:spacing w:after="0" w:line="240" w:lineRule="auto"/>
              <w:jc w:val="center"/>
              <w:rPr>
                <w:rFonts w:ascii="Barlow" w:eastAsia="Times New Roman" w:hAnsi="Barlow" w:cs="Arial"/>
                <w:b/>
                <w:bCs/>
                <w:sz w:val="20"/>
                <w:szCs w:val="20"/>
                <w:lang w:eastAsia="es-MX"/>
              </w:rPr>
            </w:pPr>
          </w:p>
          <w:p w:rsidR="00D14213" w:rsidRPr="003669CB" w:rsidRDefault="00D14213" w:rsidP="0040410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INSTITUTO TECNOLÓGICO SUPERIOR PROGRESO</w:t>
            </w:r>
          </w:p>
        </w:tc>
      </w:tr>
      <w:tr w:rsidR="0040410D" w:rsidRPr="003669CB" w:rsidTr="00D14213">
        <w:trPr>
          <w:trHeight w:val="480"/>
        </w:trPr>
        <w:tc>
          <w:tcPr>
            <w:tcW w:w="0" w:type="auto"/>
            <w:gridSpan w:val="4"/>
            <w:tcBorders>
              <w:top w:val="nil"/>
              <w:left w:val="single" w:sz="8" w:space="0" w:color="auto"/>
              <w:bottom w:val="nil"/>
              <w:right w:val="single" w:sz="8" w:space="0" w:color="000000"/>
            </w:tcBorders>
            <w:shd w:val="clear" w:color="000000" w:fill="C0C0C0"/>
            <w:vAlign w:val="center"/>
            <w:hideMark/>
          </w:tcPr>
          <w:p w:rsidR="0040410D" w:rsidRPr="003669CB" w:rsidRDefault="0040410D" w:rsidP="0040410D">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Conciliación entre los Egresos Presupuestarios y los Gastos Contables</w:t>
            </w:r>
          </w:p>
        </w:tc>
      </w:tr>
      <w:tr w:rsidR="0040410D" w:rsidRPr="003669CB" w:rsidTr="00D14213">
        <w:trPr>
          <w:trHeight w:val="270"/>
        </w:trPr>
        <w:tc>
          <w:tcPr>
            <w:tcW w:w="0" w:type="auto"/>
            <w:gridSpan w:val="4"/>
            <w:tcBorders>
              <w:top w:val="nil"/>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Corr</w:t>
            </w:r>
            <w:r w:rsidR="00942D45" w:rsidRPr="003669CB">
              <w:rPr>
                <w:rFonts w:ascii="Barlow" w:eastAsia="Times New Roman" w:hAnsi="Barlow" w:cs="Arial"/>
                <w:b/>
                <w:bCs/>
                <w:sz w:val="20"/>
                <w:szCs w:val="20"/>
                <w:lang w:eastAsia="es-MX"/>
              </w:rPr>
              <w:t xml:space="preserve">espondiente del 01 </w:t>
            </w:r>
            <w:r w:rsidR="00E231EB" w:rsidRPr="003669CB">
              <w:rPr>
                <w:rFonts w:ascii="Barlow" w:eastAsia="Times New Roman" w:hAnsi="Barlow" w:cs="Arial"/>
                <w:b/>
                <w:bCs/>
                <w:sz w:val="20"/>
                <w:szCs w:val="20"/>
                <w:lang w:eastAsia="es-MX"/>
              </w:rPr>
              <w:t xml:space="preserve">de Enero </w:t>
            </w:r>
            <w:r w:rsidR="003B6865" w:rsidRPr="003669CB">
              <w:rPr>
                <w:rFonts w:ascii="Barlow" w:eastAsia="Times New Roman" w:hAnsi="Barlow" w:cs="Arial"/>
                <w:b/>
                <w:bCs/>
                <w:sz w:val="20"/>
                <w:szCs w:val="20"/>
                <w:lang w:eastAsia="es-MX"/>
              </w:rPr>
              <w:t xml:space="preserve">al </w:t>
            </w:r>
            <w:r w:rsidR="006F2D00" w:rsidRPr="003669CB">
              <w:rPr>
                <w:rFonts w:ascii="Barlow" w:eastAsia="Times New Roman" w:hAnsi="Barlow" w:cs="Arial"/>
                <w:b/>
                <w:bCs/>
                <w:sz w:val="20"/>
                <w:szCs w:val="20"/>
                <w:lang w:eastAsia="es-MX"/>
              </w:rPr>
              <w:t>3</w:t>
            </w:r>
            <w:r w:rsidR="003F4EA5" w:rsidRPr="003669CB">
              <w:rPr>
                <w:rFonts w:ascii="Barlow" w:eastAsia="Times New Roman" w:hAnsi="Barlow" w:cs="Arial"/>
                <w:b/>
                <w:bCs/>
                <w:sz w:val="20"/>
                <w:szCs w:val="20"/>
                <w:lang w:eastAsia="es-MX"/>
              </w:rPr>
              <w:t>1</w:t>
            </w:r>
            <w:r w:rsidR="003B6865" w:rsidRPr="003669CB">
              <w:rPr>
                <w:rFonts w:ascii="Barlow" w:eastAsia="Times New Roman" w:hAnsi="Barlow" w:cs="Arial"/>
                <w:b/>
                <w:bCs/>
                <w:sz w:val="20"/>
                <w:szCs w:val="20"/>
                <w:lang w:eastAsia="es-MX"/>
              </w:rPr>
              <w:t xml:space="preserve"> </w:t>
            </w:r>
            <w:r w:rsidR="00942D45" w:rsidRPr="003669CB">
              <w:rPr>
                <w:rFonts w:ascii="Barlow" w:eastAsia="Times New Roman" w:hAnsi="Barlow" w:cs="Arial"/>
                <w:b/>
                <w:bCs/>
                <w:sz w:val="20"/>
                <w:szCs w:val="20"/>
                <w:lang w:eastAsia="es-MX"/>
              </w:rPr>
              <w:t xml:space="preserve">de </w:t>
            </w:r>
            <w:r w:rsidR="00776A7A" w:rsidRPr="003669CB">
              <w:rPr>
                <w:rFonts w:ascii="Barlow" w:eastAsia="Times New Roman" w:hAnsi="Barlow" w:cs="Arial"/>
                <w:b/>
                <w:bCs/>
                <w:sz w:val="20"/>
                <w:szCs w:val="20"/>
                <w:lang w:eastAsia="es-MX"/>
              </w:rPr>
              <w:t>Marz</w:t>
            </w:r>
            <w:r w:rsidR="000C3346" w:rsidRPr="003669CB">
              <w:rPr>
                <w:rFonts w:ascii="Barlow" w:eastAsia="Times New Roman" w:hAnsi="Barlow" w:cs="Arial"/>
                <w:b/>
                <w:bCs/>
                <w:sz w:val="20"/>
                <w:szCs w:val="20"/>
                <w:lang w:eastAsia="es-MX"/>
              </w:rPr>
              <w:t>o</w:t>
            </w:r>
            <w:r w:rsidR="00942D45" w:rsidRPr="003669CB">
              <w:rPr>
                <w:rFonts w:ascii="Barlow" w:eastAsia="Times New Roman" w:hAnsi="Barlow" w:cs="Arial"/>
                <w:b/>
                <w:bCs/>
                <w:sz w:val="20"/>
                <w:szCs w:val="20"/>
                <w:lang w:eastAsia="es-MX"/>
              </w:rPr>
              <w:t xml:space="preserve"> </w:t>
            </w:r>
            <w:r w:rsidR="001C4F6E" w:rsidRPr="003669CB">
              <w:rPr>
                <w:rFonts w:ascii="Barlow" w:eastAsia="Times New Roman" w:hAnsi="Barlow" w:cs="Arial"/>
                <w:b/>
                <w:bCs/>
                <w:sz w:val="20"/>
                <w:szCs w:val="20"/>
                <w:lang w:eastAsia="es-MX"/>
              </w:rPr>
              <w:t>de 202</w:t>
            </w:r>
            <w:r w:rsidR="000C3346" w:rsidRPr="003669CB">
              <w:rPr>
                <w:rFonts w:ascii="Barlow" w:eastAsia="Times New Roman" w:hAnsi="Barlow" w:cs="Arial"/>
                <w:b/>
                <w:bCs/>
                <w:sz w:val="20"/>
                <w:szCs w:val="20"/>
                <w:lang w:eastAsia="es-MX"/>
              </w:rPr>
              <w:t>2</w:t>
            </w:r>
          </w:p>
        </w:tc>
      </w:tr>
      <w:tr w:rsidR="0040410D" w:rsidRPr="003669CB" w:rsidTr="00D14213">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 Total de egresos (presupuestarios)</w:t>
            </w:r>
          </w:p>
        </w:tc>
        <w:tc>
          <w:tcPr>
            <w:tcW w:w="0" w:type="auto"/>
            <w:tcBorders>
              <w:top w:val="nil"/>
              <w:left w:val="nil"/>
              <w:bottom w:val="nil"/>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000000" w:fill="C0C0C0"/>
            <w:vAlign w:val="center"/>
            <w:hideMark/>
          </w:tcPr>
          <w:p w:rsidR="0040410D" w:rsidRPr="003669CB" w:rsidRDefault="00776A7A"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10</w:t>
            </w:r>
            <w:r w:rsidR="009A3D9A"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426</w:t>
            </w:r>
            <w:r w:rsidR="009A3D9A" w:rsidRPr="003669CB">
              <w:rPr>
                <w:rFonts w:ascii="Barlow" w:eastAsia="Times New Roman" w:hAnsi="Barlow" w:cs="Arial"/>
                <w:b/>
                <w:bCs/>
                <w:sz w:val="20"/>
                <w:szCs w:val="20"/>
                <w:lang w:eastAsia="es-MX"/>
              </w:rPr>
              <w:t>,</w:t>
            </w:r>
            <w:r w:rsidR="000C3346" w:rsidRPr="003669CB">
              <w:rPr>
                <w:rFonts w:ascii="Barlow" w:eastAsia="Times New Roman" w:hAnsi="Barlow" w:cs="Arial"/>
                <w:b/>
                <w:bCs/>
                <w:sz w:val="20"/>
                <w:szCs w:val="20"/>
                <w:lang w:eastAsia="es-MX"/>
              </w:rPr>
              <w:t>9</w:t>
            </w:r>
            <w:r w:rsidRPr="003669CB">
              <w:rPr>
                <w:rFonts w:ascii="Barlow" w:eastAsia="Times New Roman" w:hAnsi="Barlow" w:cs="Arial"/>
                <w:b/>
                <w:bCs/>
                <w:sz w:val="20"/>
                <w:szCs w:val="20"/>
                <w:lang w:eastAsia="es-MX"/>
              </w:rPr>
              <w:t>03</w:t>
            </w:r>
          </w:p>
        </w:tc>
      </w:tr>
      <w:tr w:rsidR="0040410D" w:rsidRPr="003669CB" w:rsidTr="00D14213">
        <w:trPr>
          <w:trHeight w:val="60"/>
        </w:trPr>
        <w:tc>
          <w:tcPr>
            <w:tcW w:w="0" w:type="auto"/>
            <w:gridSpan w:val="2"/>
            <w:tcBorders>
              <w:top w:val="single" w:sz="8" w:space="0" w:color="auto"/>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single" w:sz="8" w:space="0" w:color="auto"/>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r>
      <w:tr w:rsidR="0040410D" w:rsidRPr="003669CB" w:rsidTr="00D14213">
        <w:trPr>
          <w:trHeight w:val="42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2. Menos egresos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0C3346" w:rsidP="002A3A9C">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7,540</w:t>
            </w: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Mobiliario y equipo de administración</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0C3346" w:rsidP="00861077">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7,540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Mobiliario y equipo educacional y recreativo</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0C3346" w:rsidP="00861077">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Equipo e instrumental médico y de laboratorio</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1C4F6E"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Vehículos y equipo de transporte</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Equipo de defensa y seguridad</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Maquinaria, otros equipos y herramientas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764323"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Activos biológicos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Bienes inmuebles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Activos intangibles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2A3A9C" w:rsidP="002A3A9C">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Obra pública en bienes propios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Acciones y participaciones de capital</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Compra de títulos y valores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9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Inversiones en fideicomisos, mandatos y otros análogos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9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Provisiones para contingencias y otras erogaciones especiales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Amortización de la deuda publica</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9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Adeudos de ejercicios fiscales anteriores (ADEFAS)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Egresos Presupuestales No Contables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270"/>
        </w:trPr>
        <w:tc>
          <w:tcPr>
            <w:tcW w:w="0" w:type="auto"/>
            <w:gridSpan w:val="2"/>
            <w:tcBorders>
              <w:top w:val="single" w:sz="8" w:space="0" w:color="auto"/>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r>
      <w:tr w:rsidR="0040410D" w:rsidRPr="003669CB" w:rsidTr="00D14213">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3. Más gastos contables no presupuestales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776A7A"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2,</w:t>
            </w:r>
            <w:r w:rsidR="000C3346" w:rsidRPr="003669CB">
              <w:rPr>
                <w:rFonts w:ascii="Barlow" w:eastAsia="Times New Roman" w:hAnsi="Barlow" w:cs="Arial"/>
                <w:b/>
                <w:bCs/>
                <w:sz w:val="20"/>
                <w:szCs w:val="20"/>
                <w:lang w:eastAsia="es-MX"/>
              </w:rPr>
              <w:t>2</w:t>
            </w:r>
            <w:r w:rsidRPr="003669CB">
              <w:rPr>
                <w:rFonts w:ascii="Barlow" w:eastAsia="Times New Roman" w:hAnsi="Barlow" w:cs="Arial"/>
                <w:b/>
                <w:bCs/>
                <w:sz w:val="20"/>
                <w:szCs w:val="20"/>
                <w:lang w:eastAsia="es-MX"/>
              </w:rPr>
              <w:t>28</w:t>
            </w:r>
            <w:r w:rsidR="000C3346"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382</w:t>
            </w:r>
          </w:p>
        </w:tc>
      </w:tr>
      <w:tr w:rsidR="0040410D" w:rsidRPr="003669CB" w:rsidTr="00D14213">
        <w:trPr>
          <w:trHeight w:val="49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Estimaciones, depreciaciones, deterioros, obsolescencia y amortizaciones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9A3D9A" w:rsidP="00776A7A">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w:t>
            </w:r>
            <w:r w:rsidR="00776A7A" w:rsidRPr="003669CB">
              <w:rPr>
                <w:rFonts w:ascii="Barlow" w:eastAsia="Times New Roman" w:hAnsi="Barlow" w:cs="Arial"/>
                <w:sz w:val="20"/>
                <w:szCs w:val="20"/>
                <w:lang w:eastAsia="es-MX"/>
              </w:rPr>
              <w:t>2,228,38</w:t>
            </w:r>
            <w:r w:rsidR="000C3346" w:rsidRPr="003669CB">
              <w:rPr>
                <w:rFonts w:ascii="Barlow" w:eastAsia="Times New Roman" w:hAnsi="Barlow" w:cs="Arial"/>
                <w:sz w:val="20"/>
                <w:szCs w:val="20"/>
                <w:lang w:eastAsia="es-MX"/>
              </w:rPr>
              <w:t>2</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Provisiones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Disminución de inventarios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95"/>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Aumento por insuficiencia de estimaciones por pérdida o deterioro u obsolescencia</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Aumento por insuficiencia de provisiones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0</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tcBorders>
              <w:top w:val="nil"/>
              <w:left w:val="single" w:sz="8" w:space="0" w:color="auto"/>
              <w:bottom w:val="single" w:sz="8" w:space="0" w:color="auto"/>
              <w:right w:val="nil"/>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Gastos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Otros Gastos Contables No Presupuestales</w:t>
            </w:r>
          </w:p>
        </w:tc>
        <w:tc>
          <w:tcPr>
            <w:tcW w:w="0" w:type="auto"/>
            <w:tcBorders>
              <w:top w:val="nil"/>
              <w:left w:val="nil"/>
              <w:bottom w:val="single" w:sz="8" w:space="0" w:color="auto"/>
              <w:right w:val="single" w:sz="8" w:space="0" w:color="auto"/>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nil"/>
              <w:right w:val="nil"/>
            </w:tcBorders>
            <w:shd w:val="clear" w:color="auto" w:fill="auto"/>
            <w:vAlign w:val="center"/>
            <w:hideMark/>
          </w:tcPr>
          <w:p w:rsidR="0040410D" w:rsidRPr="003669CB" w:rsidRDefault="0040410D" w:rsidP="0040410D">
            <w:pPr>
              <w:spacing w:after="0" w:line="240" w:lineRule="auto"/>
              <w:jc w:val="center"/>
              <w:rPr>
                <w:rFonts w:ascii="Barlow" w:eastAsia="Times New Roman" w:hAnsi="Barlow" w:cs="Arial"/>
                <w:sz w:val="20"/>
                <w:szCs w:val="20"/>
                <w:lang w:eastAsia="es-MX"/>
              </w:rPr>
            </w:pPr>
          </w:p>
        </w:tc>
      </w:tr>
      <w:tr w:rsidR="0040410D" w:rsidRPr="003669CB" w:rsidTr="00D14213">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40410D" w:rsidRPr="003669CB" w:rsidRDefault="0040410D" w:rsidP="0040410D">
            <w:pPr>
              <w:spacing w:after="0" w:line="240" w:lineRule="auto"/>
              <w:jc w:val="both"/>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4. Total de Gasto Contable (4 = 1 - 2 + 3)</w:t>
            </w:r>
          </w:p>
        </w:tc>
        <w:tc>
          <w:tcPr>
            <w:tcW w:w="0" w:type="auto"/>
            <w:tcBorders>
              <w:top w:val="nil"/>
              <w:left w:val="nil"/>
              <w:bottom w:val="nil"/>
              <w:right w:val="single" w:sz="8" w:space="0" w:color="auto"/>
            </w:tcBorders>
            <w:shd w:val="clear" w:color="auto" w:fill="auto"/>
            <w:vAlign w:val="center"/>
            <w:hideMark/>
          </w:tcPr>
          <w:p w:rsidR="0040410D" w:rsidRPr="003669CB" w:rsidRDefault="0040410D" w:rsidP="0040410D">
            <w:pPr>
              <w:spacing w:after="0" w:line="240" w:lineRule="auto"/>
              <w:jc w:val="both"/>
              <w:rPr>
                <w:rFonts w:ascii="Barlow" w:eastAsia="Times New Roman" w:hAnsi="Barlow" w:cs="Arial"/>
                <w:sz w:val="20"/>
                <w:szCs w:val="20"/>
                <w:lang w:eastAsia="es-MX"/>
              </w:rPr>
            </w:pPr>
            <w:r w:rsidRPr="003669CB">
              <w:rPr>
                <w:rFonts w:ascii="Barlow" w:eastAsia="Times New Roman" w:hAnsi="Barlow" w:cs="Arial"/>
                <w:sz w:val="20"/>
                <w:szCs w:val="20"/>
                <w:lang w:eastAsia="es-MX"/>
              </w:rPr>
              <w:t> </w:t>
            </w:r>
          </w:p>
        </w:tc>
        <w:tc>
          <w:tcPr>
            <w:tcW w:w="0" w:type="auto"/>
            <w:tcBorders>
              <w:top w:val="nil"/>
              <w:left w:val="nil"/>
              <w:bottom w:val="nil"/>
              <w:right w:val="single" w:sz="8" w:space="0" w:color="auto"/>
            </w:tcBorders>
            <w:shd w:val="clear" w:color="000000" w:fill="C0C0C0"/>
            <w:vAlign w:val="center"/>
            <w:hideMark/>
          </w:tcPr>
          <w:p w:rsidR="0040410D" w:rsidRPr="003669CB" w:rsidRDefault="00776A7A" w:rsidP="00776A7A">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12</w:t>
            </w:r>
            <w:r w:rsidR="000E70A7" w:rsidRPr="003669CB">
              <w:rPr>
                <w:rFonts w:ascii="Barlow" w:eastAsia="Times New Roman" w:hAnsi="Barlow" w:cs="Arial"/>
                <w:b/>
                <w:bCs/>
                <w:sz w:val="20"/>
                <w:szCs w:val="20"/>
                <w:lang w:eastAsia="es-MX"/>
              </w:rPr>
              <w:t>,</w:t>
            </w:r>
            <w:r w:rsidRPr="003669CB">
              <w:rPr>
                <w:rFonts w:ascii="Barlow" w:eastAsia="Times New Roman" w:hAnsi="Barlow" w:cs="Arial"/>
                <w:b/>
                <w:bCs/>
                <w:sz w:val="20"/>
                <w:szCs w:val="20"/>
                <w:lang w:eastAsia="es-MX"/>
              </w:rPr>
              <w:t>647</w:t>
            </w:r>
            <w:r w:rsidR="000E70A7" w:rsidRPr="003669CB">
              <w:rPr>
                <w:rFonts w:ascii="Barlow" w:eastAsia="Times New Roman" w:hAnsi="Barlow" w:cs="Arial"/>
                <w:b/>
                <w:bCs/>
                <w:sz w:val="20"/>
                <w:szCs w:val="20"/>
                <w:lang w:eastAsia="es-MX"/>
              </w:rPr>
              <w:t>,</w:t>
            </w:r>
            <w:r w:rsidR="000C3346" w:rsidRPr="003669CB">
              <w:rPr>
                <w:rFonts w:ascii="Barlow" w:eastAsia="Times New Roman" w:hAnsi="Barlow" w:cs="Arial"/>
                <w:b/>
                <w:bCs/>
                <w:sz w:val="20"/>
                <w:szCs w:val="20"/>
                <w:lang w:eastAsia="es-MX"/>
              </w:rPr>
              <w:t>7</w:t>
            </w:r>
            <w:r w:rsidRPr="003669CB">
              <w:rPr>
                <w:rFonts w:ascii="Barlow" w:eastAsia="Times New Roman" w:hAnsi="Barlow" w:cs="Arial"/>
                <w:b/>
                <w:bCs/>
                <w:sz w:val="20"/>
                <w:szCs w:val="20"/>
                <w:lang w:eastAsia="es-MX"/>
              </w:rPr>
              <w:t>45</w:t>
            </w:r>
          </w:p>
        </w:tc>
      </w:tr>
    </w:tbl>
    <w:p w:rsidR="006724A0" w:rsidRPr="003669CB" w:rsidRDefault="006724A0" w:rsidP="006724A0">
      <w:pPr>
        <w:pStyle w:val="Prrafodelista"/>
        <w:spacing w:line="240" w:lineRule="auto"/>
        <w:rPr>
          <w:rFonts w:ascii="Barlow" w:hAnsi="Barlow" w:cs="Arial"/>
          <w:b/>
          <w:sz w:val="20"/>
          <w:szCs w:val="20"/>
        </w:rPr>
      </w:pPr>
    </w:p>
    <w:p w:rsidR="006724A0" w:rsidRPr="003669CB" w:rsidRDefault="006724A0" w:rsidP="006724A0">
      <w:pPr>
        <w:pStyle w:val="Prrafodelista"/>
        <w:spacing w:line="240" w:lineRule="auto"/>
        <w:rPr>
          <w:rFonts w:ascii="Barlow" w:hAnsi="Barlow" w:cs="Arial"/>
          <w:b/>
          <w:sz w:val="20"/>
          <w:szCs w:val="20"/>
        </w:rPr>
      </w:pPr>
    </w:p>
    <w:p w:rsidR="00A879D1" w:rsidRPr="003669CB" w:rsidRDefault="00A879D1" w:rsidP="006724A0">
      <w:pPr>
        <w:pStyle w:val="Prrafodelista"/>
        <w:numPr>
          <w:ilvl w:val="0"/>
          <w:numId w:val="7"/>
        </w:numPr>
        <w:spacing w:line="240" w:lineRule="auto"/>
        <w:jc w:val="center"/>
        <w:rPr>
          <w:rFonts w:ascii="Barlow" w:hAnsi="Barlow" w:cs="Arial"/>
          <w:b/>
          <w:sz w:val="20"/>
          <w:szCs w:val="20"/>
        </w:rPr>
      </w:pPr>
      <w:r w:rsidRPr="003669CB">
        <w:rPr>
          <w:rFonts w:ascii="Barlow" w:hAnsi="Barlow" w:cs="Arial"/>
          <w:b/>
          <w:sz w:val="20"/>
          <w:szCs w:val="20"/>
        </w:rPr>
        <w:t>NOTAS DE MEMORIA (CUENTAS DE ORDEN)</w:t>
      </w:r>
    </w:p>
    <w:p w:rsidR="006724A0" w:rsidRPr="003669CB" w:rsidRDefault="006724A0" w:rsidP="006724A0">
      <w:pPr>
        <w:pStyle w:val="Prrafodelista"/>
        <w:spacing w:line="240" w:lineRule="auto"/>
        <w:rPr>
          <w:rFonts w:ascii="Barlow" w:hAnsi="Barlow" w:cs="Arial"/>
          <w:b/>
          <w:sz w:val="20"/>
          <w:szCs w:val="20"/>
        </w:rPr>
      </w:pPr>
    </w:p>
    <w:p w:rsidR="00E836FC" w:rsidRPr="003669CB" w:rsidRDefault="00E836FC" w:rsidP="00E836FC">
      <w:pPr>
        <w:pStyle w:val="Prrafodelista"/>
        <w:numPr>
          <w:ilvl w:val="0"/>
          <w:numId w:val="7"/>
        </w:numPr>
        <w:jc w:val="both"/>
        <w:rPr>
          <w:rFonts w:ascii="Barlow" w:hAnsi="Barlow" w:cs="Calibri"/>
          <w:sz w:val="20"/>
          <w:szCs w:val="20"/>
        </w:rPr>
      </w:pPr>
      <w:r w:rsidRPr="003669CB">
        <w:rPr>
          <w:rFonts w:ascii="Barlow" w:hAnsi="Barlow" w:cs="Calibri"/>
          <w:sz w:val="20"/>
          <w:szCs w:val="20"/>
        </w:rPr>
        <w:t>Las cuentas de orden, se utilizan para registrar movimientos de valores que no afecten o modifiquen el balance del ente contable, sin embargo su incorporación en libros es necesaria con fines de recordatorios contables, de control y en general sobre los aspectos administrativos, o bien para consignar sus derechos o responsabilidades contingentes que puedan o no presentarse en el futuro.</w:t>
      </w:r>
    </w:p>
    <w:p w:rsidR="00E836FC" w:rsidRPr="003669CB" w:rsidRDefault="00E836FC" w:rsidP="00E836FC">
      <w:pPr>
        <w:pStyle w:val="Prrafodelista"/>
        <w:jc w:val="both"/>
        <w:rPr>
          <w:rFonts w:ascii="Barlow" w:hAnsi="Barlow" w:cs="Calibri"/>
          <w:b/>
          <w:sz w:val="20"/>
          <w:szCs w:val="20"/>
        </w:rPr>
      </w:pPr>
      <w:r w:rsidRPr="003669CB">
        <w:rPr>
          <w:rFonts w:ascii="Barlow" w:hAnsi="Barlow" w:cs="Calibri"/>
          <w:b/>
          <w:sz w:val="20"/>
          <w:szCs w:val="20"/>
        </w:rPr>
        <w:t>Contables:</w:t>
      </w:r>
    </w:p>
    <w:p w:rsidR="00E836FC" w:rsidRPr="003669CB" w:rsidRDefault="00E836FC" w:rsidP="00E836FC">
      <w:pPr>
        <w:pStyle w:val="Prrafodelista"/>
        <w:jc w:val="both"/>
        <w:rPr>
          <w:rFonts w:ascii="Barlow" w:hAnsi="Barlow" w:cs="Calibri"/>
          <w:sz w:val="20"/>
          <w:szCs w:val="20"/>
        </w:rPr>
      </w:pPr>
    </w:p>
    <w:p w:rsidR="00E836FC" w:rsidRPr="003669CB" w:rsidRDefault="00E836FC" w:rsidP="00E836FC">
      <w:pPr>
        <w:pStyle w:val="Prrafodelista"/>
        <w:jc w:val="both"/>
        <w:rPr>
          <w:rFonts w:ascii="Barlow" w:hAnsi="Barlow" w:cs="Calibri"/>
          <w:sz w:val="20"/>
          <w:szCs w:val="20"/>
        </w:rPr>
      </w:pPr>
      <w:r w:rsidRPr="003669CB">
        <w:rPr>
          <w:rFonts w:ascii="Barlow" w:hAnsi="Barlow" w:cs="Calibri"/>
          <w:sz w:val="20"/>
          <w:szCs w:val="20"/>
        </w:rPr>
        <w:t>Las cuentas que se manejan para efectos de este documento son las siguientes:</w:t>
      </w:r>
    </w:p>
    <w:p w:rsidR="00E836FC" w:rsidRPr="003669CB" w:rsidRDefault="00E836FC" w:rsidP="00E836FC">
      <w:pPr>
        <w:pStyle w:val="Prrafodelista"/>
        <w:jc w:val="both"/>
        <w:rPr>
          <w:rFonts w:ascii="Barlow" w:hAnsi="Barlow" w:cs="Calibri"/>
          <w:sz w:val="20"/>
          <w:szCs w:val="20"/>
        </w:rPr>
      </w:pPr>
    </w:p>
    <w:p w:rsidR="00E836FC" w:rsidRPr="003669CB" w:rsidRDefault="00E836FC" w:rsidP="00E836FC">
      <w:pPr>
        <w:pStyle w:val="Prrafodelista"/>
        <w:jc w:val="both"/>
        <w:rPr>
          <w:rFonts w:ascii="Barlow" w:hAnsi="Barlow" w:cs="Calibri"/>
          <w:sz w:val="20"/>
          <w:szCs w:val="20"/>
        </w:rPr>
      </w:pPr>
    </w:p>
    <w:bookmarkStart w:id="2" w:name="_MON_1684303078"/>
    <w:bookmarkEnd w:id="2"/>
    <w:bookmarkStart w:id="3" w:name="_MON_1621867260"/>
    <w:bookmarkEnd w:id="3"/>
    <w:p w:rsidR="00E836FC" w:rsidRPr="003669CB" w:rsidRDefault="004A070A" w:rsidP="00E836FC">
      <w:pPr>
        <w:pStyle w:val="Prrafodelista"/>
        <w:jc w:val="center"/>
        <w:rPr>
          <w:rFonts w:ascii="Barlow" w:hAnsi="Barlow" w:cs="Calibri"/>
          <w:color w:val="FF0000"/>
          <w:sz w:val="20"/>
          <w:szCs w:val="20"/>
        </w:rPr>
      </w:pPr>
      <w:r w:rsidRPr="003669CB">
        <w:rPr>
          <w:rFonts w:ascii="Barlow" w:hAnsi="Barlow"/>
          <w:sz w:val="20"/>
          <w:szCs w:val="20"/>
        </w:rPr>
        <w:object w:dxaOrig="6920" w:dyaOrig="2924">
          <v:shape id="_x0000_i1027" type="#_x0000_t75" style="width:345.75pt;height:151.5pt" o:ole="">
            <v:imagedata r:id="rId12" o:title=""/>
          </v:shape>
          <o:OLEObject Type="Embed" ProgID="Excel.Sheet.12" ShapeID="_x0000_i1027" DrawAspect="Content" ObjectID="_1712492820" r:id="rId13"/>
        </w:object>
      </w:r>
    </w:p>
    <w:p w:rsidR="00C325EB" w:rsidRPr="003669CB" w:rsidRDefault="00C325EB" w:rsidP="00C325EB">
      <w:pPr>
        <w:pStyle w:val="Prrafodelista"/>
        <w:spacing w:line="240" w:lineRule="auto"/>
        <w:rPr>
          <w:rFonts w:ascii="Barlow" w:hAnsi="Barlow" w:cs="Arial"/>
          <w:b/>
          <w:sz w:val="20"/>
          <w:szCs w:val="20"/>
        </w:rPr>
      </w:pPr>
    </w:p>
    <w:p w:rsidR="00DB16B1" w:rsidRPr="003669CB" w:rsidRDefault="00DB16B1" w:rsidP="00C325EB">
      <w:pPr>
        <w:pStyle w:val="Prrafodelista"/>
        <w:spacing w:line="240" w:lineRule="auto"/>
        <w:rPr>
          <w:rFonts w:ascii="Barlow" w:hAnsi="Barlow" w:cs="Arial"/>
          <w:b/>
          <w:sz w:val="20"/>
          <w:szCs w:val="20"/>
        </w:rPr>
      </w:pPr>
    </w:p>
    <w:p w:rsidR="00A879D1" w:rsidRPr="003669CB" w:rsidRDefault="00A879D1" w:rsidP="00A879D1">
      <w:pPr>
        <w:pStyle w:val="Prrafodelista"/>
        <w:numPr>
          <w:ilvl w:val="0"/>
          <w:numId w:val="7"/>
        </w:numPr>
        <w:spacing w:line="240" w:lineRule="auto"/>
        <w:jc w:val="center"/>
        <w:rPr>
          <w:rFonts w:ascii="Barlow" w:hAnsi="Barlow" w:cs="Arial"/>
          <w:b/>
          <w:sz w:val="20"/>
          <w:szCs w:val="20"/>
        </w:rPr>
      </w:pPr>
      <w:r w:rsidRPr="003669CB">
        <w:rPr>
          <w:rFonts w:ascii="Barlow" w:hAnsi="Barlow" w:cs="Arial"/>
          <w:b/>
          <w:sz w:val="20"/>
          <w:szCs w:val="20"/>
        </w:rPr>
        <w:t>NOTAS DE GESTIÓN ADMINISTRATIVA</w:t>
      </w:r>
    </w:p>
    <w:p w:rsidR="00035880" w:rsidRPr="003669CB" w:rsidRDefault="00035880" w:rsidP="00035880">
      <w:pPr>
        <w:pStyle w:val="Prrafodelista"/>
        <w:spacing w:line="240" w:lineRule="auto"/>
        <w:rPr>
          <w:rFonts w:ascii="Barlow" w:hAnsi="Barlow" w:cs="Arial"/>
          <w:b/>
          <w:sz w:val="20"/>
          <w:szCs w:val="20"/>
        </w:rPr>
      </w:pPr>
    </w:p>
    <w:p w:rsidR="00A879D1" w:rsidRPr="003669CB" w:rsidRDefault="00A879D1" w:rsidP="004D7BEB">
      <w:pPr>
        <w:pStyle w:val="Prrafodelista"/>
        <w:numPr>
          <w:ilvl w:val="0"/>
          <w:numId w:val="16"/>
        </w:numPr>
        <w:rPr>
          <w:rFonts w:ascii="Barlow" w:hAnsi="Barlow"/>
          <w:b/>
          <w:sz w:val="20"/>
          <w:szCs w:val="20"/>
        </w:rPr>
      </w:pPr>
      <w:r w:rsidRPr="003669CB">
        <w:rPr>
          <w:rFonts w:ascii="Barlow" w:hAnsi="Barlow"/>
          <w:b/>
          <w:sz w:val="20"/>
          <w:szCs w:val="20"/>
        </w:rPr>
        <w:t>Introducción</w:t>
      </w:r>
    </w:p>
    <w:p w:rsidR="00754747" w:rsidRPr="003669CB" w:rsidRDefault="00754747" w:rsidP="00754747">
      <w:pPr>
        <w:ind w:left="360"/>
        <w:rPr>
          <w:rFonts w:ascii="Barlow" w:hAnsi="Barlow"/>
          <w:sz w:val="20"/>
          <w:szCs w:val="20"/>
        </w:rPr>
      </w:pPr>
      <w:r w:rsidRPr="003669CB">
        <w:rPr>
          <w:rFonts w:ascii="Barlow" w:hAnsi="Barlow"/>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754747" w:rsidRPr="003669CB" w:rsidRDefault="00754747" w:rsidP="00754747">
      <w:pPr>
        <w:ind w:left="360"/>
        <w:rPr>
          <w:rFonts w:ascii="Barlow" w:hAnsi="Barlow"/>
          <w:sz w:val="20"/>
          <w:szCs w:val="20"/>
        </w:rPr>
      </w:pPr>
      <w:r w:rsidRPr="003669CB">
        <w:rPr>
          <w:rFonts w:ascii="Barlow" w:hAnsi="Barlow"/>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754747" w:rsidRPr="003669CB" w:rsidRDefault="00754747" w:rsidP="004D7BEB">
      <w:pPr>
        <w:pStyle w:val="Prrafodelista"/>
        <w:numPr>
          <w:ilvl w:val="0"/>
          <w:numId w:val="16"/>
        </w:numPr>
        <w:rPr>
          <w:rFonts w:ascii="Barlow" w:hAnsi="Barlow"/>
          <w:b/>
          <w:sz w:val="20"/>
          <w:szCs w:val="20"/>
        </w:rPr>
      </w:pPr>
      <w:r w:rsidRPr="003669CB">
        <w:rPr>
          <w:rFonts w:ascii="Barlow" w:hAnsi="Barlow"/>
          <w:b/>
          <w:sz w:val="20"/>
          <w:szCs w:val="20"/>
        </w:rPr>
        <w:t>Panorama económico y Financiero</w:t>
      </w:r>
    </w:p>
    <w:p w:rsidR="00B55296" w:rsidRPr="003669CB" w:rsidRDefault="003E2A8B" w:rsidP="00754747">
      <w:pPr>
        <w:ind w:left="360"/>
        <w:rPr>
          <w:rFonts w:ascii="Barlow" w:hAnsi="Barlow"/>
          <w:sz w:val="20"/>
          <w:szCs w:val="20"/>
        </w:rPr>
      </w:pPr>
      <w:r w:rsidRPr="003669CB">
        <w:rPr>
          <w:rFonts w:ascii="Barlow" w:hAnsi="Barlow"/>
          <w:sz w:val="20"/>
          <w:szCs w:val="20"/>
        </w:rPr>
        <w:t xml:space="preserve">Éste instituto opera bajo el convenio de asignación de recursos financieros, el cual </w:t>
      </w:r>
      <w:r w:rsidR="00B55296" w:rsidRPr="003669CB">
        <w:rPr>
          <w:rFonts w:ascii="Barlow" w:hAnsi="Barlow"/>
          <w:sz w:val="20"/>
          <w:szCs w:val="20"/>
        </w:rPr>
        <w:t>conforme a lo establecido en la cláusula octava del convenio de coordinación las partes (Tecnológico Nacional de México y Gobierno del Estado) se comprometen a aportar cada una de ellas con el 50% del presupuesto anual de operación.</w:t>
      </w:r>
    </w:p>
    <w:p w:rsidR="008B0F9D" w:rsidRPr="003669CB" w:rsidRDefault="008B0F9D" w:rsidP="004D7BEB">
      <w:pPr>
        <w:pStyle w:val="Prrafodelista"/>
        <w:numPr>
          <w:ilvl w:val="0"/>
          <w:numId w:val="16"/>
        </w:numPr>
        <w:rPr>
          <w:rFonts w:ascii="Barlow" w:hAnsi="Barlow"/>
          <w:b/>
          <w:sz w:val="20"/>
          <w:szCs w:val="20"/>
        </w:rPr>
      </w:pPr>
      <w:r w:rsidRPr="003669CB">
        <w:rPr>
          <w:rFonts w:ascii="Barlow" w:hAnsi="Barlow"/>
          <w:b/>
          <w:sz w:val="20"/>
          <w:szCs w:val="20"/>
        </w:rPr>
        <w:t>Autorización e Historia</w:t>
      </w:r>
    </w:p>
    <w:p w:rsidR="007C2925" w:rsidRPr="003669CB" w:rsidRDefault="008B0F9D" w:rsidP="00754747">
      <w:pPr>
        <w:ind w:left="360"/>
        <w:rPr>
          <w:rFonts w:ascii="Barlow" w:hAnsi="Barlow"/>
          <w:sz w:val="20"/>
          <w:szCs w:val="20"/>
        </w:rPr>
      </w:pPr>
      <w:r w:rsidRPr="003669CB">
        <w:rPr>
          <w:rFonts w:ascii="Barlow" w:hAnsi="Barlow"/>
          <w:sz w:val="20"/>
          <w:szCs w:val="20"/>
        </w:rPr>
        <w:t xml:space="preserve">El Instituto Tecnológico Superior Progreso es un Organismo Público Descentralizado del Gobierno del Estado de Yucatán, con personalidad jurídica y patrimonio propios, creado mediante Decreto Número 288 del Poder Ejecutivo del Estado de Yucatán, publicado en el Diario Oficial número 29,252 de fecha 30 de </w:t>
      </w:r>
      <w:r w:rsidR="003669CB" w:rsidRPr="003669CB">
        <w:rPr>
          <w:rFonts w:ascii="Barlow" w:hAnsi="Barlow"/>
          <w:sz w:val="20"/>
          <w:szCs w:val="20"/>
        </w:rPr>
        <w:t>octubre</w:t>
      </w:r>
      <w:r w:rsidRPr="003669CB">
        <w:rPr>
          <w:rFonts w:ascii="Barlow" w:hAnsi="Barlow"/>
          <w:sz w:val="20"/>
          <w:szCs w:val="20"/>
        </w:rPr>
        <w:t xml:space="preserve"> del 2000.</w:t>
      </w:r>
    </w:p>
    <w:p w:rsidR="008B0F9D" w:rsidRPr="003669CB" w:rsidRDefault="008B0F9D" w:rsidP="004D7BEB">
      <w:pPr>
        <w:pStyle w:val="Prrafodelista"/>
        <w:numPr>
          <w:ilvl w:val="0"/>
          <w:numId w:val="16"/>
        </w:numPr>
        <w:rPr>
          <w:rFonts w:ascii="Barlow" w:hAnsi="Barlow"/>
          <w:b/>
          <w:sz w:val="20"/>
          <w:szCs w:val="20"/>
        </w:rPr>
      </w:pPr>
      <w:r w:rsidRPr="003669CB">
        <w:rPr>
          <w:rFonts w:ascii="Barlow" w:hAnsi="Barlow"/>
          <w:b/>
          <w:sz w:val="20"/>
          <w:szCs w:val="20"/>
        </w:rPr>
        <w:t>Organización y Objeto Social</w:t>
      </w:r>
    </w:p>
    <w:p w:rsidR="004D7BEB" w:rsidRPr="003669CB" w:rsidRDefault="004D7BEB" w:rsidP="004D7BEB">
      <w:pPr>
        <w:pStyle w:val="Prrafodelista"/>
        <w:rPr>
          <w:rFonts w:ascii="Barlow" w:hAnsi="Barlow"/>
          <w:b/>
          <w:sz w:val="20"/>
          <w:szCs w:val="20"/>
        </w:rPr>
      </w:pPr>
    </w:p>
    <w:p w:rsidR="008B0F9D" w:rsidRPr="003669CB" w:rsidRDefault="008B0F9D" w:rsidP="008B0F9D">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hAnsi="Barlow"/>
          <w:b/>
          <w:sz w:val="20"/>
          <w:szCs w:val="20"/>
        </w:rPr>
        <w:t xml:space="preserve">Objeto </w:t>
      </w:r>
      <w:r w:rsidR="003669CB" w:rsidRPr="003669CB">
        <w:rPr>
          <w:rFonts w:ascii="Barlow" w:hAnsi="Barlow"/>
          <w:b/>
          <w:sz w:val="20"/>
          <w:szCs w:val="20"/>
        </w:rPr>
        <w:t>social. -</w:t>
      </w:r>
      <w:r w:rsidRPr="003669CB">
        <w:rPr>
          <w:rFonts w:ascii="Barlow" w:eastAsia="Times New Roman" w:hAnsi="Barlow" w:cs="Times New Roman"/>
          <w:sz w:val="20"/>
          <w:szCs w:val="20"/>
          <w:lang w:eastAsia="es-ES"/>
        </w:rPr>
        <w:t>Formar profesionales con igualdad de oportunidades y respeto al medio ambiente para contribuir al desarrollo tecnológico, científico y social.</w:t>
      </w:r>
    </w:p>
    <w:p w:rsidR="008B0F9D" w:rsidRPr="003669CB" w:rsidRDefault="00365E4B" w:rsidP="008B0F9D">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Principal </w:t>
      </w:r>
      <w:r w:rsidR="003669CB" w:rsidRPr="003669CB">
        <w:rPr>
          <w:rFonts w:ascii="Barlow" w:eastAsia="Times New Roman" w:hAnsi="Barlow" w:cs="Times New Roman"/>
          <w:b/>
          <w:sz w:val="20"/>
          <w:szCs w:val="20"/>
          <w:lang w:eastAsia="es-ES"/>
        </w:rPr>
        <w:t>Actividad</w:t>
      </w:r>
      <w:r w:rsidR="003669CB" w:rsidRPr="003669CB">
        <w:rPr>
          <w:rFonts w:ascii="Barlow" w:eastAsia="Times New Roman" w:hAnsi="Barlow" w:cs="Times New Roman"/>
          <w:sz w:val="20"/>
          <w:szCs w:val="20"/>
          <w:lang w:eastAsia="es-ES"/>
        </w:rPr>
        <w:t>. -</w:t>
      </w:r>
      <w:r w:rsidRPr="003669CB">
        <w:rPr>
          <w:rFonts w:ascii="Barlow" w:eastAsia="Times New Roman" w:hAnsi="Barlow" w:cs="Times New Roman"/>
          <w:sz w:val="20"/>
          <w:szCs w:val="20"/>
          <w:lang w:eastAsia="es-ES"/>
        </w:rPr>
        <w:t xml:space="preserve"> Educación Superior y Posgrado</w:t>
      </w:r>
    </w:p>
    <w:p w:rsidR="00365E4B" w:rsidRPr="003669CB" w:rsidRDefault="00365E4B" w:rsidP="008B0F9D">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Ejercicio </w:t>
      </w:r>
      <w:r w:rsidR="003669CB" w:rsidRPr="003669CB">
        <w:rPr>
          <w:rFonts w:ascii="Barlow" w:eastAsia="Times New Roman" w:hAnsi="Barlow" w:cs="Times New Roman"/>
          <w:b/>
          <w:sz w:val="20"/>
          <w:szCs w:val="20"/>
          <w:lang w:eastAsia="es-ES"/>
        </w:rPr>
        <w:t>Fiscal. -</w:t>
      </w:r>
      <w:r w:rsidRPr="003669CB">
        <w:rPr>
          <w:rFonts w:ascii="Barlow" w:eastAsia="Times New Roman" w:hAnsi="Barlow" w:cs="Times New Roman"/>
          <w:sz w:val="20"/>
          <w:szCs w:val="20"/>
          <w:lang w:eastAsia="es-ES"/>
        </w:rPr>
        <w:t xml:space="preserve"> Del 01 </w:t>
      </w:r>
      <w:r w:rsidR="00903972" w:rsidRPr="003669CB">
        <w:rPr>
          <w:rFonts w:ascii="Barlow" w:eastAsia="Times New Roman" w:hAnsi="Barlow" w:cs="Times New Roman"/>
          <w:sz w:val="20"/>
          <w:szCs w:val="20"/>
          <w:lang w:eastAsia="es-ES"/>
        </w:rPr>
        <w:t xml:space="preserve">de </w:t>
      </w:r>
      <w:r w:rsidR="003669CB" w:rsidRPr="003669CB">
        <w:rPr>
          <w:rFonts w:ascii="Barlow" w:eastAsia="Times New Roman" w:hAnsi="Barlow" w:cs="Times New Roman"/>
          <w:sz w:val="20"/>
          <w:szCs w:val="20"/>
          <w:lang w:eastAsia="es-ES"/>
        </w:rPr>
        <w:t>enero</w:t>
      </w:r>
      <w:r w:rsidR="00903972" w:rsidRPr="003669CB">
        <w:rPr>
          <w:rFonts w:ascii="Barlow" w:eastAsia="Times New Roman" w:hAnsi="Barlow" w:cs="Times New Roman"/>
          <w:sz w:val="20"/>
          <w:szCs w:val="20"/>
          <w:lang w:eastAsia="es-ES"/>
        </w:rPr>
        <w:t xml:space="preserve"> </w:t>
      </w:r>
      <w:r w:rsidR="00C325EB" w:rsidRPr="003669CB">
        <w:rPr>
          <w:rFonts w:ascii="Barlow" w:eastAsia="Times New Roman" w:hAnsi="Barlow" w:cs="Times New Roman"/>
          <w:sz w:val="20"/>
          <w:szCs w:val="20"/>
          <w:lang w:eastAsia="es-ES"/>
        </w:rPr>
        <w:t xml:space="preserve">al </w:t>
      </w:r>
      <w:r w:rsidR="000E70A7" w:rsidRPr="003669CB">
        <w:rPr>
          <w:rFonts w:ascii="Barlow" w:eastAsia="Times New Roman" w:hAnsi="Barlow" w:cs="Times New Roman"/>
          <w:sz w:val="20"/>
          <w:szCs w:val="20"/>
          <w:lang w:eastAsia="es-ES"/>
        </w:rPr>
        <w:t>3</w:t>
      </w:r>
      <w:r w:rsidR="009A3D9A" w:rsidRPr="003669CB">
        <w:rPr>
          <w:rFonts w:ascii="Barlow" w:eastAsia="Times New Roman" w:hAnsi="Barlow" w:cs="Times New Roman"/>
          <w:sz w:val="20"/>
          <w:szCs w:val="20"/>
          <w:lang w:eastAsia="es-ES"/>
        </w:rPr>
        <w:t>1</w:t>
      </w:r>
      <w:r w:rsidR="00942D45" w:rsidRPr="003669CB">
        <w:rPr>
          <w:rFonts w:ascii="Barlow" w:eastAsia="Times New Roman" w:hAnsi="Barlow" w:cs="Times New Roman"/>
          <w:sz w:val="20"/>
          <w:szCs w:val="20"/>
          <w:lang w:eastAsia="es-ES"/>
        </w:rPr>
        <w:t xml:space="preserve"> de </w:t>
      </w:r>
      <w:r w:rsidR="003669CB" w:rsidRPr="003669CB">
        <w:rPr>
          <w:rFonts w:ascii="Barlow" w:eastAsia="Times New Roman" w:hAnsi="Barlow" w:cs="Times New Roman"/>
          <w:sz w:val="20"/>
          <w:szCs w:val="20"/>
          <w:lang w:eastAsia="es-ES"/>
        </w:rPr>
        <w:t>diciembre</w:t>
      </w:r>
      <w:r w:rsidR="001C4F6E" w:rsidRPr="003669CB">
        <w:rPr>
          <w:rFonts w:ascii="Barlow" w:eastAsia="Times New Roman" w:hAnsi="Barlow" w:cs="Times New Roman"/>
          <w:sz w:val="20"/>
          <w:szCs w:val="20"/>
          <w:lang w:eastAsia="es-ES"/>
        </w:rPr>
        <w:t xml:space="preserve"> de 202</w:t>
      </w:r>
      <w:r w:rsidR="000C3346" w:rsidRPr="003669CB">
        <w:rPr>
          <w:rFonts w:ascii="Barlow" w:eastAsia="Times New Roman" w:hAnsi="Barlow" w:cs="Times New Roman"/>
          <w:sz w:val="20"/>
          <w:szCs w:val="20"/>
          <w:lang w:eastAsia="es-ES"/>
        </w:rPr>
        <w:t>2</w:t>
      </w:r>
    </w:p>
    <w:p w:rsidR="00365E4B" w:rsidRPr="003669CB" w:rsidRDefault="00365E4B" w:rsidP="008B0F9D">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lastRenderedPageBreak/>
        <w:t xml:space="preserve">Régimen </w:t>
      </w:r>
      <w:r w:rsidR="003669CB" w:rsidRPr="003669CB">
        <w:rPr>
          <w:rFonts w:ascii="Barlow" w:eastAsia="Times New Roman" w:hAnsi="Barlow" w:cs="Times New Roman"/>
          <w:b/>
          <w:sz w:val="20"/>
          <w:szCs w:val="20"/>
          <w:lang w:eastAsia="es-ES"/>
        </w:rPr>
        <w:t>jurídico. -</w:t>
      </w:r>
      <w:r w:rsidRPr="003669CB">
        <w:rPr>
          <w:rFonts w:ascii="Barlow" w:hAnsi="Barlow"/>
          <w:sz w:val="20"/>
          <w:szCs w:val="20"/>
        </w:rPr>
        <w:t>Organismo Público Descentralizado</w:t>
      </w:r>
    </w:p>
    <w:p w:rsidR="00365E4B" w:rsidRPr="003669CB" w:rsidRDefault="00365E4B" w:rsidP="00365E4B">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Consideraciones fiscales del </w:t>
      </w:r>
      <w:r w:rsidR="003669CB" w:rsidRPr="003669CB">
        <w:rPr>
          <w:rFonts w:ascii="Barlow" w:eastAsia="Times New Roman" w:hAnsi="Barlow" w:cs="Times New Roman"/>
          <w:b/>
          <w:sz w:val="20"/>
          <w:szCs w:val="20"/>
          <w:lang w:eastAsia="es-ES"/>
        </w:rPr>
        <w:t>ente. -</w:t>
      </w:r>
      <w:r w:rsidRPr="003669CB">
        <w:rPr>
          <w:rFonts w:ascii="Barlow" w:eastAsia="Times New Roman" w:hAnsi="Barlow" w:cs="Times New Roman"/>
          <w:sz w:val="20"/>
          <w:szCs w:val="20"/>
          <w:lang w:eastAsia="es-ES"/>
        </w:rPr>
        <w:t xml:space="preserve"> Sus principales obligaciones fiscales son las retenciones de ISR por sueldos y Salarios, Asimilables y servicios profesionales; Cuotas al ISSTEY, Impuesto sobre Erogaciones por Remuneración al Trabajo Personal.</w:t>
      </w:r>
    </w:p>
    <w:p w:rsidR="00691737" w:rsidRPr="003669CB" w:rsidRDefault="00691737" w:rsidP="00365E4B">
      <w:pPr>
        <w:pStyle w:val="Prrafodelista"/>
        <w:numPr>
          <w:ilvl w:val="0"/>
          <w:numId w:val="10"/>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Estructura Organizacional </w:t>
      </w:r>
      <w:r w:rsidR="003669CB" w:rsidRPr="003669CB">
        <w:rPr>
          <w:rFonts w:ascii="Barlow" w:eastAsia="Times New Roman" w:hAnsi="Barlow" w:cs="Times New Roman"/>
          <w:b/>
          <w:sz w:val="20"/>
          <w:szCs w:val="20"/>
          <w:lang w:eastAsia="es-ES"/>
        </w:rPr>
        <w:t>Básica. -</w:t>
      </w:r>
      <w:r w:rsidRPr="003669CB">
        <w:rPr>
          <w:rFonts w:ascii="Barlow" w:eastAsia="Times New Roman" w:hAnsi="Barlow" w:cs="Times New Roman"/>
          <w:sz w:val="20"/>
          <w:szCs w:val="20"/>
          <w:lang w:eastAsia="es-ES"/>
        </w:rPr>
        <w:t xml:space="preserve"> 1 Dirección General, </w:t>
      </w:r>
      <w:r w:rsidR="009F2EBF" w:rsidRPr="003669CB">
        <w:rPr>
          <w:rFonts w:ascii="Barlow" w:eastAsia="Times New Roman" w:hAnsi="Barlow" w:cs="Times New Roman"/>
          <w:sz w:val="20"/>
          <w:szCs w:val="20"/>
          <w:lang w:eastAsia="es-ES"/>
        </w:rPr>
        <w:t>2</w:t>
      </w:r>
      <w:r w:rsidRPr="003669CB">
        <w:rPr>
          <w:rFonts w:ascii="Barlow" w:eastAsia="Times New Roman" w:hAnsi="Barlow" w:cs="Times New Roman"/>
          <w:sz w:val="20"/>
          <w:szCs w:val="20"/>
          <w:lang w:eastAsia="es-ES"/>
        </w:rPr>
        <w:t xml:space="preserve"> Subdirecciones, </w:t>
      </w:r>
      <w:r w:rsidR="009F2EBF" w:rsidRPr="003669CB">
        <w:rPr>
          <w:rFonts w:ascii="Barlow" w:eastAsia="Times New Roman" w:hAnsi="Barlow" w:cs="Times New Roman"/>
          <w:sz w:val="20"/>
          <w:szCs w:val="20"/>
          <w:lang w:eastAsia="es-ES"/>
        </w:rPr>
        <w:t>4</w:t>
      </w:r>
      <w:r w:rsidRPr="003669CB">
        <w:rPr>
          <w:rFonts w:ascii="Barlow" w:eastAsia="Times New Roman" w:hAnsi="Barlow" w:cs="Times New Roman"/>
          <w:sz w:val="20"/>
          <w:szCs w:val="20"/>
          <w:lang w:eastAsia="es-ES"/>
        </w:rPr>
        <w:t xml:space="preserve"> Jefaturas de División, </w:t>
      </w:r>
      <w:r w:rsidR="009F2EBF" w:rsidRPr="003669CB">
        <w:rPr>
          <w:rFonts w:ascii="Barlow" w:eastAsia="Times New Roman" w:hAnsi="Barlow" w:cs="Times New Roman"/>
          <w:sz w:val="20"/>
          <w:szCs w:val="20"/>
          <w:lang w:eastAsia="es-ES"/>
        </w:rPr>
        <w:t>9</w:t>
      </w:r>
      <w:r w:rsidRPr="003669CB">
        <w:rPr>
          <w:rFonts w:ascii="Barlow" w:eastAsia="Times New Roman" w:hAnsi="Barlow" w:cs="Times New Roman"/>
          <w:sz w:val="20"/>
          <w:szCs w:val="20"/>
          <w:lang w:eastAsia="es-ES"/>
        </w:rPr>
        <w:t xml:space="preserve"> Jefaturas de Departamento.</w:t>
      </w:r>
    </w:p>
    <w:p w:rsidR="00660DE9" w:rsidRPr="003669CB" w:rsidRDefault="00660DE9" w:rsidP="002E26C2">
      <w:pPr>
        <w:spacing w:after="0" w:line="240" w:lineRule="auto"/>
        <w:jc w:val="both"/>
        <w:rPr>
          <w:rFonts w:ascii="Barlow" w:eastAsia="Times New Roman" w:hAnsi="Barlow" w:cs="Times New Roman"/>
          <w:sz w:val="20"/>
          <w:szCs w:val="20"/>
          <w:lang w:eastAsia="es-ES"/>
        </w:rPr>
      </w:pPr>
    </w:p>
    <w:p w:rsidR="004D7BEB" w:rsidRPr="003669CB" w:rsidRDefault="00691737" w:rsidP="002844F2">
      <w:pPr>
        <w:pStyle w:val="Prrafodelista"/>
        <w:numPr>
          <w:ilvl w:val="0"/>
          <w:numId w:val="16"/>
        </w:numPr>
        <w:rPr>
          <w:rFonts w:ascii="Barlow" w:hAnsi="Barlow"/>
          <w:b/>
          <w:sz w:val="20"/>
          <w:szCs w:val="20"/>
        </w:rPr>
      </w:pPr>
      <w:r w:rsidRPr="003669CB">
        <w:rPr>
          <w:rFonts w:ascii="Barlow" w:hAnsi="Barlow"/>
          <w:b/>
          <w:sz w:val="20"/>
          <w:szCs w:val="20"/>
        </w:rPr>
        <w:t>Bases de preparación de los Estados Financieros</w:t>
      </w:r>
    </w:p>
    <w:p w:rsidR="00AD45E6" w:rsidRPr="003669CB" w:rsidRDefault="00AD45E6" w:rsidP="004D7BEB">
      <w:pPr>
        <w:pStyle w:val="Prrafodelista"/>
        <w:numPr>
          <w:ilvl w:val="0"/>
          <w:numId w:val="14"/>
        </w:numPr>
        <w:rPr>
          <w:rFonts w:ascii="Barlow" w:hAnsi="Barlow"/>
          <w:sz w:val="20"/>
          <w:szCs w:val="20"/>
        </w:rPr>
      </w:pPr>
      <w:r w:rsidRPr="003669CB">
        <w:rPr>
          <w:rFonts w:ascii="Barlow" w:hAnsi="Barlow"/>
          <w:sz w:val="20"/>
          <w:szCs w:val="20"/>
        </w:rPr>
        <w:t xml:space="preserve">Actualmente éste instituto no cuenta con la aplicación del software que cumpla con los requisitos de la armonización contable, sin </w:t>
      </w:r>
      <w:r w:rsidR="003669CB" w:rsidRPr="003669CB">
        <w:rPr>
          <w:rFonts w:ascii="Barlow" w:hAnsi="Barlow"/>
          <w:sz w:val="20"/>
          <w:szCs w:val="20"/>
        </w:rPr>
        <w:t>embargo,</w:t>
      </w:r>
      <w:r w:rsidRPr="003669CB">
        <w:rPr>
          <w:rFonts w:ascii="Barlow" w:hAnsi="Barlow"/>
          <w:sz w:val="20"/>
          <w:szCs w:val="20"/>
        </w:rPr>
        <w:t xml:space="preserve"> los estados financieros, catálogos de cuentas y rubros están alineados a la normativa establecida por CONAC.</w:t>
      </w:r>
    </w:p>
    <w:p w:rsidR="00691737" w:rsidRPr="003669CB" w:rsidRDefault="00691737" w:rsidP="004D7BEB">
      <w:pPr>
        <w:pStyle w:val="Prrafodelista"/>
        <w:numPr>
          <w:ilvl w:val="0"/>
          <w:numId w:val="14"/>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 xml:space="preserve">Los estados financieros están preparados sobre bases históricas y no reconocen los efectos de la inflación en la información financiera. Así mismo es política del Instituto el preparar su información financiera sobre la base de reconocer sus ingresos cuando se reciben y sus gastos cuando se devengan además de acuerdo a la normatividad gubernamental registran las adquisiciones de activo fijo como gastos del año y se reconocen como activo fijo el valor de adquisición de dichos activos en el estado de activos, pasivos y patrimonio, </w:t>
      </w:r>
      <w:r w:rsidR="003669CB" w:rsidRPr="003669CB">
        <w:rPr>
          <w:rFonts w:ascii="Barlow" w:eastAsia="Times New Roman" w:hAnsi="Barlow" w:cs="Times New Roman"/>
          <w:sz w:val="20"/>
          <w:szCs w:val="20"/>
          <w:lang w:eastAsia="es-ES"/>
        </w:rPr>
        <w:t>afectando a</w:t>
      </w:r>
      <w:r w:rsidRPr="003669CB">
        <w:rPr>
          <w:rFonts w:ascii="Barlow" w:eastAsia="Times New Roman" w:hAnsi="Barlow" w:cs="Times New Roman"/>
          <w:sz w:val="20"/>
          <w:szCs w:val="20"/>
          <w:lang w:eastAsia="es-ES"/>
        </w:rPr>
        <w:t xml:space="preserve"> las partidas de inmuebles, muebles y patrimonio respectivamente.</w:t>
      </w:r>
      <w:r w:rsidR="00CC2834" w:rsidRPr="003669CB">
        <w:rPr>
          <w:rFonts w:ascii="Barlow" w:eastAsia="Times New Roman" w:hAnsi="Barlow" w:cs="Times New Roman"/>
          <w:sz w:val="20"/>
          <w:szCs w:val="20"/>
          <w:lang w:eastAsia="es-ES"/>
        </w:rPr>
        <w:t xml:space="preserve"> En cuanto a las cuentas de patrimonio Resultados de Ejercicios Anteriores representa el monto acumulado de los resultados de la gestión provenientes de ejercicios anteriores por lo que aquellas afectaciones por motivos de ajustes y/o reclasificaciones propuestos por despacho auditor afectarán patrimonio Rectificaciones de Resultados de Ejercicios Anteriores. </w:t>
      </w:r>
    </w:p>
    <w:p w:rsidR="00AD45E6" w:rsidRPr="003669CB" w:rsidRDefault="00AD45E6" w:rsidP="004D7BEB">
      <w:pPr>
        <w:spacing w:after="0" w:line="240" w:lineRule="auto"/>
        <w:jc w:val="both"/>
        <w:rPr>
          <w:rFonts w:ascii="Barlow" w:eastAsia="Times New Roman" w:hAnsi="Barlow" w:cs="Times New Roman"/>
          <w:sz w:val="20"/>
          <w:szCs w:val="20"/>
          <w:lang w:eastAsia="es-ES"/>
        </w:rPr>
      </w:pPr>
    </w:p>
    <w:p w:rsidR="00AD45E6" w:rsidRPr="003669CB" w:rsidRDefault="00AD45E6" w:rsidP="004D7BEB">
      <w:pPr>
        <w:pStyle w:val="Prrafodelista"/>
        <w:numPr>
          <w:ilvl w:val="0"/>
          <w:numId w:val="14"/>
        </w:num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 xml:space="preserve">Postulados </w:t>
      </w:r>
      <w:r w:rsidR="003669CB" w:rsidRPr="003669CB">
        <w:rPr>
          <w:rFonts w:ascii="Barlow" w:eastAsia="Times New Roman" w:hAnsi="Barlow" w:cs="Times New Roman"/>
          <w:sz w:val="20"/>
          <w:szCs w:val="20"/>
          <w:lang w:eastAsia="es-ES"/>
        </w:rPr>
        <w:t>básicos. -</w:t>
      </w:r>
      <w:r w:rsidRPr="003669CB">
        <w:rPr>
          <w:rFonts w:ascii="Barlow" w:eastAsia="Times New Roman" w:hAnsi="Barlow" w:cs="Times New Roman"/>
          <w:sz w:val="20"/>
          <w:szCs w:val="20"/>
          <w:lang w:eastAsia="es-ES"/>
        </w:rPr>
        <w:t xml:space="preserve"> Sustancia económica, ente público, existencia permanente, revelación suficiente, importancia relativa, registro e integración presupuestaria, devengo contable, valuación, dualidad económica y consistencia.</w:t>
      </w:r>
    </w:p>
    <w:p w:rsidR="00AD45E6" w:rsidRPr="003669CB" w:rsidRDefault="00AD45E6" w:rsidP="00AD45E6">
      <w:pPr>
        <w:spacing w:after="0" w:line="240" w:lineRule="auto"/>
        <w:jc w:val="both"/>
        <w:rPr>
          <w:rFonts w:ascii="Barlow" w:eastAsia="Times New Roman" w:hAnsi="Barlow" w:cs="Times New Roman"/>
          <w:sz w:val="20"/>
          <w:szCs w:val="20"/>
          <w:lang w:eastAsia="es-ES"/>
        </w:rPr>
      </w:pPr>
    </w:p>
    <w:p w:rsidR="00AD45E6" w:rsidRPr="003669CB" w:rsidRDefault="00AD45E6" w:rsidP="004D7BEB">
      <w:pPr>
        <w:pStyle w:val="Prrafodelista"/>
        <w:numPr>
          <w:ilvl w:val="0"/>
          <w:numId w:val="16"/>
        </w:num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Políticas de Contabilidad Significativas</w:t>
      </w:r>
    </w:p>
    <w:p w:rsidR="00AD45E6" w:rsidRPr="003669CB" w:rsidRDefault="00AD45E6" w:rsidP="00AD45E6">
      <w:pPr>
        <w:spacing w:after="0" w:line="240" w:lineRule="auto"/>
        <w:jc w:val="both"/>
        <w:rPr>
          <w:rFonts w:ascii="Barlow" w:eastAsia="Times New Roman" w:hAnsi="Barlow" w:cs="Times New Roman"/>
          <w:sz w:val="20"/>
          <w:szCs w:val="20"/>
          <w:lang w:eastAsia="es-ES"/>
        </w:rPr>
      </w:pP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hAnsi="Barlow"/>
          <w:b/>
          <w:sz w:val="20"/>
          <w:szCs w:val="20"/>
        </w:rPr>
        <w:t xml:space="preserve">a) </w:t>
      </w:r>
      <w:r w:rsidR="003669CB" w:rsidRPr="003669CB">
        <w:rPr>
          <w:rFonts w:ascii="Barlow" w:hAnsi="Barlow"/>
          <w:b/>
          <w:sz w:val="20"/>
          <w:szCs w:val="20"/>
        </w:rPr>
        <w:t>Actualización</w:t>
      </w:r>
      <w:r w:rsidR="003669CB" w:rsidRPr="003669CB">
        <w:rPr>
          <w:rFonts w:ascii="Barlow" w:hAnsi="Barlow"/>
          <w:sz w:val="20"/>
          <w:szCs w:val="20"/>
        </w:rPr>
        <w:t>. -</w:t>
      </w:r>
      <w:r w:rsidRPr="003669CB">
        <w:rPr>
          <w:rFonts w:ascii="Barlow" w:hAnsi="Barlow"/>
          <w:sz w:val="20"/>
          <w:szCs w:val="20"/>
        </w:rPr>
        <w:t xml:space="preserve"> </w:t>
      </w:r>
      <w:r w:rsidRPr="003669CB">
        <w:rPr>
          <w:rFonts w:ascii="Barlow" w:eastAsia="Times New Roman" w:hAnsi="Barlow" w:cs="Times New Roman"/>
          <w:sz w:val="20"/>
          <w:szCs w:val="20"/>
          <w:lang w:eastAsia="es-ES"/>
        </w:rPr>
        <w:t xml:space="preserve">Los estados financieros están preparados sobre bases históricas y no reconocen los efectos de la inflación en la información financiera. </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b)</w:t>
      </w:r>
      <w:r w:rsidRPr="003669CB">
        <w:rPr>
          <w:rFonts w:ascii="Barlow" w:eastAsia="Times New Roman" w:hAnsi="Barlow" w:cs="Times New Roman"/>
          <w:sz w:val="20"/>
          <w:szCs w:val="20"/>
          <w:lang w:eastAsia="es-ES"/>
        </w:rPr>
        <w:t xml:space="preserve"> NA</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c)</w:t>
      </w:r>
      <w:r w:rsidRPr="003669CB">
        <w:rPr>
          <w:rFonts w:ascii="Barlow" w:eastAsia="Times New Roman" w:hAnsi="Barlow" w:cs="Times New Roman"/>
          <w:sz w:val="20"/>
          <w:szCs w:val="20"/>
          <w:lang w:eastAsia="es-ES"/>
        </w:rPr>
        <w:t xml:space="preserve"> NA</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b/>
          <w:sz w:val="20"/>
          <w:szCs w:val="20"/>
          <w:lang w:eastAsia="es-ES"/>
        </w:rPr>
        <w:t xml:space="preserve">d) Sistema y método de valuación de inventarios y costo de lo </w:t>
      </w:r>
      <w:r w:rsidR="003669CB" w:rsidRPr="003669CB">
        <w:rPr>
          <w:rFonts w:ascii="Barlow" w:eastAsia="Times New Roman" w:hAnsi="Barlow" w:cs="Times New Roman"/>
          <w:b/>
          <w:sz w:val="20"/>
          <w:szCs w:val="20"/>
          <w:lang w:eastAsia="es-ES"/>
        </w:rPr>
        <w:t>vendido. -</w:t>
      </w:r>
      <w:r w:rsidRPr="003669CB">
        <w:rPr>
          <w:rFonts w:ascii="Barlow" w:eastAsia="Times New Roman" w:hAnsi="Barlow" w:cs="Times New Roman"/>
          <w:sz w:val="20"/>
          <w:szCs w:val="20"/>
          <w:lang w:eastAsia="es-ES"/>
        </w:rPr>
        <w:t xml:space="preserve"> Se evalúan al costo de erogación, afectando al patrimonio y los gastos presupuestales del periodo, sin reconocer el demerito por el uso de dichos activos.</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e) NA</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f) NA</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g) NA</w:t>
      </w:r>
    </w:p>
    <w:p w:rsidR="000C3346" w:rsidRPr="003669CB" w:rsidRDefault="00E7721A"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 xml:space="preserve">h) </w:t>
      </w:r>
      <w:r w:rsidRPr="003669CB">
        <w:rPr>
          <w:rFonts w:ascii="Barlow" w:eastAsia="Times New Roman" w:hAnsi="Barlow" w:cs="Times New Roman"/>
          <w:b/>
          <w:sz w:val="20"/>
          <w:szCs w:val="20"/>
          <w:lang w:eastAsia="es-ES"/>
        </w:rPr>
        <w:t xml:space="preserve">Cambios en las políticas contables y corrección de </w:t>
      </w:r>
      <w:r w:rsidR="003669CB" w:rsidRPr="003669CB">
        <w:rPr>
          <w:rFonts w:ascii="Barlow" w:eastAsia="Times New Roman" w:hAnsi="Barlow" w:cs="Times New Roman"/>
          <w:b/>
          <w:sz w:val="20"/>
          <w:szCs w:val="20"/>
          <w:lang w:eastAsia="es-ES"/>
        </w:rPr>
        <w:t>errores. -</w:t>
      </w:r>
      <w:r w:rsidRPr="003669CB">
        <w:rPr>
          <w:rFonts w:ascii="Barlow" w:eastAsia="Times New Roman" w:hAnsi="Barlow" w:cs="Times New Roman"/>
          <w:sz w:val="20"/>
          <w:szCs w:val="20"/>
          <w:lang w:eastAsia="es-ES"/>
        </w:rPr>
        <w:t xml:space="preserve"> En el mes de </w:t>
      </w:r>
      <w:r w:rsidR="003669CB" w:rsidRPr="003669CB">
        <w:rPr>
          <w:rFonts w:ascii="Barlow" w:eastAsia="Times New Roman" w:hAnsi="Barlow" w:cs="Times New Roman"/>
          <w:sz w:val="20"/>
          <w:szCs w:val="20"/>
          <w:lang w:eastAsia="es-ES"/>
        </w:rPr>
        <w:t>enero</w:t>
      </w:r>
      <w:r w:rsidRPr="003669CB">
        <w:rPr>
          <w:rFonts w:ascii="Barlow" w:eastAsia="Times New Roman" w:hAnsi="Barlow" w:cs="Times New Roman"/>
          <w:sz w:val="20"/>
          <w:szCs w:val="20"/>
          <w:lang w:eastAsia="es-ES"/>
        </w:rPr>
        <w:t xml:space="preserve"> se realiza la reclasificación en las cuentas de Resu</w:t>
      </w:r>
      <w:r w:rsidR="000C3346" w:rsidRPr="003669CB">
        <w:rPr>
          <w:rFonts w:ascii="Barlow" w:eastAsia="Times New Roman" w:hAnsi="Barlow" w:cs="Times New Roman"/>
          <w:sz w:val="20"/>
          <w:szCs w:val="20"/>
          <w:lang w:eastAsia="es-ES"/>
        </w:rPr>
        <w:t xml:space="preserve">ltados de Ejercicios Anteriores, cambios por errores contables </w:t>
      </w:r>
      <w:r w:rsidRPr="003669CB">
        <w:rPr>
          <w:rFonts w:ascii="Barlow" w:eastAsia="Times New Roman" w:hAnsi="Barlow" w:cs="Times New Roman"/>
          <w:sz w:val="20"/>
          <w:szCs w:val="20"/>
          <w:lang w:eastAsia="es-ES"/>
        </w:rPr>
        <w:t>8000-0</w:t>
      </w:r>
      <w:r w:rsidR="000C3346" w:rsidRPr="003669CB">
        <w:rPr>
          <w:rFonts w:ascii="Barlow" w:eastAsia="Times New Roman" w:hAnsi="Barlow" w:cs="Times New Roman"/>
          <w:sz w:val="20"/>
          <w:szCs w:val="20"/>
          <w:lang w:eastAsia="es-ES"/>
        </w:rPr>
        <w:t>3</w:t>
      </w:r>
      <w:r w:rsidRPr="003669CB">
        <w:rPr>
          <w:rFonts w:ascii="Barlow" w:eastAsia="Times New Roman" w:hAnsi="Barlow" w:cs="Times New Roman"/>
          <w:sz w:val="20"/>
          <w:szCs w:val="20"/>
          <w:lang w:eastAsia="es-ES"/>
        </w:rPr>
        <w:t xml:space="preserve">00-0000 con la finalidad de </w:t>
      </w:r>
      <w:r w:rsidR="000C3346" w:rsidRPr="003669CB">
        <w:rPr>
          <w:rFonts w:ascii="Barlow" w:eastAsia="Times New Roman" w:hAnsi="Barlow" w:cs="Times New Roman"/>
          <w:sz w:val="20"/>
          <w:szCs w:val="20"/>
          <w:lang w:eastAsia="es-ES"/>
        </w:rPr>
        <w:t>corregir un registro del 2021.</w:t>
      </w:r>
    </w:p>
    <w:p w:rsidR="004D7BEB" w:rsidRPr="003669CB" w:rsidRDefault="000C3346"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lastRenderedPageBreak/>
        <w:t xml:space="preserve"> </w:t>
      </w:r>
      <w:r w:rsidR="004D7BEB" w:rsidRPr="003669CB">
        <w:rPr>
          <w:rFonts w:ascii="Barlow" w:eastAsia="Times New Roman" w:hAnsi="Barlow" w:cs="Times New Roman"/>
          <w:sz w:val="20"/>
          <w:szCs w:val="20"/>
          <w:lang w:eastAsia="es-ES"/>
        </w:rPr>
        <w:t>i) NA</w:t>
      </w:r>
    </w:p>
    <w:p w:rsidR="004D7BEB" w:rsidRPr="003669CB" w:rsidRDefault="004D7BEB" w:rsidP="004D7BEB">
      <w:pPr>
        <w:spacing w:after="0" w:line="240" w:lineRule="auto"/>
        <w:jc w:val="both"/>
        <w:rPr>
          <w:rFonts w:ascii="Barlow" w:eastAsia="Times New Roman" w:hAnsi="Barlow" w:cs="Times New Roman"/>
          <w:sz w:val="20"/>
          <w:szCs w:val="20"/>
          <w:lang w:eastAsia="es-ES"/>
        </w:rPr>
      </w:pPr>
      <w:r w:rsidRPr="003669CB">
        <w:rPr>
          <w:rFonts w:ascii="Barlow" w:eastAsia="Times New Roman" w:hAnsi="Barlow" w:cs="Times New Roman"/>
          <w:sz w:val="20"/>
          <w:szCs w:val="20"/>
          <w:lang w:eastAsia="es-ES"/>
        </w:rPr>
        <w:t xml:space="preserve">j)  Depuración y cancelación de </w:t>
      </w:r>
      <w:r w:rsidR="003669CB" w:rsidRPr="003669CB">
        <w:rPr>
          <w:rFonts w:ascii="Barlow" w:eastAsia="Times New Roman" w:hAnsi="Barlow" w:cs="Times New Roman"/>
          <w:sz w:val="20"/>
          <w:szCs w:val="20"/>
          <w:lang w:eastAsia="es-ES"/>
        </w:rPr>
        <w:t>saldos. -</w:t>
      </w:r>
      <w:r w:rsidRPr="003669CB">
        <w:rPr>
          <w:rFonts w:ascii="Barlow" w:eastAsia="Times New Roman" w:hAnsi="Barlow" w:cs="Times New Roman"/>
          <w:sz w:val="20"/>
          <w:szCs w:val="20"/>
          <w:lang w:eastAsia="es-ES"/>
        </w:rPr>
        <w:t xml:space="preserve"> Se realiza </w:t>
      </w:r>
      <w:r w:rsidR="008E114C" w:rsidRPr="003669CB">
        <w:rPr>
          <w:rFonts w:ascii="Barlow" w:eastAsia="Times New Roman" w:hAnsi="Barlow" w:cs="Times New Roman"/>
          <w:sz w:val="20"/>
          <w:szCs w:val="20"/>
          <w:lang w:eastAsia="es-ES"/>
        </w:rPr>
        <w:t xml:space="preserve">de acuerdo con los Lineamientos para la Depuración de Cuentas Contables de la Administración Pública Estatal </w:t>
      </w:r>
      <w:r w:rsidRPr="003669CB">
        <w:rPr>
          <w:rFonts w:ascii="Barlow" w:eastAsia="Times New Roman" w:hAnsi="Barlow" w:cs="Times New Roman"/>
          <w:sz w:val="20"/>
          <w:szCs w:val="20"/>
          <w:lang w:eastAsia="es-ES"/>
        </w:rPr>
        <w:t>para posteriormente ser presentados para su aprobación ante la Junta Directiva del Instituto.</w:t>
      </w:r>
    </w:p>
    <w:p w:rsidR="00BC235E" w:rsidRPr="003669CB" w:rsidRDefault="00BC235E" w:rsidP="004D7BEB">
      <w:pPr>
        <w:spacing w:after="0" w:line="240" w:lineRule="auto"/>
        <w:jc w:val="both"/>
        <w:rPr>
          <w:rFonts w:ascii="Barlow" w:eastAsia="Times New Roman" w:hAnsi="Barlow" w:cs="Times New Roman"/>
          <w:sz w:val="20"/>
          <w:szCs w:val="20"/>
          <w:lang w:eastAsia="es-ES"/>
        </w:rPr>
      </w:pPr>
    </w:p>
    <w:p w:rsidR="003B6865" w:rsidRPr="003669CB" w:rsidRDefault="003B6865" w:rsidP="004D7BEB">
      <w:pPr>
        <w:spacing w:after="0" w:line="240" w:lineRule="auto"/>
        <w:jc w:val="both"/>
        <w:rPr>
          <w:rFonts w:ascii="Barlow" w:eastAsia="Times New Roman" w:hAnsi="Barlow" w:cs="Times New Roman"/>
          <w:sz w:val="20"/>
          <w:szCs w:val="20"/>
          <w:lang w:eastAsia="es-ES"/>
        </w:rPr>
      </w:pPr>
    </w:p>
    <w:p w:rsidR="004D7BEB" w:rsidRPr="003669CB" w:rsidRDefault="004D7BEB" w:rsidP="004D7BEB">
      <w:pPr>
        <w:pStyle w:val="Prrafodelista"/>
        <w:numPr>
          <w:ilvl w:val="0"/>
          <w:numId w:val="16"/>
        </w:numPr>
        <w:spacing w:after="0" w:line="240" w:lineRule="auto"/>
        <w:jc w:val="both"/>
        <w:rPr>
          <w:rFonts w:ascii="Barlow" w:eastAsia="Times New Roman" w:hAnsi="Barlow" w:cs="Times New Roman"/>
          <w:b/>
          <w:sz w:val="20"/>
          <w:szCs w:val="20"/>
          <w:lang w:eastAsia="es-ES"/>
        </w:rPr>
      </w:pPr>
      <w:r w:rsidRPr="003669CB">
        <w:rPr>
          <w:rFonts w:ascii="Barlow" w:eastAsia="Times New Roman" w:hAnsi="Barlow" w:cs="Times New Roman"/>
          <w:b/>
          <w:sz w:val="20"/>
          <w:szCs w:val="20"/>
          <w:lang w:eastAsia="es-ES"/>
        </w:rPr>
        <w:t>Posición en Moneda Extranjera y Protección de Riesgo Cambiario</w:t>
      </w:r>
    </w:p>
    <w:p w:rsidR="00691737" w:rsidRPr="003669CB" w:rsidRDefault="004D7BEB" w:rsidP="001A723C">
      <w:pPr>
        <w:pStyle w:val="Prrafodelista"/>
        <w:numPr>
          <w:ilvl w:val="1"/>
          <w:numId w:val="19"/>
        </w:numPr>
        <w:rPr>
          <w:rFonts w:ascii="Barlow" w:hAnsi="Barlow"/>
          <w:sz w:val="20"/>
          <w:szCs w:val="20"/>
        </w:rPr>
      </w:pPr>
      <w:r w:rsidRPr="003669CB">
        <w:rPr>
          <w:rFonts w:ascii="Barlow" w:hAnsi="Barlow"/>
          <w:sz w:val="20"/>
          <w:szCs w:val="20"/>
        </w:rPr>
        <w:t>NA</w:t>
      </w:r>
    </w:p>
    <w:p w:rsidR="00BA245C" w:rsidRPr="003669CB" w:rsidRDefault="00BA245C" w:rsidP="0056329D">
      <w:pPr>
        <w:pStyle w:val="Prrafodelista"/>
        <w:ind w:left="1440"/>
        <w:rPr>
          <w:rFonts w:ascii="Barlow" w:hAnsi="Barlow"/>
          <w:sz w:val="20"/>
          <w:szCs w:val="20"/>
        </w:rPr>
      </w:pPr>
    </w:p>
    <w:p w:rsidR="00952FDA" w:rsidRPr="003669CB" w:rsidRDefault="004D7BEB" w:rsidP="004D7BEB">
      <w:pPr>
        <w:pStyle w:val="Prrafodelista"/>
        <w:numPr>
          <w:ilvl w:val="0"/>
          <w:numId w:val="16"/>
        </w:numPr>
        <w:spacing w:after="0" w:line="240" w:lineRule="auto"/>
        <w:jc w:val="both"/>
        <w:rPr>
          <w:rFonts w:ascii="Barlow" w:eastAsia="Times New Roman" w:hAnsi="Barlow" w:cs="Times New Roman"/>
          <w:b/>
          <w:sz w:val="20"/>
          <w:szCs w:val="20"/>
          <w:lang w:val="es-ES_tradnl" w:eastAsia="es-ES"/>
        </w:rPr>
      </w:pPr>
      <w:r w:rsidRPr="003669CB">
        <w:rPr>
          <w:rFonts w:ascii="Barlow" w:eastAsia="Times New Roman" w:hAnsi="Barlow" w:cs="Times New Roman"/>
          <w:b/>
          <w:sz w:val="20"/>
          <w:szCs w:val="20"/>
          <w:lang w:val="es-ES_tradnl" w:eastAsia="es-ES"/>
        </w:rPr>
        <w:t>Reporte Analítico del Activo</w:t>
      </w:r>
    </w:p>
    <w:p w:rsidR="00E7102E" w:rsidRPr="003669CB" w:rsidRDefault="00E7102E" w:rsidP="001A723C">
      <w:pPr>
        <w:pStyle w:val="Prrafodelista"/>
        <w:numPr>
          <w:ilvl w:val="2"/>
          <w:numId w:val="19"/>
        </w:numPr>
        <w:spacing w:line="240" w:lineRule="auto"/>
        <w:rPr>
          <w:rFonts w:ascii="Barlow" w:hAnsi="Barlow" w:cs="Arial"/>
          <w:sz w:val="20"/>
          <w:szCs w:val="20"/>
        </w:rPr>
      </w:pPr>
      <w:r w:rsidRPr="003669CB">
        <w:rPr>
          <w:rFonts w:ascii="Barlow" w:hAnsi="Barlow" w:cs="Arial"/>
          <w:sz w:val="20"/>
          <w:szCs w:val="20"/>
        </w:rPr>
        <w:t>Vida útil o porcentajes de depreciación, deterioro o amortización utilizados en los diferentes tipos de activos.</w:t>
      </w:r>
    </w:p>
    <w:tbl>
      <w:tblPr>
        <w:tblW w:w="6420" w:type="dxa"/>
        <w:jc w:val="center"/>
        <w:tblCellMar>
          <w:left w:w="70" w:type="dxa"/>
          <w:right w:w="70" w:type="dxa"/>
        </w:tblCellMar>
        <w:tblLook w:val="04A0" w:firstRow="1" w:lastRow="0" w:firstColumn="1" w:lastColumn="0" w:noHBand="0" w:noVBand="1"/>
      </w:tblPr>
      <w:tblGrid>
        <w:gridCol w:w="4980"/>
        <w:gridCol w:w="1440"/>
      </w:tblGrid>
      <w:tr w:rsidR="00E7102E" w:rsidRPr="003669CB" w:rsidTr="00C325EB">
        <w:trPr>
          <w:trHeight w:val="335"/>
          <w:jc w:val="center"/>
        </w:trPr>
        <w:tc>
          <w:tcPr>
            <w:tcW w:w="498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E7102E" w:rsidRPr="003669CB" w:rsidRDefault="00E7102E" w:rsidP="00E7102E">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Rubro</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7102E" w:rsidRPr="003669CB" w:rsidRDefault="00E7102E" w:rsidP="00E7102E">
            <w:pPr>
              <w:spacing w:after="0" w:line="240" w:lineRule="auto"/>
              <w:jc w:val="center"/>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 Depreciación</w:t>
            </w:r>
          </w:p>
        </w:tc>
      </w:tr>
      <w:tr w:rsidR="00E7102E" w:rsidRPr="003669CB"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3669CB" w:rsidRDefault="00E7102E"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MOBILIARIO Y EQUIPO DE ADMINISTRACIÓN</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10%</w:t>
            </w:r>
          </w:p>
        </w:tc>
      </w:tr>
      <w:tr w:rsidR="00E7102E" w:rsidRPr="003669CB"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3669CB" w:rsidRDefault="00E7102E"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BIENES INFORMATICOS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33.3%</w:t>
            </w:r>
          </w:p>
        </w:tc>
      </w:tr>
      <w:tr w:rsidR="00E7102E" w:rsidRPr="003669CB"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3669CB" w:rsidRDefault="00E7102E"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EQUIPO EDUCACIONAL Y RECREATIVO</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20%</w:t>
            </w:r>
          </w:p>
        </w:tc>
      </w:tr>
      <w:tr w:rsidR="00E7102E" w:rsidRPr="003669CB" w:rsidTr="00E7102E">
        <w:trPr>
          <w:trHeight w:val="255"/>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3669CB" w:rsidRDefault="00E7102E"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EQUIPO DE TRANSPORTE</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20%</w:t>
            </w:r>
          </w:p>
        </w:tc>
      </w:tr>
      <w:tr w:rsidR="00E7102E" w:rsidRPr="003669CB" w:rsidTr="00E7102E">
        <w:trPr>
          <w:trHeight w:val="255"/>
          <w:jc w:val="center"/>
        </w:trPr>
        <w:tc>
          <w:tcPr>
            <w:tcW w:w="4980" w:type="dxa"/>
            <w:tcBorders>
              <w:top w:val="nil"/>
              <w:left w:val="single" w:sz="8" w:space="0" w:color="auto"/>
              <w:bottom w:val="single" w:sz="4" w:space="0" w:color="auto"/>
              <w:right w:val="single" w:sz="4" w:space="0" w:color="auto"/>
            </w:tcBorders>
            <w:shd w:val="clear" w:color="auto" w:fill="auto"/>
            <w:noWrap/>
            <w:vAlign w:val="bottom"/>
            <w:hideMark/>
          </w:tcPr>
          <w:p w:rsidR="00E7102E" w:rsidRPr="003669CB" w:rsidRDefault="00E7102E" w:rsidP="00E7102E">
            <w:pPr>
              <w:spacing w:after="0" w:line="240" w:lineRule="auto"/>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MAQUINARIA, OTROS EQUIPOS Y HERRAMIENTAS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10%</w:t>
            </w:r>
          </w:p>
        </w:tc>
      </w:tr>
      <w:tr w:rsidR="00E7102E" w:rsidRPr="003669CB" w:rsidTr="0070491C">
        <w:trPr>
          <w:trHeight w:val="270"/>
          <w:jc w:val="center"/>
        </w:trPr>
        <w:tc>
          <w:tcPr>
            <w:tcW w:w="4980" w:type="dxa"/>
            <w:tcBorders>
              <w:top w:val="nil"/>
              <w:left w:val="single" w:sz="8" w:space="0" w:color="auto"/>
              <w:bottom w:val="single" w:sz="4" w:space="0" w:color="auto"/>
              <w:right w:val="single" w:sz="4" w:space="0" w:color="auto"/>
            </w:tcBorders>
            <w:shd w:val="clear" w:color="000000" w:fill="FFFFFF"/>
            <w:noWrap/>
            <w:hideMark/>
          </w:tcPr>
          <w:p w:rsidR="00E7102E" w:rsidRPr="003669CB" w:rsidRDefault="00E7102E"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EDIFICIOS Y LOCALES NO RESIDENCIALES</w:t>
            </w:r>
          </w:p>
        </w:tc>
        <w:tc>
          <w:tcPr>
            <w:tcW w:w="1440" w:type="dxa"/>
            <w:tcBorders>
              <w:top w:val="nil"/>
              <w:left w:val="nil"/>
              <w:bottom w:val="single" w:sz="4" w:space="0" w:color="auto"/>
              <w:right w:val="single" w:sz="8" w:space="0" w:color="auto"/>
            </w:tcBorders>
            <w:shd w:val="clear" w:color="auto" w:fill="auto"/>
            <w:noWrap/>
            <w:vAlign w:val="bottom"/>
            <w:hideMark/>
          </w:tcPr>
          <w:p w:rsidR="00E7102E" w:rsidRPr="003669CB" w:rsidRDefault="00E7102E"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3.3%</w:t>
            </w:r>
          </w:p>
        </w:tc>
      </w:tr>
      <w:tr w:rsidR="0070491C" w:rsidRPr="003669CB" w:rsidTr="0070491C">
        <w:trPr>
          <w:trHeight w:val="270"/>
          <w:jc w:val="center"/>
        </w:trPr>
        <w:tc>
          <w:tcPr>
            <w:tcW w:w="4980" w:type="dxa"/>
            <w:tcBorders>
              <w:top w:val="single" w:sz="4" w:space="0" w:color="auto"/>
              <w:left w:val="single" w:sz="8" w:space="0" w:color="auto"/>
              <w:bottom w:val="single" w:sz="8" w:space="0" w:color="auto"/>
              <w:right w:val="single" w:sz="4" w:space="0" w:color="auto"/>
            </w:tcBorders>
            <w:shd w:val="clear" w:color="000000" w:fill="FFFFFF"/>
            <w:noWrap/>
          </w:tcPr>
          <w:p w:rsidR="0070491C" w:rsidRPr="003669CB" w:rsidRDefault="0070491C" w:rsidP="00E7102E">
            <w:pPr>
              <w:spacing w:after="0" w:line="240" w:lineRule="auto"/>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ACTIVOS INTANGIBLES</w:t>
            </w:r>
          </w:p>
        </w:tc>
        <w:tc>
          <w:tcPr>
            <w:tcW w:w="1440" w:type="dxa"/>
            <w:tcBorders>
              <w:top w:val="single" w:sz="4" w:space="0" w:color="auto"/>
              <w:left w:val="nil"/>
              <w:bottom w:val="single" w:sz="8" w:space="0" w:color="auto"/>
              <w:right w:val="single" w:sz="8" w:space="0" w:color="auto"/>
            </w:tcBorders>
            <w:shd w:val="clear" w:color="auto" w:fill="auto"/>
            <w:noWrap/>
            <w:vAlign w:val="bottom"/>
          </w:tcPr>
          <w:p w:rsidR="0070491C" w:rsidRPr="003669CB" w:rsidRDefault="0070491C" w:rsidP="00E7102E">
            <w:pPr>
              <w:spacing w:after="0" w:line="240" w:lineRule="auto"/>
              <w:jc w:val="right"/>
              <w:rPr>
                <w:rFonts w:ascii="Barlow" w:eastAsia="Times New Roman" w:hAnsi="Barlow" w:cs="Arial"/>
                <w:sz w:val="20"/>
                <w:szCs w:val="20"/>
                <w:lang w:eastAsia="es-MX"/>
              </w:rPr>
            </w:pPr>
            <w:r w:rsidRPr="003669CB">
              <w:rPr>
                <w:rFonts w:ascii="Barlow" w:eastAsia="Times New Roman" w:hAnsi="Barlow" w:cs="Arial"/>
                <w:sz w:val="20"/>
                <w:szCs w:val="20"/>
                <w:lang w:eastAsia="es-MX"/>
              </w:rPr>
              <w:t>30%</w:t>
            </w:r>
          </w:p>
        </w:tc>
      </w:tr>
    </w:tbl>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b)</w:t>
      </w:r>
      <w:r w:rsidRPr="003669CB">
        <w:rPr>
          <w:rFonts w:ascii="Barlow" w:hAnsi="Barlow" w:cs="Arial"/>
          <w:sz w:val="20"/>
          <w:szCs w:val="20"/>
        </w:rPr>
        <w:tab/>
        <w:t xml:space="preserve">Cambios en el porcentaje de depreciación o valor residual de los </w:t>
      </w:r>
      <w:r w:rsidR="003669CB" w:rsidRPr="003669CB">
        <w:rPr>
          <w:rFonts w:ascii="Barlow" w:hAnsi="Barlow" w:cs="Arial"/>
          <w:sz w:val="20"/>
          <w:szCs w:val="20"/>
        </w:rPr>
        <w:t>activos</w:t>
      </w:r>
      <w:r w:rsidR="003669CB">
        <w:rPr>
          <w:rFonts w:ascii="Barlow" w:hAnsi="Barlow" w:cs="Arial"/>
          <w:sz w:val="20"/>
          <w:szCs w:val="20"/>
        </w:rPr>
        <w:t>.</w:t>
      </w:r>
      <w:r w:rsidR="003669CB" w:rsidRPr="003669CB">
        <w:rPr>
          <w:rFonts w:ascii="Barlow" w:hAnsi="Barlow" w:cs="Arial"/>
          <w:sz w:val="20"/>
          <w:szCs w:val="20"/>
        </w:rPr>
        <w:t xml:space="preserve"> -</w:t>
      </w:r>
      <w:r w:rsidRPr="003669CB">
        <w:rPr>
          <w:rFonts w:ascii="Barlow" w:hAnsi="Barlow" w:cs="Arial"/>
          <w:sz w:val="20"/>
          <w:szCs w:val="20"/>
        </w:rPr>
        <w:t xml:space="preserve"> NA</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c)</w:t>
      </w:r>
      <w:r w:rsidRPr="003669CB">
        <w:rPr>
          <w:rFonts w:ascii="Barlow" w:hAnsi="Barlow" w:cs="Arial"/>
          <w:sz w:val="20"/>
          <w:szCs w:val="20"/>
        </w:rPr>
        <w:tab/>
        <w:t xml:space="preserve">Importe de los gastos capitalizados en el ejercicio, tanto financieros como de investigación y </w:t>
      </w:r>
      <w:r w:rsidR="003669CB" w:rsidRPr="003669CB">
        <w:rPr>
          <w:rFonts w:ascii="Barlow" w:hAnsi="Barlow" w:cs="Arial"/>
          <w:sz w:val="20"/>
          <w:szCs w:val="20"/>
        </w:rPr>
        <w:t>desarrollo</w:t>
      </w:r>
      <w:r w:rsidR="003669CB">
        <w:rPr>
          <w:rFonts w:ascii="Barlow" w:hAnsi="Barlow" w:cs="Arial"/>
          <w:sz w:val="20"/>
          <w:szCs w:val="20"/>
        </w:rPr>
        <w:t>.</w:t>
      </w:r>
      <w:r w:rsidR="003669CB" w:rsidRPr="003669CB">
        <w:rPr>
          <w:rFonts w:ascii="Barlow" w:hAnsi="Barlow" w:cs="Arial"/>
          <w:sz w:val="20"/>
          <w:szCs w:val="20"/>
        </w:rPr>
        <w:t xml:space="preserve"> -</w:t>
      </w:r>
      <w:r w:rsidRPr="003669CB">
        <w:rPr>
          <w:rFonts w:ascii="Barlow" w:hAnsi="Barlow" w:cs="Arial"/>
          <w:sz w:val="20"/>
          <w:szCs w:val="20"/>
        </w:rPr>
        <w:t xml:space="preserve"> Por inversión en bienes muebles </w:t>
      </w:r>
      <w:r w:rsidR="00C325EB" w:rsidRPr="003669CB">
        <w:rPr>
          <w:rFonts w:ascii="Barlow" w:hAnsi="Barlow" w:cs="Arial"/>
          <w:sz w:val="20"/>
          <w:szCs w:val="20"/>
        </w:rPr>
        <w:t>se genera al corte de</w:t>
      </w:r>
      <w:r w:rsidR="004F4EE3" w:rsidRPr="003669CB">
        <w:rPr>
          <w:rFonts w:ascii="Barlow" w:hAnsi="Barlow" w:cs="Arial"/>
          <w:sz w:val="20"/>
          <w:szCs w:val="20"/>
        </w:rPr>
        <w:t xml:space="preserve"> </w:t>
      </w:r>
      <w:r w:rsidR="003669CB" w:rsidRPr="003669CB">
        <w:rPr>
          <w:rFonts w:ascii="Barlow" w:hAnsi="Barlow" w:cs="Arial"/>
          <w:sz w:val="20"/>
          <w:szCs w:val="20"/>
        </w:rPr>
        <w:t>marzo</w:t>
      </w:r>
      <w:r w:rsidR="001C4F6E" w:rsidRPr="003669CB">
        <w:rPr>
          <w:rFonts w:ascii="Barlow" w:hAnsi="Barlow" w:cs="Arial"/>
          <w:sz w:val="20"/>
          <w:szCs w:val="20"/>
        </w:rPr>
        <w:t xml:space="preserve"> 202</w:t>
      </w:r>
      <w:r w:rsidR="000C3346" w:rsidRPr="003669CB">
        <w:rPr>
          <w:rFonts w:ascii="Barlow" w:hAnsi="Barlow" w:cs="Arial"/>
          <w:sz w:val="20"/>
          <w:szCs w:val="20"/>
        </w:rPr>
        <w:t>2</w:t>
      </w:r>
      <w:r w:rsidR="001C4F6E" w:rsidRPr="003669CB">
        <w:rPr>
          <w:rFonts w:ascii="Barlow" w:hAnsi="Barlow" w:cs="Arial"/>
          <w:sz w:val="20"/>
          <w:szCs w:val="20"/>
        </w:rPr>
        <w:t xml:space="preserve"> por</w:t>
      </w:r>
      <w:r w:rsidR="00903972" w:rsidRPr="003669CB">
        <w:rPr>
          <w:rFonts w:ascii="Barlow" w:hAnsi="Barlow" w:cs="Arial"/>
          <w:sz w:val="20"/>
          <w:szCs w:val="20"/>
        </w:rPr>
        <w:t xml:space="preserve"> un monto de $</w:t>
      </w:r>
      <w:r w:rsidR="000C3346" w:rsidRPr="003669CB">
        <w:rPr>
          <w:rFonts w:ascii="Barlow" w:hAnsi="Barlow" w:cs="Arial"/>
          <w:sz w:val="20"/>
          <w:szCs w:val="20"/>
        </w:rPr>
        <w:t>7,540.00</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d)</w:t>
      </w:r>
      <w:r w:rsidRPr="003669CB">
        <w:rPr>
          <w:rFonts w:ascii="Barlow" w:hAnsi="Barlow" w:cs="Arial"/>
          <w:sz w:val="20"/>
          <w:szCs w:val="20"/>
        </w:rPr>
        <w:tab/>
        <w:t xml:space="preserve">Riesgos por tipo de cambio o tipo de interés de las inversiones </w:t>
      </w:r>
      <w:r w:rsidR="003669CB" w:rsidRPr="003669CB">
        <w:rPr>
          <w:rFonts w:ascii="Barlow" w:hAnsi="Barlow" w:cs="Arial"/>
          <w:sz w:val="20"/>
          <w:szCs w:val="20"/>
        </w:rPr>
        <w:t>financieras. -</w:t>
      </w:r>
      <w:r w:rsidRPr="003669CB">
        <w:rPr>
          <w:rFonts w:ascii="Barlow" w:hAnsi="Barlow" w:cs="Arial"/>
          <w:sz w:val="20"/>
          <w:szCs w:val="20"/>
        </w:rPr>
        <w:t xml:space="preserve"> NA</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e)</w:t>
      </w:r>
      <w:r w:rsidRPr="003669CB">
        <w:rPr>
          <w:rFonts w:ascii="Barlow" w:hAnsi="Barlow" w:cs="Arial"/>
          <w:sz w:val="20"/>
          <w:szCs w:val="20"/>
        </w:rPr>
        <w:tab/>
        <w:t>Valor activado en el ejercicio de los bienes construidos por la entidad.</w:t>
      </w:r>
      <w:r w:rsidR="003669CB">
        <w:rPr>
          <w:rFonts w:ascii="Barlow" w:hAnsi="Barlow" w:cs="Arial"/>
          <w:sz w:val="20"/>
          <w:szCs w:val="20"/>
        </w:rPr>
        <w:t xml:space="preserve"> </w:t>
      </w:r>
      <w:r w:rsidRPr="003669CB">
        <w:rPr>
          <w:rFonts w:ascii="Barlow" w:hAnsi="Barlow" w:cs="Arial"/>
          <w:sz w:val="20"/>
          <w:szCs w:val="20"/>
        </w:rPr>
        <w:t>- NA</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f)</w:t>
      </w:r>
      <w:r w:rsidRPr="003669CB">
        <w:rPr>
          <w:rFonts w:ascii="Barlow" w:hAnsi="Barlow" w:cs="Arial"/>
          <w:sz w:val="20"/>
          <w:szCs w:val="20"/>
        </w:rPr>
        <w:tab/>
        <w:t>Otras circunstancias de carácter significativo que afecten el activo, tales como bienes en garantía, señalados en embargos, litigios, títulos de inversiones entregados en garantías, baja significativa del valor de inversiones financieras, etc.- NA</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lastRenderedPageBreak/>
        <w:t>g)</w:t>
      </w:r>
      <w:r w:rsidRPr="003669CB">
        <w:rPr>
          <w:rFonts w:ascii="Barlow" w:hAnsi="Barlow" w:cs="Arial"/>
          <w:sz w:val="20"/>
          <w:szCs w:val="20"/>
        </w:rPr>
        <w:tab/>
        <w:t>Desmantelamiento de Activos, procedimientos, implicaciones, efectos contables.</w:t>
      </w:r>
      <w:r w:rsidR="003669CB">
        <w:rPr>
          <w:rFonts w:ascii="Barlow" w:hAnsi="Barlow" w:cs="Arial"/>
          <w:sz w:val="20"/>
          <w:szCs w:val="20"/>
        </w:rPr>
        <w:t xml:space="preserve"> </w:t>
      </w:r>
      <w:r w:rsidRPr="003669CB">
        <w:rPr>
          <w:rFonts w:ascii="Barlow" w:hAnsi="Barlow" w:cs="Arial"/>
          <w:sz w:val="20"/>
          <w:szCs w:val="20"/>
        </w:rPr>
        <w:t>- NA</w:t>
      </w:r>
    </w:p>
    <w:p w:rsidR="00E7102E" w:rsidRPr="003669CB" w:rsidRDefault="00E7102E" w:rsidP="00E7102E">
      <w:pPr>
        <w:spacing w:line="240" w:lineRule="auto"/>
        <w:rPr>
          <w:rFonts w:ascii="Barlow" w:hAnsi="Barlow" w:cs="Arial"/>
          <w:sz w:val="20"/>
          <w:szCs w:val="20"/>
        </w:rPr>
      </w:pPr>
      <w:r w:rsidRPr="003669CB">
        <w:rPr>
          <w:rFonts w:ascii="Barlow" w:hAnsi="Barlow" w:cs="Arial"/>
          <w:sz w:val="20"/>
          <w:szCs w:val="20"/>
        </w:rPr>
        <w:t>h)</w:t>
      </w:r>
      <w:r w:rsidRPr="003669CB">
        <w:rPr>
          <w:rFonts w:ascii="Barlow" w:hAnsi="Barlow" w:cs="Arial"/>
          <w:sz w:val="20"/>
          <w:szCs w:val="20"/>
        </w:rPr>
        <w:tab/>
        <w:t>Administración de activos; planeación con el objetivo de que el ente los utilice de manera más efectiva.</w:t>
      </w:r>
      <w:r w:rsidR="003669CB">
        <w:rPr>
          <w:rFonts w:ascii="Barlow" w:hAnsi="Barlow" w:cs="Arial"/>
          <w:sz w:val="20"/>
          <w:szCs w:val="20"/>
        </w:rPr>
        <w:t xml:space="preserve"> </w:t>
      </w:r>
      <w:r w:rsidRPr="003669CB">
        <w:rPr>
          <w:rFonts w:ascii="Barlow" w:hAnsi="Barlow" w:cs="Arial"/>
          <w:sz w:val="20"/>
          <w:szCs w:val="20"/>
        </w:rPr>
        <w:t>- Existe la coordinación de infraestructura la cual tiene como objetivo llevar el control del inventario y generación de resguardo de bienes muebles.</w:t>
      </w:r>
    </w:p>
    <w:p w:rsidR="00184E0F" w:rsidRPr="003669CB" w:rsidRDefault="00E7102E" w:rsidP="00E7102E">
      <w:pPr>
        <w:pStyle w:val="Prrafodelista"/>
        <w:numPr>
          <w:ilvl w:val="0"/>
          <w:numId w:val="16"/>
        </w:numPr>
        <w:spacing w:line="240" w:lineRule="auto"/>
        <w:rPr>
          <w:rFonts w:ascii="Barlow" w:hAnsi="Barlow" w:cs="Arial"/>
          <w:b/>
          <w:sz w:val="20"/>
          <w:szCs w:val="20"/>
        </w:rPr>
      </w:pPr>
      <w:r w:rsidRPr="003669CB">
        <w:rPr>
          <w:rFonts w:ascii="Barlow" w:hAnsi="Barlow" w:cs="Arial"/>
          <w:b/>
          <w:sz w:val="20"/>
          <w:szCs w:val="20"/>
        </w:rPr>
        <w:t>Fideicomisos, Mandatos y Análogos</w:t>
      </w:r>
    </w:p>
    <w:p w:rsidR="00D8607D" w:rsidRPr="003669CB" w:rsidRDefault="00E7102E" w:rsidP="001A723C">
      <w:pPr>
        <w:pStyle w:val="Prrafodelista"/>
        <w:numPr>
          <w:ilvl w:val="1"/>
          <w:numId w:val="19"/>
        </w:numPr>
        <w:spacing w:line="240" w:lineRule="auto"/>
        <w:rPr>
          <w:rFonts w:ascii="Barlow" w:hAnsi="Barlow" w:cs="Arial"/>
          <w:b/>
          <w:sz w:val="20"/>
          <w:szCs w:val="20"/>
        </w:rPr>
      </w:pPr>
      <w:r w:rsidRPr="003669CB">
        <w:rPr>
          <w:rFonts w:ascii="Barlow" w:hAnsi="Barlow" w:cs="Arial"/>
          <w:b/>
          <w:sz w:val="20"/>
          <w:szCs w:val="20"/>
        </w:rPr>
        <w:t>NA</w:t>
      </w:r>
    </w:p>
    <w:p w:rsidR="00EB02DE" w:rsidRPr="003669CB" w:rsidRDefault="00EB02DE" w:rsidP="00BC235E">
      <w:pPr>
        <w:pStyle w:val="Prrafodelista"/>
        <w:spacing w:line="240" w:lineRule="auto"/>
        <w:ind w:left="1440"/>
        <w:rPr>
          <w:rFonts w:ascii="Barlow" w:hAnsi="Barlow" w:cs="Arial"/>
          <w:b/>
          <w:sz w:val="20"/>
          <w:szCs w:val="20"/>
        </w:rPr>
      </w:pPr>
    </w:p>
    <w:p w:rsidR="00E7102E" w:rsidRPr="003669CB" w:rsidRDefault="00E7102E" w:rsidP="00E7102E">
      <w:pPr>
        <w:pStyle w:val="Prrafodelista"/>
        <w:numPr>
          <w:ilvl w:val="0"/>
          <w:numId w:val="16"/>
        </w:numPr>
        <w:spacing w:line="240" w:lineRule="auto"/>
        <w:rPr>
          <w:rFonts w:ascii="Barlow" w:hAnsi="Barlow" w:cs="Arial"/>
          <w:b/>
          <w:sz w:val="20"/>
          <w:szCs w:val="20"/>
        </w:rPr>
      </w:pPr>
      <w:r w:rsidRPr="003669CB">
        <w:rPr>
          <w:rFonts w:ascii="Barlow" w:hAnsi="Barlow" w:cs="Arial"/>
          <w:b/>
          <w:sz w:val="20"/>
          <w:szCs w:val="20"/>
        </w:rPr>
        <w:t>Reporte de la Recaudación</w:t>
      </w:r>
    </w:p>
    <w:p w:rsidR="00723C1F" w:rsidRPr="003669CB" w:rsidRDefault="00723C1F" w:rsidP="001A723C">
      <w:pPr>
        <w:pStyle w:val="Prrafodelista"/>
        <w:numPr>
          <w:ilvl w:val="2"/>
          <w:numId w:val="19"/>
        </w:numPr>
        <w:spacing w:line="240" w:lineRule="auto"/>
        <w:rPr>
          <w:rFonts w:ascii="Barlow" w:hAnsi="Barlow" w:cs="Arial"/>
          <w:b/>
          <w:sz w:val="20"/>
          <w:szCs w:val="20"/>
        </w:rPr>
      </w:pPr>
    </w:p>
    <w:tbl>
      <w:tblPr>
        <w:tblW w:w="5802" w:type="dxa"/>
        <w:jc w:val="center"/>
        <w:tblCellMar>
          <w:left w:w="70" w:type="dxa"/>
          <w:right w:w="70" w:type="dxa"/>
        </w:tblCellMar>
        <w:tblLook w:val="04A0" w:firstRow="1" w:lastRow="0" w:firstColumn="1" w:lastColumn="0" w:noHBand="0" w:noVBand="1"/>
      </w:tblPr>
      <w:tblGrid>
        <w:gridCol w:w="1620"/>
        <w:gridCol w:w="4182"/>
      </w:tblGrid>
      <w:tr w:rsidR="006C0724" w:rsidRPr="003669CB" w:rsidTr="006C0724">
        <w:trPr>
          <w:trHeight w:val="315"/>
          <w:jc w:val="center"/>
        </w:trPr>
        <w:tc>
          <w:tcPr>
            <w:tcW w:w="1620" w:type="dxa"/>
            <w:tcBorders>
              <w:top w:val="single" w:sz="8" w:space="0" w:color="auto"/>
              <w:left w:val="single" w:sz="8" w:space="0" w:color="auto"/>
              <w:bottom w:val="single" w:sz="8" w:space="0" w:color="auto"/>
              <w:right w:val="single" w:sz="8" w:space="0" w:color="auto"/>
            </w:tcBorders>
            <w:shd w:val="clear" w:color="000000" w:fill="F2F2F2"/>
            <w:noWrap/>
            <w:vAlign w:val="center"/>
            <w:hideMark/>
          </w:tcPr>
          <w:p w:rsidR="006C0724" w:rsidRPr="003669CB" w:rsidRDefault="006C0724" w:rsidP="006C0724">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INGRESOS</w:t>
            </w:r>
          </w:p>
        </w:tc>
        <w:tc>
          <w:tcPr>
            <w:tcW w:w="4182" w:type="dxa"/>
            <w:tcBorders>
              <w:top w:val="single" w:sz="8" w:space="0" w:color="auto"/>
              <w:left w:val="nil"/>
              <w:bottom w:val="single" w:sz="8" w:space="0" w:color="auto"/>
              <w:right w:val="single" w:sz="8" w:space="0" w:color="auto"/>
            </w:tcBorders>
            <w:shd w:val="clear" w:color="000000" w:fill="F2F2F2"/>
            <w:noWrap/>
            <w:vAlign w:val="center"/>
            <w:hideMark/>
          </w:tcPr>
          <w:p w:rsidR="006C0724" w:rsidRPr="003669CB" w:rsidRDefault="000F7B99" w:rsidP="000C3346">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PERIODO: ENERO</w:t>
            </w:r>
            <w:r w:rsidR="00776A7A" w:rsidRPr="003669CB">
              <w:rPr>
                <w:rFonts w:ascii="Barlow" w:eastAsia="Times New Roman" w:hAnsi="Barlow" w:cs="Arial"/>
                <w:color w:val="000000"/>
                <w:sz w:val="20"/>
                <w:szCs w:val="20"/>
                <w:lang w:eastAsia="es-MX"/>
              </w:rPr>
              <w:t xml:space="preserve"> A MARZO</w:t>
            </w:r>
            <w:r w:rsidR="000C3346" w:rsidRPr="003669CB">
              <w:rPr>
                <w:rFonts w:ascii="Barlow" w:eastAsia="Times New Roman" w:hAnsi="Barlow" w:cs="Arial"/>
                <w:color w:val="000000"/>
                <w:sz w:val="20"/>
                <w:szCs w:val="20"/>
                <w:lang w:eastAsia="es-MX"/>
              </w:rPr>
              <w:t xml:space="preserve"> 2022</w:t>
            </w:r>
          </w:p>
        </w:tc>
      </w:tr>
      <w:tr w:rsidR="006C0724" w:rsidRPr="003669CB" w:rsidTr="006C0724">
        <w:trPr>
          <w:trHeight w:val="315"/>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3669CB" w:rsidRDefault="006C0724" w:rsidP="006C0724">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FEDERAL</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3669CB" w:rsidRDefault="000F7B99" w:rsidP="00776A7A">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w:t>
            </w:r>
            <w:r w:rsidR="00776A7A" w:rsidRPr="003669CB">
              <w:rPr>
                <w:rFonts w:ascii="Barlow" w:eastAsia="Times New Roman" w:hAnsi="Barlow" w:cs="Arial"/>
                <w:color w:val="000000"/>
                <w:sz w:val="20"/>
                <w:szCs w:val="20"/>
                <w:lang w:eastAsia="es-MX"/>
              </w:rPr>
              <w:t>7</w:t>
            </w:r>
            <w:r w:rsidR="009A3D9A" w:rsidRPr="003669CB">
              <w:rPr>
                <w:rFonts w:ascii="Barlow" w:eastAsia="Times New Roman" w:hAnsi="Barlow" w:cs="Arial"/>
                <w:color w:val="000000"/>
                <w:sz w:val="20"/>
                <w:szCs w:val="20"/>
                <w:lang w:eastAsia="es-MX"/>
              </w:rPr>
              <w:t>,</w:t>
            </w:r>
            <w:r w:rsidR="00776A7A" w:rsidRPr="003669CB">
              <w:rPr>
                <w:rFonts w:ascii="Barlow" w:eastAsia="Times New Roman" w:hAnsi="Barlow" w:cs="Arial"/>
                <w:color w:val="000000"/>
                <w:sz w:val="20"/>
                <w:szCs w:val="20"/>
                <w:lang w:eastAsia="es-MX"/>
              </w:rPr>
              <w:t>880</w:t>
            </w:r>
            <w:r w:rsidR="009A3D9A" w:rsidRPr="003669CB">
              <w:rPr>
                <w:rFonts w:ascii="Barlow" w:eastAsia="Times New Roman" w:hAnsi="Barlow" w:cs="Arial"/>
                <w:color w:val="000000"/>
                <w:sz w:val="20"/>
                <w:szCs w:val="20"/>
                <w:lang w:eastAsia="es-MX"/>
              </w:rPr>
              <w:t>,</w:t>
            </w:r>
            <w:r w:rsidR="000C3346" w:rsidRPr="003669CB">
              <w:rPr>
                <w:rFonts w:ascii="Barlow" w:eastAsia="Times New Roman" w:hAnsi="Barlow" w:cs="Arial"/>
                <w:color w:val="000000"/>
                <w:sz w:val="20"/>
                <w:szCs w:val="20"/>
                <w:lang w:eastAsia="es-MX"/>
              </w:rPr>
              <w:t>8</w:t>
            </w:r>
            <w:r w:rsidR="00776A7A" w:rsidRPr="003669CB">
              <w:rPr>
                <w:rFonts w:ascii="Barlow" w:eastAsia="Times New Roman" w:hAnsi="Barlow" w:cs="Arial"/>
                <w:color w:val="000000"/>
                <w:sz w:val="20"/>
                <w:szCs w:val="20"/>
                <w:lang w:eastAsia="es-MX"/>
              </w:rPr>
              <w:t>0</w:t>
            </w:r>
            <w:r w:rsidR="000C3346" w:rsidRPr="003669CB">
              <w:rPr>
                <w:rFonts w:ascii="Barlow" w:eastAsia="Times New Roman" w:hAnsi="Barlow" w:cs="Arial"/>
                <w:color w:val="000000"/>
                <w:sz w:val="20"/>
                <w:szCs w:val="20"/>
                <w:lang w:eastAsia="es-MX"/>
              </w:rPr>
              <w:t>2</w:t>
            </w:r>
            <w:r w:rsidR="009A3D9A" w:rsidRPr="003669CB">
              <w:rPr>
                <w:rFonts w:ascii="Barlow" w:eastAsia="Times New Roman" w:hAnsi="Barlow" w:cs="Arial"/>
                <w:color w:val="000000"/>
                <w:sz w:val="20"/>
                <w:szCs w:val="20"/>
                <w:lang w:eastAsia="es-MX"/>
              </w:rPr>
              <w:t>.00</w:t>
            </w:r>
          </w:p>
        </w:tc>
      </w:tr>
      <w:tr w:rsidR="006C0724" w:rsidRPr="003669CB" w:rsidTr="006C0724">
        <w:trPr>
          <w:trHeight w:val="315"/>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3669CB" w:rsidRDefault="006C0724" w:rsidP="006C0724">
            <w:pPr>
              <w:spacing w:after="0" w:line="240" w:lineRule="auto"/>
              <w:jc w:val="center"/>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ESTATAL</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3669CB" w:rsidRDefault="006C0724" w:rsidP="00776A7A">
            <w:pPr>
              <w:spacing w:after="0" w:line="240" w:lineRule="auto"/>
              <w:jc w:val="right"/>
              <w:rPr>
                <w:rFonts w:ascii="Barlow" w:eastAsia="Times New Roman" w:hAnsi="Barlow" w:cs="Arial"/>
                <w:color w:val="000000"/>
                <w:sz w:val="20"/>
                <w:szCs w:val="20"/>
                <w:lang w:eastAsia="es-MX"/>
              </w:rPr>
            </w:pPr>
            <w:r w:rsidRPr="003669CB">
              <w:rPr>
                <w:rFonts w:ascii="Barlow" w:eastAsia="Times New Roman" w:hAnsi="Barlow" w:cs="Arial"/>
                <w:color w:val="000000"/>
                <w:sz w:val="20"/>
                <w:szCs w:val="20"/>
                <w:lang w:eastAsia="es-MX"/>
              </w:rPr>
              <w:t>$</w:t>
            </w:r>
            <w:r w:rsidR="00776A7A" w:rsidRPr="003669CB">
              <w:rPr>
                <w:rFonts w:ascii="Barlow" w:eastAsia="Times New Roman" w:hAnsi="Barlow" w:cs="Arial"/>
                <w:color w:val="000000"/>
                <w:sz w:val="20"/>
                <w:szCs w:val="20"/>
                <w:lang w:eastAsia="es-MX"/>
              </w:rPr>
              <w:t>2,11</w:t>
            </w:r>
            <w:r w:rsidR="000C3346" w:rsidRPr="003669CB">
              <w:rPr>
                <w:rFonts w:ascii="Barlow" w:eastAsia="Times New Roman" w:hAnsi="Barlow" w:cs="Arial"/>
                <w:color w:val="000000"/>
                <w:sz w:val="20"/>
                <w:szCs w:val="20"/>
                <w:lang w:eastAsia="es-MX"/>
              </w:rPr>
              <w:t>7</w:t>
            </w:r>
            <w:r w:rsidR="002E26C2" w:rsidRPr="003669CB">
              <w:rPr>
                <w:rFonts w:ascii="Barlow" w:eastAsia="Times New Roman" w:hAnsi="Barlow" w:cs="Arial"/>
                <w:color w:val="000000"/>
                <w:sz w:val="20"/>
                <w:szCs w:val="20"/>
                <w:lang w:eastAsia="es-MX"/>
              </w:rPr>
              <w:t>,</w:t>
            </w:r>
            <w:r w:rsidR="00776A7A" w:rsidRPr="003669CB">
              <w:rPr>
                <w:rFonts w:ascii="Barlow" w:eastAsia="Times New Roman" w:hAnsi="Barlow" w:cs="Arial"/>
                <w:color w:val="000000"/>
                <w:sz w:val="20"/>
                <w:szCs w:val="20"/>
                <w:lang w:eastAsia="es-MX"/>
              </w:rPr>
              <w:t>471</w:t>
            </w:r>
            <w:r w:rsidR="00942D45" w:rsidRPr="003669CB">
              <w:rPr>
                <w:rFonts w:ascii="Barlow" w:eastAsia="Times New Roman" w:hAnsi="Barlow" w:cs="Arial"/>
                <w:color w:val="000000"/>
                <w:sz w:val="20"/>
                <w:szCs w:val="20"/>
                <w:lang w:eastAsia="es-MX"/>
              </w:rPr>
              <w:t>.</w:t>
            </w:r>
            <w:r w:rsidR="003B6865" w:rsidRPr="003669CB">
              <w:rPr>
                <w:rFonts w:ascii="Barlow" w:eastAsia="Times New Roman" w:hAnsi="Barlow" w:cs="Arial"/>
                <w:color w:val="000000"/>
                <w:sz w:val="20"/>
                <w:szCs w:val="20"/>
                <w:lang w:eastAsia="es-MX"/>
              </w:rPr>
              <w:t>0</w:t>
            </w:r>
            <w:r w:rsidR="000C3346" w:rsidRPr="003669CB">
              <w:rPr>
                <w:rFonts w:ascii="Barlow" w:eastAsia="Times New Roman" w:hAnsi="Barlow" w:cs="Arial"/>
                <w:color w:val="000000"/>
                <w:sz w:val="20"/>
                <w:szCs w:val="20"/>
                <w:lang w:eastAsia="es-MX"/>
              </w:rPr>
              <w:t>0</w:t>
            </w:r>
          </w:p>
        </w:tc>
      </w:tr>
      <w:tr w:rsidR="006C0724" w:rsidRPr="003669CB" w:rsidTr="006C0724">
        <w:trPr>
          <w:trHeight w:val="330"/>
          <w:jc w:val="center"/>
        </w:trPr>
        <w:tc>
          <w:tcPr>
            <w:tcW w:w="1620" w:type="dxa"/>
            <w:tcBorders>
              <w:top w:val="nil"/>
              <w:left w:val="single" w:sz="8" w:space="0" w:color="auto"/>
              <w:bottom w:val="single" w:sz="8" w:space="0" w:color="auto"/>
              <w:right w:val="single" w:sz="8" w:space="0" w:color="auto"/>
            </w:tcBorders>
            <w:shd w:val="clear" w:color="auto" w:fill="auto"/>
            <w:noWrap/>
            <w:vAlign w:val="center"/>
            <w:hideMark/>
          </w:tcPr>
          <w:p w:rsidR="006C0724" w:rsidRPr="003669CB" w:rsidRDefault="006C0724" w:rsidP="006C0724">
            <w:pPr>
              <w:spacing w:after="0" w:line="240" w:lineRule="auto"/>
              <w:jc w:val="center"/>
              <w:rPr>
                <w:rFonts w:ascii="Barlow" w:eastAsia="Times New Roman" w:hAnsi="Barlow" w:cs="Arial"/>
                <w:b/>
                <w:bCs/>
                <w:color w:val="000000"/>
                <w:sz w:val="20"/>
                <w:szCs w:val="20"/>
                <w:lang w:eastAsia="es-MX"/>
              </w:rPr>
            </w:pPr>
            <w:r w:rsidRPr="003669CB">
              <w:rPr>
                <w:rFonts w:ascii="Barlow" w:eastAsia="Times New Roman" w:hAnsi="Barlow" w:cs="Arial"/>
                <w:b/>
                <w:bCs/>
                <w:color w:val="000000"/>
                <w:sz w:val="20"/>
                <w:szCs w:val="20"/>
                <w:lang w:eastAsia="es-MX"/>
              </w:rPr>
              <w:t>DIFERENCIA</w:t>
            </w:r>
          </w:p>
        </w:tc>
        <w:tc>
          <w:tcPr>
            <w:tcW w:w="4182" w:type="dxa"/>
            <w:tcBorders>
              <w:top w:val="nil"/>
              <w:left w:val="nil"/>
              <w:bottom w:val="single" w:sz="8" w:space="0" w:color="auto"/>
              <w:right w:val="single" w:sz="8" w:space="0" w:color="auto"/>
            </w:tcBorders>
            <w:shd w:val="clear" w:color="auto" w:fill="auto"/>
            <w:noWrap/>
            <w:vAlign w:val="center"/>
            <w:hideMark/>
          </w:tcPr>
          <w:p w:rsidR="006C0724" w:rsidRPr="003669CB" w:rsidRDefault="00942D45" w:rsidP="00776A7A">
            <w:pPr>
              <w:spacing w:after="0" w:line="240" w:lineRule="auto"/>
              <w:jc w:val="right"/>
              <w:rPr>
                <w:rFonts w:ascii="Barlow" w:eastAsia="Times New Roman" w:hAnsi="Barlow" w:cs="Arial"/>
                <w:b/>
                <w:bCs/>
                <w:sz w:val="20"/>
                <w:szCs w:val="20"/>
                <w:lang w:eastAsia="es-MX"/>
              </w:rPr>
            </w:pPr>
            <w:r w:rsidRPr="003669CB">
              <w:rPr>
                <w:rFonts w:ascii="Barlow" w:eastAsia="Times New Roman" w:hAnsi="Barlow" w:cs="Arial"/>
                <w:b/>
                <w:bCs/>
                <w:sz w:val="20"/>
                <w:szCs w:val="20"/>
                <w:lang w:eastAsia="es-MX"/>
              </w:rPr>
              <w:t>$</w:t>
            </w:r>
            <w:r w:rsidR="00776A7A" w:rsidRPr="003669CB">
              <w:rPr>
                <w:rFonts w:ascii="Barlow" w:eastAsia="Times New Roman" w:hAnsi="Barlow" w:cs="Arial"/>
                <w:b/>
                <w:bCs/>
                <w:sz w:val="20"/>
                <w:szCs w:val="20"/>
                <w:lang w:eastAsia="es-MX"/>
              </w:rPr>
              <w:t>5</w:t>
            </w:r>
            <w:r w:rsidR="002E26C2" w:rsidRPr="003669CB">
              <w:rPr>
                <w:rFonts w:ascii="Barlow" w:eastAsia="Times New Roman" w:hAnsi="Barlow" w:cs="Arial"/>
                <w:b/>
                <w:bCs/>
                <w:sz w:val="20"/>
                <w:szCs w:val="20"/>
                <w:lang w:eastAsia="es-MX"/>
              </w:rPr>
              <w:t>,</w:t>
            </w:r>
            <w:r w:rsidR="00776A7A" w:rsidRPr="003669CB">
              <w:rPr>
                <w:rFonts w:ascii="Barlow" w:eastAsia="Times New Roman" w:hAnsi="Barlow" w:cs="Arial"/>
                <w:b/>
                <w:bCs/>
                <w:sz w:val="20"/>
                <w:szCs w:val="20"/>
                <w:lang w:eastAsia="es-MX"/>
              </w:rPr>
              <w:t>763</w:t>
            </w:r>
            <w:r w:rsidR="002E26C2" w:rsidRPr="003669CB">
              <w:rPr>
                <w:rFonts w:ascii="Barlow" w:eastAsia="Times New Roman" w:hAnsi="Barlow" w:cs="Arial"/>
                <w:b/>
                <w:bCs/>
                <w:sz w:val="20"/>
                <w:szCs w:val="20"/>
                <w:lang w:eastAsia="es-MX"/>
              </w:rPr>
              <w:t>,</w:t>
            </w:r>
            <w:r w:rsidR="00776A7A" w:rsidRPr="003669CB">
              <w:rPr>
                <w:rFonts w:ascii="Barlow" w:eastAsia="Times New Roman" w:hAnsi="Barlow" w:cs="Arial"/>
                <w:b/>
                <w:bCs/>
                <w:sz w:val="20"/>
                <w:szCs w:val="20"/>
                <w:lang w:eastAsia="es-MX"/>
              </w:rPr>
              <w:t>331</w:t>
            </w:r>
            <w:r w:rsidR="00035880" w:rsidRPr="003669CB">
              <w:rPr>
                <w:rFonts w:ascii="Barlow" w:eastAsia="Times New Roman" w:hAnsi="Barlow" w:cs="Arial"/>
                <w:b/>
                <w:bCs/>
                <w:sz w:val="20"/>
                <w:szCs w:val="20"/>
                <w:lang w:eastAsia="es-MX"/>
              </w:rPr>
              <w:t>.</w:t>
            </w:r>
            <w:r w:rsidR="000C3346" w:rsidRPr="003669CB">
              <w:rPr>
                <w:rFonts w:ascii="Barlow" w:eastAsia="Times New Roman" w:hAnsi="Barlow" w:cs="Arial"/>
                <w:b/>
                <w:bCs/>
                <w:sz w:val="20"/>
                <w:szCs w:val="20"/>
                <w:lang w:eastAsia="es-MX"/>
              </w:rPr>
              <w:t>00</w:t>
            </w:r>
          </w:p>
        </w:tc>
      </w:tr>
    </w:tbl>
    <w:p w:rsidR="006303B9" w:rsidRPr="003669CB" w:rsidRDefault="006303B9" w:rsidP="00723C1F">
      <w:pPr>
        <w:pStyle w:val="Texto"/>
        <w:spacing w:after="120"/>
        <w:rPr>
          <w:rFonts w:ascii="Barlow" w:hAnsi="Barlow"/>
          <w:b/>
          <w:sz w:val="20"/>
          <w:lang w:val="es-MX"/>
        </w:rPr>
      </w:pPr>
    </w:p>
    <w:p w:rsidR="00723C1F" w:rsidRPr="003669CB" w:rsidRDefault="00723C1F" w:rsidP="00723C1F">
      <w:pPr>
        <w:pStyle w:val="Texto"/>
        <w:numPr>
          <w:ilvl w:val="0"/>
          <w:numId w:val="16"/>
        </w:numPr>
        <w:spacing w:after="120"/>
        <w:rPr>
          <w:rFonts w:ascii="Barlow" w:hAnsi="Barlow"/>
          <w:b/>
          <w:sz w:val="20"/>
          <w:lang w:val="es-MX"/>
        </w:rPr>
      </w:pPr>
      <w:r w:rsidRPr="003669CB">
        <w:rPr>
          <w:rFonts w:ascii="Barlow" w:hAnsi="Barlow"/>
          <w:b/>
          <w:sz w:val="20"/>
          <w:lang w:val="es-MX"/>
        </w:rPr>
        <w:t>Información sobre la Deuda y el Reporte Analítico de la Deuda</w:t>
      </w:r>
    </w:p>
    <w:p w:rsidR="00723C1F" w:rsidRPr="003669CB" w:rsidRDefault="00723C1F" w:rsidP="001A723C">
      <w:pPr>
        <w:pStyle w:val="Texto"/>
        <w:numPr>
          <w:ilvl w:val="1"/>
          <w:numId w:val="19"/>
        </w:numPr>
        <w:spacing w:after="120"/>
        <w:rPr>
          <w:rFonts w:ascii="Barlow" w:hAnsi="Barlow"/>
          <w:sz w:val="20"/>
          <w:lang w:val="es-MX"/>
        </w:rPr>
      </w:pPr>
      <w:r w:rsidRPr="003669CB">
        <w:rPr>
          <w:rFonts w:ascii="Barlow" w:hAnsi="Barlow"/>
          <w:sz w:val="20"/>
          <w:lang w:val="es-MX"/>
        </w:rPr>
        <w:t>Lo reconocido como otros pasivos corresponde al importe al cierre pendiente de pago a proveedores</w:t>
      </w:r>
    </w:p>
    <w:p w:rsidR="00723C1F" w:rsidRPr="003669CB" w:rsidRDefault="00723C1F" w:rsidP="00723C1F">
      <w:pPr>
        <w:pStyle w:val="Prrafodelista"/>
        <w:numPr>
          <w:ilvl w:val="0"/>
          <w:numId w:val="16"/>
        </w:numPr>
        <w:spacing w:line="240" w:lineRule="auto"/>
        <w:rPr>
          <w:rFonts w:ascii="Barlow" w:hAnsi="Barlow" w:cs="Arial"/>
          <w:b/>
          <w:sz w:val="20"/>
          <w:szCs w:val="20"/>
        </w:rPr>
      </w:pPr>
      <w:r w:rsidRPr="003669CB">
        <w:rPr>
          <w:rFonts w:ascii="Barlow" w:hAnsi="Barlow" w:cs="Arial"/>
          <w:b/>
          <w:sz w:val="20"/>
          <w:szCs w:val="20"/>
        </w:rPr>
        <w:t>Calificaciones otorgadas</w:t>
      </w:r>
    </w:p>
    <w:p w:rsidR="00660DE9" w:rsidRPr="003669CB" w:rsidRDefault="00723C1F" w:rsidP="00FE7D1D">
      <w:pPr>
        <w:pStyle w:val="Prrafodelista"/>
        <w:spacing w:line="240" w:lineRule="auto"/>
        <w:rPr>
          <w:rFonts w:ascii="Barlow" w:hAnsi="Barlow" w:cs="Arial"/>
          <w:sz w:val="20"/>
          <w:szCs w:val="20"/>
        </w:rPr>
      </w:pPr>
      <w:r w:rsidRPr="003669CB">
        <w:rPr>
          <w:rFonts w:ascii="Barlow" w:hAnsi="Barlow" w:cs="Arial"/>
          <w:sz w:val="20"/>
          <w:szCs w:val="20"/>
        </w:rPr>
        <w:t>- NA</w:t>
      </w:r>
    </w:p>
    <w:p w:rsidR="00723C1F" w:rsidRPr="003669CB" w:rsidRDefault="00723C1F" w:rsidP="00723C1F">
      <w:pPr>
        <w:spacing w:line="240" w:lineRule="auto"/>
        <w:rPr>
          <w:rFonts w:ascii="Barlow" w:hAnsi="Barlow" w:cs="Arial"/>
          <w:b/>
          <w:sz w:val="20"/>
          <w:szCs w:val="20"/>
        </w:rPr>
      </w:pPr>
      <w:r w:rsidRPr="003669CB">
        <w:rPr>
          <w:rFonts w:ascii="Barlow" w:hAnsi="Barlow" w:cs="Arial"/>
          <w:b/>
          <w:sz w:val="20"/>
          <w:szCs w:val="20"/>
        </w:rPr>
        <w:t>13.</w:t>
      </w:r>
      <w:r w:rsidRPr="003669CB">
        <w:rPr>
          <w:rFonts w:ascii="Barlow" w:hAnsi="Barlow" w:cs="Arial"/>
          <w:b/>
          <w:sz w:val="20"/>
          <w:szCs w:val="20"/>
        </w:rPr>
        <w:tab/>
        <w:t>Proceso de Mejora</w:t>
      </w:r>
    </w:p>
    <w:p w:rsidR="00723C1F" w:rsidRPr="003669CB" w:rsidRDefault="00723C1F" w:rsidP="00723C1F">
      <w:pPr>
        <w:spacing w:line="240" w:lineRule="auto"/>
        <w:rPr>
          <w:rFonts w:ascii="Barlow" w:hAnsi="Barlow" w:cs="Arial"/>
          <w:sz w:val="20"/>
          <w:szCs w:val="20"/>
        </w:rPr>
      </w:pPr>
      <w:r w:rsidRPr="003669CB">
        <w:rPr>
          <w:rFonts w:ascii="Barlow" w:hAnsi="Barlow" w:cs="Arial"/>
          <w:b/>
          <w:sz w:val="20"/>
          <w:szCs w:val="20"/>
        </w:rPr>
        <w:t>a)</w:t>
      </w:r>
      <w:r w:rsidRPr="003669CB">
        <w:rPr>
          <w:rFonts w:ascii="Barlow" w:hAnsi="Barlow" w:cs="Arial"/>
          <w:b/>
          <w:sz w:val="20"/>
          <w:szCs w:val="20"/>
        </w:rPr>
        <w:tab/>
        <w:t xml:space="preserve">Principales Políticas de control </w:t>
      </w:r>
      <w:r w:rsidR="003669CB" w:rsidRPr="003669CB">
        <w:rPr>
          <w:rFonts w:ascii="Barlow" w:hAnsi="Barlow" w:cs="Arial"/>
          <w:b/>
          <w:sz w:val="20"/>
          <w:szCs w:val="20"/>
        </w:rPr>
        <w:t>interno</w:t>
      </w:r>
      <w:r w:rsidR="003669CB" w:rsidRPr="003669CB">
        <w:rPr>
          <w:rFonts w:ascii="Barlow" w:hAnsi="Barlow" w:cs="Arial"/>
          <w:sz w:val="20"/>
          <w:szCs w:val="20"/>
        </w:rPr>
        <w:t>. -</w:t>
      </w:r>
      <w:r w:rsidRPr="003669CB">
        <w:rPr>
          <w:rFonts w:ascii="Barlow" w:hAnsi="Barlow" w:cs="Arial"/>
          <w:sz w:val="20"/>
          <w:szCs w:val="20"/>
        </w:rPr>
        <w:t xml:space="preserve"> Las actividades de control se dividen en tres categorías: controles de operación, </w:t>
      </w:r>
      <w:r w:rsidR="003669CB" w:rsidRPr="003669CB">
        <w:rPr>
          <w:rFonts w:ascii="Barlow" w:hAnsi="Barlow" w:cs="Arial"/>
          <w:sz w:val="20"/>
          <w:szCs w:val="20"/>
        </w:rPr>
        <w:t>controles de información financiera y controles de cumplimiento</w:t>
      </w:r>
      <w:r w:rsidRPr="003669CB">
        <w:rPr>
          <w:rFonts w:ascii="Barlow" w:hAnsi="Barlow" w:cs="Arial"/>
          <w:sz w:val="20"/>
          <w:szCs w:val="20"/>
        </w:rPr>
        <w:t>. Comprenden también las actividades de protección y conservación de los activos, así como los controles de acceso a los sistemas y tecnologías de información.</w:t>
      </w:r>
    </w:p>
    <w:p w:rsidR="00723C1F" w:rsidRPr="003669CB" w:rsidRDefault="00723C1F" w:rsidP="00723C1F">
      <w:pPr>
        <w:spacing w:line="240" w:lineRule="auto"/>
        <w:rPr>
          <w:rFonts w:ascii="Barlow" w:hAnsi="Barlow" w:cs="Arial"/>
          <w:b/>
          <w:sz w:val="20"/>
          <w:szCs w:val="20"/>
        </w:rPr>
      </w:pPr>
      <w:r w:rsidRPr="003669CB">
        <w:rPr>
          <w:rFonts w:ascii="Barlow" w:hAnsi="Barlow" w:cs="Arial"/>
          <w:b/>
          <w:sz w:val="20"/>
          <w:szCs w:val="20"/>
        </w:rPr>
        <w:t>b)</w:t>
      </w:r>
      <w:r w:rsidRPr="003669CB">
        <w:rPr>
          <w:rFonts w:ascii="Barlow" w:hAnsi="Barlow" w:cs="Arial"/>
          <w:b/>
          <w:sz w:val="20"/>
          <w:szCs w:val="20"/>
        </w:rPr>
        <w:tab/>
        <w:t xml:space="preserve">Medidas de desempeño financiero, metas y </w:t>
      </w:r>
      <w:r w:rsidR="003669CB" w:rsidRPr="003669CB">
        <w:rPr>
          <w:rFonts w:ascii="Barlow" w:hAnsi="Barlow" w:cs="Arial"/>
          <w:b/>
          <w:sz w:val="20"/>
          <w:szCs w:val="20"/>
        </w:rPr>
        <w:t>alcance. -</w:t>
      </w:r>
      <w:r w:rsidR="00BF1412" w:rsidRPr="003669CB">
        <w:rPr>
          <w:rFonts w:ascii="Barlow" w:hAnsi="Barlow" w:cs="Arial"/>
          <w:sz w:val="20"/>
          <w:szCs w:val="20"/>
        </w:rPr>
        <w:t>El objetivo principal para el eficiente desempeño financiero es Modernizar la Gestión Institucional, Fortalecer la Transparencia y la Rendición de Cuentas.</w:t>
      </w:r>
    </w:p>
    <w:p w:rsidR="00723C1F" w:rsidRPr="003669CB" w:rsidRDefault="00723C1F" w:rsidP="00723C1F">
      <w:pPr>
        <w:spacing w:line="240" w:lineRule="auto"/>
        <w:rPr>
          <w:rFonts w:ascii="Barlow" w:hAnsi="Barlow" w:cs="Arial"/>
          <w:b/>
          <w:sz w:val="20"/>
          <w:szCs w:val="20"/>
        </w:rPr>
      </w:pPr>
      <w:r w:rsidRPr="003669CB">
        <w:rPr>
          <w:rFonts w:ascii="Barlow" w:hAnsi="Barlow" w:cs="Arial"/>
          <w:b/>
          <w:sz w:val="20"/>
          <w:szCs w:val="20"/>
        </w:rPr>
        <w:lastRenderedPageBreak/>
        <w:t>14.</w:t>
      </w:r>
      <w:r w:rsidRPr="003669CB">
        <w:rPr>
          <w:rFonts w:ascii="Barlow" w:hAnsi="Barlow" w:cs="Arial"/>
          <w:b/>
          <w:sz w:val="20"/>
          <w:szCs w:val="20"/>
        </w:rPr>
        <w:tab/>
        <w:t>Información por Segmentos</w:t>
      </w:r>
    </w:p>
    <w:p w:rsidR="00BF1412" w:rsidRPr="003669CB" w:rsidRDefault="00BF1412" w:rsidP="00BF1412">
      <w:pPr>
        <w:pStyle w:val="Prrafodelista"/>
        <w:spacing w:line="240" w:lineRule="auto"/>
        <w:rPr>
          <w:rFonts w:ascii="Barlow" w:hAnsi="Barlow" w:cs="Arial"/>
          <w:sz w:val="20"/>
          <w:szCs w:val="20"/>
        </w:rPr>
      </w:pPr>
      <w:r w:rsidRPr="003669CB">
        <w:rPr>
          <w:rFonts w:ascii="Barlow" w:hAnsi="Barlow" w:cs="Arial"/>
          <w:sz w:val="20"/>
          <w:szCs w:val="20"/>
        </w:rPr>
        <w:t>- NA</w:t>
      </w:r>
    </w:p>
    <w:p w:rsidR="00723C1F" w:rsidRPr="003669CB" w:rsidRDefault="00723C1F" w:rsidP="00723C1F">
      <w:pPr>
        <w:spacing w:line="240" w:lineRule="auto"/>
        <w:rPr>
          <w:rFonts w:ascii="Barlow" w:hAnsi="Barlow" w:cs="Arial"/>
          <w:sz w:val="20"/>
          <w:szCs w:val="20"/>
        </w:rPr>
      </w:pPr>
      <w:r w:rsidRPr="003669CB">
        <w:rPr>
          <w:rFonts w:ascii="Barlow" w:hAnsi="Barlow" w:cs="Arial"/>
          <w:b/>
          <w:sz w:val="20"/>
          <w:szCs w:val="20"/>
        </w:rPr>
        <w:t>15.</w:t>
      </w:r>
      <w:r w:rsidRPr="003669CB">
        <w:rPr>
          <w:rFonts w:ascii="Barlow" w:hAnsi="Barlow" w:cs="Arial"/>
          <w:b/>
          <w:sz w:val="20"/>
          <w:szCs w:val="20"/>
        </w:rPr>
        <w:tab/>
        <w:t>Eventos Posteriores al Cierre</w:t>
      </w:r>
    </w:p>
    <w:p w:rsidR="00BF1412" w:rsidRPr="003669CB" w:rsidRDefault="00BF1412" w:rsidP="00723C1F">
      <w:pPr>
        <w:spacing w:line="240" w:lineRule="auto"/>
        <w:rPr>
          <w:rFonts w:ascii="Barlow" w:hAnsi="Barlow" w:cs="Arial"/>
          <w:sz w:val="20"/>
          <w:szCs w:val="20"/>
        </w:rPr>
      </w:pPr>
      <w:r w:rsidRPr="003669CB">
        <w:rPr>
          <w:rFonts w:ascii="Barlow" w:hAnsi="Barlow" w:cs="Arial"/>
          <w:sz w:val="20"/>
          <w:szCs w:val="20"/>
        </w:rPr>
        <w:t>- No se registraron eventos posteriores en éste periodo.</w:t>
      </w:r>
    </w:p>
    <w:p w:rsidR="00723C1F" w:rsidRPr="003669CB" w:rsidRDefault="00723C1F" w:rsidP="00723C1F">
      <w:pPr>
        <w:spacing w:line="240" w:lineRule="auto"/>
        <w:rPr>
          <w:rFonts w:ascii="Barlow" w:hAnsi="Barlow" w:cs="Arial"/>
          <w:b/>
          <w:sz w:val="20"/>
          <w:szCs w:val="20"/>
        </w:rPr>
      </w:pPr>
      <w:r w:rsidRPr="003669CB">
        <w:rPr>
          <w:rFonts w:ascii="Barlow" w:hAnsi="Barlow" w:cs="Arial"/>
          <w:b/>
          <w:sz w:val="20"/>
          <w:szCs w:val="20"/>
        </w:rPr>
        <w:t>16.</w:t>
      </w:r>
      <w:r w:rsidRPr="003669CB">
        <w:rPr>
          <w:rFonts w:ascii="Barlow" w:hAnsi="Barlow" w:cs="Arial"/>
          <w:b/>
          <w:sz w:val="20"/>
          <w:szCs w:val="20"/>
        </w:rPr>
        <w:tab/>
        <w:t>Partes Relacionadas</w:t>
      </w:r>
    </w:p>
    <w:p w:rsidR="00723C1F" w:rsidRPr="003669CB" w:rsidRDefault="00BF1412" w:rsidP="00BF1412">
      <w:pPr>
        <w:pStyle w:val="Prrafodelista"/>
        <w:spacing w:line="240" w:lineRule="auto"/>
        <w:rPr>
          <w:rFonts w:ascii="Barlow" w:hAnsi="Barlow" w:cs="Arial"/>
          <w:sz w:val="20"/>
          <w:szCs w:val="20"/>
        </w:rPr>
      </w:pPr>
      <w:r w:rsidRPr="003669CB">
        <w:rPr>
          <w:rFonts w:ascii="Barlow" w:hAnsi="Barlow" w:cs="Arial"/>
          <w:sz w:val="20"/>
          <w:szCs w:val="20"/>
        </w:rPr>
        <w:t>- NA</w:t>
      </w:r>
    </w:p>
    <w:p w:rsidR="00BB1ACF" w:rsidRPr="003669CB" w:rsidRDefault="00723C1F" w:rsidP="006F3019">
      <w:pPr>
        <w:spacing w:line="240" w:lineRule="auto"/>
        <w:rPr>
          <w:rFonts w:ascii="Barlow" w:hAnsi="Barlow" w:cs="Arial"/>
          <w:b/>
          <w:sz w:val="20"/>
          <w:szCs w:val="20"/>
        </w:rPr>
      </w:pPr>
      <w:r w:rsidRPr="003669CB">
        <w:rPr>
          <w:rFonts w:ascii="Barlow" w:hAnsi="Barlow" w:cs="Arial"/>
          <w:b/>
          <w:sz w:val="20"/>
          <w:szCs w:val="20"/>
        </w:rPr>
        <w:t>17.</w:t>
      </w:r>
      <w:r w:rsidRPr="003669CB">
        <w:rPr>
          <w:rFonts w:ascii="Barlow" w:hAnsi="Barlow" w:cs="Arial"/>
          <w:b/>
          <w:sz w:val="20"/>
          <w:szCs w:val="20"/>
        </w:rPr>
        <w:tab/>
        <w:t>Responsabilidad Sobre la Presentación Razonable de la Información Contable</w:t>
      </w:r>
    </w:p>
    <w:p w:rsidR="00C30856" w:rsidRPr="00132FAB" w:rsidRDefault="00C30856">
      <w:pPr>
        <w:spacing w:line="240" w:lineRule="auto"/>
        <w:rPr>
          <w:rFonts w:ascii="Calibri" w:hAnsi="Calibri" w:cs="Arial"/>
          <w:b/>
          <w:sz w:val="20"/>
          <w:szCs w:val="20"/>
        </w:rPr>
      </w:pPr>
    </w:p>
    <w:p w:rsidR="003669CB" w:rsidRDefault="003669CB" w:rsidP="003669CB">
      <w:pPr>
        <w:spacing w:line="240" w:lineRule="auto"/>
        <w:rPr>
          <w:rFonts w:ascii="Barlow" w:hAnsi="Barlow" w:cs="Arial"/>
          <w:sz w:val="20"/>
          <w:szCs w:val="20"/>
        </w:rPr>
      </w:pPr>
      <w:r>
        <w:rPr>
          <w:rFonts w:ascii="Barlow" w:hAnsi="Barlow" w:cs="Arial"/>
          <w:sz w:val="20"/>
          <w:szCs w:val="20"/>
        </w:rPr>
        <w:t>Bajo protesta de decir la verdad declaramos que los Estados Financieros y sus notas son razonablemente correctos y son responsabilidad del emisor.</w:t>
      </w:r>
    </w:p>
    <w:p w:rsidR="00BF1412" w:rsidRPr="00132FAB" w:rsidRDefault="00BF1412" w:rsidP="003669CB">
      <w:pPr>
        <w:spacing w:line="240" w:lineRule="auto"/>
        <w:rPr>
          <w:rFonts w:ascii="Calibri" w:hAnsi="Calibri" w:cs="Arial"/>
          <w:b/>
          <w:sz w:val="20"/>
          <w:szCs w:val="20"/>
        </w:rPr>
      </w:pPr>
    </w:p>
    <w:sectPr w:rsidR="00BF1412" w:rsidRPr="00132FAB" w:rsidSect="003669CB">
      <w:pgSz w:w="15840" w:h="12240" w:orient="landscape"/>
      <w:pgMar w:top="283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B59" w:rsidRDefault="00C24B59" w:rsidP="00551C4C">
      <w:pPr>
        <w:spacing w:after="0" w:line="240" w:lineRule="auto"/>
      </w:pPr>
      <w:r>
        <w:separator/>
      </w:r>
    </w:p>
  </w:endnote>
  <w:endnote w:type="continuationSeparator" w:id="0">
    <w:p w:rsidR="00C24B59" w:rsidRDefault="00C24B59" w:rsidP="00551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B59" w:rsidRDefault="00C24B59" w:rsidP="00551C4C">
      <w:pPr>
        <w:spacing w:after="0" w:line="240" w:lineRule="auto"/>
      </w:pPr>
      <w:r>
        <w:separator/>
      </w:r>
    </w:p>
  </w:footnote>
  <w:footnote w:type="continuationSeparator" w:id="0">
    <w:p w:rsidR="00C24B59" w:rsidRDefault="00C24B59" w:rsidP="00551C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50623"/>
    <w:multiLevelType w:val="hybridMultilevel"/>
    <w:tmpl w:val="5BDA4076"/>
    <w:lvl w:ilvl="0" w:tplc="9B8A74AA">
      <w:start w:val="1"/>
      <w:numFmt w:val="lowerLetter"/>
      <w:lvlText w:val="%1)"/>
      <w:lvlJc w:val="left"/>
      <w:pPr>
        <w:tabs>
          <w:tab w:val="num" w:pos="720"/>
        </w:tabs>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DE6DE8"/>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18130D6"/>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12D47F91"/>
    <w:multiLevelType w:val="hybridMultilevel"/>
    <w:tmpl w:val="64DCCFC4"/>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B0954E5"/>
    <w:multiLevelType w:val="hybridMultilevel"/>
    <w:tmpl w:val="E3360F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F27BB3"/>
    <w:multiLevelType w:val="hybridMultilevel"/>
    <w:tmpl w:val="F31E8848"/>
    <w:lvl w:ilvl="0" w:tplc="C2F26ED8">
      <w:start w:val="1"/>
      <w:numFmt w:val="lowerLetter"/>
      <w:lvlText w:val="%1)"/>
      <w:lvlJc w:val="left"/>
      <w:pPr>
        <w:tabs>
          <w:tab w:val="num" w:pos="786"/>
        </w:tabs>
        <w:ind w:left="786" w:hanging="360"/>
      </w:pPr>
      <w:rPr>
        <w:rFonts w:hint="default"/>
        <w:b/>
      </w:rPr>
    </w:lvl>
    <w:lvl w:ilvl="1" w:tplc="F13E8272">
      <w:start w:val="1"/>
      <w:numFmt w:val="bullet"/>
      <w:lvlText w:val="-"/>
      <w:lvlJc w:val="left"/>
      <w:pPr>
        <w:tabs>
          <w:tab w:val="num" w:pos="1506"/>
        </w:tabs>
        <w:ind w:left="1506" w:hanging="360"/>
      </w:pPr>
      <w:rPr>
        <w:rFonts w:ascii="Times New Roman" w:eastAsia="Times New Roman" w:hAnsi="Times New Roman" w:cs="Times New Roman" w:hint="default"/>
      </w:rPr>
    </w:lvl>
    <w:lvl w:ilvl="2" w:tplc="AD54F3D0">
      <w:start w:val="1"/>
      <w:numFmt w:val="lowerLetter"/>
      <w:lvlText w:val="%3)"/>
      <w:lvlJc w:val="left"/>
      <w:pPr>
        <w:ind w:left="2406" w:hanging="360"/>
      </w:pPr>
      <w:rPr>
        <w:rFonts w:hint="default"/>
      </w:r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7" w15:restartNumberingAfterBreak="0">
    <w:nsid w:val="2A263B1D"/>
    <w:multiLevelType w:val="hybridMultilevel"/>
    <w:tmpl w:val="B418B2C6"/>
    <w:lvl w:ilvl="0" w:tplc="080A0017">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2715265"/>
    <w:multiLevelType w:val="hybridMultilevel"/>
    <w:tmpl w:val="0DAE26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350130"/>
    <w:multiLevelType w:val="hybridMultilevel"/>
    <w:tmpl w:val="729687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1D1515"/>
    <w:multiLevelType w:val="hybridMultilevel"/>
    <w:tmpl w:val="53B262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94E1FFC"/>
    <w:multiLevelType w:val="hybridMultilevel"/>
    <w:tmpl w:val="F4D08954"/>
    <w:lvl w:ilvl="0" w:tplc="40848F1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9DE3839"/>
    <w:multiLevelType w:val="hybridMultilevel"/>
    <w:tmpl w:val="DEFC14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C911706"/>
    <w:multiLevelType w:val="hybridMultilevel"/>
    <w:tmpl w:val="81F619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3457AF"/>
    <w:multiLevelType w:val="hybridMultilevel"/>
    <w:tmpl w:val="74624A36"/>
    <w:lvl w:ilvl="0" w:tplc="F07C87F6">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AD54F3D0">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333258A"/>
    <w:multiLevelType w:val="hybridMultilevel"/>
    <w:tmpl w:val="0C1E2808"/>
    <w:lvl w:ilvl="0" w:tplc="47A2613E">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54021106"/>
    <w:multiLevelType w:val="hybridMultilevel"/>
    <w:tmpl w:val="BB5AFA56"/>
    <w:lvl w:ilvl="0" w:tplc="C24681CA">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D0676BF"/>
    <w:multiLevelType w:val="hybridMultilevel"/>
    <w:tmpl w:val="7EC609CA"/>
    <w:lvl w:ilvl="0" w:tplc="080A0017">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AD1384"/>
    <w:multiLevelType w:val="hybridMultilevel"/>
    <w:tmpl w:val="FFF61576"/>
    <w:lvl w:ilvl="0" w:tplc="0C0A0019">
      <w:start w:val="1"/>
      <w:numFmt w:val="lowerLetter"/>
      <w:lvlText w:val="%1."/>
      <w:lvlJc w:val="left"/>
      <w:pPr>
        <w:tabs>
          <w:tab w:val="num" w:pos="720"/>
        </w:tabs>
        <w:ind w:left="720" w:hanging="360"/>
      </w:pPr>
      <w:rPr>
        <w:rFonts w:hint="default"/>
      </w:rPr>
    </w:lvl>
    <w:lvl w:ilvl="1" w:tplc="F13E8272">
      <w:start w:val="1"/>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C0E2A69"/>
    <w:multiLevelType w:val="hybridMultilevel"/>
    <w:tmpl w:val="F5E2A6A2"/>
    <w:lvl w:ilvl="0" w:tplc="A5BED640">
      <w:start w:val="1"/>
      <w:numFmt w:val="lowerLetter"/>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8DA11BD"/>
    <w:multiLevelType w:val="hybridMultilevel"/>
    <w:tmpl w:val="30D6DE6E"/>
    <w:lvl w:ilvl="0" w:tplc="3CA4BB68">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8"/>
  </w:num>
  <w:num w:numId="3">
    <w:abstractNumId w:val="6"/>
  </w:num>
  <w:num w:numId="4">
    <w:abstractNumId w:val="5"/>
  </w:num>
  <w:num w:numId="5">
    <w:abstractNumId w:val="20"/>
  </w:num>
  <w:num w:numId="6">
    <w:abstractNumId w:val="10"/>
  </w:num>
  <w:num w:numId="7">
    <w:abstractNumId w:val="12"/>
  </w:num>
  <w:num w:numId="8">
    <w:abstractNumId w:val="16"/>
  </w:num>
  <w:num w:numId="9">
    <w:abstractNumId w:val="13"/>
  </w:num>
  <w:num w:numId="10">
    <w:abstractNumId w:val="19"/>
  </w:num>
  <w:num w:numId="11">
    <w:abstractNumId w:val="17"/>
  </w:num>
  <w:num w:numId="12">
    <w:abstractNumId w:val="15"/>
  </w:num>
  <w:num w:numId="13">
    <w:abstractNumId w:val="8"/>
  </w:num>
  <w:num w:numId="14">
    <w:abstractNumId w:val="3"/>
  </w:num>
  <w:num w:numId="15">
    <w:abstractNumId w:val="7"/>
  </w:num>
  <w:num w:numId="16">
    <w:abstractNumId w:val="11"/>
  </w:num>
  <w:num w:numId="17">
    <w:abstractNumId w:val="14"/>
  </w:num>
  <w:num w:numId="18">
    <w:abstractNumId w:val="1"/>
  </w:num>
  <w:num w:numId="19">
    <w:abstractNumId w:val="2"/>
  </w:num>
  <w:num w:numId="20">
    <w:abstractNumId w:val="9"/>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5CF2"/>
    <w:rsid w:val="00016808"/>
    <w:rsid w:val="00021118"/>
    <w:rsid w:val="000248D0"/>
    <w:rsid w:val="0003152D"/>
    <w:rsid w:val="000328D2"/>
    <w:rsid w:val="00034D56"/>
    <w:rsid w:val="00035880"/>
    <w:rsid w:val="00040417"/>
    <w:rsid w:val="00040856"/>
    <w:rsid w:val="000419AF"/>
    <w:rsid w:val="00041CA8"/>
    <w:rsid w:val="00043F3E"/>
    <w:rsid w:val="00050225"/>
    <w:rsid w:val="00051478"/>
    <w:rsid w:val="00055CD0"/>
    <w:rsid w:val="00057D96"/>
    <w:rsid w:val="00062800"/>
    <w:rsid w:val="00065628"/>
    <w:rsid w:val="00067015"/>
    <w:rsid w:val="00067E37"/>
    <w:rsid w:val="0007049C"/>
    <w:rsid w:val="000715AA"/>
    <w:rsid w:val="00074677"/>
    <w:rsid w:val="000759F3"/>
    <w:rsid w:val="000773CA"/>
    <w:rsid w:val="0008314D"/>
    <w:rsid w:val="000842B6"/>
    <w:rsid w:val="00087799"/>
    <w:rsid w:val="00087CF4"/>
    <w:rsid w:val="000907E0"/>
    <w:rsid w:val="00091AC2"/>
    <w:rsid w:val="00092447"/>
    <w:rsid w:val="00094A28"/>
    <w:rsid w:val="00095D31"/>
    <w:rsid w:val="00097326"/>
    <w:rsid w:val="000A2120"/>
    <w:rsid w:val="000A23D1"/>
    <w:rsid w:val="000A44AE"/>
    <w:rsid w:val="000A5C2C"/>
    <w:rsid w:val="000A61B3"/>
    <w:rsid w:val="000A61EC"/>
    <w:rsid w:val="000A727D"/>
    <w:rsid w:val="000B2987"/>
    <w:rsid w:val="000B3794"/>
    <w:rsid w:val="000C293C"/>
    <w:rsid w:val="000C3346"/>
    <w:rsid w:val="000C7800"/>
    <w:rsid w:val="000D1890"/>
    <w:rsid w:val="000D2227"/>
    <w:rsid w:val="000D3479"/>
    <w:rsid w:val="000D5520"/>
    <w:rsid w:val="000E1A35"/>
    <w:rsid w:val="000E34F3"/>
    <w:rsid w:val="000E70A7"/>
    <w:rsid w:val="000F0F42"/>
    <w:rsid w:val="000F4720"/>
    <w:rsid w:val="000F7B99"/>
    <w:rsid w:val="0010204B"/>
    <w:rsid w:val="00102414"/>
    <w:rsid w:val="00102545"/>
    <w:rsid w:val="00103DC1"/>
    <w:rsid w:val="001063B7"/>
    <w:rsid w:val="00114A8E"/>
    <w:rsid w:val="00132FAB"/>
    <w:rsid w:val="00145C65"/>
    <w:rsid w:val="00150068"/>
    <w:rsid w:val="00154A21"/>
    <w:rsid w:val="00157874"/>
    <w:rsid w:val="00160ACA"/>
    <w:rsid w:val="00162EBC"/>
    <w:rsid w:val="00164324"/>
    <w:rsid w:val="00164C95"/>
    <w:rsid w:val="00167345"/>
    <w:rsid w:val="00170F2E"/>
    <w:rsid w:val="00171329"/>
    <w:rsid w:val="0017152C"/>
    <w:rsid w:val="00171C51"/>
    <w:rsid w:val="00181665"/>
    <w:rsid w:val="00181D31"/>
    <w:rsid w:val="00184E0F"/>
    <w:rsid w:val="001933AE"/>
    <w:rsid w:val="00194117"/>
    <w:rsid w:val="00197530"/>
    <w:rsid w:val="001A0D6A"/>
    <w:rsid w:val="001A3C99"/>
    <w:rsid w:val="001A723C"/>
    <w:rsid w:val="001B0D32"/>
    <w:rsid w:val="001B36FB"/>
    <w:rsid w:val="001B4271"/>
    <w:rsid w:val="001B565C"/>
    <w:rsid w:val="001B58B3"/>
    <w:rsid w:val="001B6033"/>
    <w:rsid w:val="001C3A8E"/>
    <w:rsid w:val="001C43D0"/>
    <w:rsid w:val="001C4509"/>
    <w:rsid w:val="001C4F6E"/>
    <w:rsid w:val="001D1EC6"/>
    <w:rsid w:val="001D517D"/>
    <w:rsid w:val="001D67AF"/>
    <w:rsid w:val="001E01BE"/>
    <w:rsid w:val="001E1548"/>
    <w:rsid w:val="001E6001"/>
    <w:rsid w:val="001F0CE3"/>
    <w:rsid w:val="001F7B0D"/>
    <w:rsid w:val="00207867"/>
    <w:rsid w:val="00210414"/>
    <w:rsid w:val="00210FC6"/>
    <w:rsid w:val="002124BD"/>
    <w:rsid w:val="00212716"/>
    <w:rsid w:val="00216B12"/>
    <w:rsid w:val="00216C9C"/>
    <w:rsid w:val="00223CA0"/>
    <w:rsid w:val="00227943"/>
    <w:rsid w:val="00232086"/>
    <w:rsid w:val="00235B76"/>
    <w:rsid w:val="00240229"/>
    <w:rsid w:val="00242973"/>
    <w:rsid w:val="00246E73"/>
    <w:rsid w:val="00251A74"/>
    <w:rsid w:val="002666F9"/>
    <w:rsid w:val="00271B6B"/>
    <w:rsid w:val="0027310A"/>
    <w:rsid w:val="0028248B"/>
    <w:rsid w:val="002828EB"/>
    <w:rsid w:val="002844F2"/>
    <w:rsid w:val="0028463B"/>
    <w:rsid w:val="00285F6D"/>
    <w:rsid w:val="00287BD0"/>
    <w:rsid w:val="00292473"/>
    <w:rsid w:val="00292B12"/>
    <w:rsid w:val="00293D39"/>
    <w:rsid w:val="00295A0A"/>
    <w:rsid w:val="0029687E"/>
    <w:rsid w:val="002975B5"/>
    <w:rsid w:val="002A09A6"/>
    <w:rsid w:val="002A12D4"/>
    <w:rsid w:val="002A12DC"/>
    <w:rsid w:val="002A3A9C"/>
    <w:rsid w:val="002A5BDB"/>
    <w:rsid w:val="002B7519"/>
    <w:rsid w:val="002C2348"/>
    <w:rsid w:val="002C2A1C"/>
    <w:rsid w:val="002C58EF"/>
    <w:rsid w:val="002C7EDE"/>
    <w:rsid w:val="002D0CF1"/>
    <w:rsid w:val="002D2ABE"/>
    <w:rsid w:val="002D5901"/>
    <w:rsid w:val="002D5D2B"/>
    <w:rsid w:val="002D7347"/>
    <w:rsid w:val="002E26C2"/>
    <w:rsid w:val="002E2996"/>
    <w:rsid w:val="002E4215"/>
    <w:rsid w:val="002E5F9C"/>
    <w:rsid w:val="002F4A80"/>
    <w:rsid w:val="0030326B"/>
    <w:rsid w:val="003047EF"/>
    <w:rsid w:val="00304C9D"/>
    <w:rsid w:val="00304ED3"/>
    <w:rsid w:val="003129FF"/>
    <w:rsid w:val="0031515A"/>
    <w:rsid w:val="00316A89"/>
    <w:rsid w:val="00321EFD"/>
    <w:rsid w:val="0032207D"/>
    <w:rsid w:val="00326E33"/>
    <w:rsid w:val="00327184"/>
    <w:rsid w:val="003348D2"/>
    <w:rsid w:val="00335B88"/>
    <w:rsid w:val="00336131"/>
    <w:rsid w:val="003374D2"/>
    <w:rsid w:val="003401EB"/>
    <w:rsid w:val="00340DC1"/>
    <w:rsid w:val="00347DED"/>
    <w:rsid w:val="00353BA8"/>
    <w:rsid w:val="0035405F"/>
    <w:rsid w:val="00354635"/>
    <w:rsid w:val="00356CC0"/>
    <w:rsid w:val="00361607"/>
    <w:rsid w:val="0036354F"/>
    <w:rsid w:val="00365A3E"/>
    <w:rsid w:val="00365DFB"/>
    <w:rsid w:val="00365E4B"/>
    <w:rsid w:val="003669CB"/>
    <w:rsid w:val="00367474"/>
    <w:rsid w:val="00370E34"/>
    <w:rsid w:val="003825E8"/>
    <w:rsid w:val="0039233F"/>
    <w:rsid w:val="003925BF"/>
    <w:rsid w:val="00392853"/>
    <w:rsid w:val="00396C17"/>
    <w:rsid w:val="003979FC"/>
    <w:rsid w:val="003A182C"/>
    <w:rsid w:val="003A507A"/>
    <w:rsid w:val="003A5F82"/>
    <w:rsid w:val="003A7C8A"/>
    <w:rsid w:val="003B24BC"/>
    <w:rsid w:val="003B6865"/>
    <w:rsid w:val="003C4F08"/>
    <w:rsid w:val="003D12E3"/>
    <w:rsid w:val="003D2DBB"/>
    <w:rsid w:val="003E2A8B"/>
    <w:rsid w:val="003E2DC9"/>
    <w:rsid w:val="003E36C1"/>
    <w:rsid w:val="003E5BB3"/>
    <w:rsid w:val="003E5BEC"/>
    <w:rsid w:val="003F4EA5"/>
    <w:rsid w:val="003F6299"/>
    <w:rsid w:val="003F670E"/>
    <w:rsid w:val="003F7101"/>
    <w:rsid w:val="003F7387"/>
    <w:rsid w:val="0040011E"/>
    <w:rsid w:val="004026F1"/>
    <w:rsid w:val="0040410D"/>
    <w:rsid w:val="00406D9E"/>
    <w:rsid w:val="00416832"/>
    <w:rsid w:val="00416D12"/>
    <w:rsid w:val="00420C8B"/>
    <w:rsid w:val="00431656"/>
    <w:rsid w:val="00434824"/>
    <w:rsid w:val="004349AA"/>
    <w:rsid w:val="00440DB4"/>
    <w:rsid w:val="00443448"/>
    <w:rsid w:val="0044457A"/>
    <w:rsid w:val="00445713"/>
    <w:rsid w:val="00447B16"/>
    <w:rsid w:val="00447DE3"/>
    <w:rsid w:val="004522A4"/>
    <w:rsid w:val="004563C7"/>
    <w:rsid w:val="00460E72"/>
    <w:rsid w:val="004613EB"/>
    <w:rsid w:val="004662BA"/>
    <w:rsid w:val="00472B11"/>
    <w:rsid w:val="00475A0E"/>
    <w:rsid w:val="00475DC9"/>
    <w:rsid w:val="004800D9"/>
    <w:rsid w:val="0048030D"/>
    <w:rsid w:val="00482A93"/>
    <w:rsid w:val="0048662D"/>
    <w:rsid w:val="004913D5"/>
    <w:rsid w:val="00495D2D"/>
    <w:rsid w:val="004A070A"/>
    <w:rsid w:val="004A080D"/>
    <w:rsid w:val="004A7281"/>
    <w:rsid w:val="004A7300"/>
    <w:rsid w:val="004B2366"/>
    <w:rsid w:val="004B72C7"/>
    <w:rsid w:val="004D1E87"/>
    <w:rsid w:val="004D2DAC"/>
    <w:rsid w:val="004D2F96"/>
    <w:rsid w:val="004D7BEB"/>
    <w:rsid w:val="004D7EE3"/>
    <w:rsid w:val="004E154D"/>
    <w:rsid w:val="004F4DC7"/>
    <w:rsid w:val="004F4EE3"/>
    <w:rsid w:val="004F6FE4"/>
    <w:rsid w:val="004F7428"/>
    <w:rsid w:val="00506529"/>
    <w:rsid w:val="00512E24"/>
    <w:rsid w:val="005146F7"/>
    <w:rsid w:val="00515151"/>
    <w:rsid w:val="005263DA"/>
    <w:rsid w:val="00537C03"/>
    <w:rsid w:val="00551406"/>
    <w:rsid w:val="00551C4C"/>
    <w:rsid w:val="00551CB1"/>
    <w:rsid w:val="005521D4"/>
    <w:rsid w:val="00560332"/>
    <w:rsid w:val="0056039B"/>
    <w:rsid w:val="00561B47"/>
    <w:rsid w:val="005620D4"/>
    <w:rsid w:val="0056329D"/>
    <w:rsid w:val="00565F09"/>
    <w:rsid w:val="00573135"/>
    <w:rsid w:val="0057528D"/>
    <w:rsid w:val="005812B0"/>
    <w:rsid w:val="0058657B"/>
    <w:rsid w:val="00593D9E"/>
    <w:rsid w:val="00594617"/>
    <w:rsid w:val="005952A8"/>
    <w:rsid w:val="00595EA8"/>
    <w:rsid w:val="005A1EA8"/>
    <w:rsid w:val="005A3403"/>
    <w:rsid w:val="005A669E"/>
    <w:rsid w:val="005B2F4B"/>
    <w:rsid w:val="005B48DA"/>
    <w:rsid w:val="005B73A5"/>
    <w:rsid w:val="005C445E"/>
    <w:rsid w:val="005C5B7E"/>
    <w:rsid w:val="005C5D14"/>
    <w:rsid w:val="005C63AC"/>
    <w:rsid w:val="005D06B0"/>
    <w:rsid w:val="005D1685"/>
    <w:rsid w:val="005D1E5A"/>
    <w:rsid w:val="005E2186"/>
    <w:rsid w:val="005F0F8E"/>
    <w:rsid w:val="005F1DAA"/>
    <w:rsid w:val="005F3AA0"/>
    <w:rsid w:val="005F74CC"/>
    <w:rsid w:val="005F756A"/>
    <w:rsid w:val="006064FB"/>
    <w:rsid w:val="00610195"/>
    <w:rsid w:val="006108BB"/>
    <w:rsid w:val="0061493E"/>
    <w:rsid w:val="006237AE"/>
    <w:rsid w:val="00625135"/>
    <w:rsid w:val="00626DFB"/>
    <w:rsid w:val="006303B9"/>
    <w:rsid w:val="0063090C"/>
    <w:rsid w:val="00633347"/>
    <w:rsid w:val="00635C9A"/>
    <w:rsid w:val="006378AB"/>
    <w:rsid w:val="0064240B"/>
    <w:rsid w:val="00642EFF"/>
    <w:rsid w:val="00646532"/>
    <w:rsid w:val="00650489"/>
    <w:rsid w:val="0065266F"/>
    <w:rsid w:val="00653160"/>
    <w:rsid w:val="0065354F"/>
    <w:rsid w:val="00660DE9"/>
    <w:rsid w:val="00660E2F"/>
    <w:rsid w:val="0066337B"/>
    <w:rsid w:val="00671135"/>
    <w:rsid w:val="006724A0"/>
    <w:rsid w:val="0067300E"/>
    <w:rsid w:val="0067468C"/>
    <w:rsid w:val="00674B51"/>
    <w:rsid w:val="0067537A"/>
    <w:rsid w:val="00676280"/>
    <w:rsid w:val="0067640C"/>
    <w:rsid w:val="00677AA6"/>
    <w:rsid w:val="00680FCC"/>
    <w:rsid w:val="0068337B"/>
    <w:rsid w:val="00691737"/>
    <w:rsid w:val="00691A22"/>
    <w:rsid w:val="00697CC6"/>
    <w:rsid w:val="006A4A20"/>
    <w:rsid w:val="006A7192"/>
    <w:rsid w:val="006A7F76"/>
    <w:rsid w:val="006B5FDD"/>
    <w:rsid w:val="006B6392"/>
    <w:rsid w:val="006C0724"/>
    <w:rsid w:val="006C11A0"/>
    <w:rsid w:val="006D6C20"/>
    <w:rsid w:val="006E3D42"/>
    <w:rsid w:val="006E7E7E"/>
    <w:rsid w:val="006F0BF0"/>
    <w:rsid w:val="006F23A4"/>
    <w:rsid w:val="006F2D00"/>
    <w:rsid w:val="006F3019"/>
    <w:rsid w:val="006F7977"/>
    <w:rsid w:val="00700C9F"/>
    <w:rsid w:val="007035E5"/>
    <w:rsid w:val="0070491C"/>
    <w:rsid w:val="00705269"/>
    <w:rsid w:val="00705977"/>
    <w:rsid w:val="00710A0F"/>
    <w:rsid w:val="00711944"/>
    <w:rsid w:val="00712793"/>
    <w:rsid w:val="00723384"/>
    <w:rsid w:val="00723C1F"/>
    <w:rsid w:val="007247D4"/>
    <w:rsid w:val="0073726B"/>
    <w:rsid w:val="00740500"/>
    <w:rsid w:val="00744965"/>
    <w:rsid w:val="00746312"/>
    <w:rsid w:val="00750F2C"/>
    <w:rsid w:val="00753B26"/>
    <w:rsid w:val="00753EA9"/>
    <w:rsid w:val="00754747"/>
    <w:rsid w:val="00764323"/>
    <w:rsid w:val="007656F3"/>
    <w:rsid w:val="00767894"/>
    <w:rsid w:val="00776A7A"/>
    <w:rsid w:val="00780325"/>
    <w:rsid w:val="00783325"/>
    <w:rsid w:val="007855F0"/>
    <w:rsid w:val="007858BB"/>
    <w:rsid w:val="00787C2B"/>
    <w:rsid w:val="00796225"/>
    <w:rsid w:val="007A2240"/>
    <w:rsid w:val="007A51DC"/>
    <w:rsid w:val="007B145D"/>
    <w:rsid w:val="007B4F7F"/>
    <w:rsid w:val="007B70FE"/>
    <w:rsid w:val="007C069F"/>
    <w:rsid w:val="007C2925"/>
    <w:rsid w:val="007C432A"/>
    <w:rsid w:val="007C44F6"/>
    <w:rsid w:val="007C5341"/>
    <w:rsid w:val="007C5D6F"/>
    <w:rsid w:val="007D3B02"/>
    <w:rsid w:val="007E2531"/>
    <w:rsid w:val="007E3338"/>
    <w:rsid w:val="007E3590"/>
    <w:rsid w:val="007E4305"/>
    <w:rsid w:val="007E686A"/>
    <w:rsid w:val="007F4368"/>
    <w:rsid w:val="007F7DAD"/>
    <w:rsid w:val="00802E9B"/>
    <w:rsid w:val="008066ED"/>
    <w:rsid w:val="00806B12"/>
    <w:rsid w:val="00807F5E"/>
    <w:rsid w:val="00813FF9"/>
    <w:rsid w:val="00814BFC"/>
    <w:rsid w:val="00820526"/>
    <w:rsid w:val="008218E6"/>
    <w:rsid w:val="00827982"/>
    <w:rsid w:val="00827BA8"/>
    <w:rsid w:val="00827D21"/>
    <w:rsid w:val="00832FFB"/>
    <w:rsid w:val="00834400"/>
    <w:rsid w:val="008358A2"/>
    <w:rsid w:val="00845A7C"/>
    <w:rsid w:val="00850D4C"/>
    <w:rsid w:val="0085230D"/>
    <w:rsid w:val="008527BE"/>
    <w:rsid w:val="00854B55"/>
    <w:rsid w:val="00855ED9"/>
    <w:rsid w:val="00856416"/>
    <w:rsid w:val="00857312"/>
    <w:rsid w:val="00857C9A"/>
    <w:rsid w:val="00861077"/>
    <w:rsid w:val="0086182B"/>
    <w:rsid w:val="00861B1F"/>
    <w:rsid w:val="00862664"/>
    <w:rsid w:val="00864630"/>
    <w:rsid w:val="0086608C"/>
    <w:rsid w:val="00871371"/>
    <w:rsid w:val="00874B57"/>
    <w:rsid w:val="008755F0"/>
    <w:rsid w:val="0087642E"/>
    <w:rsid w:val="0088071D"/>
    <w:rsid w:val="0088077D"/>
    <w:rsid w:val="008856DC"/>
    <w:rsid w:val="008A158B"/>
    <w:rsid w:val="008A16C6"/>
    <w:rsid w:val="008A2D81"/>
    <w:rsid w:val="008A56DE"/>
    <w:rsid w:val="008A5918"/>
    <w:rsid w:val="008A7622"/>
    <w:rsid w:val="008B0F9D"/>
    <w:rsid w:val="008B437E"/>
    <w:rsid w:val="008B51E9"/>
    <w:rsid w:val="008C4E6E"/>
    <w:rsid w:val="008C78CD"/>
    <w:rsid w:val="008D129C"/>
    <w:rsid w:val="008D257C"/>
    <w:rsid w:val="008D5797"/>
    <w:rsid w:val="008D64D3"/>
    <w:rsid w:val="008E0A81"/>
    <w:rsid w:val="008E0F81"/>
    <w:rsid w:val="008E114C"/>
    <w:rsid w:val="008E3497"/>
    <w:rsid w:val="008E4921"/>
    <w:rsid w:val="008E5E3F"/>
    <w:rsid w:val="008F08DD"/>
    <w:rsid w:val="008F0C66"/>
    <w:rsid w:val="008F16D4"/>
    <w:rsid w:val="008F1CE9"/>
    <w:rsid w:val="00903972"/>
    <w:rsid w:val="009057FC"/>
    <w:rsid w:val="00912F12"/>
    <w:rsid w:val="00914AB8"/>
    <w:rsid w:val="00915AD7"/>
    <w:rsid w:val="00924C77"/>
    <w:rsid w:val="00925A22"/>
    <w:rsid w:val="00927950"/>
    <w:rsid w:val="00932D60"/>
    <w:rsid w:val="00933E50"/>
    <w:rsid w:val="009375F1"/>
    <w:rsid w:val="00937B54"/>
    <w:rsid w:val="00942D45"/>
    <w:rsid w:val="00950685"/>
    <w:rsid w:val="00950F5B"/>
    <w:rsid w:val="00952FDA"/>
    <w:rsid w:val="00956CD5"/>
    <w:rsid w:val="00964806"/>
    <w:rsid w:val="0096650D"/>
    <w:rsid w:val="009741D8"/>
    <w:rsid w:val="009806CD"/>
    <w:rsid w:val="00980EA1"/>
    <w:rsid w:val="00990C0F"/>
    <w:rsid w:val="0099132B"/>
    <w:rsid w:val="00992A0D"/>
    <w:rsid w:val="00994AA6"/>
    <w:rsid w:val="00995D9C"/>
    <w:rsid w:val="00996F8B"/>
    <w:rsid w:val="009A27A8"/>
    <w:rsid w:val="009A30E2"/>
    <w:rsid w:val="009A3D9A"/>
    <w:rsid w:val="009B21A2"/>
    <w:rsid w:val="009B400C"/>
    <w:rsid w:val="009C4B2D"/>
    <w:rsid w:val="009D1331"/>
    <w:rsid w:val="009D1623"/>
    <w:rsid w:val="009D4A25"/>
    <w:rsid w:val="009E651E"/>
    <w:rsid w:val="009E74AB"/>
    <w:rsid w:val="009E76A9"/>
    <w:rsid w:val="009F0748"/>
    <w:rsid w:val="009F2EBF"/>
    <w:rsid w:val="009F75F6"/>
    <w:rsid w:val="009F7BAE"/>
    <w:rsid w:val="00A02370"/>
    <w:rsid w:val="00A0446C"/>
    <w:rsid w:val="00A05150"/>
    <w:rsid w:val="00A079E2"/>
    <w:rsid w:val="00A12A19"/>
    <w:rsid w:val="00A1572F"/>
    <w:rsid w:val="00A2078B"/>
    <w:rsid w:val="00A21A5F"/>
    <w:rsid w:val="00A22139"/>
    <w:rsid w:val="00A24BA9"/>
    <w:rsid w:val="00A27461"/>
    <w:rsid w:val="00A3278C"/>
    <w:rsid w:val="00A32C83"/>
    <w:rsid w:val="00A37A36"/>
    <w:rsid w:val="00A41726"/>
    <w:rsid w:val="00A45A39"/>
    <w:rsid w:val="00A47965"/>
    <w:rsid w:val="00A544E6"/>
    <w:rsid w:val="00A574CA"/>
    <w:rsid w:val="00A57759"/>
    <w:rsid w:val="00A60A3B"/>
    <w:rsid w:val="00A61797"/>
    <w:rsid w:val="00A62521"/>
    <w:rsid w:val="00A625C1"/>
    <w:rsid w:val="00A62F9C"/>
    <w:rsid w:val="00A630BE"/>
    <w:rsid w:val="00A7028E"/>
    <w:rsid w:val="00A70F94"/>
    <w:rsid w:val="00A72CE4"/>
    <w:rsid w:val="00A77147"/>
    <w:rsid w:val="00A879D1"/>
    <w:rsid w:val="00A91792"/>
    <w:rsid w:val="00AA3C37"/>
    <w:rsid w:val="00AA75D5"/>
    <w:rsid w:val="00AB38AF"/>
    <w:rsid w:val="00AC1F9B"/>
    <w:rsid w:val="00AC2DB7"/>
    <w:rsid w:val="00AC70BC"/>
    <w:rsid w:val="00AD45E6"/>
    <w:rsid w:val="00AD63E3"/>
    <w:rsid w:val="00AD70B5"/>
    <w:rsid w:val="00AD78BE"/>
    <w:rsid w:val="00AE0006"/>
    <w:rsid w:val="00AE2452"/>
    <w:rsid w:val="00AE4F26"/>
    <w:rsid w:val="00AF3303"/>
    <w:rsid w:val="00AF42E4"/>
    <w:rsid w:val="00AF4E38"/>
    <w:rsid w:val="00AF74B1"/>
    <w:rsid w:val="00B0010B"/>
    <w:rsid w:val="00B0094E"/>
    <w:rsid w:val="00B01501"/>
    <w:rsid w:val="00B0184E"/>
    <w:rsid w:val="00B0335A"/>
    <w:rsid w:val="00B0780D"/>
    <w:rsid w:val="00B159EE"/>
    <w:rsid w:val="00B15F6E"/>
    <w:rsid w:val="00B16B81"/>
    <w:rsid w:val="00B16F8F"/>
    <w:rsid w:val="00B2241D"/>
    <w:rsid w:val="00B22930"/>
    <w:rsid w:val="00B231CA"/>
    <w:rsid w:val="00B242ED"/>
    <w:rsid w:val="00B25823"/>
    <w:rsid w:val="00B27882"/>
    <w:rsid w:val="00B304F9"/>
    <w:rsid w:val="00B31ABC"/>
    <w:rsid w:val="00B31DCE"/>
    <w:rsid w:val="00B33195"/>
    <w:rsid w:val="00B334DE"/>
    <w:rsid w:val="00B35427"/>
    <w:rsid w:val="00B4036E"/>
    <w:rsid w:val="00B46228"/>
    <w:rsid w:val="00B462C1"/>
    <w:rsid w:val="00B4711F"/>
    <w:rsid w:val="00B55296"/>
    <w:rsid w:val="00B56042"/>
    <w:rsid w:val="00B60BEB"/>
    <w:rsid w:val="00B66736"/>
    <w:rsid w:val="00B727B8"/>
    <w:rsid w:val="00B74EBB"/>
    <w:rsid w:val="00B814A2"/>
    <w:rsid w:val="00B83AC3"/>
    <w:rsid w:val="00B83BFE"/>
    <w:rsid w:val="00B83E08"/>
    <w:rsid w:val="00B84430"/>
    <w:rsid w:val="00B85F66"/>
    <w:rsid w:val="00B87DDE"/>
    <w:rsid w:val="00B90028"/>
    <w:rsid w:val="00B97298"/>
    <w:rsid w:val="00BA07F6"/>
    <w:rsid w:val="00BA1320"/>
    <w:rsid w:val="00BA2360"/>
    <w:rsid w:val="00BA245C"/>
    <w:rsid w:val="00BA767F"/>
    <w:rsid w:val="00BB1ACF"/>
    <w:rsid w:val="00BB3004"/>
    <w:rsid w:val="00BB7F95"/>
    <w:rsid w:val="00BC235E"/>
    <w:rsid w:val="00BC4FFE"/>
    <w:rsid w:val="00BD1AB2"/>
    <w:rsid w:val="00BD3CA8"/>
    <w:rsid w:val="00BD69C5"/>
    <w:rsid w:val="00BE195C"/>
    <w:rsid w:val="00BE3842"/>
    <w:rsid w:val="00BF0E3F"/>
    <w:rsid w:val="00BF1412"/>
    <w:rsid w:val="00BF19D1"/>
    <w:rsid w:val="00BF3F94"/>
    <w:rsid w:val="00BF6CAF"/>
    <w:rsid w:val="00C02211"/>
    <w:rsid w:val="00C05129"/>
    <w:rsid w:val="00C06870"/>
    <w:rsid w:val="00C203BC"/>
    <w:rsid w:val="00C23244"/>
    <w:rsid w:val="00C24B59"/>
    <w:rsid w:val="00C263AE"/>
    <w:rsid w:val="00C271D1"/>
    <w:rsid w:val="00C30856"/>
    <w:rsid w:val="00C325EB"/>
    <w:rsid w:val="00C342AE"/>
    <w:rsid w:val="00C35EDD"/>
    <w:rsid w:val="00C414CF"/>
    <w:rsid w:val="00C42D5A"/>
    <w:rsid w:val="00C4413E"/>
    <w:rsid w:val="00C44D39"/>
    <w:rsid w:val="00C46DB6"/>
    <w:rsid w:val="00C50898"/>
    <w:rsid w:val="00C508CE"/>
    <w:rsid w:val="00C51A42"/>
    <w:rsid w:val="00C53C90"/>
    <w:rsid w:val="00C6564A"/>
    <w:rsid w:val="00C8057E"/>
    <w:rsid w:val="00C82846"/>
    <w:rsid w:val="00C85500"/>
    <w:rsid w:val="00C87A35"/>
    <w:rsid w:val="00C87B47"/>
    <w:rsid w:val="00C90648"/>
    <w:rsid w:val="00C9381D"/>
    <w:rsid w:val="00C97D17"/>
    <w:rsid w:val="00C97D3D"/>
    <w:rsid w:val="00CA13AA"/>
    <w:rsid w:val="00CA3C07"/>
    <w:rsid w:val="00CA5A8F"/>
    <w:rsid w:val="00CB40D5"/>
    <w:rsid w:val="00CB4C0F"/>
    <w:rsid w:val="00CB57A4"/>
    <w:rsid w:val="00CC2834"/>
    <w:rsid w:val="00CC314C"/>
    <w:rsid w:val="00CD5590"/>
    <w:rsid w:val="00CE1264"/>
    <w:rsid w:val="00CE2A9E"/>
    <w:rsid w:val="00CE2D65"/>
    <w:rsid w:val="00D02D71"/>
    <w:rsid w:val="00D03384"/>
    <w:rsid w:val="00D10991"/>
    <w:rsid w:val="00D10993"/>
    <w:rsid w:val="00D1142F"/>
    <w:rsid w:val="00D1300B"/>
    <w:rsid w:val="00D14213"/>
    <w:rsid w:val="00D14D51"/>
    <w:rsid w:val="00D17FA2"/>
    <w:rsid w:val="00D20BF3"/>
    <w:rsid w:val="00D210D5"/>
    <w:rsid w:val="00D2384B"/>
    <w:rsid w:val="00D26911"/>
    <w:rsid w:val="00D3183C"/>
    <w:rsid w:val="00D344CC"/>
    <w:rsid w:val="00D37C5D"/>
    <w:rsid w:val="00D422C2"/>
    <w:rsid w:val="00D4239E"/>
    <w:rsid w:val="00D4453B"/>
    <w:rsid w:val="00D454E4"/>
    <w:rsid w:val="00D46B19"/>
    <w:rsid w:val="00D521C6"/>
    <w:rsid w:val="00D52280"/>
    <w:rsid w:val="00D52A39"/>
    <w:rsid w:val="00D54AAB"/>
    <w:rsid w:val="00D55BB9"/>
    <w:rsid w:val="00D6255A"/>
    <w:rsid w:val="00D652A5"/>
    <w:rsid w:val="00D65D45"/>
    <w:rsid w:val="00D701E2"/>
    <w:rsid w:val="00D727EF"/>
    <w:rsid w:val="00D751A5"/>
    <w:rsid w:val="00D83798"/>
    <w:rsid w:val="00D8607D"/>
    <w:rsid w:val="00D86563"/>
    <w:rsid w:val="00D90367"/>
    <w:rsid w:val="00D90F6F"/>
    <w:rsid w:val="00D91A0A"/>
    <w:rsid w:val="00D94A2F"/>
    <w:rsid w:val="00D95F8F"/>
    <w:rsid w:val="00DA5243"/>
    <w:rsid w:val="00DB16B1"/>
    <w:rsid w:val="00DB1B55"/>
    <w:rsid w:val="00DB1C3B"/>
    <w:rsid w:val="00DB5D5E"/>
    <w:rsid w:val="00DB6708"/>
    <w:rsid w:val="00DB6C83"/>
    <w:rsid w:val="00DC1CDA"/>
    <w:rsid w:val="00DC7674"/>
    <w:rsid w:val="00DD2E2E"/>
    <w:rsid w:val="00DE1F9D"/>
    <w:rsid w:val="00DE35B0"/>
    <w:rsid w:val="00DE4964"/>
    <w:rsid w:val="00DE54A6"/>
    <w:rsid w:val="00DF5661"/>
    <w:rsid w:val="00DF6289"/>
    <w:rsid w:val="00DF7C6E"/>
    <w:rsid w:val="00E017C5"/>
    <w:rsid w:val="00E027F8"/>
    <w:rsid w:val="00E053B7"/>
    <w:rsid w:val="00E113BF"/>
    <w:rsid w:val="00E11D77"/>
    <w:rsid w:val="00E129BB"/>
    <w:rsid w:val="00E162AB"/>
    <w:rsid w:val="00E17236"/>
    <w:rsid w:val="00E17422"/>
    <w:rsid w:val="00E231EB"/>
    <w:rsid w:val="00E23C1B"/>
    <w:rsid w:val="00E25A03"/>
    <w:rsid w:val="00E266E8"/>
    <w:rsid w:val="00E26A12"/>
    <w:rsid w:val="00E30E61"/>
    <w:rsid w:val="00E339DB"/>
    <w:rsid w:val="00E41F9D"/>
    <w:rsid w:val="00E42396"/>
    <w:rsid w:val="00E43FF6"/>
    <w:rsid w:val="00E47C31"/>
    <w:rsid w:val="00E55032"/>
    <w:rsid w:val="00E5616E"/>
    <w:rsid w:val="00E62125"/>
    <w:rsid w:val="00E67495"/>
    <w:rsid w:val="00E702EA"/>
    <w:rsid w:val="00E7102E"/>
    <w:rsid w:val="00E71329"/>
    <w:rsid w:val="00E7721A"/>
    <w:rsid w:val="00E77FE7"/>
    <w:rsid w:val="00E834A5"/>
    <w:rsid w:val="00E836FC"/>
    <w:rsid w:val="00E87FD3"/>
    <w:rsid w:val="00E92F3D"/>
    <w:rsid w:val="00E94CD0"/>
    <w:rsid w:val="00E97DDA"/>
    <w:rsid w:val="00EA0E9F"/>
    <w:rsid w:val="00EA0EB9"/>
    <w:rsid w:val="00EA3425"/>
    <w:rsid w:val="00EA6747"/>
    <w:rsid w:val="00EB0028"/>
    <w:rsid w:val="00EB02DE"/>
    <w:rsid w:val="00EB054A"/>
    <w:rsid w:val="00EB2042"/>
    <w:rsid w:val="00EB49E7"/>
    <w:rsid w:val="00EB54D2"/>
    <w:rsid w:val="00EB6624"/>
    <w:rsid w:val="00EB6D75"/>
    <w:rsid w:val="00EB77A1"/>
    <w:rsid w:val="00EB791B"/>
    <w:rsid w:val="00EC1407"/>
    <w:rsid w:val="00EC1426"/>
    <w:rsid w:val="00EC5710"/>
    <w:rsid w:val="00ED1C3A"/>
    <w:rsid w:val="00ED3C77"/>
    <w:rsid w:val="00EE3125"/>
    <w:rsid w:val="00EE32B4"/>
    <w:rsid w:val="00EF01DC"/>
    <w:rsid w:val="00F008FE"/>
    <w:rsid w:val="00F00E85"/>
    <w:rsid w:val="00F01272"/>
    <w:rsid w:val="00F027B9"/>
    <w:rsid w:val="00F1244C"/>
    <w:rsid w:val="00F1553C"/>
    <w:rsid w:val="00F1576E"/>
    <w:rsid w:val="00F17018"/>
    <w:rsid w:val="00F17815"/>
    <w:rsid w:val="00F17D9A"/>
    <w:rsid w:val="00F24788"/>
    <w:rsid w:val="00F26B8A"/>
    <w:rsid w:val="00F40711"/>
    <w:rsid w:val="00F41769"/>
    <w:rsid w:val="00F42362"/>
    <w:rsid w:val="00F44678"/>
    <w:rsid w:val="00F4491D"/>
    <w:rsid w:val="00F45F02"/>
    <w:rsid w:val="00F475B3"/>
    <w:rsid w:val="00F47B30"/>
    <w:rsid w:val="00F51599"/>
    <w:rsid w:val="00F5185E"/>
    <w:rsid w:val="00F531DB"/>
    <w:rsid w:val="00F61D86"/>
    <w:rsid w:val="00F64ACA"/>
    <w:rsid w:val="00F65A38"/>
    <w:rsid w:val="00F71CF2"/>
    <w:rsid w:val="00F728AF"/>
    <w:rsid w:val="00F77880"/>
    <w:rsid w:val="00F77AE7"/>
    <w:rsid w:val="00F82C83"/>
    <w:rsid w:val="00F82F3D"/>
    <w:rsid w:val="00F94575"/>
    <w:rsid w:val="00F962C2"/>
    <w:rsid w:val="00F96C4C"/>
    <w:rsid w:val="00FA0419"/>
    <w:rsid w:val="00FA1B52"/>
    <w:rsid w:val="00FA4ADC"/>
    <w:rsid w:val="00FA637F"/>
    <w:rsid w:val="00FA7BBB"/>
    <w:rsid w:val="00FB33A6"/>
    <w:rsid w:val="00FB45D6"/>
    <w:rsid w:val="00FB5075"/>
    <w:rsid w:val="00FC0A5B"/>
    <w:rsid w:val="00FC3076"/>
    <w:rsid w:val="00FC552F"/>
    <w:rsid w:val="00FC5E46"/>
    <w:rsid w:val="00FC721A"/>
    <w:rsid w:val="00FD1A9F"/>
    <w:rsid w:val="00FD4279"/>
    <w:rsid w:val="00FD5B38"/>
    <w:rsid w:val="00FD7598"/>
    <w:rsid w:val="00FE6FAE"/>
    <w:rsid w:val="00FE7D1D"/>
    <w:rsid w:val="00FF3901"/>
    <w:rsid w:val="00FF41D5"/>
    <w:rsid w:val="00FF6C17"/>
    <w:rsid w:val="00FF75E9"/>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67AA4FC3"/>
  <w15:docId w15:val="{288F2A8A-A7F9-40CA-8F09-A761BB4BB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977"/>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cs="Times New Roman"/>
      <w:b/>
      <w:bCs/>
      <w:sz w:val="24"/>
      <w:szCs w:val="24"/>
      <w:lang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cs="Times New Roman"/>
      <w:b/>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basedOn w:val="Fuentedeprrafopredete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cs="Times New Roman"/>
      <w:sz w:val="24"/>
      <w:szCs w:val="24"/>
      <w:lang w:eastAsia="es-ES"/>
    </w:rPr>
  </w:style>
  <w:style w:type="character" w:customStyle="1" w:styleId="SangradetextonormalCar">
    <w:name w:val="Sangría de texto normal Car"/>
    <w:basedOn w:val="Fuentedeprrafopredete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rsid w:val="00FF3901"/>
    <w:pPr>
      <w:spacing w:after="0" w:line="240" w:lineRule="auto"/>
    </w:pPr>
    <w:rPr>
      <w:rFonts w:ascii="Times New Roman" w:eastAsia="Times New Roman" w:hAnsi="Times New Roman" w:cs="Times New Roman"/>
      <w:sz w:val="20"/>
      <w:szCs w:val="20"/>
      <w:lang w:eastAsia="es-MX"/>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rsid w:val="00952FDA"/>
    <w:pPr>
      <w:ind w:left="720"/>
      <w:contextualSpacing/>
    </w:pPr>
    <w:rPr>
      <w:lang w:val="es-ES"/>
    </w:rPr>
  </w:style>
  <w:style w:type="paragraph" w:styleId="Textodeglobo">
    <w:name w:val="Balloon Text"/>
    <w:basedOn w:val="Normal"/>
    <w:link w:val="TextodegloboCar"/>
    <w:uiPriority w:val="99"/>
    <w:semiHidden/>
    <w:unhideWhenUsed/>
    <w:rsid w:val="00BA07F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07F6"/>
    <w:rPr>
      <w:rFonts w:ascii="Tahoma" w:hAnsi="Tahoma" w:cs="Tahoma"/>
      <w:sz w:val="16"/>
      <w:szCs w:val="16"/>
    </w:rPr>
  </w:style>
  <w:style w:type="paragraph" w:styleId="Encabezado">
    <w:name w:val="header"/>
    <w:basedOn w:val="Normal"/>
    <w:link w:val="EncabezadoCar"/>
    <w:uiPriority w:val="99"/>
    <w:unhideWhenUsed/>
    <w:rsid w:val="00551C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1C4C"/>
  </w:style>
  <w:style w:type="paragraph" w:styleId="Piedepgina">
    <w:name w:val="footer"/>
    <w:basedOn w:val="Normal"/>
    <w:link w:val="PiedepginaCar"/>
    <w:uiPriority w:val="99"/>
    <w:unhideWhenUsed/>
    <w:rsid w:val="00551C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1C4C"/>
  </w:style>
  <w:style w:type="paragraph" w:customStyle="1" w:styleId="Texto">
    <w:name w:val="Texto"/>
    <w:basedOn w:val="Normal"/>
    <w:link w:val="TextoCar"/>
    <w:qFormat/>
    <w:rsid w:val="00723C1F"/>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723C1F"/>
    <w:rPr>
      <w:rFonts w:ascii="Arial" w:eastAsia="Times New Roman" w:hAnsi="Arial" w:cs="Arial"/>
      <w:sz w:val="18"/>
      <w:szCs w:val="20"/>
      <w:lang w:val="es-ES" w:eastAsia="es-ES"/>
    </w:rPr>
  </w:style>
  <w:style w:type="paragraph" w:styleId="Textoindependiente2">
    <w:name w:val="Body Text 2"/>
    <w:basedOn w:val="Normal"/>
    <w:link w:val="Textoindependiente2Car"/>
    <w:uiPriority w:val="99"/>
    <w:semiHidden/>
    <w:unhideWhenUsed/>
    <w:rsid w:val="007E4305"/>
    <w:pPr>
      <w:spacing w:after="120" w:line="480" w:lineRule="auto"/>
    </w:pPr>
  </w:style>
  <w:style w:type="character" w:customStyle="1" w:styleId="Textoindependiente2Car">
    <w:name w:val="Texto independiente 2 Car"/>
    <w:basedOn w:val="Fuentedeprrafopredeter"/>
    <w:link w:val="Textoindependiente2"/>
    <w:uiPriority w:val="99"/>
    <w:semiHidden/>
    <w:rsid w:val="007E4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6976">
      <w:bodyDiv w:val="1"/>
      <w:marLeft w:val="0"/>
      <w:marRight w:val="0"/>
      <w:marTop w:val="0"/>
      <w:marBottom w:val="0"/>
      <w:divBdr>
        <w:top w:val="none" w:sz="0" w:space="0" w:color="auto"/>
        <w:left w:val="none" w:sz="0" w:space="0" w:color="auto"/>
        <w:bottom w:val="none" w:sz="0" w:space="0" w:color="auto"/>
        <w:right w:val="none" w:sz="0" w:space="0" w:color="auto"/>
      </w:divBdr>
    </w:div>
    <w:div w:id="7799614">
      <w:bodyDiv w:val="1"/>
      <w:marLeft w:val="0"/>
      <w:marRight w:val="0"/>
      <w:marTop w:val="0"/>
      <w:marBottom w:val="0"/>
      <w:divBdr>
        <w:top w:val="none" w:sz="0" w:space="0" w:color="auto"/>
        <w:left w:val="none" w:sz="0" w:space="0" w:color="auto"/>
        <w:bottom w:val="none" w:sz="0" w:space="0" w:color="auto"/>
        <w:right w:val="none" w:sz="0" w:space="0" w:color="auto"/>
      </w:divBdr>
    </w:div>
    <w:div w:id="8222957">
      <w:bodyDiv w:val="1"/>
      <w:marLeft w:val="0"/>
      <w:marRight w:val="0"/>
      <w:marTop w:val="0"/>
      <w:marBottom w:val="0"/>
      <w:divBdr>
        <w:top w:val="none" w:sz="0" w:space="0" w:color="auto"/>
        <w:left w:val="none" w:sz="0" w:space="0" w:color="auto"/>
        <w:bottom w:val="none" w:sz="0" w:space="0" w:color="auto"/>
        <w:right w:val="none" w:sz="0" w:space="0" w:color="auto"/>
      </w:divBdr>
    </w:div>
    <w:div w:id="8722353">
      <w:bodyDiv w:val="1"/>
      <w:marLeft w:val="0"/>
      <w:marRight w:val="0"/>
      <w:marTop w:val="0"/>
      <w:marBottom w:val="0"/>
      <w:divBdr>
        <w:top w:val="none" w:sz="0" w:space="0" w:color="auto"/>
        <w:left w:val="none" w:sz="0" w:space="0" w:color="auto"/>
        <w:bottom w:val="none" w:sz="0" w:space="0" w:color="auto"/>
        <w:right w:val="none" w:sz="0" w:space="0" w:color="auto"/>
      </w:divBdr>
    </w:div>
    <w:div w:id="8915320">
      <w:bodyDiv w:val="1"/>
      <w:marLeft w:val="0"/>
      <w:marRight w:val="0"/>
      <w:marTop w:val="0"/>
      <w:marBottom w:val="0"/>
      <w:divBdr>
        <w:top w:val="none" w:sz="0" w:space="0" w:color="auto"/>
        <w:left w:val="none" w:sz="0" w:space="0" w:color="auto"/>
        <w:bottom w:val="none" w:sz="0" w:space="0" w:color="auto"/>
        <w:right w:val="none" w:sz="0" w:space="0" w:color="auto"/>
      </w:divBdr>
    </w:div>
    <w:div w:id="10571970">
      <w:bodyDiv w:val="1"/>
      <w:marLeft w:val="0"/>
      <w:marRight w:val="0"/>
      <w:marTop w:val="0"/>
      <w:marBottom w:val="0"/>
      <w:divBdr>
        <w:top w:val="none" w:sz="0" w:space="0" w:color="auto"/>
        <w:left w:val="none" w:sz="0" w:space="0" w:color="auto"/>
        <w:bottom w:val="none" w:sz="0" w:space="0" w:color="auto"/>
        <w:right w:val="none" w:sz="0" w:space="0" w:color="auto"/>
      </w:divBdr>
    </w:div>
    <w:div w:id="14423678">
      <w:bodyDiv w:val="1"/>
      <w:marLeft w:val="0"/>
      <w:marRight w:val="0"/>
      <w:marTop w:val="0"/>
      <w:marBottom w:val="0"/>
      <w:divBdr>
        <w:top w:val="none" w:sz="0" w:space="0" w:color="auto"/>
        <w:left w:val="none" w:sz="0" w:space="0" w:color="auto"/>
        <w:bottom w:val="none" w:sz="0" w:space="0" w:color="auto"/>
        <w:right w:val="none" w:sz="0" w:space="0" w:color="auto"/>
      </w:divBdr>
    </w:div>
    <w:div w:id="19403021">
      <w:bodyDiv w:val="1"/>
      <w:marLeft w:val="0"/>
      <w:marRight w:val="0"/>
      <w:marTop w:val="0"/>
      <w:marBottom w:val="0"/>
      <w:divBdr>
        <w:top w:val="none" w:sz="0" w:space="0" w:color="auto"/>
        <w:left w:val="none" w:sz="0" w:space="0" w:color="auto"/>
        <w:bottom w:val="none" w:sz="0" w:space="0" w:color="auto"/>
        <w:right w:val="none" w:sz="0" w:space="0" w:color="auto"/>
      </w:divBdr>
    </w:div>
    <w:div w:id="56512784">
      <w:bodyDiv w:val="1"/>
      <w:marLeft w:val="0"/>
      <w:marRight w:val="0"/>
      <w:marTop w:val="0"/>
      <w:marBottom w:val="0"/>
      <w:divBdr>
        <w:top w:val="none" w:sz="0" w:space="0" w:color="auto"/>
        <w:left w:val="none" w:sz="0" w:space="0" w:color="auto"/>
        <w:bottom w:val="none" w:sz="0" w:space="0" w:color="auto"/>
        <w:right w:val="none" w:sz="0" w:space="0" w:color="auto"/>
      </w:divBdr>
    </w:div>
    <w:div w:id="58333997">
      <w:bodyDiv w:val="1"/>
      <w:marLeft w:val="0"/>
      <w:marRight w:val="0"/>
      <w:marTop w:val="0"/>
      <w:marBottom w:val="0"/>
      <w:divBdr>
        <w:top w:val="none" w:sz="0" w:space="0" w:color="auto"/>
        <w:left w:val="none" w:sz="0" w:space="0" w:color="auto"/>
        <w:bottom w:val="none" w:sz="0" w:space="0" w:color="auto"/>
        <w:right w:val="none" w:sz="0" w:space="0" w:color="auto"/>
      </w:divBdr>
    </w:div>
    <w:div w:id="63261694">
      <w:bodyDiv w:val="1"/>
      <w:marLeft w:val="0"/>
      <w:marRight w:val="0"/>
      <w:marTop w:val="0"/>
      <w:marBottom w:val="0"/>
      <w:divBdr>
        <w:top w:val="none" w:sz="0" w:space="0" w:color="auto"/>
        <w:left w:val="none" w:sz="0" w:space="0" w:color="auto"/>
        <w:bottom w:val="none" w:sz="0" w:space="0" w:color="auto"/>
        <w:right w:val="none" w:sz="0" w:space="0" w:color="auto"/>
      </w:divBdr>
    </w:div>
    <w:div w:id="64766659">
      <w:bodyDiv w:val="1"/>
      <w:marLeft w:val="0"/>
      <w:marRight w:val="0"/>
      <w:marTop w:val="0"/>
      <w:marBottom w:val="0"/>
      <w:divBdr>
        <w:top w:val="none" w:sz="0" w:space="0" w:color="auto"/>
        <w:left w:val="none" w:sz="0" w:space="0" w:color="auto"/>
        <w:bottom w:val="none" w:sz="0" w:space="0" w:color="auto"/>
        <w:right w:val="none" w:sz="0" w:space="0" w:color="auto"/>
      </w:divBdr>
    </w:div>
    <w:div w:id="64836255">
      <w:bodyDiv w:val="1"/>
      <w:marLeft w:val="0"/>
      <w:marRight w:val="0"/>
      <w:marTop w:val="0"/>
      <w:marBottom w:val="0"/>
      <w:divBdr>
        <w:top w:val="none" w:sz="0" w:space="0" w:color="auto"/>
        <w:left w:val="none" w:sz="0" w:space="0" w:color="auto"/>
        <w:bottom w:val="none" w:sz="0" w:space="0" w:color="auto"/>
        <w:right w:val="none" w:sz="0" w:space="0" w:color="auto"/>
      </w:divBdr>
    </w:div>
    <w:div w:id="75593961">
      <w:bodyDiv w:val="1"/>
      <w:marLeft w:val="0"/>
      <w:marRight w:val="0"/>
      <w:marTop w:val="0"/>
      <w:marBottom w:val="0"/>
      <w:divBdr>
        <w:top w:val="none" w:sz="0" w:space="0" w:color="auto"/>
        <w:left w:val="none" w:sz="0" w:space="0" w:color="auto"/>
        <w:bottom w:val="none" w:sz="0" w:space="0" w:color="auto"/>
        <w:right w:val="none" w:sz="0" w:space="0" w:color="auto"/>
      </w:divBdr>
    </w:div>
    <w:div w:id="76052769">
      <w:bodyDiv w:val="1"/>
      <w:marLeft w:val="0"/>
      <w:marRight w:val="0"/>
      <w:marTop w:val="0"/>
      <w:marBottom w:val="0"/>
      <w:divBdr>
        <w:top w:val="none" w:sz="0" w:space="0" w:color="auto"/>
        <w:left w:val="none" w:sz="0" w:space="0" w:color="auto"/>
        <w:bottom w:val="none" w:sz="0" w:space="0" w:color="auto"/>
        <w:right w:val="none" w:sz="0" w:space="0" w:color="auto"/>
      </w:divBdr>
    </w:div>
    <w:div w:id="96215170">
      <w:bodyDiv w:val="1"/>
      <w:marLeft w:val="0"/>
      <w:marRight w:val="0"/>
      <w:marTop w:val="0"/>
      <w:marBottom w:val="0"/>
      <w:divBdr>
        <w:top w:val="none" w:sz="0" w:space="0" w:color="auto"/>
        <w:left w:val="none" w:sz="0" w:space="0" w:color="auto"/>
        <w:bottom w:val="none" w:sz="0" w:space="0" w:color="auto"/>
        <w:right w:val="none" w:sz="0" w:space="0" w:color="auto"/>
      </w:divBdr>
    </w:div>
    <w:div w:id="111944767">
      <w:bodyDiv w:val="1"/>
      <w:marLeft w:val="0"/>
      <w:marRight w:val="0"/>
      <w:marTop w:val="0"/>
      <w:marBottom w:val="0"/>
      <w:divBdr>
        <w:top w:val="none" w:sz="0" w:space="0" w:color="auto"/>
        <w:left w:val="none" w:sz="0" w:space="0" w:color="auto"/>
        <w:bottom w:val="none" w:sz="0" w:space="0" w:color="auto"/>
        <w:right w:val="none" w:sz="0" w:space="0" w:color="auto"/>
      </w:divBdr>
    </w:div>
    <w:div w:id="126045024">
      <w:bodyDiv w:val="1"/>
      <w:marLeft w:val="0"/>
      <w:marRight w:val="0"/>
      <w:marTop w:val="0"/>
      <w:marBottom w:val="0"/>
      <w:divBdr>
        <w:top w:val="none" w:sz="0" w:space="0" w:color="auto"/>
        <w:left w:val="none" w:sz="0" w:space="0" w:color="auto"/>
        <w:bottom w:val="none" w:sz="0" w:space="0" w:color="auto"/>
        <w:right w:val="none" w:sz="0" w:space="0" w:color="auto"/>
      </w:divBdr>
    </w:div>
    <w:div w:id="135535052">
      <w:bodyDiv w:val="1"/>
      <w:marLeft w:val="0"/>
      <w:marRight w:val="0"/>
      <w:marTop w:val="0"/>
      <w:marBottom w:val="0"/>
      <w:divBdr>
        <w:top w:val="none" w:sz="0" w:space="0" w:color="auto"/>
        <w:left w:val="none" w:sz="0" w:space="0" w:color="auto"/>
        <w:bottom w:val="none" w:sz="0" w:space="0" w:color="auto"/>
        <w:right w:val="none" w:sz="0" w:space="0" w:color="auto"/>
      </w:divBdr>
    </w:div>
    <w:div w:id="161630142">
      <w:bodyDiv w:val="1"/>
      <w:marLeft w:val="0"/>
      <w:marRight w:val="0"/>
      <w:marTop w:val="0"/>
      <w:marBottom w:val="0"/>
      <w:divBdr>
        <w:top w:val="none" w:sz="0" w:space="0" w:color="auto"/>
        <w:left w:val="none" w:sz="0" w:space="0" w:color="auto"/>
        <w:bottom w:val="none" w:sz="0" w:space="0" w:color="auto"/>
        <w:right w:val="none" w:sz="0" w:space="0" w:color="auto"/>
      </w:divBdr>
    </w:div>
    <w:div w:id="174535135">
      <w:bodyDiv w:val="1"/>
      <w:marLeft w:val="0"/>
      <w:marRight w:val="0"/>
      <w:marTop w:val="0"/>
      <w:marBottom w:val="0"/>
      <w:divBdr>
        <w:top w:val="none" w:sz="0" w:space="0" w:color="auto"/>
        <w:left w:val="none" w:sz="0" w:space="0" w:color="auto"/>
        <w:bottom w:val="none" w:sz="0" w:space="0" w:color="auto"/>
        <w:right w:val="none" w:sz="0" w:space="0" w:color="auto"/>
      </w:divBdr>
    </w:div>
    <w:div w:id="179903342">
      <w:bodyDiv w:val="1"/>
      <w:marLeft w:val="0"/>
      <w:marRight w:val="0"/>
      <w:marTop w:val="0"/>
      <w:marBottom w:val="0"/>
      <w:divBdr>
        <w:top w:val="none" w:sz="0" w:space="0" w:color="auto"/>
        <w:left w:val="none" w:sz="0" w:space="0" w:color="auto"/>
        <w:bottom w:val="none" w:sz="0" w:space="0" w:color="auto"/>
        <w:right w:val="none" w:sz="0" w:space="0" w:color="auto"/>
      </w:divBdr>
    </w:div>
    <w:div w:id="181557184">
      <w:bodyDiv w:val="1"/>
      <w:marLeft w:val="0"/>
      <w:marRight w:val="0"/>
      <w:marTop w:val="0"/>
      <w:marBottom w:val="0"/>
      <w:divBdr>
        <w:top w:val="none" w:sz="0" w:space="0" w:color="auto"/>
        <w:left w:val="none" w:sz="0" w:space="0" w:color="auto"/>
        <w:bottom w:val="none" w:sz="0" w:space="0" w:color="auto"/>
        <w:right w:val="none" w:sz="0" w:space="0" w:color="auto"/>
      </w:divBdr>
    </w:div>
    <w:div w:id="201984476">
      <w:bodyDiv w:val="1"/>
      <w:marLeft w:val="0"/>
      <w:marRight w:val="0"/>
      <w:marTop w:val="0"/>
      <w:marBottom w:val="0"/>
      <w:divBdr>
        <w:top w:val="none" w:sz="0" w:space="0" w:color="auto"/>
        <w:left w:val="none" w:sz="0" w:space="0" w:color="auto"/>
        <w:bottom w:val="none" w:sz="0" w:space="0" w:color="auto"/>
        <w:right w:val="none" w:sz="0" w:space="0" w:color="auto"/>
      </w:divBdr>
    </w:div>
    <w:div w:id="216011489">
      <w:bodyDiv w:val="1"/>
      <w:marLeft w:val="0"/>
      <w:marRight w:val="0"/>
      <w:marTop w:val="0"/>
      <w:marBottom w:val="0"/>
      <w:divBdr>
        <w:top w:val="none" w:sz="0" w:space="0" w:color="auto"/>
        <w:left w:val="none" w:sz="0" w:space="0" w:color="auto"/>
        <w:bottom w:val="none" w:sz="0" w:space="0" w:color="auto"/>
        <w:right w:val="none" w:sz="0" w:space="0" w:color="auto"/>
      </w:divBdr>
    </w:div>
    <w:div w:id="228344862">
      <w:bodyDiv w:val="1"/>
      <w:marLeft w:val="0"/>
      <w:marRight w:val="0"/>
      <w:marTop w:val="0"/>
      <w:marBottom w:val="0"/>
      <w:divBdr>
        <w:top w:val="none" w:sz="0" w:space="0" w:color="auto"/>
        <w:left w:val="none" w:sz="0" w:space="0" w:color="auto"/>
        <w:bottom w:val="none" w:sz="0" w:space="0" w:color="auto"/>
        <w:right w:val="none" w:sz="0" w:space="0" w:color="auto"/>
      </w:divBdr>
    </w:div>
    <w:div w:id="231039314">
      <w:bodyDiv w:val="1"/>
      <w:marLeft w:val="0"/>
      <w:marRight w:val="0"/>
      <w:marTop w:val="0"/>
      <w:marBottom w:val="0"/>
      <w:divBdr>
        <w:top w:val="none" w:sz="0" w:space="0" w:color="auto"/>
        <w:left w:val="none" w:sz="0" w:space="0" w:color="auto"/>
        <w:bottom w:val="none" w:sz="0" w:space="0" w:color="auto"/>
        <w:right w:val="none" w:sz="0" w:space="0" w:color="auto"/>
      </w:divBdr>
    </w:div>
    <w:div w:id="235942960">
      <w:bodyDiv w:val="1"/>
      <w:marLeft w:val="0"/>
      <w:marRight w:val="0"/>
      <w:marTop w:val="0"/>
      <w:marBottom w:val="0"/>
      <w:divBdr>
        <w:top w:val="none" w:sz="0" w:space="0" w:color="auto"/>
        <w:left w:val="none" w:sz="0" w:space="0" w:color="auto"/>
        <w:bottom w:val="none" w:sz="0" w:space="0" w:color="auto"/>
        <w:right w:val="none" w:sz="0" w:space="0" w:color="auto"/>
      </w:divBdr>
    </w:div>
    <w:div w:id="249898041">
      <w:bodyDiv w:val="1"/>
      <w:marLeft w:val="0"/>
      <w:marRight w:val="0"/>
      <w:marTop w:val="0"/>
      <w:marBottom w:val="0"/>
      <w:divBdr>
        <w:top w:val="none" w:sz="0" w:space="0" w:color="auto"/>
        <w:left w:val="none" w:sz="0" w:space="0" w:color="auto"/>
        <w:bottom w:val="none" w:sz="0" w:space="0" w:color="auto"/>
        <w:right w:val="none" w:sz="0" w:space="0" w:color="auto"/>
      </w:divBdr>
    </w:div>
    <w:div w:id="251160973">
      <w:bodyDiv w:val="1"/>
      <w:marLeft w:val="0"/>
      <w:marRight w:val="0"/>
      <w:marTop w:val="0"/>
      <w:marBottom w:val="0"/>
      <w:divBdr>
        <w:top w:val="none" w:sz="0" w:space="0" w:color="auto"/>
        <w:left w:val="none" w:sz="0" w:space="0" w:color="auto"/>
        <w:bottom w:val="none" w:sz="0" w:space="0" w:color="auto"/>
        <w:right w:val="none" w:sz="0" w:space="0" w:color="auto"/>
      </w:divBdr>
    </w:div>
    <w:div w:id="253783275">
      <w:bodyDiv w:val="1"/>
      <w:marLeft w:val="0"/>
      <w:marRight w:val="0"/>
      <w:marTop w:val="0"/>
      <w:marBottom w:val="0"/>
      <w:divBdr>
        <w:top w:val="none" w:sz="0" w:space="0" w:color="auto"/>
        <w:left w:val="none" w:sz="0" w:space="0" w:color="auto"/>
        <w:bottom w:val="none" w:sz="0" w:space="0" w:color="auto"/>
        <w:right w:val="none" w:sz="0" w:space="0" w:color="auto"/>
      </w:divBdr>
    </w:div>
    <w:div w:id="260529430">
      <w:bodyDiv w:val="1"/>
      <w:marLeft w:val="0"/>
      <w:marRight w:val="0"/>
      <w:marTop w:val="0"/>
      <w:marBottom w:val="0"/>
      <w:divBdr>
        <w:top w:val="none" w:sz="0" w:space="0" w:color="auto"/>
        <w:left w:val="none" w:sz="0" w:space="0" w:color="auto"/>
        <w:bottom w:val="none" w:sz="0" w:space="0" w:color="auto"/>
        <w:right w:val="none" w:sz="0" w:space="0" w:color="auto"/>
      </w:divBdr>
    </w:div>
    <w:div w:id="260725458">
      <w:bodyDiv w:val="1"/>
      <w:marLeft w:val="0"/>
      <w:marRight w:val="0"/>
      <w:marTop w:val="0"/>
      <w:marBottom w:val="0"/>
      <w:divBdr>
        <w:top w:val="none" w:sz="0" w:space="0" w:color="auto"/>
        <w:left w:val="none" w:sz="0" w:space="0" w:color="auto"/>
        <w:bottom w:val="none" w:sz="0" w:space="0" w:color="auto"/>
        <w:right w:val="none" w:sz="0" w:space="0" w:color="auto"/>
      </w:divBdr>
    </w:div>
    <w:div w:id="266888100">
      <w:bodyDiv w:val="1"/>
      <w:marLeft w:val="0"/>
      <w:marRight w:val="0"/>
      <w:marTop w:val="0"/>
      <w:marBottom w:val="0"/>
      <w:divBdr>
        <w:top w:val="none" w:sz="0" w:space="0" w:color="auto"/>
        <w:left w:val="none" w:sz="0" w:space="0" w:color="auto"/>
        <w:bottom w:val="none" w:sz="0" w:space="0" w:color="auto"/>
        <w:right w:val="none" w:sz="0" w:space="0" w:color="auto"/>
      </w:divBdr>
    </w:div>
    <w:div w:id="267734202">
      <w:bodyDiv w:val="1"/>
      <w:marLeft w:val="0"/>
      <w:marRight w:val="0"/>
      <w:marTop w:val="0"/>
      <w:marBottom w:val="0"/>
      <w:divBdr>
        <w:top w:val="none" w:sz="0" w:space="0" w:color="auto"/>
        <w:left w:val="none" w:sz="0" w:space="0" w:color="auto"/>
        <w:bottom w:val="none" w:sz="0" w:space="0" w:color="auto"/>
        <w:right w:val="none" w:sz="0" w:space="0" w:color="auto"/>
      </w:divBdr>
    </w:div>
    <w:div w:id="308023350">
      <w:bodyDiv w:val="1"/>
      <w:marLeft w:val="0"/>
      <w:marRight w:val="0"/>
      <w:marTop w:val="0"/>
      <w:marBottom w:val="0"/>
      <w:divBdr>
        <w:top w:val="none" w:sz="0" w:space="0" w:color="auto"/>
        <w:left w:val="none" w:sz="0" w:space="0" w:color="auto"/>
        <w:bottom w:val="none" w:sz="0" w:space="0" w:color="auto"/>
        <w:right w:val="none" w:sz="0" w:space="0" w:color="auto"/>
      </w:divBdr>
    </w:div>
    <w:div w:id="338971385">
      <w:bodyDiv w:val="1"/>
      <w:marLeft w:val="0"/>
      <w:marRight w:val="0"/>
      <w:marTop w:val="0"/>
      <w:marBottom w:val="0"/>
      <w:divBdr>
        <w:top w:val="none" w:sz="0" w:space="0" w:color="auto"/>
        <w:left w:val="none" w:sz="0" w:space="0" w:color="auto"/>
        <w:bottom w:val="none" w:sz="0" w:space="0" w:color="auto"/>
        <w:right w:val="none" w:sz="0" w:space="0" w:color="auto"/>
      </w:divBdr>
    </w:div>
    <w:div w:id="347487336">
      <w:bodyDiv w:val="1"/>
      <w:marLeft w:val="0"/>
      <w:marRight w:val="0"/>
      <w:marTop w:val="0"/>
      <w:marBottom w:val="0"/>
      <w:divBdr>
        <w:top w:val="none" w:sz="0" w:space="0" w:color="auto"/>
        <w:left w:val="none" w:sz="0" w:space="0" w:color="auto"/>
        <w:bottom w:val="none" w:sz="0" w:space="0" w:color="auto"/>
        <w:right w:val="none" w:sz="0" w:space="0" w:color="auto"/>
      </w:divBdr>
    </w:div>
    <w:div w:id="349913314">
      <w:bodyDiv w:val="1"/>
      <w:marLeft w:val="0"/>
      <w:marRight w:val="0"/>
      <w:marTop w:val="0"/>
      <w:marBottom w:val="0"/>
      <w:divBdr>
        <w:top w:val="none" w:sz="0" w:space="0" w:color="auto"/>
        <w:left w:val="none" w:sz="0" w:space="0" w:color="auto"/>
        <w:bottom w:val="none" w:sz="0" w:space="0" w:color="auto"/>
        <w:right w:val="none" w:sz="0" w:space="0" w:color="auto"/>
      </w:divBdr>
    </w:div>
    <w:div w:id="357582568">
      <w:bodyDiv w:val="1"/>
      <w:marLeft w:val="0"/>
      <w:marRight w:val="0"/>
      <w:marTop w:val="0"/>
      <w:marBottom w:val="0"/>
      <w:divBdr>
        <w:top w:val="none" w:sz="0" w:space="0" w:color="auto"/>
        <w:left w:val="none" w:sz="0" w:space="0" w:color="auto"/>
        <w:bottom w:val="none" w:sz="0" w:space="0" w:color="auto"/>
        <w:right w:val="none" w:sz="0" w:space="0" w:color="auto"/>
      </w:divBdr>
    </w:div>
    <w:div w:id="358433679">
      <w:bodyDiv w:val="1"/>
      <w:marLeft w:val="0"/>
      <w:marRight w:val="0"/>
      <w:marTop w:val="0"/>
      <w:marBottom w:val="0"/>
      <w:divBdr>
        <w:top w:val="none" w:sz="0" w:space="0" w:color="auto"/>
        <w:left w:val="none" w:sz="0" w:space="0" w:color="auto"/>
        <w:bottom w:val="none" w:sz="0" w:space="0" w:color="auto"/>
        <w:right w:val="none" w:sz="0" w:space="0" w:color="auto"/>
      </w:divBdr>
    </w:div>
    <w:div w:id="370037995">
      <w:bodyDiv w:val="1"/>
      <w:marLeft w:val="0"/>
      <w:marRight w:val="0"/>
      <w:marTop w:val="0"/>
      <w:marBottom w:val="0"/>
      <w:divBdr>
        <w:top w:val="none" w:sz="0" w:space="0" w:color="auto"/>
        <w:left w:val="none" w:sz="0" w:space="0" w:color="auto"/>
        <w:bottom w:val="none" w:sz="0" w:space="0" w:color="auto"/>
        <w:right w:val="none" w:sz="0" w:space="0" w:color="auto"/>
      </w:divBdr>
    </w:div>
    <w:div w:id="370424642">
      <w:bodyDiv w:val="1"/>
      <w:marLeft w:val="0"/>
      <w:marRight w:val="0"/>
      <w:marTop w:val="0"/>
      <w:marBottom w:val="0"/>
      <w:divBdr>
        <w:top w:val="none" w:sz="0" w:space="0" w:color="auto"/>
        <w:left w:val="none" w:sz="0" w:space="0" w:color="auto"/>
        <w:bottom w:val="none" w:sz="0" w:space="0" w:color="auto"/>
        <w:right w:val="none" w:sz="0" w:space="0" w:color="auto"/>
      </w:divBdr>
    </w:div>
    <w:div w:id="386804620">
      <w:bodyDiv w:val="1"/>
      <w:marLeft w:val="0"/>
      <w:marRight w:val="0"/>
      <w:marTop w:val="0"/>
      <w:marBottom w:val="0"/>
      <w:divBdr>
        <w:top w:val="none" w:sz="0" w:space="0" w:color="auto"/>
        <w:left w:val="none" w:sz="0" w:space="0" w:color="auto"/>
        <w:bottom w:val="none" w:sz="0" w:space="0" w:color="auto"/>
        <w:right w:val="none" w:sz="0" w:space="0" w:color="auto"/>
      </w:divBdr>
    </w:div>
    <w:div w:id="421410534">
      <w:bodyDiv w:val="1"/>
      <w:marLeft w:val="0"/>
      <w:marRight w:val="0"/>
      <w:marTop w:val="0"/>
      <w:marBottom w:val="0"/>
      <w:divBdr>
        <w:top w:val="none" w:sz="0" w:space="0" w:color="auto"/>
        <w:left w:val="none" w:sz="0" w:space="0" w:color="auto"/>
        <w:bottom w:val="none" w:sz="0" w:space="0" w:color="auto"/>
        <w:right w:val="none" w:sz="0" w:space="0" w:color="auto"/>
      </w:divBdr>
    </w:div>
    <w:div w:id="424808251">
      <w:bodyDiv w:val="1"/>
      <w:marLeft w:val="0"/>
      <w:marRight w:val="0"/>
      <w:marTop w:val="0"/>
      <w:marBottom w:val="0"/>
      <w:divBdr>
        <w:top w:val="none" w:sz="0" w:space="0" w:color="auto"/>
        <w:left w:val="none" w:sz="0" w:space="0" w:color="auto"/>
        <w:bottom w:val="none" w:sz="0" w:space="0" w:color="auto"/>
        <w:right w:val="none" w:sz="0" w:space="0" w:color="auto"/>
      </w:divBdr>
    </w:div>
    <w:div w:id="429274283">
      <w:bodyDiv w:val="1"/>
      <w:marLeft w:val="0"/>
      <w:marRight w:val="0"/>
      <w:marTop w:val="0"/>
      <w:marBottom w:val="0"/>
      <w:divBdr>
        <w:top w:val="none" w:sz="0" w:space="0" w:color="auto"/>
        <w:left w:val="none" w:sz="0" w:space="0" w:color="auto"/>
        <w:bottom w:val="none" w:sz="0" w:space="0" w:color="auto"/>
        <w:right w:val="none" w:sz="0" w:space="0" w:color="auto"/>
      </w:divBdr>
    </w:div>
    <w:div w:id="451442650">
      <w:bodyDiv w:val="1"/>
      <w:marLeft w:val="0"/>
      <w:marRight w:val="0"/>
      <w:marTop w:val="0"/>
      <w:marBottom w:val="0"/>
      <w:divBdr>
        <w:top w:val="none" w:sz="0" w:space="0" w:color="auto"/>
        <w:left w:val="none" w:sz="0" w:space="0" w:color="auto"/>
        <w:bottom w:val="none" w:sz="0" w:space="0" w:color="auto"/>
        <w:right w:val="none" w:sz="0" w:space="0" w:color="auto"/>
      </w:divBdr>
    </w:div>
    <w:div w:id="456411865">
      <w:bodyDiv w:val="1"/>
      <w:marLeft w:val="0"/>
      <w:marRight w:val="0"/>
      <w:marTop w:val="0"/>
      <w:marBottom w:val="0"/>
      <w:divBdr>
        <w:top w:val="none" w:sz="0" w:space="0" w:color="auto"/>
        <w:left w:val="none" w:sz="0" w:space="0" w:color="auto"/>
        <w:bottom w:val="none" w:sz="0" w:space="0" w:color="auto"/>
        <w:right w:val="none" w:sz="0" w:space="0" w:color="auto"/>
      </w:divBdr>
    </w:div>
    <w:div w:id="458883217">
      <w:bodyDiv w:val="1"/>
      <w:marLeft w:val="0"/>
      <w:marRight w:val="0"/>
      <w:marTop w:val="0"/>
      <w:marBottom w:val="0"/>
      <w:divBdr>
        <w:top w:val="none" w:sz="0" w:space="0" w:color="auto"/>
        <w:left w:val="none" w:sz="0" w:space="0" w:color="auto"/>
        <w:bottom w:val="none" w:sz="0" w:space="0" w:color="auto"/>
        <w:right w:val="none" w:sz="0" w:space="0" w:color="auto"/>
      </w:divBdr>
    </w:div>
    <w:div w:id="475267203">
      <w:bodyDiv w:val="1"/>
      <w:marLeft w:val="0"/>
      <w:marRight w:val="0"/>
      <w:marTop w:val="0"/>
      <w:marBottom w:val="0"/>
      <w:divBdr>
        <w:top w:val="none" w:sz="0" w:space="0" w:color="auto"/>
        <w:left w:val="none" w:sz="0" w:space="0" w:color="auto"/>
        <w:bottom w:val="none" w:sz="0" w:space="0" w:color="auto"/>
        <w:right w:val="none" w:sz="0" w:space="0" w:color="auto"/>
      </w:divBdr>
    </w:div>
    <w:div w:id="480512255">
      <w:bodyDiv w:val="1"/>
      <w:marLeft w:val="0"/>
      <w:marRight w:val="0"/>
      <w:marTop w:val="0"/>
      <w:marBottom w:val="0"/>
      <w:divBdr>
        <w:top w:val="none" w:sz="0" w:space="0" w:color="auto"/>
        <w:left w:val="none" w:sz="0" w:space="0" w:color="auto"/>
        <w:bottom w:val="none" w:sz="0" w:space="0" w:color="auto"/>
        <w:right w:val="none" w:sz="0" w:space="0" w:color="auto"/>
      </w:divBdr>
    </w:div>
    <w:div w:id="502473833">
      <w:bodyDiv w:val="1"/>
      <w:marLeft w:val="0"/>
      <w:marRight w:val="0"/>
      <w:marTop w:val="0"/>
      <w:marBottom w:val="0"/>
      <w:divBdr>
        <w:top w:val="none" w:sz="0" w:space="0" w:color="auto"/>
        <w:left w:val="none" w:sz="0" w:space="0" w:color="auto"/>
        <w:bottom w:val="none" w:sz="0" w:space="0" w:color="auto"/>
        <w:right w:val="none" w:sz="0" w:space="0" w:color="auto"/>
      </w:divBdr>
    </w:div>
    <w:div w:id="517040384">
      <w:bodyDiv w:val="1"/>
      <w:marLeft w:val="0"/>
      <w:marRight w:val="0"/>
      <w:marTop w:val="0"/>
      <w:marBottom w:val="0"/>
      <w:divBdr>
        <w:top w:val="none" w:sz="0" w:space="0" w:color="auto"/>
        <w:left w:val="none" w:sz="0" w:space="0" w:color="auto"/>
        <w:bottom w:val="none" w:sz="0" w:space="0" w:color="auto"/>
        <w:right w:val="none" w:sz="0" w:space="0" w:color="auto"/>
      </w:divBdr>
    </w:div>
    <w:div w:id="518349637">
      <w:bodyDiv w:val="1"/>
      <w:marLeft w:val="0"/>
      <w:marRight w:val="0"/>
      <w:marTop w:val="0"/>
      <w:marBottom w:val="0"/>
      <w:divBdr>
        <w:top w:val="none" w:sz="0" w:space="0" w:color="auto"/>
        <w:left w:val="none" w:sz="0" w:space="0" w:color="auto"/>
        <w:bottom w:val="none" w:sz="0" w:space="0" w:color="auto"/>
        <w:right w:val="none" w:sz="0" w:space="0" w:color="auto"/>
      </w:divBdr>
    </w:div>
    <w:div w:id="524831689">
      <w:bodyDiv w:val="1"/>
      <w:marLeft w:val="0"/>
      <w:marRight w:val="0"/>
      <w:marTop w:val="0"/>
      <w:marBottom w:val="0"/>
      <w:divBdr>
        <w:top w:val="none" w:sz="0" w:space="0" w:color="auto"/>
        <w:left w:val="none" w:sz="0" w:space="0" w:color="auto"/>
        <w:bottom w:val="none" w:sz="0" w:space="0" w:color="auto"/>
        <w:right w:val="none" w:sz="0" w:space="0" w:color="auto"/>
      </w:divBdr>
    </w:div>
    <w:div w:id="529609470">
      <w:bodyDiv w:val="1"/>
      <w:marLeft w:val="0"/>
      <w:marRight w:val="0"/>
      <w:marTop w:val="0"/>
      <w:marBottom w:val="0"/>
      <w:divBdr>
        <w:top w:val="none" w:sz="0" w:space="0" w:color="auto"/>
        <w:left w:val="none" w:sz="0" w:space="0" w:color="auto"/>
        <w:bottom w:val="none" w:sz="0" w:space="0" w:color="auto"/>
        <w:right w:val="none" w:sz="0" w:space="0" w:color="auto"/>
      </w:divBdr>
    </w:div>
    <w:div w:id="539784984">
      <w:bodyDiv w:val="1"/>
      <w:marLeft w:val="0"/>
      <w:marRight w:val="0"/>
      <w:marTop w:val="0"/>
      <w:marBottom w:val="0"/>
      <w:divBdr>
        <w:top w:val="none" w:sz="0" w:space="0" w:color="auto"/>
        <w:left w:val="none" w:sz="0" w:space="0" w:color="auto"/>
        <w:bottom w:val="none" w:sz="0" w:space="0" w:color="auto"/>
        <w:right w:val="none" w:sz="0" w:space="0" w:color="auto"/>
      </w:divBdr>
    </w:div>
    <w:div w:id="547567506">
      <w:bodyDiv w:val="1"/>
      <w:marLeft w:val="0"/>
      <w:marRight w:val="0"/>
      <w:marTop w:val="0"/>
      <w:marBottom w:val="0"/>
      <w:divBdr>
        <w:top w:val="none" w:sz="0" w:space="0" w:color="auto"/>
        <w:left w:val="none" w:sz="0" w:space="0" w:color="auto"/>
        <w:bottom w:val="none" w:sz="0" w:space="0" w:color="auto"/>
        <w:right w:val="none" w:sz="0" w:space="0" w:color="auto"/>
      </w:divBdr>
    </w:div>
    <w:div w:id="557323039">
      <w:bodyDiv w:val="1"/>
      <w:marLeft w:val="0"/>
      <w:marRight w:val="0"/>
      <w:marTop w:val="0"/>
      <w:marBottom w:val="0"/>
      <w:divBdr>
        <w:top w:val="none" w:sz="0" w:space="0" w:color="auto"/>
        <w:left w:val="none" w:sz="0" w:space="0" w:color="auto"/>
        <w:bottom w:val="none" w:sz="0" w:space="0" w:color="auto"/>
        <w:right w:val="none" w:sz="0" w:space="0" w:color="auto"/>
      </w:divBdr>
    </w:div>
    <w:div w:id="595090230">
      <w:bodyDiv w:val="1"/>
      <w:marLeft w:val="0"/>
      <w:marRight w:val="0"/>
      <w:marTop w:val="0"/>
      <w:marBottom w:val="0"/>
      <w:divBdr>
        <w:top w:val="none" w:sz="0" w:space="0" w:color="auto"/>
        <w:left w:val="none" w:sz="0" w:space="0" w:color="auto"/>
        <w:bottom w:val="none" w:sz="0" w:space="0" w:color="auto"/>
        <w:right w:val="none" w:sz="0" w:space="0" w:color="auto"/>
      </w:divBdr>
    </w:div>
    <w:div w:id="595792370">
      <w:bodyDiv w:val="1"/>
      <w:marLeft w:val="0"/>
      <w:marRight w:val="0"/>
      <w:marTop w:val="0"/>
      <w:marBottom w:val="0"/>
      <w:divBdr>
        <w:top w:val="none" w:sz="0" w:space="0" w:color="auto"/>
        <w:left w:val="none" w:sz="0" w:space="0" w:color="auto"/>
        <w:bottom w:val="none" w:sz="0" w:space="0" w:color="auto"/>
        <w:right w:val="none" w:sz="0" w:space="0" w:color="auto"/>
      </w:divBdr>
    </w:div>
    <w:div w:id="602231792">
      <w:bodyDiv w:val="1"/>
      <w:marLeft w:val="0"/>
      <w:marRight w:val="0"/>
      <w:marTop w:val="0"/>
      <w:marBottom w:val="0"/>
      <w:divBdr>
        <w:top w:val="none" w:sz="0" w:space="0" w:color="auto"/>
        <w:left w:val="none" w:sz="0" w:space="0" w:color="auto"/>
        <w:bottom w:val="none" w:sz="0" w:space="0" w:color="auto"/>
        <w:right w:val="none" w:sz="0" w:space="0" w:color="auto"/>
      </w:divBdr>
    </w:div>
    <w:div w:id="619193230">
      <w:bodyDiv w:val="1"/>
      <w:marLeft w:val="0"/>
      <w:marRight w:val="0"/>
      <w:marTop w:val="0"/>
      <w:marBottom w:val="0"/>
      <w:divBdr>
        <w:top w:val="none" w:sz="0" w:space="0" w:color="auto"/>
        <w:left w:val="none" w:sz="0" w:space="0" w:color="auto"/>
        <w:bottom w:val="none" w:sz="0" w:space="0" w:color="auto"/>
        <w:right w:val="none" w:sz="0" w:space="0" w:color="auto"/>
      </w:divBdr>
    </w:div>
    <w:div w:id="622689792">
      <w:bodyDiv w:val="1"/>
      <w:marLeft w:val="0"/>
      <w:marRight w:val="0"/>
      <w:marTop w:val="0"/>
      <w:marBottom w:val="0"/>
      <w:divBdr>
        <w:top w:val="none" w:sz="0" w:space="0" w:color="auto"/>
        <w:left w:val="none" w:sz="0" w:space="0" w:color="auto"/>
        <w:bottom w:val="none" w:sz="0" w:space="0" w:color="auto"/>
        <w:right w:val="none" w:sz="0" w:space="0" w:color="auto"/>
      </w:divBdr>
    </w:div>
    <w:div w:id="644507565">
      <w:bodyDiv w:val="1"/>
      <w:marLeft w:val="0"/>
      <w:marRight w:val="0"/>
      <w:marTop w:val="0"/>
      <w:marBottom w:val="0"/>
      <w:divBdr>
        <w:top w:val="none" w:sz="0" w:space="0" w:color="auto"/>
        <w:left w:val="none" w:sz="0" w:space="0" w:color="auto"/>
        <w:bottom w:val="none" w:sz="0" w:space="0" w:color="auto"/>
        <w:right w:val="none" w:sz="0" w:space="0" w:color="auto"/>
      </w:divBdr>
    </w:div>
    <w:div w:id="656420596">
      <w:bodyDiv w:val="1"/>
      <w:marLeft w:val="0"/>
      <w:marRight w:val="0"/>
      <w:marTop w:val="0"/>
      <w:marBottom w:val="0"/>
      <w:divBdr>
        <w:top w:val="none" w:sz="0" w:space="0" w:color="auto"/>
        <w:left w:val="none" w:sz="0" w:space="0" w:color="auto"/>
        <w:bottom w:val="none" w:sz="0" w:space="0" w:color="auto"/>
        <w:right w:val="none" w:sz="0" w:space="0" w:color="auto"/>
      </w:divBdr>
    </w:div>
    <w:div w:id="659891079">
      <w:bodyDiv w:val="1"/>
      <w:marLeft w:val="0"/>
      <w:marRight w:val="0"/>
      <w:marTop w:val="0"/>
      <w:marBottom w:val="0"/>
      <w:divBdr>
        <w:top w:val="none" w:sz="0" w:space="0" w:color="auto"/>
        <w:left w:val="none" w:sz="0" w:space="0" w:color="auto"/>
        <w:bottom w:val="none" w:sz="0" w:space="0" w:color="auto"/>
        <w:right w:val="none" w:sz="0" w:space="0" w:color="auto"/>
      </w:divBdr>
    </w:div>
    <w:div w:id="672076474">
      <w:bodyDiv w:val="1"/>
      <w:marLeft w:val="0"/>
      <w:marRight w:val="0"/>
      <w:marTop w:val="0"/>
      <w:marBottom w:val="0"/>
      <w:divBdr>
        <w:top w:val="none" w:sz="0" w:space="0" w:color="auto"/>
        <w:left w:val="none" w:sz="0" w:space="0" w:color="auto"/>
        <w:bottom w:val="none" w:sz="0" w:space="0" w:color="auto"/>
        <w:right w:val="none" w:sz="0" w:space="0" w:color="auto"/>
      </w:divBdr>
    </w:div>
    <w:div w:id="673726703">
      <w:bodyDiv w:val="1"/>
      <w:marLeft w:val="0"/>
      <w:marRight w:val="0"/>
      <w:marTop w:val="0"/>
      <w:marBottom w:val="0"/>
      <w:divBdr>
        <w:top w:val="none" w:sz="0" w:space="0" w:color="auto"/>
        <w:left w:val="none" w:sz="0" w:space="0" w:color="auto"/>
        <w:bottom w:val="none" w:sz="0" w:space="0" w:color="auto"/>
        <w:right w:val="none" w:sz="0" w:space="0" w:color="auto"/>
      </w:divBdr>
    </w:div>
    <w:div w:id="680084819">
      <w:bodyDiv w:val="1"/>
      <w:marLeft w:val="0"/>
      <w:marRight w:val="0"/>
      <w:marTop w:val="0"/>
      <w:marBottom w:val="0"/>
      <w:divBdr>
        <w:top w:val="none" w:sz="0" w:space="0" w:color="auto"/>
        <w:left w:val="none" w:sz="0" w:space="0" w:color="auto"/>
        <w:bottom w:val="none" w:sz="0" w:space="0" w:color="auto"/>
        <w:right w:val="none" w:sz="0" w:space="0" w:color="auto"/>
      </w:divBdr>
    </w:div>
    <w:div w:id="697435397">
      <w:bodyDiv w:val="1"/>
      <w:marLeft w:val="0"/>
      <w:marRight w:val="0"/>
      <w:marTop w:val="0"/>
      <w:marBottom w:val="0"/>
      <w:divBdr>
        <w:top w:val="none" w:sz="0" w:space="0" w:color="auto"/>
        <w:left w:val="none" w:sz="0" w:space="0" w:color="auto"/>
        <w:bottom w:val="none" w:sz="0" w:space="0" w:color="auto"/>
        <w:right w:val="none" w:sz="0" w:space="0" w:color="auto"/>
      </w:divBdr>
    </w:div>
    <w:div w:id="699817592">
      <w:bodyDiv w:val="1"/>
      <w:marLeft w:val="0"/>
      <w:marRight w:val="0"/>
      <w:marTop w:val="0"/>
      <w:marBottom w:val="0"/>
      <w:divBdr>
        <w:top w:val="none" w:sz="0" w:space="0" w:color="auto"/>
        <w:left w:val="none" w:sz="0" w:space="0" w:color="auto"/>
        <w:bottom w:val="none" w:sz="0" w:space="0" w:color="auto"/>
        <w:right w:val="none" w:sz="0" w:space="0" w:color="auto"/>
      </w:divBdr>
    </w:div>
    <w:div w:id="701131100">
      <w:bodyDiv w:val="1"/>
      <w:marLeft w:val="0"/>
      <w:marRight w:val="0"/>
      <w:marTop w:val="0"/>
      <w:marBottom w:val="0"/>
      <w:divBdr>
        <w:top w:val="none" w:sz="0" w:space="0" w:color="auto"/>
        <w:left w:val="none" w:sz="0" w:space="0" w:color="auto"/>
        <w:bottom w:val="none" w:sz="0" w:space="0" w:color="auto"/>
        <w:right w:val="none" w:sz="0" w:space="0" w:color="auto"/>
      </w:divBdr>
    </w:div>
    <w:div w:id="706298604">
      <w:bodyDiv w:val="1"/>
      <w:marLeft w:val="0"/>
      <w:marRight w:val="0"/>
      <w:marTop w:val="0"/>
      <w:marBottom w:val="0"/>
      <w:divBdr>
        <w:top w:val="none" w:sz="0" w:space="0" w:color="auto"/>
        <w:left w:val="none" w:sz="0" w:space="0" w:color="auto"/>
        <w:bottom w:val="none" w:sz="0" w:space="0" w:color="auto"/>
        <w:right w:val="none" w:sz="0" w:space="0" w:color="auto"/>
      </w:divBdr>
    </w:div>
    <w:div w:id="706949282">
      <w:bodyDiv w:val="1"/>
      <w:marLeft w:val="0"/>
      <w:marRight w:val="0"/>
      <w:marTop w:val="0"/>
      <w:marBottom w:val="0"/>
      <w:divBdr>
        <w:top w:val="none" w:sz="0" w:space="0" w:color="auto"/>
        <w:left w:val="none" w:sz="0" w:space="0" w:color="auto"/>
        <w:bottom w:val="none" w:sz="0" w:space="0" w:color="auto"/>
        <w:right w:val="none" w:sz="0" w:space="0" w:color="auto"/>
      </w:divBdr>
    </w:div>
    <w:div w:id="712196404">
      <w:bodyDiv w:val="1"/>
      <w:marLeft w:val="0"/>
      <w:marRight w:val="0"/>
      <w:marTop w:val="0"/>
      <w:marBottom w:val="0"/>
      <w:divBdr>
        <w:top w:val="none" w:sz="0" w:space="0" w:color="auto"/>
        <w:left w:val="none" w:sz="0" w:space="0" w:color="auto"/>
        <w:bottom w:val="none" w:sz="0" w:space="0" w:color="auto"/>
        <w:right w:val="none" w:sz="0" w:space="0" w:color="auto"/>
      </w:divBdr>
    </w:div>
    <w:div w:id="726757373">
      <w:bodyDiv w:val="1"/>
      <w:marLeft w:val="0"/>
      <w:marRight w:val="0"/>
      <w:marTop w:val="0"/>
      <w:marBottom w:val="0"/>
      <w:divBdr>
        <w:top w:val="none" w:sz="0" w:space="0" w:color="auto"/>
        <w:left w:val="none" w:sz="0" w:space="0" w:color="auto"/>
        <w:bottom w:val="none" w:sz="0" w:space="0" w:color="auto"/>
        <w:right w:val="none" w:sz="0" w:space="0" w:color="auto"/>
      </w:divBdr>
    </w:div>
    <w:div w:id="734089803">
      <w:bodyDiv w:val="1"/>
      <w:marLeft w:val="0"/>
      <w:marRight w:val="0"/>
      <w:marTop w:val="0"/>
      <w:marBottom w:val="0"/>
      <w:divBdr>
        <w:top w:val="none" w:sz="0" w:space="0" w:color="auto"/>
        <w:left w:val="none" w:sz="0" w:space="0" w:color="auto"/>
        <w:bottom w:val="none" w:sz="0" w:space="0" w:color="auto"/>
        <w:right w:val="none" w:sz="0" w:space="0" w:color="auto"/>
      </w:divBdr>
    </w:div>
    <w:div w:id="738555676">
      <w:bodyDiv w:val="1"/>
      <w:marLeft w:val="0"/>
      <w:marRight w:val="0"/>
      <w:marTop w:val="0"/>
      <w:marBottom w:val="0"/>
      <w:divBdr>
        <w:top w:val="none" w:sz="0" w:space="0" w:color="auto"/>
        <w:left w:val="none" w:sz="0" w:space="0" w:color="auto"/>
        <w:bottom w:val="none" w:sz="0" w:space="0" w:color="auto"/>
        <w:right w:val="none" w:sz="0" w:space="0" w:color="auto"/>
      </w:divBdr>
    </w:div>
    <w:div w:id="743112978">
      <w:bodyDiv w:val="1"/>
      <w:marLeft w:val="0"/>
      <w:marRight w:val="0"/>
      <w:marTop w:val="0"/>
      <w:marBottom w:val="0"/>
      <w:divBdr>
        <w:top w:val="none" w:sz="0" w:space="0" w:color="auto"/>
        <w:left w:val="none" w:sz="0" w:space="0" w:color="auto"/>
        <w:bottom w:val="none" w:sz="0" w:space="0" w:color="auto"/>
        <w:right w:val="none" w:sz="0" w:space="0" w:color="auto"/>
      </w:divBdr>
    </w:div>
    <w:div w:id="773289850">
      <w:bodyDiv w:val="1"/>
      <w:marLeft w:val="0"/>
      <w:marRight w:val="0"/>
      <w:marTop w:val="0"/>
      <w:marBottom w:val="0"/>
      <w:divBdr>
        <w:top w:val="none" w:sz="0" w:space="0" w:color="auto"/>
        <w:left w:val="none" w:sz="0" w:space="0" w:color="auto"/>
        <w:bottom w:val="none" w:sz="0" w:space="0" w:color="auto"/>
        <w:right w:val="none" w:sz="0" w:space="0" w:color="auto"/>
      </w:divBdr>
    </w:div>
    <w:div w:id="794443101">
      <w:bodyDiv w:val="1"/>
      <w:marLeft w:val="0"/>
      <w:marRight w:val="0"/>
      <w:marTop w:val="0"/>
      <w:marBottom w:val="0"/>
      <w:divBdr>
        <w:top w:val="none" w:sz="0" w:space="0" w:color="auto"/>
        <w:left w:val="none" w:sz="0" w:space="0" w:color="auto"/>
        <w:bottom w:val="none" w:sz="0" w:space="0" w:color="auto"/>
        <w:right w:val="none" w:sz="0" w:space="0" w:color="auto"/>
      </w:divBdr>
    </w:div>
    <w:div w:id="794905802">
      <w:bodyDiv w:val="1"/>
      <w:marLeft w:val="0"/>
      <w:marRight w:val="0"/>
      <w:marTop w:val="0"/>
      <w:marBottom w:val="0"/>
      <w:divBdr>
        <w:top w:val="none" w:sz="0" w:space="0" w:color="auto"/>
        <w:left w:val="none" w:sz="0" w:space="0" w:color="auto"/>
        <w:bottom w:val="none" w:sz="0" w:space="0" w:color="auto"/>
        <w:right w:val="none" w:sz="0" w:space="0" w:color="auto"/>
      </w:divBdr>
    </w:div>
    <w:div w:id="798106812">
      <w:bodyDiv w:val="1"/>
      <w:marLeft w:val="0"/>
      <w:marRight w:val="0"/>
      <w:marTop w:val="0"/>
      <w:marBottom w:val="0"/>
      <w:divBdr>
        <w:top w:val="none" w:sz="0" w:space="0" w:color="auto"/>
        <w:left w:val="none" w:sz="0" w:space="0" w:color="auto"/>
        <w:bottom w:val="none" w:sz="0" w:space="0" w:color="auto"/>
        <w:right w:val="none" w:sz="0" w:space="0" w:color="auto"/>
      </w:divBdr>
    </w:div>
    <w:div w:id="810758125">
      <w:bodyDiv w:val="1"/>
      <w:marLeft w:val="0"/>
      <w:marRight w:val="0"/>
      <w:marTop w:val="0"/>
      <w:marBottom w:val="0"/>
      <w:divBdr>
        <w:top w:val="none" w:sz="0" w:space="0" w:color="auto"/>
        <w:left w:val="none" w:sz="0" w:space="0" w:color="auto"/>
        <w:bottom w:val="none" w:sz="0" w:space="0" w:color="auto"/>
        <w:right w:val="none" w:sz="0" w:space="0" w:color="auto"/>
      </w:divBdr>
    </w:div>
    <w:div w:id="818109191">
      <w:bodyDiv w:val="1"/>
      <w:marLeft w:val="0"/>
      <w:marRight w:val="0"/>
      <w:marTop w:val="0"/>
      <w:marBottom w:val="0"/>
      <w:divBdr>
        <w:top w:val="none" w:sz="0" w:space="0" w:color="auto"/>
        <w:left w:val="none" w:sz="0" w:space="0" w:color="auto"/>
        <w:bottom w:val="none" w:sz="0" w:space="0" w:color="auto"/>
        <w:right w:val="none" w:sz="0" w:space="0" w:color="auto"/>
      </w:divBdr>
    </w:div>
    <w:div w:id="818155134">
      <w:bodyDiv w:val="1"/>
      <w:marLeft w:val="0"/>
      <w:marRight w:val="0"/>
      <w:marTop w:val="0"/>
      <w:marBottom w:val="0"/>
      <w:divBdr>
        <w:top w:val="none" w:sz="0" w:space="0" w:color="auto"/>
        <w:left w:val="none" w:sz="0" w:space="0" w:color="auto"/>
        <w:bottom w:val="none" w:sz="0" w:space="0" w:color="auto"/>
        <w:right w:val="none" w:sz="0" w:space="0" w:color="auto"/>
      </w:divBdr>
    </w:div>
    <w:div w:id="823006540">
      <w:bodyDiv w:val="1"/>
      <w:marLeft w:val="0"/>
      <w:marRight w:val="0"/>
      <w:marTop w:val="0"/>
      <w:marBottom w:val="0"/>
      <w:divBdr>
        <w:top w:val="none" w:sz="0" w:space="0" w:color="auto"/>
        <w:left w:val="none" w:sz="0" w:space="0" w:color="auto"/>
        <w:bottom w:val="none" w:sz="0" w:space="0" w:color="auto"/>
        <w:right w:val="none" w:sz="0" w:space="0" w:color="auto"/>
      </w:divBdr>
    </w:div>
    <w:div w:id="824902048">
      <w:bodyDiv w:val="1"/>
      <w:marLeft w:val="0"/>
      <w:marRight w:val="0"/>
      <w:marTop w:val="0"/>
      <w:marBottom w:val="0"/>
      <w:divBdr>
        <w:top w:val="none" w:sz="0" w:space="0" w:color="auto"/>
        <w:left w:val="none" w:sz="0" w:space="0" w:color="auto"/>
        <w:bottom w:val="none" w:sz="0" w:space="0" w:color="auto"/>
        <w:right w:val="none" w:sz="0" w:space="0" w:color="auto"/>
      </w:divBdr>
    </w:div>
    <w:div w:id="825320541">
      <w:bodyDiv w:val="1"/>
      <w:marLeft w:val="0"/>
      <w:marRight w:val="0"/>
      <w:marTop w:val="0"/>
      <w:marBottom w:val="0"/>
      <w:divBdr>
        <w:top w:val="none" w:sz="0" w:space="0" w:color="auto"/>
        <w:left w:val="none" w:sz="0" w:space="0" w:color="auto"/>
        <w:bottom w:val="none" w:sz="0" w:space="0" w:color="auto"/>
        <w:right w:val="none" w:sz="0" w:space="0" w:color="auto"/>
      </w:divBdr>
    </w:div>
    <w:div w:id="830634615">
      <w:bodyDiv w:val="1"/>
      <w:marLeft w:val="0"/>
      <w:marRight w:val="0"/>
      <w:marTop w:val="0"/>
      <w:marBottom w:val="0"/>
      <w:divBdr>
        <w:top w:val="none" w:sz="0" w:space="0" w:color="auto"/>
        <w:left w:val="none" w:sz="0" w:space="0" w:color="auto"/>
        <w:bottom w:val="none" w:sz="0" w:space="0" w:color="auto"/>
        <w:right w:val="none" w:sz="0" w:space="0" w:color="auto"/>
      </w:divBdr>
    </w:div>
    <w:div w:id="836924665">
      <w:bodyDiv w:val="1"/>
      <w:marLeft w:val="0"/>
      <w:marRight w:val="0"/>
      <w:marTop w:val="0"/>
      <w:marBottom w:val="0"/>
      <w:divBdr>
        <w:top w:val="none" w:sz="0" w:space="0" w:color="auto"/>
        <w:left w:val="none" w:sz="0" w:space="0" w:color="auto"/>
        <w:bottom w:val="none" w:sz="0" w:space="0" w:color="auto"/>
        <w:right w:val="none" w:sz="0" w:space="0" w:color="auto"/>
      </w:divBdr>
    </w:div>
    <w:div w:id="839732965">
      <w:bodyDiv w:val="1"/>
      <w:marLeft w:val="0"/>
      <w:marRight w:val="0"/>
      <w:marTop w:val="0"/>
      <w:marBottom w:val="0"/>
      <w:divBdr>
        <w:top w:val="none" w:sz="0" w:space="0" w:color="auto"/>
        <w:left w:val="none" w:sz="0" w:space="0" w:color="auto"/>
        <w:bottom w:val="none" w:sz="0" w:space="0" w:color="auto"/>
        <w:right w:val="none" w:sz="0" w:space="0" w:color="auto"/>
      </w:divBdr>
    </w:div>
    <w:div w:id="851064443">
      <w:bodyDiv w:val="1"/>
      <w:marLeft w:val="0"/>
      <w:marRight w:val="0"/>
      <w:marTop w:val="0"/>
      <w:marBottom w:val="0"/>
      <w:divBdr>
        <w:top w:val="none" w:sz="0" w:space="0" w:color="auto"/>
        <w:left w:val="none" w:sz="0" w:space="0" w:color="auto"/>
        <w:bottom w:val="none" w:sz="0" w:space="0" w:color="auto"/>
        <w:right w:val="none" w:sz="0" w:space="0" w:color="auto"/>
      </w:divBdr>
    </w:div>
    <w:div w:id="851065909">
      <w:bodyDiv w:val="1"/>
      <w:marLeft w:val="0"/>
      <w:marRight w:val="0"/>
      <w:marTop w:val="0"/>
      <w:marBottom w:val="0"/>
      <w:divBdr>
        <w:top w:val="none" w:sz="0" w:space="0" w:color="auto"/>
        <w:left w:val="none" w:sz="0" w:space="0" w:color="auto"/>
        <w:bottom w:val="none" w:sz="0" w:space="0" w:color="auto"/>
        <w:right w:val="none" w:sz="0" w:space="0" w:color="auto"/>
      </w:divBdr>
    </w:div>
    <w:div w:id="871305386">
      <w:bodyDiv w:val="1"/>
      <w:marLeft w:val="0"/>
      <w:marRight w:val="0"/>
      <w:marTop w:val="0"/>
      <w:marBottom w:val="0"/>
      <w:divBdr>
        <w:top w:val="none" w:sz="0" w:space="0" w:color="auto"/>
        <w:left w:val="none" w:sz="0" w:space="0" w:color="auto"/>
        <w:bottom w:val="none" w:sz="0" w:space="0" w:color="auto"/>
        <w:right w:val="none" w:sz="0" w:space="0" w:color="auto"/>
      </w:divBdr>
    </w:div>
    <w:div w:id="874855332">
      <w:bodyDiv w:val="1"/>
      <w:marLeft w:val="0"/>
      <w:marRight w:val="0"/>
      <w:marTop w:val="0"/>
      <w:marBottom w:val="0"/>
      <w:divBdr>
        <w:top w:val="none" w:sz="0" w:space="0" w:color="auto"/>
        <w:left w:val="none" w:sz="0" w:space="0" w:color="auto"/>
        <w:bottom w:val="none" w:sz="0" w:space="0" w:color="auto"/>
        <w:right w:val="none" w:sz="0" w:space="0" w:color="auto"/>
      </w:divBdr>
    </w:div>
    <w:div w:id="877355517">
      <w:bodyDiv w:val="1"/>
      <w:marLeft w:val="0"/>
      <w:marRight w:val="0"/>
      <w:marTop w:val="0"/>
      <w:marBottom w:val="0"/>
      <w:divBdr>
        <w:top w:val="none" w:sz="0" w:space="0" w:color="auto"/>
        <w:left w:val="none" w:sz="0" w:space="0" w:color="auto"/>
        <w:bottom w:val="none" w:sz="0" w:space="0" w:color="auto"/>
        <w:right w:val="none" w:sz="0" w:space="0" w:color="auto"/>
      </w:divBdr>
    </w:div>
    <w:div w:id="913395734">
      <w:bodyDiv w:val="1"/>
      <w:marLeft w:val="0"/>
      <w:marRight w:val="0"/>
      <w:marTop w:val="0"/>
      <w:marBottom w:val="0"/>
      <w:divBdr>
        <w:top w:val="none" w:sz="0" w:space="0" w:color="auto"/>
        <w:left w:val="none" w:sz="0" w:space="0" w:color="auto"/>
        <w:bottom w:val="none" w:sz="0" w:space="0" w:color="auto"/>
        <w:right w:val="none" w:sz="0" w:space="0" w:color="auto"/>
      </w:divBdr>
    </w:div>
    <w:div w:id="927077632">
      <w:bodyDiv w:val="1"/>
      <w:marLeft w:val="0"/>
      <w:marRight w:val="0"/>
      <w:marTop w:val="0"/>
      <w:marBottom w:val="0"/>
      <w:divBdr>
        <w:top w:val="none" w:sz="0" w:space="0" w:color="auto"/>
        <w:left w:val="none" w:sz="0" w:space="0" w:color="auto"/>
        <w:bottom w:val="none" w:sz="0" w:space="0" w:color="auto"/>
        <w:right w:val="none" w:sz="0" w:space="0" w:color="auto"/>
      </w:divBdr>
    </w:div>
    <w:div w:id="932205052">
      <w:bodyDiv w:val="1"/>
      <w:marLeft w:val="0"/>
      <w:marRight w:val="0"/>
      <w:marTop w:val="0"/>
      <w:marBottom w:val="0"/>
      <w:divBdr>
        <w:top w:val="none" w:sz="0" w:space="0" w:color="auto"/>
        <w:left w:val="none" w:sz="0" w:space="0" w:color="auto"/>
        <w:bottom w:val="none" w:sz="0" w:space="0" w:color="auto"/>
        <w:right w:val="none" w:sz="0" w:space="0" w:color="auto"/>
      </w:divBdr>
    </w:div>
    <w:div w:id="949817459">
      <w:bodyDiv w:val="1"/>
      <w:marLeft w:val="0"/>
      <w:marRight w:val="0"/>
      <w:marTop w:val="0"/>
      <w:marBottom w:val="0"/>
      <w:divBdr>
        <w:top w:val="none" w:sz="0" w:space="0" w:color="auto"/>
        <w:left w:val="none" w:sz="0" w:space="0" w:color="auto"/>
        <w:bottom w:val="none" w:sz="0" w:space="0" w:color="auto"/>
        <w:right w:val="none" w:sz="0" w:space="0" w:color="auto"/>
      </w:divBdr>
    </w:div>
    <w:div w:id="950429745">
      <w:bodyDiv w:val="1"/>
      <w:marLeft w:val="0"/>
      <w:marRight w:val="0"/>
      <w:marTop w:val="0"/>
      <w:marBottom w:val="0"/>
      <w:divBdr>
        <w:top w:val="none" w:sz="0" w:space="0" w:color="auto"/>
        <w:left w:val="none" w:sz="0" w:space="0" w:color="auto"/>
        <w:bottom w:val="none" w:sz="0" w:space="0" w:color="auto"/>
        <w:right w:val="none" w:sz="0" w:space="0" w:color="auto"/>
      </w:divBdr>
    </w:div>
    <w:div w:id="957108528">
      <w:bodyDiv w:val="1"/>
      <w:marLeft w:val="0"/>
      <w:marRight w:val="0"/>
      <w:marTop w:val="0"/>
      <w:marBottom w:val="0"/>
      <w:divBdr>
        <w:top w:val="none" w:sz="0" w:space="0" w:color="auto"/>
        <w:left w:val="none" w:sz="0" w:space="0" w:color="auto"/>
        <w:bottom w:val="none" w:sz="0" w:space="0" w:color="auto"/>
        <w:right w:val="none" w:sz="0" w:space="0" w:color="auto"/>
      </w:divBdr>
    </w:div>
    <w:div w:id="984243054">
      <w:bodyDiv w:val="1"/>
      <w:marLeft w:val="0"/>
      <w:marRight w:val="0"/>
      <w:marTop w:val="0"/>
      <w:marBottom w:val="0"/>
      <w:divBdr>
        <w:top w:val="none" w:sz="0" w:space="0" w:color="auto"/>
        <w:left w:val="none" w:sz="0" w:space="0" w:color="auto"/>
        <w:bottom w:val="none" w:sz="0" w:space="0" w:color="auto"/>
        <w:right w:val="none" w:sz="0" w:space="0" w:color="auto"/>
      </w:divBdr>
    </w:div>
    <w:div w:id="993873583">
      <w:bodyDiv w:val="1"/>
      <w:marLeft w:val="0"/>
      <w:marRight w:val="0"/>
      <w:marTop w:val="0"/>
      <w:marBottom w:val="0"/>
      <w:divBdr>
        <w:top w:val="none" w:sz="0" w:space="0" w:color="auto"/>
        <w:left w:val="none" w:sz="0" w:space="0" w:color="auto"/>
        <w:bottom w:val="none" w:sz="0" w:space="0" w:color="auto"/>
        <w:right w:val="none" w:sz="0" w:space="0" w:color="auto"/>
      </w:divBdr>
    </w:div>
    <w:div w:id="1001352741">
      <w:bodyDiv w:val="1"/>
      <w:marLeft w:val="0"/>
      <w:marRight w:val="0"/>
      <w:marTop w:val="0"/>
      <w:marBottom w:val="0"/>
      <w:divBdr>
        <w:top w:val="none" w:sz="0" w:space="0" w:color="auto"/>
        <w:left w:val="none" w:sz="0" w:space="0" w:color="auto"/>
        <w:bottom w:val="none" w:sz="0" w:space="0" w:color="auto"/>
        <w:right w:val="none" w:sz="0" w:space="0" w:color="auto"/>
      </w:divBdr>
    </w:div>
    <w:div w:id="1004627213">
      <w:bodyDiv w:val="1"/>
      <w:marLeft w:val="0"/>
      <w:marRight w:val="0"/>
      <w:marTop w:val="0"/>
      <w:marBottom w:val="0"/>
      <w:divBdr>
        <w:top w:val="none" w:sz="0" w:space="0" w:color="auto"/>
        <w:left w:val="none" w:sz="0" w:space="0" w:color="auto"/>
        <w:bottom w:val="none" w:sz="0" w:space="0" w:color="auto"/>
        <w:right w:val="none" w:sz="0" w:space="0" w:color="auto"/>
      </w:divBdr>
    </w:div>
    <w:div w:id="1009989114">
      <w:bodyDiv w:val="1"/>
      <w:marLeft w:val="0"/>
      <w:marRight w:val="0"/>
      <w:marTop w:val="0"/>
      <w:marBottom w:val="0"/>
      <w:divBdr>
        <w:top w:val="none" w:sz="0" w:space="0" w:color="auto"/>
        <w:left w:val="none" w:sz="0" w:space="0" w:color="auto"/>
        <w:bottom w:val="none" w:sz="0" w:space="0" w:color="auto"/>
        <w:right w:val="none" w:sz="0" w:space="0" w:color="auto"/>
      </w:divBdr>
    </w:div>
    <w:div w:id="1014502596">
      <w:bodyDiv w:val="1"/>
      <w:marLeft w:val="0"/>
      <w:marRight w:val="0"/>
      <w:marTop w:val="0"/>
      <w:marBottom w:val="0"/>
      <w:divBdr>
        <w:top w:val="none" w:sz="0" w:space="0" w:color="auto"/>
        <w:left w:val="none" w:sz="0" w:space="0" w:color="auto"/>
        <w:bottom w:val="none" w:sz="0" w:space="0" w:color="auto"/>
        <w:right w:val="none" w:sz="0" w:space="0" w:color="auto"/>
      </w:divBdr>
    </w:div>
    <w:div w:id="1016880650">
      <w:bodyDiv w:val="1"/>
      <w:marLeft w:val="0"/>
      <w:marRight w:val="0"/>
      <w:marTop w:val="0"/>
      <w:marBottom w:val="0"/>
      <w:divBdr>
        <w:top w:val="none" w:sz="0" w:space="0" w:color="auto"/>
        <w:left w:val="none" w:sz="0" w:space="0" w:color="auto"/>
        <w:bottom w:val="none" w:sz="0" w:space="0" w:color="auto"/>
        <w:right w:val="none" w:sz="0" w:space="0" w:color="auto"/>
      </w:divBdr>
    </w:div>
    <w:div w:id="1030254493">
      <w:bodyDiv w:val="1"/>
      <w:marLeft w:val="0"/>
      <w:marRight w:val="0"/>
      <w:marTop w:val="0"/>
      <w:marBottom w:val="0"/>
      <w:divBdr>
        <w:top w:val="none" w:sz="0" w:space="0" w:color="auto"/>
        <w:left w:val="none" w:sz="0" w:space="0" w:color="auto"/>
        <w:bottom w:val="none" w:sz="0" w:space="0" w:color="auto"/>
        <w:right w:val="none" w:sz="0" w:space="0" w:color="auto"/>
      </w:divBdr>
    </w:div>
    <w:div w:id="1033579378">
      <w:bodyDiv w:val="1"/>
      <w:marLeft w:val="0"/>
      <w:marRight w:val="0"/>
      <w:marTop w:val="0"/>
      <w:marBottom w:val="0"/>
      <w:divBdr>
        <w:top w:val="none" w:sz="0" w:space="0" w:color="auto"/>
        <w:left w:val="none" w:sz="0" w:space="0" w:color="auto"/>
        <w:bottom w:val="none" w:sz="0" w:space="0" w:color="auto"/>
        <w:right w:val="none" w:sz="0" w:space="0" w:color="auto"/>
      </w:divBdr>
    </w:div>
    <w:div w:id="1037270100">
      <w:bodyDiv w:val="1"/>
      <w:marLeft w:val="0"/>
      <w:marRight w:val="0"/>
      <w:marTop w:val="0"/>
      <w:marBottom w:val="0"/>
      <w:divBdr>
        <w:top w:val="none" w:sz="0" w:space="0" w:color="auto"/>
        <w:left w:val="none" w:sz="0" w:space="0" w:color="auto"/>
        <w:bottom w:val="none" w:sz="0" w:space="0" w:color="auto"/>
        <w:right w:val="none" w:sz="0" w:space="0" w:color="auto"/>
      </w:divBdr>
    </w:div>
    <w:div w:id="1037583983">
      <w:bodyDiv w:val="1"/>
      <w:marLeft w:val="0"/>
      <w:marRight w:val="0"/>
      <w:marTop w:val="0"/>
      <w:marBottom w:val="0"/>
      <w:divBdr>
        <w:top w:val="none" w:sz="0" w:space="0" w:color="auto"/>
        <w:left w:val="none" w:sz="0" w:space="0" w:color="auto"/>
        <w:bottom w:val="none" w:sz="0" w:space="0" w:color="auto"/>
        <w:right w:val="none" w:sz="0" w:space="0" w:color="auto"/>
      </w:divBdr>
    </w:div>
    <w:div w:id="1071662832">
      <w:bodyDiv w:val="1"/>
      <w:marLeft w:val="0"/>
      <w:marRight w:val="0"/>
      <w:marTop w:val="0"/>
      <w:marBottom w:val="0"/>
      <w:divBdr>
        <w:top w:val="none" w:sz="0" w:space="0" w:color="auto"/>
        <w:left w:val="none" w:sz="0" w:space="0" w:color="auto"/>
        <w:bottom w:val="none" w:sz="0" w:space="0" w:color="auto"/>
        <w:right w:val="none" w:sz="0" w:space="0" w:color="auto"/>
      </w:divBdr>
    </w:div>
    <w:div w:id="1073352999">
      <w:bodyDiv w:val="1"/>
      <w:marLeft w:val="0"/>
      <w:marRight w:val="0"/>
      <w:marTop w:val="0"/>
      <w:marBottom w:val="0"/>
      <w:divBdr>
        <w:top w:val="none" w:sz="0" w:space="0" w:color="auto"/>
        <w:left w:val="none" w:sz="0" w:space="0" w:color="auto"/>
        <w:bottom w:val="none" w:sz="0" w:space="0" w:color="auto"/>
        <w:right w:val="none" w:sz="0" w:space="0" w:color="auto"/>
      </w:divBdr>
    </w:div>
    <w:div w:id="1086996818">
      <w:bodyDiv w:val="1"/>
      <w:marLeft w:val="0"/>
      <w:marRight w:val="0"/>
      <w:marTop w:val="0"/>
      <w:marBottom w:val="0"/>
      <w:divBdr>
        <w:top w:val="none" w:sz="0" w:space="0" w:color="auto"/>
        <w:left w:val="none" w:sz="0" w:space="0" w:color="auto"/>
        <w:bottom w:val="none" w:sz="0" w:space="0" w:color="auto"/>
        <w:right w:val="none" w:sz="0" w:space="0" w:color="auto"/>
      </w:divBdr>
    </w:div>
    <w:div w:id="1094545966">
      <w:bodyDiv w:val="1"/>
      <w:marLeft w:val="0"/>
      <w:marRight w:val="0"/>
      <w:marTop w:val="0"/>
      <w:marBottom w:val="0"/>
      <w:divBdr>
        <w:top w:val="none" w:sz="0" w:space="0" w:color="auto"/>
        <w:left w:val="none" w:sz="0" w:space="0" w:color="auto"/>
        <w:bottom w:val="none" w:sz="0" w:space="0" w:color="auto"/>
        <w:right w:val="none" w:sz="0" w:space="0" w:color="auto"/>
      </w:divBdr>
    </w:div>
    <w:div w:id="1095857476">
      <w:bodyDiv w:val="1"/>
      <w:marLeft w:val="0"/>
      <w:marRight w:val="0"/>
      <w:marTop w:val="0"/>
      <w:marBottom w:val="0"/>
      <w:divBdr>
        <w:top w:val="none" w:sz="0" w:space="0" w:color="auto"/>
        <w:left w:val="none" w:sz="0" w:space="0" w:color="auto"/>
        <w:bottom w:val="none" w:sz="0" w:space="0" w:color="auto"/>
        <w:right w:val="none" w:sz="0" w:space="0" w:color="auto"/>
      </w:divBdr>
    </w:div>
    <w:div w:id="1105619077">
      <w:bodyDiv w:val="1"/>
      <w:marLeft w:val="0"/>
      <w:marRight w:val="0"/>
      <w:marTop w:val="0"/>
      <w:marBottom w:val="0"/>
      <w:divBdr>
        <w:top w:val="none" w:sz="0" w:space="0" w:color="auto"/>
        <w:left w:val="none" w:sz="0" w:space="0" w:color="auto"/>
        <w:bottom w:val="none" w:sz="0" w:space="0" w:color="auto"/>
        <w:right w:val="none" w:sz="0" w:space="0" w:color="auto"/>
      </w:divBdr>
    </w:div>
    <w:div w:id="1106577041">
      <w:bodyDiv w:val="1"/>
      <w:marLeft w:val="0"/>
      <w:marRight w:val="0"/>
      <w:marTop w:val="0"/>
      <w:marBottom w:val="0"/>
      <w:divBdr>
        <w:top w:val="none" w:sz="0" w:space="0" w:color="auto"/>
        <w:left w:val="none" w:sz="0" w:space="0" w:color="auto"/>
        <w:bottom w:val="none" w:sz="0" w:space="0" w:color="auto"/>
        <w:right w:val="none" w:sz="0" w:space="0" w:color="auto"/>
      </w:divBdr>
    </w:div>
    <w:div w:id="1132945424">
      <w:bodyDiv w:val="1"/>
      <w:marLeft w:val="0"/>
      <w:marRight w:val="0"/>
      <w:marTop w:val="0"/>
      <w:marBottom w:val="0"/>
      <w:divBdr>
        <w:top w:val="none" w:sz="0" w:space="0" w:color="auto"/>
        <w:left w:val="none" w:sz="0" w:space="0" w:color="auto"/>
        <w:bottom w:val="none" w:sz="0" w:space="0" w:color="auto"/>
        <w:right w:val="none" w:sz="0" w:space="0" w:color="auto"/>
      </w:divBdr>
    </w:div>
    <w:div w:id="1148672183">
      <w:bodyDiv w:val="1"/>
      <w:marLeft w:val="0"/>
      <w:marRight w:val="0"/>
      <w:marTop w:val="0"/>
      <w:marBottom w:val="0"/>
      <w:divBdr>
        <w:top w:val="none" w:sz="0" w:space="0" w:color="auto"/>
        <w:left w:val="none" w:sz="0" w:space="0" w:color="auto"/>
        <w:bottom w:val="none" w:sz="0" w:space="0" w:color="auto"/>
        <w:right w:val="none" w:sz="0" w:space="0" w:color="auto"/>
      </w:divBdr>
    </w:div>
    <w:div w:id="1157263670">
      <w:bodyDiv w:val="1"/>
      <w:marLeft w:val="0"/>
      <w:marRight w:val="0"/>
      <w:marTop w:val="0"/>
      <w:marBottom w:val="0"/>
      <w:divBdr>
        <w:top w:val="none" w:sz="0" w:space="0" w:color="auto"/>
        <w:left w:val="none" w:sz="0" w:space="0" w:color="auto"/>
        <w:bottom w:val="none" w:sz="0" w:space="0" w:color="auto"/>
        <w:right w:val="none" w:sz="0" w:space="0" w:color="auto"/>
      </w:divBdr>
    </w:div>
    <w:div w:id="1158301472">
      <w:bodyDiv w:val="1"/>
      <w:marLeft w:val="0"/>
      <w:marRight w:val="0"/>
      <w:marTop w:val="0"/>
      <w:marBottom w:val="0"/>
      <w:divBdr>
        <w:top w:val="none" w:sz="0" w:space="0" w:color="auto"/>
        <w:left w:val="none" w:sz="0" w:space="0" w:color="auto"/>
        <w:bottom w:val="none" w:sz="0" w:space="0" w:color="auto"/>
        <w:right w:val="none" w:sz="0" w:space="0" w:color="auto"/>
      </w:divBdr>
    </w:div>
    <w:div w:id="1169251478">
      <w:bodyDiv w:val="1"/>
      <w:marLeft w:val="0"/>
      <w:marRight w:val="0"/>
      <w:marTop w:val="0"/>
      <w:marBottom w:val="0"/>
      <w:divBdr>
        <w:top w:val="none" w:sz="0" w:space="0" w:color="auto"/>
        <w:left w:val="none" w:sz="0" w:space="0" w:color="auto"/>
        <w:bottom w:val="none" w:sz="0" w:space="0" w:color="auto"/>
        <w:right w:val="none" w:sz="0" w:space="0" w:color="auto"/>
      </w:divBdr>
    </w:div>
    <w:div w:id="1171287623">
      <w:bodyDiv w:val="1"/>
      <w:marLeft w:val="0"/>
      <w:marRight w:val="0"/>
      <w:marTop w:val="0"/>
      <w:marBottom w:val="0"/>
      <w:divBdr>
        <w:top w:val="none" w:sz="0" w:space="0" w:color="auto"/>
        <w:left w:val="none" w:sz="0" w:space="0" w:color="auto"/>
        <w:bottom w:val="none" w:sz="0" w:space="0" w:color="auto"/>
        <w:right w:val="none" w:sz="0" w:space="0" w:color="auto"/>
      </w:divBdr>
    </w:div>
    <w:div w:id="1171330389">
      <w:bodyDiv w:val="1"/>
      <w:marLeft w:val="0"/>
      <w:marRight w:val="0"/>
      <w:marTop w:val="0"/>
      <w:marBottom w:val="0"/>
      <w:divBdr>
        <w:top w:val="none" w:sz="0" w:space="0" w:color="auto"/>
        <w:left w:val="none" w:sz="0" w:space="0" w:color="auto"/>
        <w:bottom w:val="none" w:sz="0" w:space="0" w:color="auto"/>
        <w:right w:val="none" w:sz="0" w:space="0" w:color="auto"/>
      </w:divBdr>
    </w:div>
    <w:div w:id="1177422785">
      <w:bodyDiv w:val="1"/>
      <w:marLeft w:val="0"/>
      <w:marRight w:val="0"/>
      <w:marTop w:val="0"/>
      <w:marBottom w:val="0"/>
      <w:divBdr>
        <w:top w:val="none" w:sz="0" w:space="0" w:color="auto"/>
        <w:left w:val="none" w:sz="0" w:space="0" w:color="auto"/>
        <w:bottom w:val="none" w:sz="0" w:space="0" w:color="auto"/>
        <w:right w:val="none" w:sz="0" w:space="0" w:color="auto"/>
      </w:divBdr>
    </w:div>
    <w:div w:id="1177617924">
      <w:bodyDiv w:val="1"/>
      <w:marLeft w:val="0"/>
      <w:marRight w:val="0"/>
      <w:marTop w:val="0"/>
      <w:marBottom w:val="0"/>
      <w:divBdr>
        <w:top w:val="none" w:sz="0" w:space="0" w:color="auto"/>
        <w:left w:val="none" w:sz="0" w:space="0" w:color="auto"/>
        <w:bottom w:val="none" w:sz="0" w:space="0" w:color="auto"/>
        <w:right w:val="none" w:sz="0" w:space="0" w:color="auto"/>
      </w:divBdr>
    </w:div>
    <w:div w:id="1187132938">
      <w:bodyDiv w:val="1"/>
      <w:marLeft w:val="0"/>
      <w:marRight w:val="0"/>
      <w:marTop w:val="0"/>
      <w:marBottom w:val="0"/>
      <w:divBdr>
        <w:top w:val="none" w:sz="0" w:space="0" w:color="auto"/>
        <w:left w:val="none" w:sz="0" w:space="0" w:color="auto"/>
        <w:bottom w:val="none" w:sz="0" w:space="0" w:color="auto"/>
        <w:right w:val="none" w:sz="0" w:space="0" w:color="auto"/>
      </w:divBdr>
    </w:div>
    <w:div w:id="1203204106">
      <w:bodyDiv w:val="1"/>
      <w:marLeft w:val="0"/>
      <w:marRight w:val="0"/>
      <w:marTop w:val="0"/>
      <w:marBottom w:val="0"/>
      <w:divBdr>
        <w:top w:val="none" w:sz="0" w:space="0" w:color="auto"/>
        <w:left w:val="none" w:sz="0" w:space="0" w:color="auto"/>
        <w:bottom w:val="none" w:sz="0" w:space="0" w:color="auto"/>
        <w:right w:val="none" w:sz="0" w:space="0" w:color="auto"/>
      </w:divBdr>
    </w:div>
    <w:div w:id="1209948537">
      <w:bodyDiv w:val="1"/>
      <w:marLeft w:val="0"/>
      <w:marRight w:val="0"/>
      <w:marTop w:val="0"/>
      <w:marBottom w:val="0"/>
      <w:divBdr>
        <w:top w:val="none" w:sz="0" w:space="0" w:color="auto"/>
        <w:left w:val="none" w:sz="0" w:space="0" w:color="auto"/>
        <w:bottom w:val="none" w:sz="0" w:space="0" w:color="auto"/>
        <w:right w:val="none" w:sz="0" w:space="0" w:color="auto"/>
      </w:divBdr>
    </w:div>
    <w:div w:id="1216623631">
      <w:bodyDiv w:val="1"/>
      <w:marLeft w:val="0"/>
      <w:marRight w:val="0"/>
      <w:marTop w:val="0"/>
      <w:marBottom w:val="0"/>
      <w:divBdr>
        <w:top w:val="none" w:sz="0" w:space="0" w:color="auto"/>
        <w:left w:val="none" w:sz="0" w:space="0" w:color="auto"/>
        <w:bottom w:val="none" w:sz="0" w:space="0" w:color="auto"/>
        <w:right w:val="none" w:sz="0" w:space="0" w:color="auto"/>
      </w:divBdr>
    </w:div>
    <w:div w:id="1219366268">
      <w:bodyDiv w:val="1"/>
      <w:marLeft w:val="0"/>
      <w:marRight w:val="0"/>
      <w:marTop w:val="0"/>
      <w:marBottom w:val="0"/>
      <w:divBdr>
        <w:top w:val="none" w:sz="0" w:space="0" w:color="auto"/>
        <w:left w:val="none" w:sz="0" w:space="0" w:color="auto"/>
        <w:bottom w:val="none" w:sz="0" w:space="0" w:color="auto"/>
        <w:right w:val="none" w:sz="0" w:space="0" w:color="auto"/>
      </w:divBdr>
    </w:div>
    <w:div w:id="1239361194">
      <w:bodyDiv w:val="1"/>
      <w:marLeft w:val="0"/>
      <w:marRight w:val="0"/>
      <w:marTop w:val="0"/>
      <w:marBottom w:val="0"/>
      <w:divBdr>
        <w:top w:val="none" w:sz="0" w:space="0" w:color="auto"/>
        <w:left w:val="none" w:sz="0" w:space="0" w:color="auto"/>
        <w:bottom w:val="none" w:sz="0" w:space="0" w:color="auto"/>
        <w:right w:val="none" w:sz="0" w:space="0" w:color="auto"/>
      </w:divBdr>
    </w:div>
    <w:div w:id="1240405383">
      <w:bodyDiv w:val="1"/>
      <w:marLeft w:val="0"/>
      <w:marRight w:val="0"/>
      <w:marTop w:val="0"/>
      <w:marBottom w:val="0"/>
      <w:divBdr>
        <w:top w:val="none" w:sz="0" w:space="0" w:color="auto"/>
        <w:left w:val="none" w:sz="0" w:space="0" w:color="auto"/>
        <w:bottom w:val="none" w:sz="0" w:space="0" w:color="auto"/>
        <w:right w:val="none" w:sz="0" w:space="0" w:color="auto"/>
      </w:divBdr>
    </w:div>
    <w:div w:id="1257132828">
      <w:bodyDiv w:val="1"/>
      <w:marLeft w:val="0"/>
      <w:marRight w:val="0"/>
      <w:marTop w:val="0"/>
      <w:marBottom w:val="0"/>
      <w:divBdr>
        <w:top w:val="none" w:sz="0" w:space="0" w:color="auto"/>
        <w:left w:val="none" w:sz="0" w:space="0" w:color="auto"/>
        <w:bottom w:val="none" w:sz="0" w:space="0" w:color="auto"/>
        <w:right w:val="none" w:sz="0" w:space="0" w:color="auto"/>
      </w:divBdr>
    </w:div>
    <w:div w:id="1278172937">
      <w:bodyDiv w:val="1"/>
      <w:marLeft w:val="0"/>
      <w:marRight w:val="0"/>
      <w:marTop w:val="0"/>
      <w:marBottom w:val="0"/>
      <w:divBdr>
        <w:top w:val="none" w:sz="0" w:space="0" w:color="auto"/>
        <w:left w:val="none" w:sz="0" w:space="0" w:color="auto"/>
        <w:bottom w:val="none" w:sz="0" w:space="0" w:color="auto"/>
        <w:right w:val="none" w:sz="0" w:space="0" w:color="auto"/>
      </w:divBdr>
    </w:div>
    <w:div w:id="1281961530">
      <w:bodyDiv w:val="1"/>
      <w:marLeft w:val="0"/>
      <w:marRight w:val="0"/>
      <w:marTop w:val="0"/>
      <w:marBottom w:val="0"/>
      <w:divBdr>
        <w:top w:val="none" w:sz="0" w:space="0" w:color="auto"/>
        <w:left w:val="none" w:sz="0" w:space="0" w:color="auto"/>
        <w:bottom w:val="none" w:sz="0" w:space="0" w:color="auto"/>
        <w:right w:val="none" w:sz="0" w:space="0" w:color="auto"/>
      </w:divBdr>
    </w:div>
    <w:div w:id="1289580337">
      <w:bodyDiv w:val="1"/>
      <w:marLeft w:val="0"/>
      <w:marRight w:val="0"/>
      <w:marTop w:val="0"/>
      <w:marBottom w:val="0"/>
      <w:divBdr>
        <w:top w:val="none" w:sz="0" w:space="0" w:color="auto"/>
        <w:left w:val="none" w:sz="0" w:space="0" w:color="auto"/>
        <w:bottom w:val="none" w:sz="0" w:space="0" w:color="auto"/>
        <w:right w:val="none" w:sz="0" w:space="0" w:color="auto"/>
      </w:divBdr>
    </w:div>
    <w:div w:id="1298536964">
      <w:bodyDiv w:val="1"/>
      <w:marLeft w:val="0"/>
      <w:marRight w:val="0"/>
      <w:marTop w:val="0"/>
      <w:marBottom w:val="0"/>
      <w:divBdr>
        <w:top w:val="none" w:sz="0" w:space="0" w:color="auto"/>
        <w:left w:val="none" w:sz="0" w:space="0" w:color="auto"/>
        <w:bottom w:val="none" w:sz="0" w:space="0" w:color="auto"/>
        <w:right w:val="none" w:sz="0" w:space="0" w:color="auto"/>
      </w:divBdr>
    </w:div>
    <w:div w:id="1302074440">
      <w:bodyDiv w:val="1"/>
      <w:marLeft w:val="0"/>
      <w:marRight w:val="0"/>
      <w:marTop w:val="0"/>
      <w:marBottom w:val="0"/>
      <w:divBdr>
        <w:top w:val="none" w:sz="0" w:space="0" w:color="auto"/>
        <w:left w:val="none" w:sz="0" w:space="0" w:color="auto"/>
        <w:bottom w:val="none" w:sz="0" w:space="0" w:color="auto"/>
        <w:right w:val="none" w:sz="0" w:space="0" w:color="auto"/>
      </w:divBdr>
    </w:div>
    <w:div w:id="1308898574">
      <w:bodyDiv w:val="1"/>
      <w:marLeft w:val="0"/>
      <w:marRight w:val="0"/>
      <w:marTop w:val="0"/>
      <w:marBottom w:val="0"/>
      <w:divBdr>
        <w:top w:val="none" w:sz="0" w:space="0" w:color="auto"/>
        <w:left w:val="none" w:sz="0" w:space="0" w:color="auto"/>
        <w:bottom w:val="none" w:sz="0" w:space="0" w:color="auto"/>
        <w:right w:val="none" w:sz="0" w:space="0" w:color="auto"/>
      </w:divBdr>
    </w:div>
    <w:div w:id="1310017872">
      <w:bodyDiv w:val="1"/>
      <w:marLeft w:val="0"/>
      <w:marRight w:val="0"/>
      <w:marTop w:val="0"/>
      <w:marBottom w:val="0"/>
      <w:divBdr>
        <w:top w:val="none" w:sz="0" w:space="0" w:color="auto"/>
        <w:left w:val="none" w:sz="0" w:space="0" w:color="auto"/>
        <w:bottom w:val="none" w:sz="0" w:space="0" w:color="auto"/>
        <w:right w:val="none" w:sz="0" w:space="0" w:color="auto"/>
      </w:divBdr>
    </w:div>
    <w:div w:id="1311444284">
      <w:bodyDiv w:val="1"/>
      <w:marLeft w:val="0"/>
      <w:marRight w:val="0"/>
      <w:marTop w:val="0"/>
      <w:marBottom w:val="0"/>
      <w:divBdr>
        <w:top w:val="none" w:sz="0" w:space="0" w:color="auto"/>
        <w:left w:val="none" w:sz="0" w:space="0" w:color="auto"/>
        <w:bottom w:val="none" w:sz="0" w:space="0" w:color="auto"/>
        <w:right w:val="none" w:sz="0" w:space="0" w:color="auto"/>
      </w:divBdr>
    </w:div>
    <w:div w:id="1313296635">
      <w:bodyDiv w:val="1"/>
      <w:marLeft w:val="0"/>
      <w:marRight w:val="0"/>
      <w:marTop w:val="0"/>
      <w:marBottom w:val="0"/>
      <w:divBdr>
        <w:top w:val="none" w:sz="0" w:space="0" w:color="auto"/>
        <w:left w:val="none" w:sz="0" w:space="0" w:color="auto"/>
        <w:bottom w:val="none" w:sz="0" w:space="0" w:color="auto"/>
        <w:right w:val="none" w:sz="0" w:space="0" w:color="auto"/>
      </w:divBdr>
    </w:div>
    <w:div w:id="1324356187">
      <w:bodyDiv w:val="1"/>
      <w:marLeft w:val="0"/>
      <w:marRight w:val="0"/>
      <w:marTop w:val="0"/>
      <w:marBottom w:val="0"/>
      <w:divBdr>
        <w:top w:val="none" w:sz="0" w:space="0" w:color="auto"/>
        <w:left w:val="none" w:sz="0" w:space="0" w:color="auto"/>
        <w:bottom w:val="none" w:sz="0" w:space="0" w:color="auto"/>
        <w:right w:val="none" w:sz="0" w:space="0" w:color="auto"/>
      </w:divBdr>
    </w:div>
    <w:div w:id="1329140586">
      <w:bodyDiv w:val="1"/>
      <w:marLeft w:val="0"/>
      <w:marRight w:val="0"/>
      <w:marTop w:val="0"/>
      <w:marBottom w:val="0"/>
      <w:divBdr>
        <w:top w:val="none" w:sz="0" w:space="0" w:color="auto"/>
        <w:left w:val="none" w:sz="0" w:space="0" w:color="auto"/>
        <w:bottom w:val="none" w:sz="0" w:space="0" w:color="auto"/>
        <w:right w:val="none" w:sz="0" w:space="0" w:color="auto"/>
      </w:divBdr>
    </w:div>
    <w:div w:id="1335188224">
      <w:bodyDiv w:val="1"/>
      <w:marLeft w:val="0"/>
      <w:marRight w:val="0"/>
      <w:marTop w:val="0"/>
      <w:marBottom w:val="0"/>
      <w:divBdr>
        <w:top w:val="none" w:sz="0" w:space="0" w:color="auto"/>
        <w:left w:val="none" w:sz="0" w:space="0" w:color="auto"/>
        <w:bottom w:val="none" w:sz="0" w:space="0" w:color="auto"/>
        <w:right w:val="none" w:sz="0" w:space="0" w:color="auto"/>
      </w:divBdr>
    </w:div>
    <w:div w:id="1370259432">
      <w:bodyDiv w:val="1"/>
      <w:marLeft w:val="0"/>
      <w:marRight w:val="0"/>
      <w:marTop w:val="0"/>
      <w:marBottom w:val="0"/>
      <w:divBdr>
        <w:top w:val="none" w:sz="0" w:space="0" w:color="auto"/>
        <w:left w:val="none" w:sz="0" w:space="0" w:color="auto"/>
        <w:bottom w:val="none" w:sz="0" w:space="0" w:color="auto"/>
        <w:right w:val="none" w:sz="0" w:space="0" w:color="auto"/>
      </w:divBdr>
    </w:div>
    <w:div w:id="1376924160">
      <w:bodyDiv w:val="1"/>
      <w:marLeft w:val="0"/>
      <w:marRight w:val="0"/>
      <w:marTop w:val="0"/>
      <w:marBottom w:val="0"/>
      <w:divBdr>
        <w:top w:val="none" w:sz="0" w:space="0" w:color="auto"/>
        <w:left w:val="none" w:sz="0" w:space="0" w:color="auto"/>
        <w:bottom w:val="none" w:sz="0" w:space="0" w:color="auto"/>
        <w:right w:val="none" w:sz="0" w:space="0" w:color="auto"/>
      </w:divBdr>
    </w:div>
    <w:div w:id="1445228672">
      <w:bodyDiv w:val="1"/>
      <w:marLeft w:val="0"/>
      <w:marRight w:val="0"/>
      <w:marTop w:val="0"/>
      <w:marBottom w:val="0"/>
      <w:divBdr>
        <w:top w:val="none" w:sz="0" w:space="0" w:color="auto"/>
        <w:left w:val="none" w:sz="0" w:space="0" w:color="auto"/>
        <w:bottom w:val="none" w:sz="0" w:space="0" w:color="auto"/>
        <w:right w:val="none" w:sz="0" w:space="0" w:color="auto"/>
      </w:divBdr>
    </w:div>
    <w:div w:id="1452939083">
      <w:bodyDiv w:val="1"/>
      <w:marLeft w:val="0"/>
      <w:marRight w:val="0"/>
      <w:marTop w:val="0"/>
      <w:marBottom w:val="0"/>
      <w:divBdr>
        <w:top w:val="none" w:sz="0" w:space="0" w:color="auto"/>
        <w:left w:val="none" w:sz="0" w:space="0" w:color="auto"/>
        <w:bottom w:val="none" w:sz="0" w:space="0" w:color="auto"/>
        <w:right w:val="none" w:sz="0" w:space="0" w:color="auto"/>
      </w:divBdr>
    </w:div>
    <w:div w:id="1455639693">
      <w:bodyDiv w:val="1"/>
      <w:marLeft w:val="0"/>
      <w:marRight w:val="0"/>
      <w:marTop w:val="0"/>
      <w:marBottom w:val="0"/>
      <w:divBdr>
        <w:top w:val="none" w:sz="0" w:space="0" w:color="auto"/>
        <w:left w:val="none" w:sz="0" w:space="0" w:color="auto"/>
        <w:bottom w:val="none" w:sz="0" w:space="0" w:color="auto"/>
        <w:right w:val="none" w:sz="0" w:space="0" w:color="auto"/>
      </w:divBdr>
    </w:div>
    <w:div w:id="1462530178">
      <w:bodyDiv w:val="1"/>
      <w:marLeft w:val="0"/>
      <w:marRight w:val="0"/>
      <w:marTop w:val="0"/>
      <w:marBottom w:val="0"/>
      <w:divBdr>
        <w:top w:val="none" w:sz="0" w:space="0" w:color="auto"/>
        <w:left w:val="none" w:sz="0" w:space="0" w:color="auto"/>
        <w:bottom w:val="none" w:sz="0" w:space="0" w:color="auto"/>
        <w:right w:val="none" w:sz="0" w:space="0" w:color="auto"/>
      </w:divBdr>
    </w:div>
    <w:div w:id="1470827798">
      <w:bodyDiv w:val="1"/>
      <w:marLeft w:val="0"/>
      <w:marRight w:val="0"/>
      <w:marTop w:val="0"/>
      <w:marBottom w:val="0"/>
      <w:divBdr>
        <w:top w:val="none" w:sz="0" w:space="0" w:color="auto"/>
        <w:left w:val="none" w:sz="0" w:space="0" w:color="auto"/>
        <w:bottom w:val="none" w:sz="0" w:space="0" w:color="auto"/>
        <w:right w:val="none" w:sz="0" w:space="0" w:color="auto"/>
      </w:divBdr>
    </w:div>
    <w:div w:id="1471093784">
      <w:bodyDiv w:val="1"/>
      <w:marLeft w:val="0"/>
      <w:marRight w:val="0"/>
      <w:marTop w:val="0"/>
      <w:marBottom w:val="0"/>
      <w:divBdr>
        <w:top w:val="none" w:sz="0" w:space="0" w:color="auto"/>
        <w:left w:val="none" w:sz="0" w:space="0" w:color="auto"/>
        <w:bottom w:val="none" w:sz="0" w:space="0" w:color="auto"/>
        <w:right w:val="none" w:sz="0" w:space="0" w:color="auto"/>
      </w:divBdr>
    </w:div>
    <w:div w:id="1476802801">
      <w:bodyDiv w:val="1"/>
      <w:marLeft w:val="0"/>
      <w:marRight w:val="0"/>
      <w:marTop w:val="0"/>
      <w:marBottom w:val="0"/>
      <w:divBdr>
        <w:top w:val="none" w:sz="0" w:space="0" w:color="auto"/>
        <w:left w:val="none" w:sz="0" w:space="0" w:color="auto"/>
        <w:bottom w:val="none" w:sz="0" w:space="0" w:color="auto"/>
        <w:right w:val="none" w:sz="0" w:space="0" w:color="auto"/>
      </w:divBdr>
    </w:div>
    <w:div w:id="1477449258">
      <w:bodyDiv w:val="1"/>
      <w:marLeft w:val="0"/>
      <w:marRight w:val="0"/>
      <w:marTop w:val="0"/>
      <w:marBottom w:val="0"/>
      <w:divBdr>
        <w:top w:val="none" w:sz="0" w:space="0" w:color="auto"/>
        <w:left w:val="none" w:sz="0" w:space="0" w:color="auto"/>
        <w:bottom w:val="none" w:sz="0" w:space="0" w:color="auto"/>
        <w:right w:val="none" w:sz="0" w:space="0" w:color="auto"/>
      </w:divBdr>
    </w:div>
    <w:div w:id="1485007325">
      <w:bodyDiv w:val="1"/>
      <w:marLeft w:val="0"/>
      <w:marRight w:val="0"/>
      <w:marTop w:val="0"/>
      <w:marBottom w:val="0"/>
      <w:divBdr>
        <w:top w:val="none" w:sz="0" w:space="0" w:color="auto"/>
        <w:left w:val="none" w:sz="0" w:space="0" w:color="auto"/>
        <w:bottom w:val="none" w:sz="0" w:space="0" w:color="auto"/>
        <w:right w:val="none" w:sz="0" w:space="0" w:color="auto"/>
      </w:divBdr>
    </w:div>
    <w:div w:id="1518881858">
      <w:bodyDiv w:val="1"/>
      <w:marLeft w:val="0"/>
      <w:marRight w:val="0"/>
      <w:marTop w:val="0"/>
      <w:marBottom w:val="0"/>
      <w:divBdr>
        <w:top w:val="none" w:sz="0" w:space="0" w:color="auto"/>
        <w:left w:val="none" w:sz="0" w:space="0" w:color="auto"/>
        <w:bottom w:val="none" w:sz="0" w:space="0" w:color="auto"/>
        <w:right w:val="none" w:sz="0" w:space="0" w:color="auto"/>
      </w:divBdr>
    </w:div>
    <w:div w:id="1532307227">
      <w:bodyDiv w:val="1"/>
      <w:marLeft w:val="0"/>
      <w:marRight w:val="0"/>
      <w:marTop w:val="0"/>
      <w:marBottom w:val="0"/>
      <w:divBdr>
        <w:top w:val="none" w:sz="0" w:space="0" w:color="auto"/>
        <w:left w:val="none" w:sz="0" w:space="0" w:color="auto"/>
        <w:bottom w:val="none" w:sz="0" w:space="0" w:color="auto"/>
        <w:right w:val="none" w:sz="0" w:space="0" w:color="auto"/>
      </w:divBdr>
    </w:div>
    <w:div w:id="1542862112">
      <w:bodyDiv w:val="1"/>
      <w:marLeft w:val="0"/>
      <w:marRight w:val="0"/>
      <w:marTop w:val="0"/>
      <w:marBottom w:val="0"/>
      <w:divBdr>
        <w:top w:val="none" w:sz="0" w:space="0" w:color="auto"/>
        <w:left w:val="none" w:sz="0" w:space="0" w:color="auto"/>
        <w:bottom w:val="none" w:sz="0" w:space="0" w:color="auto"/>
        <w:right w:val="none" w:sz="0" w:space="0" w:color="auto"/>
      </w:divBdr>
    </w:div>
    <w:div w:id="1550608615">
      <w:bodyDiv w:val="1"/>
      <w:marLeft w:val="0"/>
      <w:marRight w:val="0"/>
      <w:marTop w:val="0"/>
      <w:marBottom w:val="0"/>
      <w:divBdr>
        <w:top w:val="none" w:sz="0" w:space="0" w:color="auto"/>
        <w:left w:val="none" w:sz="0" w:space="0" w:color="auto"/>
        <w:bottom w:val="none" w:sz="0" w:space="0" w:color="auto"/>
        <w:right w:val="none" w:sz="0" w:space="0" w:color="auto"/>
      </w:divBdr>
    </w:div>
    <w:div w:id="1556770740">
      <w:bodyDiv w:val="1"/>
      <w:marLeft w:val="0"/>
      <w:marRight w:val="0"/>
      <w:marTop w:val="0"/>
      <w:marBottom w:val="0"/>
      <w:divBdr>
        <w:top w:val="none" w:sz="0" w:space="0" w:color="auto"/>
        <w:left w:val="none" w:sz="0" w:space="0" w:color="auto"/>
        <w:bottom w:val="none" w:sz="0" w:space="0" w:color="auto"/>
        <w:right w:val="none" w:sz="0" w:space="0" w:color="auto"/>
      </w:divBdr>
    </w:div>
    <w:div w:id="1570262062">
      <w:bodyDiv w:val="1"/>
      <w:marLeft w:val="0"/>
      <w:marRight w:val="0"/>
      <w:marTop w:val="0"/>
      <w:marBottom w:val="0"/>
      <w:divBdr>
        <w:top w:val="none" w:sz="0" w:space="0" w:color="auto"/>
        <w:left w:val="none" w:sz="0" w:space="0" w:color="auto"/>
        <w:bottom w:val="none" w:sz="0" w:space="0" w:color="auto"/>
        <w:right w:val="none" w:sz="0" w:space="0" w:color="auto"/>
      </w:divBdr>
    </w:div>
    <w:div w:id="1578125460">
      <w:bodyDiv w:val="1"/>
      <w:marLeft w:val="0"/>
      <w:marRight w:val="0"/>
      <w:marTop w:val="0"/>
      <w:marBottom w:val="0"/>
      <w:divBdr>
        <w:top w:val="none" w:sz="0" w:space="0" w:color="auto"/>
        <w:left w:val="none" w:sz="0" w:space="0" w:color="auto"/>
        <w:bottom w:val="none" w:sz="0" w:space="0" w:color="auto"/>
        <w:right w:val="none" w:sz="0" w:space="0" w:color="auto"/>
      </w:divBdr>
    </w:div>
    <w:div w:id="1580553716">
      <w:bodyDiv w:val="1"/>
      <w:marLeft w:val="0"/>
      <w:marRight w:val="0"/>
      <w:marTop w:val="0"/>
      <w:marBottom w:val="0"/>
      <w:divBdr>
        <w:top w:val="none" w:sz="0" w:space="0" w:color="auto"/>
        <w:left w:val="none" w:sz="0" w:space="0" w:color="auto"/>
        <w:bottom w:val="none" w:sz="0" w:space="0" w:color="auto"/>
        <w:right w:val="none" w:sz="0" w:space="0" w:color="auto"/>
      </w:divBdr>
    </w:div>
    <w:div w:id="1582567740">
      <w:bodyDiv w:val="1"/>
      <w:marLeft w:val="0"/>
      <w:marRight w:val="0"/>
      <w:marTop w:val="0"/>
      <w:marBottom w:val="0"/>
      <w:divBdr>
        <w:top w:val="none" w:sz="0" w:space="0" w:color="auto"/>
        <w:left w:val="none" w:sz="0" w:space="0" w:color="auto"/>
        <w:bottom w:val="none" w:sz="0" w:space="0" w:color="auto"/>
        <w:right w:val="none" w:sz="0" w:space="0" w:color="auto"/>
      </w:divBdr>
    </w:div>
    <w:div w:id="1589928387">
      <w:bodyDiv w:val="1"/>
      <w:marLeft w:val="0"/>
      <w:marRight w:val="0"/>
      <w:marTop w:val="0"/>
      <w:marBottom w:val="0"/>
      <w:divBdr>
        <w:top w:val="none" w:sz="0" w:space="0" w:color="auto"/>
        <w:left w:val="none" w:sz="0" w:space="0" w:color="auto"/>
        <w:bottom w:val="none" w:sz="0" w:space="0" w:color="auto"/>
        <w:right w:val="none" w:sz="0" w:space="0" w:color="auto"/>
      </w:divBdr>
    </w:div>
    <w:div w:id="1601912461">
      <w:bodyDiv w:val="1"/>
      <w:marLeft w:val="0"/>
      <w:marRight w:val="0"/>
      <w:marTop w:val="0"/>
      <w:marBottom w:val="0"/>
      <w:divBdr>
        <w:top w:val="none" w:sz="0" w:space="0" w:color="auto"/>
        <w:left w:val="none" w:sz="0" w:space="0" w:color="auto"/>
        <w:bottom w:val="none" w:sz="0" w:space="0" w:color="auto"/>
        <w:right w:val="none" w:sz="0" w:space="0" w:color="auto"/>
      </w:divBdr>
    </w:div>
    <w:div w:id="1604419478">
      <w:bodyDiv w:val="1"/>
      <w:marLeft w:val="0"/>
      <w:marRight w:val="0"/>
      <w:marTop w:val="0"/>
      <w:marBottom w:val="0"/>
      <w:divBdr>
        <w:top w:val="none" w:sz="0" w:space="0" w:color="auto"/>
        <w:left w:val="none" w:sz="0" w:space="0" w:color="auto"/>
        <w:bottom w:val="none" w:sz="0" w:space="0" w:color="auto"/>
        <w:right w:val="none" w:sz="0" w:space="0" w:color="auto"/>
      </w:divBdr>
    </w:div>
    <w:div w:id="1609922515">
      <w:bodyDiv w:val="1"/>
      <w:marLeft w:val="0"/>
      <w:marRight w:val="0"/>
      <w:marTop w:val="0"/>
      <w:marBottom w:val="0"/>
      <w:divBdr>
        <w:top w:val="none" w:sz="0" w:space="0" w:color="auto"/>
        <w:left w:val="none" w:sz="0" w:space="0" w:color="auto"/>
        <w:bottom w:val="none" w:sz="0" w:space="0" w:color="auto"/>
        <w:right w:val="none" w:sz="0" w:space="0" w:color="auto"/>
      </w:divBdr>
    </w:div>
    <w:div w:id="1622875749">
      <w:bodyDiv w:val="1"/>
      <w:marLeft w:val="0"/>
      <w:marRight w:val="0"/>
      <w:marTop w:val="0"/>
      <w:marBottom w:val="0"/>
      <w:divBdr>
        <w:top w:val="none" w:sz="0" w:space="0" w:color="auto"/>
        <w:left w:val="none" w:sz="0" w:space="0" w:color="auto"/>
        <w:bottom w:val="none" w:sz="0" w:space="0" w:color="auto"/>
        <w:right w:val="none" w:sz="0" w:space="0" w:color="auto"/>
      </w:divBdr>
    </w:div>
    <w:div w:id="1623001167">
      <w:bodyDiv w:val="1"/>
      <w:marLeft w:val="0"/>
      <w:marRight w:val="0"/>
      <w:marTop w:val="0"/>
      <w:marBottom w:val="0"/>
      <w:divBdr>
        <w:top w:val="none" w:sz="0" w:space="0" w:color="auto"/>
        <w:left w:val="none" w:sz="0" w:space="0" w:color="auto"/>
        <w:bottom w:val="none" w:sz="0" w:space="0" w:color="auto"/>
        <w:right w:val="none" w:sz="0" w:space="0" w:color="auto"/>
      </w:divBdr>
    </w:div>
    <w:div w:id="1629749387">
      <w:bodyDiv w:val="1"/>
      <w:marLeft w:val="0"/>
      <w:marRight w:val="0"/>
      <w:marTop w:val="0"/>
      <w:marBottom w:val="0"/>
      <w:divBdr>
        <w:top w:val="none" w:sz="0" w:space="0" w:color="auto"/>
        <w:left w:val="none" w:sz="0" w:space="0" w:color="auto"/>
        <w:bottom w:val="none" w:sz="0" w:space="0" w:color="auto"/>
        <w:right w:val="none" w:sz="0" w:space="0" w:color="auto"/>
      </w:divBdr>
    </w:div>
    <w:div w:id="1635066688">
      <w:bodyDiv w:val="1"/>
      <w:marLeft w:val="0"/>
      <w:marRight w:val="0"/>
      <w:marTop w:val="0"/>
      <w:marBottom w:val="0"/>
      <w:divBdr>
        <w:top w:val="none" w:sz="0" w:space="0" w:color="auto"/>
        <w:left w:val="none" w:sz="0" w:space="0" w:color="auto"/>
        <w:bottom w:val="none" w:sz="0" w:space="0" w:color="auto"/>
        <w:right w:val="none" w:sz="0" w:space="0" w:color="auto"/>
      </w:divBdr>
    </w:div>
    <w:div w:id="1648633730">
      <w:bodyDiv w:val="1"/>
      <w:marLeft w:val="0"/>
      <w:marRight w:val="0"/>
      <w:marTop w:val="0"/>
      <w:marBottom w:val="0"/>
      <w:divBdr>
        <w:top w:val="none" w:sz="0" w:space="0" w:color="auto"/>
        <w:left w:val="none" w:sz="0" w:space="0" w:color="auto"/>
        <w:bottom w:val="none" w:sz="0" w:space="0" w:color="auto"/>
        <w:right w:val="none" w:sz="0" w:space="0" w:color="auto"/>
      </w:divBdr>
    </w:div>
    <w:div w:id="1673991142">
      <w:bodyDiv w:val="1"/>
      <w:marLeft w:val="0"/>
      <w:marRight w:val="0"/>
      <w:marTop w:val="0"/>
      <w:marBottom w:val="0"/>
      <w:divBdr>
        <w:top w:val="none" w:sz="0" w:space="0" w:color="auto"/>
        <w:left w:val="none" w:sz="0" w:space="0" w:color="auto"/>
        <w:bottom w:val="none" w:sz="0" w:space="0" w:color="auto"/>
        <w:right w:val="none" w:sz="0" w:space="0" w:color="auto"/>
      </w:divBdr>
    </w:div>
    <w:div w:id="1689334420">
      <w:bodyDiv w:val="1"/>
      <w:marLeft w:val="0"/>
      <w:marRight w:val="0"/>
      <w:marTop w:val="0"/>
      <w:marBottom w:val="0"/>
      <w:divBdr>
        <w:top w:val="none" w:sz="0" w:space="0" w:color="auto"/>
        <w:left w:val="none" w:sz="0" w:space="0" w:color="auto"/>
        <w:bottom w:val="none" w:sz="0" w:space="0" w:color="auto"/>
        <w:right w:val="none" w:sz="0" w:space="0" w:color="auto"/>
      </w:divBdr>
    </w:div>
    <w:div w:id="1692221257">
      <w:bodyDiv w:val="1"/>
      <w:marLeft w:val="0"/>
      <w:marRight w:val="0"/>
      <w:marTop w:val="0"/>
      <w:marBottom w:val="0"/>
      <w:divBdr>
        <w:top w:val="none" w:sz="0" w:space="0" w:color="auto"/>
        <w:left w:val="none" w:sz="0" w:space="0" w:color="auto"/>
        <w:bottom w:val="none" w:sz="0" w:space="0" w:color="auto"/>
        <w:right w:val="none" w:sz="0" w:space="0" w:color="auto"/>
      </w:divBdr>
    </w:div>
    <w:div w:id="1694843581">
      <w:bodyDiv w:val="1"/>
      <w:marLeft w:val="0"/>
      <w:marRight w:val="0"/>
      <w:marTop w:val="0"/>
      <w:marBottom w:val="0"/>
      <w:divBdr>
        <w:top w:val="none" w:sz="0" w:space="0" w:color="auto"/>
        <w:left w:val="none" w:sz="0" w:space="0" w:color="auto"/>
        <w:bottom w:val="none" w:sz="0" w:space="0" w:color="auto"/>
        <w:right w:val="none" w:sz="0" w:space="0" w:color="auto"/>
      </w:divBdr>
    </w:div>
    <w:div w:id="1709259325">
      <w:bodyDiv w:val="1"/>
      <w:marLeft w:val="0"/>
      <w:marRight w:val="0"/>
      <w:marTop w:val="0"/>
      <w:marBottom w:val="0"/>
      <w:divBdr>
        <w:top w:val="none" w:sz="0" w:space="0" w:color="auto"/>
        <w:left w:val="none" w:sz="0" w:space="0" w:color="auto"/>
        <w:bottom w:val="none" w:sz="0" w:space="0" w:color="auto"/>
        <w:right w:val="none" w:sz="0" w:space="0" w:color="auto"/>
      </w:divBdr>
    </w:div>
    <w:div w:id="1715930170">
      <w:bodyDiv w:val="1"/>
      <w:marLeft w:val="0"/>
      <w:marRight w:val="0"/>
      <w:marTop w:val="0"/>
      <w:marBottom w:val="0"/>
      <w:divBdr>
        <w:top w:val="none" w:sz="0" w:space="0" w:color="auto"/>
        <w:left w:val="none" w:sz="0" w:space="0" w:color="auto"/>
        <w:bottom w:val="none" w:sz="0" w:space="0" w:color="auto"/>
        <w:right w:val="none" w:sz="0" w:space="0" w:color="auto"/>
      </w:divBdr>
    </w:div>
    <w:div w:id="1733696983">
      <w:bodyDiv w:val="1"/>
      <w:marLeft w:val="0"/>
      <w:marRight w:val="0"/>
      <w:marTop w:val="0"/>
      <w:marBottom w:val="0"/>
      <w:divBdr>
        <w:top w:val="none" w:sz="0" w:space="0" w:color="auto"/>
        <w:left w:val="none" w:sz="0" w:space="0" w:color="auto"/>
        <w:bottom w:val="none" w:sz="0" w:space="0" w:color="auto"/>
        <w:right w:val="none" w:sz="0" w:space="0" w:color="auto"/>
      </w:divBdr>
    </w:div>
    <w:div w:id="1735543699">
      <w:bodyDiv w:val="1"/>
      <w:marLeft w:val="0"/>
      <w:marRight w:val="0"/>
      <w:marTop w:val="0"/>
      <w:marBottom w:val="0"/>
      <w:divBdr>
        <w:top w:val="none" w:sz="0" w:space="0" w:color="auto"/>
        <w:left w:val="none" w:sz="0" w:space="0" w:color="auto"/>
        <w:bottom w:val="none" w:sz="0" w:space="0" w:color="auto"/>
        <w:right w:val="none" w:sz="0" w:space="0" w:color="auto"/>
      </w:divBdr>
    </w:div>
    <w:div w:id="1745909713">
      <w:bodyDiv w:val="1"/>
      <w:marLeft w:val="0"/>
      <w:marRight w:val="0"/>
      <w:marTop w:val="0"/>
      <w:marBottom w:val="0"/>
      <w:divBdr>
        <w:top w:val="none" w:sz="0" w:space="0" w:color="auto"/>
        <w:left w:val="none" w:sz="0" w:space="0" w:color="auto"/>
        <w:bottom w:val="none" w:sz="0" w:space="0" w:color="auto"/>
        <w:right w:val="none" w:sz="0" w:space="0" w:color="auto"/>
      </w:divBdr>
    </w:div>
    <w:div w:id="1749110752">
      <w:bodyDiv w:val="1"/>
      <w:marLeft w:val="0"/>
      <w:marRight w:val="0"/>
      <w:marTop w:val="0"/>
      <w:marBottom w:val="0"/>
      <w:divBdr>
        <w:top w:val="none" w:sz="0" w:space="0" w:color="auto"/>
        <w:left w:val="none" w:sz="0" w:space="0" w:color="auto"/>
        <w:bottom w:val="none" w:sz="0" w:space="0" w:color="auto"/>
        <w:right w:val="none" w:sz="0" w:space="0" w:color="auto"/>
      </w:divBdr>
    </w:div>
    <w:div w:id="1756125804">
      <w:bodyDiv w:val="1"/>
      <w:marLeft w:val="0"/>
      <w:marRight w:val="0"/>
      <w:marTop w:val="0"/>
      <w:marBottom w:val="0"/>
      <w:divBdr>
        <w:top w:val="none" w:sz="0" w:space="0" w:color="auto"/>
        <w:left w:val="none" w:sz="0" w:space="0" w:color="auto"/>
        <w:bottom w:val="none" w:sz="0" w:space="0" w:color="auto"/>
        <w:right w:val="none" w:sz="0" w:space="0" w:color="auto"/>
      </w:divBdr>
    </w:div>
    <w:div w:id="1762067800">
      <w:bodyDiv w:val="1"/>
      <w:marLeft w:val="0"/>
      <w:marRight w:val="0"/>
      <w:marTop w:val="0"/>
      <w:marBottom w:val="0"/>
      <w:divBdr>
        <w:top w:val="none" w:sz="0" w:space="0" w:color="auto"/>
        <w:left w:val="none" w:sz="0" w:space="0" w:color="auto"/>
        <w:bottom w:val="none" w:sz="0" w:space="0" w:color="auto"/>
        <w:right w:val="none" w:sz="0" w:space="0" w:color="auto"/>
      </w:divBdr>
    </w:div>
    <w:div w:id="1763068857">
      <w:bodyDiv w:val="1"/>
      <w:marLeft w:val="0"/>
      <w:marRight w:val="0"/>
      <w:marTop w:val="0"/>
      <w:marBottom w:val="0"/>
      <w:divBdr>
        <w:top w:val="none" w:sz="0" w:space="0" w:color="auto"/>
        <w:left w:val="none" w:sz="0" w:space="0" w:color="auto"/>
        <w:bottom w:val="none" w:sz="0" w:space="0" w:color="auto"/>
        <w:right w:val="none" w:sz="0" w:space="0" w:color="auto"/>
      </w:divBdr>
    </w:div>
    <w:div w:id="1770664129">
      <w:bodyDiv w:val="1"/>
      <w:marLeft w:val="0"/>
      <w:marRight w:val="0"/>
      <w:marTop w:val="0"/>
      <w:marBottom w:val="0"/>
      <w:divBdr>
        <w:top w:val="none" w:sz="0" w:space="0" w:color="auto"/>
        <w:left w:val="none" w:sz="0" w:space="0" w:color="auto"/>
        <w:bottom w:val="none" w:sz="0" w:space="0" w:color="auto"/>
        <w:right w:val="none" w:sz="0" w:space="0" w:color="auto"/>
      </w:divBdr>
    </w:div>
    <w:div w:id="1786195342">
      <w:bodyDiv w:val="1"/>
      <w:marLeft w:val="0"/>
      <w:marRight w:val="0"/>
      <w:marTop w:val="0"/>
      <w:marBottom w:val="0"/>
      <w:divBdr>
        <w:top w:val="none" w:sz="0" w:space="0" w:color="auto"/>
        <w:left w:val="none" w:sz="0" w:space="0" w:color="auto"/>
        <w:bottom w:val="none" w:sz="0" w:space="0" w:color="auto"/>
        <w:right w:val="none" w:sz="0" w:space="0" w:color="auto"/>
      </w:divBdr>
    </w:div>
    <w:div w:id="1793866718">
      <w:bodyDiv w:val="1"/>
      <w:marLeft w:val="0"/>
      <w:marRight w:val="0"/>
      <w:marTop w:val="0"/>
      <w:marBottom w:val="0"/>
      <w:divBdr>
        <w:top w:val="none" w:sz="0" w:space="0" w:color="auto"/>
        <w:left w:val="none" w:sz="0" w:space="0" w:color="auto"/>
        <w:bottom w:val="none" w:sz="0" w:space="0" w:color="auto"/>
        <w:right w:val="none" w:sz="0" w:space="0" w:color="auto"/>
      </w:divBdr>
    </w:div>
    <w:div w:id="1793983513">
      <w:bodyDiv w:val="1"/>
      <w:marLeft w:val="0"/>
      <w:marRight w:val="0"/>
      <w:marTop w:val="0"/>
      <w:marBottom w:val="0"/>
      <w:divBdr>
        <w:top w:val="none" w:sz="0" w:space="0" w:color="auto"/>
        <w:left w:val="none" w:sz="0" w:space="0" w:color="auto"/>
        <w:bottom w:val="none" w:sz="0" w:space="0" w:color="auto"/>
        <w:right w:val="none" w:sz="0" w:space="0" w:color="auto"/>
      </w:divBdr>
    </w:div>
    <w:div w:id="1797793349">
      <w:bodyDiv w:val="1"/>
      <w:marLeft w:val="0"/>
      <w:marRight w:val="0"/>
      <w:marTop w:val="0"/>
      <w:marBottom w:val="0"/>
      <w:divBdr>
        <w:top w:val="none" w:sz="0" w:space="0" w:color="auto"/>
        <w:left w:val="none" w:sz="0" w:space="0" w:color="auto"/>
        <w:bottom w:val="none" w:sz="0" w:space="0" w:color="auto"/>
        <w:right w:val="none" w:sz="0" w:space="0" w:color="auto"/>
      </w:divBdr>
    </w:div>
    <w:div w:id="1799106901">
      <w:bodyDiv w:val="1"/>
      <w:marLeft w:val="0"/>
      <w:marRight w:val="0"/>
      <w:marTop w:val="0"/>
      <w:marBottom w:val="0"/>
      <w:divBdr>
        <w:top w:val="none" w:sz="0" w:space="0" w:color="auto"/>
        <w:left w:val="none" w:sz="0" w:space="0" w:color="auto"/>
        <w:bottom w:val="none" w:sz="0" w:space="0" w:color="auto"/>
        <w:right w:val="none" w:sz="0" w:space="0" w:color="auto"/>
      </w:divBdr>
    </w:div>
    <w:div w:id="1801613277">
      <w:bodyDiv w:val="1"/>
      <w:marLeft w:val="0"/>
      <w:marRight w:val="0"/>
      <w:marTop w:val="0"/>
      <w:marBottom w:val="0"/>
      <w:divBdr>
        <w:top w:val="none" w:sz="0" w:space="0" w:color="auto"/>
        <w:left w:val="none" w:sz="0" w:space="0" w:color="auto"/>
        <w:bottom w:val="none" w:sz="0" w:space="0" w:color="auto"/>
        <w:right w:val="none" w:sz="0" w:space="0" w:color="auto"/>
      </w:divBdr>
    </w:div>
    <w:div w:id="1812097508">
      <w:bodyDiv w:val="1"/>
      <w:marLeft w:val="0"/>
      <w:marRight w:val="0"/>
      <w:marTop w:val="0"/>
      <w:marBottom w:val="0"/>
      <w:divBdr>
        <w:top w:val="none" w:sz="0" w:space="0" w:color="auto"/>
        <w:left w:val="none" w:sz="0" w:space="0" w:color="auto"/>
        <w:bottom w:val="none" w:sz="0" w:space="0" w:color="auto"/>
        <w:right w:val="none" w:sz="0" w:space="0" w:color="auto"/>
      </w:divBdr>
    </w:div>
    <w:div w:id="1815246364">
      <w:bodyDiv w:val="1"/>
      <w:marLeft w:val="0"/>
      <w:marRight w:val="0"/>
      <w:marTop w:val="0"/>
      <w:marBottom w:val="0"/>
      <w:divBdr>
        <w:top w:val="none" w:sz="0" w:space="0" w:color="auto"/>
        <w:left w:val="none" w:sz="0" w:space="0" w:color="auto"/>
        <w:bottom w:val="none" w:sz="0" w:space="0" w:color="auto"/>
        <w:right w:val="none" w:sz="0" w:space="0" w:color="auto"/>
      </w:divBdr>
    </w:div>
    <w:div w:id="1815752308">
      <w:bodyDiv w:val="1"/>
      <w:marLeft w:val="0"/>
      <w:marRight w:val="0"/>
      <w:marTop w:val="0"/>
      <w:marBottom w:val="0"/>
      <w:divBdr>
        <w:top w:val="none" w:sz="0" w:space="0" w:color="auto"/>
        <w:left w:val="none" w:sz="0" w:space="0" w:color="auto"/>
        <w:bottom w:val="none" w:sz="0" w:space="0" w:color="auto"/>
        <w:right w:val="none" w:sz="0" w:space="0" w:color="auto"/>
      </w:divBdr>
    </w:div>
    <w:div w:id="1831678305">
      <w:bodyDiv w:val="1"/>
      <w:marLeft w:val="0"/>
      <w:marRight w:val="0"/>
      <w:marTop w:val="0"/>
      <w:marBottom w:val="0"/>
      <w:divBdr>
        <w:top w:val="none" w:sz="0" w:space="0" w:color="auto"/>
        <w:left w:val="none" w:sz="0" w:space="0" w:color="auto"/>
        <w:bottom w:val="none" w:sz="0" w:space="0" w:color="auto"/>
        <w:right w:val="none" w:sz="0" w:space="0" w:color="auto"/>
      </w:divBdr>
    </w:div>
    <w:div w:id="1832675106">
      <w:bodyDiv w:val="1"/>
      <w:marLeft w:val="0"/>
      <w:marRight w:val="0"/>
      <w:marTop w:val="0"/>
      <w:marBottom w:val="0"/>
      <w:divBdr>
        <w:top w:val="none" w:sz="0" w:space="0" w:color="auto"/>
        <w:left w:val="none" w:sz="0" w:space="0" w:color="auto"/>
        <w:bottom w:val="none" w:sz="0" w:space="0" w:color="auto"/>
        <w:right w:val="none" w:sz="0" w:space="0" w:color="auto"/>
      </w:divBdr>
    </w:div>
    <w:div w:id="1846626724">
      <w:bodyDiv w:val="1"/>
      <w:marLeft w:val="0"/>
      <w:marRight w:val="0"/>
      <w:marTop w:val="0"/>
      <w:marBottom w:val="0"/>
      <w:divBdr>
        <w:top w:val="none" w:sz="0" w:space="0" w:color="auto"/>
        <w:left w:val="none" w:sz="0" w:space="0" w:color="auto"/>
        <w:bottom w:val="none" w:sz="0" w:space="0" w:color="auto"/>
        <w:right w:val="none" w:sz="0" w:space="0" w:color="auto"/>
      </w:divBdr>
    </w:div>
    <w:div w:id="1852405754">
      <w:bodyDiv w:val="1"/>
      <w:marLeft w:val="0"/>
      <w:marRight w:val="0"/>
      <w:marTop w:val="0"/>
      <w:marBottom w:val="0"/>
      <w:divBdr>
        <w:top w:val="none" w:sz="0" w:space="0" w:color="auto"/>
        <w:left w:val="none" w:sz="0" w:space="0" w:color="auto"/>
        <w:bottom w:val="none" w:sz="0" w:space="0" w:color="auto"/>
        <w:right w:val="none" w:sz="0" w:space="0" w:color="auto"/>
      </w:divBdr>
    </w:div>
    <w:div w:id="1852793073">
      <w:bodyDiv w:val="1"/>
      <w:marLeft w:val="0"/>
      <w:marRight w:val="0"/>
      <w:marTop w:val="0"/>
      <w:marBottom w:val="0"/>
      <w:divBdr>
        <w:top w:val="none" w:sz="0" w:space="0" w:color="auto"/>
        <w:left w:val="none" w:sz="0" w:space="0" w:color="auto"/>
        <w:bottom w:val="none" w:sz="0" w:space="0" w:color="auto"/>
        <w:right w:val="none" w:sz="0" w:space="0" w:color="auto"/>
      </w:divBdr>
    </w:div>
    <w:div w:id="1855000390">
      <w:bodyDiv w:val="1"/>
      <w:marLeft w:val="0"/>
      <w:marRight w:val="0"/>
      <w:marTop w:val="0"/>
      <w:marBottom w:val="0"/>
      <w:divBdr>
        <w:top w:val="none" w:sz="0" w:space="0" w:color="auto"/>
        <w:left w:val="none" w:sz="0" w:space="0" w:color="auto"/>
        <w:bottom w:val="none" w:sz="0" w:space="0" w:color="auto"/>
        <w:right w:val="none" w:sz="0" w:space="0" w:color="auto"/>
      </w:divBdr>
    </w:div>
    <w:div w:id="1865902081">
      <w:bodyDiv w:val="1"/>
      <w:marLeft w:val="0"/>
      <w:marRight w:val="0"/>
      <w:marTop w:val="0"/>
      <w:marBottom w:val="0"/>
      <w:divBdr>
        <w:top w:val="none" w:sz="0" w:space="0" w:color="auto"/>
        <w:left w:val="none" w:sz="0" w:space="0" w:color="auto"/>
        <w:bottom w:val="none" w:sz="0" w:space="0" w:color="auto"/>
        <w:right w:val="none" w:sz="0" w:space="0" w:color="auto"/>
      </w:divBdr>
    </w:div>
    <w:div w:id="1870603088">
      <w:bodyDiv w:val="1"/>
      <w:marLeft w:val="0"/>
      <w:marRight w:val="0"/>
      <w:marTop w:val="0"/>
      <w:marBottom w:val="0"/>
      <w:divBdr>
        <w:top w:val="none" w:sz="0" w:space="0" w:color="auto"/>
        <w:left w:val="none" w:sz="0" w:space="0" w:color="auto"/>
        <w:bottom w:val="none" w:sz="0" w:space="0" w:color="auto"/>
        <w:right w:val="none" w:sz="0" w:space="0" w:color="auto"/>
      </w:divBdr>
    </w:div>
    <w:div w:id="1890998011">
      <w:bodyDiv w:val="1"/>
      <w:marLeft w:val="0"/>
      <w:marRight w:val="0"/>
      <w:marTop w:val="0"/>
      <w:marBottom w:val="0"/>
      <w:divBdr>
        <w:top w:val="none" w:sz="0" w:space="0" w:color="auto"/>
        <w:left w:val="none" w:sz="0" w:space="0" w:color="auto"/>
        <w:bottom w:val="none" w:sz="0" w:space="0" w:color="auto"/>
        <w:right w:val="none" w:sz="0" w:space="0" w:color="auto"/>
      </w:divBdr>
    </w:div>
    <w:div w:id="1891190718">
      <w:bodyDiv w:val="1"/>
      <w:marLeft w:val="0"/>
      <w:marRight w:val="0"/>
      <w:marTop w:val="0"/>
      <w:marBottom w:val="0"/>
      <w:divBdr>
        <w:top w:val="none" w:sz="0" w:space="0" w:color="auto"/>
        <w:left w:val="none" w:sz="0" w:space="0" w:color="auto"/>
        <w:bottom w:val="none" w:sz="0" w:space="0" w:color="auto"/>
        <w:right w:val="none" w:sz="0" w:space="0" w:color="auto"/>
      </w:divBdr>
    </w:div>
    <w:div w:id="1909266680">
      <w:bodyDiv w:val="1"/>
      <w:marLeft w:val="0"/>
      <w:marRight w:val="0"/>
      <w:marTop w:val="0"/>
      <w:marBottom w:val="0"/>
      <w:divBdr>
        <w:top w:val="none" w:sz="0" w:space="0" w:color="auto"/>
        <w:left w:val="none" w:sz="0" w:space="0" w:color="auto"/>
        <w:bottom w:val="none" w:sz="0" w:space="0" w:color="auto"/>
        <w:right w:val="none" w:sz="0" w:space="0" w:color="auto"/>
      </w:divBdr>
    </w:div>
    <w:div w:id="1919828247">
      <w:bodyDiv w:val="1"/>
      <w:marLeft w:val="0"/>
      <w:marRight w:val="0"/>
      <w:marTop w:val="0"/>
      <w:marBottom w:val="0"/>
      <w:divBdr>
        <w:top w:val="none" w:sz="0" w:space="0" w:color="auto"/>
        <w:left w:val="none" w:sz="0" w:space="0" w:color="auto"/>
        <w:bottom w:val="none" w:sz="0" w:space="0" w:color="auto"/>
        <w:right w:val="none" w:sz="0" w:space="0" w:color="auto"/>
      </w:divBdr>
    </w:div>
    <w:div w:id="1947882326">
      <w:bodyDiv w:val="1"/>
      <w:marLeft w:val="0"/>
      <w:marRight w:val="0"/>
      <w:marTop w:val="0"/>
      <w:marBottom w:val="0"/>
      <w:divBdr>
        <w:top w:val="none" w:sz="0" w:space="0" w:color="auto"/>
        <w:left w:val="none" w:sz="0" w:space="0" w:color="auto"/>
        <w:bottom w:val="none" w:sz="0" w:space="0" w:color="auto"/>
        <w:right w:val="none" w:sz="0" w:space="0" w:color="auto"/>
      </w:divBdr>
    </w:div>
    <w:div w:id="1952200869">
      <w:bodyDiv w:val="1"/>
      <w:marLeft w:val="0"/>
      <w:marRight w:val="0"/>
      <w:marTop w:val="0"/>
      <w:marBottom w:val="0"/>
      <w:divBdr>
        <w:top w:val="none" w:sz="0" w:space="0" w:color="auto"/>
        <w:left w:val="none" w:sz="0" w:space="0" w:color="auto"/>
        <w:bottom w:val="none" w:sz="0" w:space="0" w:color="auto"/>
        <w:right w:val="none" w:sz="0" w:space="0" w:color="auto"/>
      </w:divBdr>
    </w:div>
    <w:div w:id="1952979128">
      <w:bodyDiv w:val="1"/>
      <w:marLeft w:val="0"/>
      <w:marRight w:val="0"/>
      <w:marTop w:val="0"/>
      <w:marBottom w:val="0"/>
      <w:divBdr>
        <w:top w:val="none" w:sz="0" w:space="0" w:color="auto"/>
        <w:left w:val="none" w:sz="0" w:space="0" w:color="auto"/>
        <w:bottom w:val="none" w:sz="0" w:space="0" w:color="auto"/>
        <w:right w:val="none" w:sz="0" w:space="0" w:color="auto"/>
      </w:divBdr>
    </w:div>
    <w:div w:id="1955820067">
      <w:bodyDiv w:val="1"/>
      <w:marLeft w:val="0"/>
      <w:marRight w:val="0"/>
      <w:marTop w:val="0"/>
      <w:marBottom w:val="0"/>
      <w:divBdr>
        <w:top w:val="none" w:sz="0" w:space="0" w:color="auto"/>
        <w:left w:val="none" w:sz="0" w:space="0" w:color="auto"/>
        <w:bottom w:val="none" w:sz="0" w:space="0" w:color="auto"/>
        <w:right w:val="none" w:sz="0" w:space="0" w:color="auto"/>
      </w:divBdr>
    </w:div>
    <w:div w:id="1959600627">
      <w:bodyDiv w:val="1"/>
      <w:marLeft w:val="0"/>
      <w:marRight w:val="0"/>
      <w:marTop w:val="0"/>
      <w:marBottom w:val="0"/>
      <w:divBdr>
        <w:top w:val="none" w:sz="0" w:space="0" w:color="auto"/>
        <w:left w:val="none" w:sz="0" w:space="0" w:color="auto"/>
        <w:bottom w:val="none" w:sz="0" w:space="0" w:color="auto"/>
        <w:right w:val="none" w:sz="0" w:space="0" w:color="auto"/>
      </w:divBdr>
    </w:div>
    <w:div w:id="1959751256">
      <w:bodyDiv w:val="1"/>
      <w:marLeft w:val="0"/>
      <w:marRight w:val="0"/>
      <w:marTop w:val="0"/>
      <w:marBottom w:val="0"/>
      <w:divBdr>
        <w:top w:val="none" w:sz="0" w:space="0" w:color="auto"/>
        <w:left w:val="none" w:sz="0" w:space="0" w:color="auto"/>
        <w:bottom w:val="none" w:sz="0" w:space="0" w:color="auto"/>
        <w:right w:val="none" w:sz="0" w:space="0" w:color="auto"/>
      </w:divBdr>
    </w:div>
    <w:div w:id="1968656883">
      <w:bodyDiv w:val="1"/>
      <w:marLeft w:val="0"/>
      <w:marRight w:val="0"/>
      <w:marTop w:val="0"/>
      <w:marBottom w:val="0"/>
      <w:divBdr>
        <w:top w:val="none" w:sz="0" w:space="0" w:color="auto"/>
        <w:left w:val="none" w:sz="0" w:space="0" w:color="auto"/>
        <w:bottom w:val="none" w:sz="0" w:space="0" w:color="auto"/>
        <w:right w:val="none" w:sz="0" w:space="0" w:color="auto"/>
      </w:divBdr>
    </w:div>
    <w:div w:id="1969429567">
      <w:bodyDiv w:val="1"/>
      <w:marLeft w:val="0"/>
      <w:marRight w:val="0"/>
      <w:marTop w:val="0"/>
      <w:marBottom w:val="0"/>
      <w:divBdr>
        <w:top w:val="none" w:sz="0" w:space="0" w:color="auto"/>
        <w:left w:val="none" w:sz="0" w:space="0" w:color="auto"/>
        <w:bottom w:val="none" w:sz="0" w:space="0" w:color="auto"/>
        <w:right w:val="none" w:sz="0" w:space="0" w:color="auto"/>
      </w:divBdr>
    </w:div>
    <w:div w:id="1983847258">
      <w:bodyDiv w:val="1"/>
      <w:marLeft w:val="0"/>
      <w:marRight w:val="0"/>
      <w:marTop w:val="0"/>
      <w:marBottom w:val="0"/>
      <w:divBdr>
        <w:top w:val="none" w:sz="0" w:space="0" w:color="auto"/>
        <w:left w:val="none" w:sz="0" w:space="0" w:color="auto"/>
        <w:bottom w:val="none" w:sz="0" w:space="0" w:color="auto"/>
        <w:right w:val="none" w:sz="0" w:space="0" w:color="auto"/>
      </w:divBdr>
    </w:div>
    <w:div w:id="2021160145">
      <w:bodyDiv w:val="1"/>
      <w:marLeft w:val="0"/>
      <w:marRight w:val="0"/>
      <w:marTop w:val="0"/>
      <w:marBottom w:val="0"/>
      <w:divBdr>
        <w:top w:val="none" w:sz="0" w:space="0" w:color="auto"/>
        <w:left w:val="none" w:sz="0" w:space="0" w:color="auto"/>
        <w:bottom w:val="none" w:sz="0" w:space="0" w:color="auto"/>
        <w:right w:val="none" w:sz="0" w:space="0" w:color="auto"/>
      </w:divBdr>
    </w:div>
    <w:div w:id="2024166058">
      <w:bodyDiv w:val="1"/>
      <w:marLeft w:val="0"/>
      <w:marRight w:val="0"/>
      <w:marTop w:val="0"/>
      <w:marBottom w:val="0"/>
      <w:divBdr>
        <w:top w:val="none" w:sz="0" w:space="0" w:color="auto"/>
        <w:left w:val="none" w:sz="0" w:space="0" w:color="auto"/>
        <w:bottom w:val="none" w:sz="0" w:space="0" w:color="auto"/>
        <w:right w:val="none" w:sz="0" w:space="0" w:color="auto"/>
      </w:divBdr>
    </w:div>
    <w:div w:id="2028023557">
      <w:bodyDiv w:val="1"/>
      <w:marLeft w:val="0"/>
      <w:marRight w:val="0"/>
      <w:marTop w:val="0"/>
      <w:marBottom w:val="0"/>
      <w:divBdr>
        <w:top w:val="none" w:sz="0" w:space="0" w:color="auto"/>
        <w:left w:val="none" w:sz="0" w:space="0" w:color="auto"/>
        <w:bottom w:val="none" w:sz="0" w:space="0" w:color="auto"/>
        <w:right w:val="none" w:sz="0" w:space="0" w:color="auto"/>
      </w:divBdr>
    </w:div>
    <w:div w:id="2041542253">
      <w:bodyDiv w:val="1"/>
      <w:marLeft w:val="0"/>
      <w:marRight w:val="0"/>
      <w:marTop w:val="0"/>
      <w:marBottom w:val="0"/>
      <w:divBdr>
        <w:top w:val="none" w:sz="0" w:space="0" w:color="auto"/>
        <w:left w:val="none" w:sz="0" w:space="0" w:color="auto"/>
        <w:bottom w:val="none" w:sz="0" w:space="0" w:color="auto"/>
        <w:right w:val="none" w:sz="0" w:space="0" w:color="auto"/>
      </w:divBdr>
    </w:div>
    <w:div w:id="2048605681">
      <w:bodyDiv w:val="1"/>
      <w:marLeft w:val="0"/>
      <w:marRight w:val="0"/>
      <w:marTop w:val="0"/>
      <w:marBottom w:val="0"/>
      <w:divBdr>
        <w:top w:val="none" w:sz="0" w:space="0" w:color="auto"/>
        <w:left w:val="none" w:sz="0" w:space="0" w:color="auto"/>
        <w:bottom w:val="none" w:sz="0" w:space="0" w:color="auto"/>
        <w:right w:val="none" w:sz="0" w:space="0" w:color="auto"/>
      </w:divBdr>
    </w:div>
    <w:div w:id="2049186866">
      <w:bodyDiv w:val="1"/>
      <w:marLeft w:val="0"/>
      <w:marRight w:val="0"/>
      <w:marTop w:val="0"/>
      <w:marBottom w:val="0"/>
      <w:divBdr>
        <w:top w:val="none" w:sz="0" w:space="0" w:color="auto"/>
        <w:left w:val="none" w:sz="0" w:space="0" w:color="auto"/>
        <w:bottom w:val="none" w:sz="0" w:space="0" w:color="auto"/>
        <w:right w:val="none" w:sz="0" w:space="0" w:color="auto"/>
      </w:divBdr>
    </w:div>
    <w:div w:id="2056418714">
      <w:bodyDiv w:val="1"/>
      <w:marLeft w:val="0"/>
      <w:marRight w:val="0"/>
      <w:marTop w:val="0"/>
      <w:marBottom w:val="0"/>
      <w:divBdr>
        <w:top w:val="none" w:sz="0" w:space="0" w:color="auto"/>
        <w:left w:val="none" w:sz="0" w:space="0" w:color="auto"/>
        <w:bottom w:val="none" w:sz="0" w:space="0" w:color="auto"/>
        <w:right w:val="none" w:sz="0" w:space="0" w:color="auto"/>
      </w:divBdr>
    </w:div>
    <w:div w:id="2061249894">
      <w:bodyDiv w:val="1"/>
      <w:marLeft w:val="0"/>
      <w:marRight w:val="0"/>
      <w:marTop w:val="0"/>
      <w:marBottom w:val="0"/>
      <w:divBdr>
        <w:top w:val="none" w:sz="0" w:space="0" w:color="auto"/>
        <w:left w:val="none" w:sz="0" w:space="0" w:color="auto"/>
        <w:bottom w:val="none" w:sz="0" w:space="0" w:color="auto"/>
        <w:right w:val="none" w:sz="0" w:space="0" w:color="auto"/>
      </w:divBdr>
    </w:div>
    <w:div w:id="2064669628">
      <w:bodyDiv w:val="1"/>
      <w:marLeft w:val="0"/>
      <w:marRight w:val="0"/>
      <w:marTop w:val="0"/>
      <w:marBottom w:val="0"/>
      <w:divBdr>
        <w:top w:val="none" w:sz="0" w:space="0" w:color="auto"/>
        <w:left w:val="none" w:sz="0" w:space="0" w:color="auto"/>
        <w:bottom w:val="none" w:sz="0" w:space="0" w:color="auto"/>
        <w:right w:val="none" w:sz="0" w:space="0" w:color="auto"/>
      </w:divBdr>
    </w:div>
    <w:div w:id="2104256645">
      <w:bodyDiv w:val="1"/>
      <w:marLeft w:val="0"/>
      <w:marRight w:val="0"/>
      <w:marTop w:val="0"/>
      <w:marBottom w:val="0"/>
      <w:divBdr>
        <w:top w:val="none" w:sz="0" w:space="0" w:color="auto"/>
        <w:left w:val="none" w:sz="0" w:space="0" w:color="auto"/>
        <w:bottom w:val="none" w:sz="0" w:space="0" w:color="auto"/>
        <w:right w:val="none" w:sz="0" w:space="0" w:color="auto"/>
      </w:divBdr>
    </w:div>
    <w:div w:id="2106921666">
      <w:bodyDiv w:val="1"/>
      <w:marLeft w:val="0"/>
      <w:marRight w:val="0"/>
      <w:marTop w:val="0"/>
      <w:marBottom w:val="0"/>
      <w:divBdr>
        <w:top w:val="none" w:sz="0" w:space="0" w:color="auto"/>
        <w:left w:val="none" w:sz="0" w:space="0" w:color="auto"/>
        <w:bottom w:val="none" w:sz="0" w:space="0" w:color="auto"/>
        <w:right w:val="none" w:sz="0" w:space="0" w:color="auto"/>
      </w:divBdr>
    </w:div>
    <w:div w:id="2107533164">
      <w:bodyDiv w:val="1"/>
      <w:marLeft w:val="0"/>
      <w:marRight w:val="0"/>
      <w:marTop w:val="0"/>
      <w:marBottom w:val="0"/>
      <w:divBdr>
        <w:top w:val="none" w:sz="0" w:space="0" w:color="auto"/>
        <w:left w:val="none" w:sz="0" w:space="0" w:color="auto"/>
        <w:bottom w:val="none" w:sz="0" w:space="0" w:color="auto"/>
        <w:right w:val="none" w:sz="0" w:space="0" w:color="auto"/>
      </w:divBdr>
    </w:div>
    <w:div w:id="2108573836">
      <w:bodyDiv w:val="1"/>
      <w:marLeft w:val="0"/>
      <w:marRight w:val="0"/>
      <w:marTop w:val="0"/>
      <w:marBottom w:val="0"/>
      <w:divBdr>
        <w:top w:val="none" w:sz="0" w:space="0" w:color="auto"/>
        <w:left w:val="none" w:sz="0" w:space="0" w:color="auto"/>
        <w:bottom w:val="none" w:sz="0" w:space="0" w:color="auto"/>
        <w:right w:val="none" w:sz="0" w:space="0" w:color="auto"/>
      </w:divBdr>
    </w:div>
    <w:div w:id="2115592823">
      <w:bodyDiv w:val="1"/>
      <w:marLeft w:val="0"/>
      <w:marRight w:val="0"/>
      <w:marTop w:val="0"/>
      <w:marBottom w:val="0"/>
      <w:divBdr>
        <w:top w:val="none" w:sz="0" w:space="0" w:color="auto"/>
        <w:left w:val="none" w:sz="0" w:space="0" w:color="auto"/>
        <w:bottom w:val="none" w:sz="0" w:space="0" w:color="auto"/>
        <w:right w:val="none" w:sz="0" w:space="0" w:color="auto"/>
      </w:divBdr>
    </w:div>
    <w:div w:id="2124035485">
      <w:bodyDiv w:val="1"/>
      <w:marLeft w:val="0"/>
      <w:marRight w:val="0"/>
      <w:marTop w:val="0"/>
      <w:marBottom w:val="0"/>
      <w:divBdr>
        <w:top w:val="none" w:sz="0" w:space="0" w:color="auto"/>
        <w:left w:val="none" w:sz="0" w:space="0" w:color="auto"/>
        <w:bottom w:val="none" w:sz="0" w:space="0" w:color="auto"/>
        <w:right w:val="none" w:sz="0" w:space="0" w:color="auto"/>
      </w:divBdr>
    </w:div>
    <w:div w:id="213995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Hoja_de_c_lculo_de_Microsoft_Excel2.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1.xls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xlsx"/><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049B5-AFEF-486A-985C-D1EC20062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2961</Words>
  <Characters>16286</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3</cp:revision>
  <cp:lastPrinted>2021-10-22T18:34:00Z</cp:lastPrinted>
  <dcterms:created xsi:type="dcterms:W3CDTF">2022-04-26T20:38:00Z</dcterms:created>
  <dcterms:modified xsi:type="dcterms:W3CDTF">2022-04-26T20:41:00Z</dcterms:modified>
</cp:coreProperties>
</file>