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B15" w:rsidRDefault="00736760" w:rsidP="006F3019">
      <w:pPr>
        <w:spacing w:line="240" w:lineRule="auto"/>
        <w:jc w:val="center"/>
        <w:rPr>
          <w:rFonts w:ascii="Barlow" w:hAnsi="Barlow" w:cs="Arial"/>
          <w:b/>
          <w:sz w:val="20"/>
          <w:szCs w:val="20"/>
        </w:rPr>
      </w:pPr>
      <w:r>
        <w:rPr>
          <w:rFonts w:ascii="Barlow" w:hAnsi="Barlow" w:cs="Arial"/>
          <w:b/>
          <w:sz w:val="20"/>
          <w:szCs w:val="20"/>
        </w:rPr>
        <w:t>Informe</w:t>
      </w:r>
      <w:r w:rsidR="00375B15" w:rsidRPr="00375B15">
        <w:rPr>
          <w:rFonts w:ascii="Barlow" w:hAnsi="Barlow" w:cs="Arial"/>
          <w:b/>
          <w:sz w:val="20"/>
          <w:szCs w:val="20"/>
        </w:rPr>
        <w:t xml:space="preserve"> Sobre Pasivos Contingentes</w:t>
      </w:r>
    </w:p>
    <w:p w:rsidR="006F3019" w:rsidRPr="00215C8A" w:rsidRDefault="002B0C2A" w:rsidP="006F3019">
      <w:pPr>
        <w:spacing w:line="240" w:lineRule="auto"/>
        <w:jc w:val="center"/>
        <w:rPr>
          <w:rFonts w:ascii="Barlow" w:hAnsi="Barlow" w:cs="Arial"/>
          <w:b/>
          <w:sz w:val="20"/>
          <w:szCs w:val="20"/>
        </w:rPr>
      </w:pPr>
      <w:r w:rsidRPr="00215C8A">
        <w:rPr>
          <w:rFonts w:ascii="Barlow" w:hAnsi="Barlow" w:cs="Arial"/>
          <w:b/>
          <w:sz w:val="20"/>
          <w:szCs w:val="20"/>
        </w:rPr>
        <w:t>A</w:t>
      </w:r>
      <w:r w:rsidR="007B5491">
        <w:rPr>
          <w:rFonts w:ascii="Barlow" w:hAnsi="Barlow" w:cs="Arial"/>
          <w:b/>
          <w:sz w:val="20"/>
          <w:szCs w:val="20"/>
        </w:rPr>
        <w:t>l 31 de marzo</w:t>
      </w:r>
      <w:bookmarkStart w:id="0" w:name="_GoBack"/>
      <w:bookmarkEnd w:id="0"/>
      <w:r w:rsidR="007B5491">
        <w:rPr>
          <w:rFonts w:ascii="Barlow" w:hAnsi="Barlow" w:cs="Arial"/>
          <w:b/>
          <w:sz w:val="20"/>
          <w:szCs w:val="20"/>
        </w:rPr>
        <w:t xml:space="preserve"> del 2022</w:t>
      </w:r>
    </w:p>
    <w:p w:rsidR="00723865" w:rsidRPr="00215C8A" w:rsidRDefault="00723865" w:rsidP="00723865">
      <w:pPr>
        <w:spacing w:line="240" w:lineRule="auto"/>
        <w:jc w:val="center"/>
        <w:rPr>
          <w:rFonts w:ascii="Barlow" w:hAnsi="Barlow" w:cs="Arial"/>
          <w:b/>
          <w:sz w:val="20"/>
          <w:szCs w:val="20"/>
        </w:rPr>
      </w:pPr>
      <w:r w:rsidRPr="00723865">
        <w:rPr>
          <w:rFonts w:ascii="Barlow" w:hAnsi="Barlow" w:cs="Arial"/>
          <w:b/>
          <w:sz w:val="20"/>
          <w:szCs w:val="20"/>
        </w:rPr>
        <w:t>(Cifras en Pesos)</w:t>
      </w:r>
    </w:p>
    <w:p w:rsidR="006F3019" w:rsidRDefault="006641BD" w:rsidP="006F3019">
      <w:pPr>
        <w:spacing w:line="240" w:lineRule="auto"/>
        <w:rPr>
          <w:rFonts w:ascii="Barlow" w:hAnsi="Barlow" w:cs="Arial"/>
          <w:b/>
          <w:sz w:val="20"/>
          <w:szCs w:val="20"/>
        </w:rPr>
      </w:pPr>
      <w:r w:rsidRPr="00215C8A">
        <w:rPr>
          <w:rFonts w:ascii="Barlow" w:hAnsi="Barlow" w:cs="Arial"/>
          <w:b/>
          <w:sz w:val="20"/>
          <w:szCs w:val="20"/>
        </w:rPr>
        <w:t>Ente Público:</w:t>
      </w:r>
      <w:r w:rsidR="00407CEA" w:rsidRPr="00215C8A">
        <w:rPr>
          <w:rFonts w:ascii="Barlow" w:hAnsi="Barlow" w:cs="Arial"/>
          <w:b/>
          <w:sz w:val="20"/>
          <w:szCs w:val="20"/>
        </w:rPr>
        <w:t xml:space="preserve"> </w:t>
      </w:r>
      <w:r w:rsidR="00D132B6" w:rsidRPr="00215C8A">
        <w:rPr>
          <w:rFonts w:ascii="Barlow" w:hAnsi="Barlow" w:cs="Arial"/>
          <w:b/>
          <w:sz w:val="20"/>
          <w:szCs w:val="20"/>
        </w:rPr>
        <w:t>INSTITUTO PARA LA CONSTRUCCIÓN Y CONSERVACIÓN DE OBRA PÚBLICA EN YUCATÁN</w:t>
      </w:r>
    </w:p>
    <w:p w:rsidR="007B5491" w:rsidRPr="007B5491" w:rsidRDefault="007B5491" w:rsidP="006F3019">
      <w:pPr>
        <w:spacing w:line="240" w:lineRule="auto"/>
        <w:rPr>
          <w:rFonts w:ascii="Barlow" w:hAnsi="Barlow" w:cs="Arial"/>
          <w:sz w:val="20"/>
          <w:szCs w:val="20"/>
        </w:rPr>
      </w:pPr>
      <w:r w:rsidRPr="007B5491">
        <w:rPr>
          <w:rFonts w:ascii="Barlow" w:eastAsia="Times New Roman" w:hAnsi="Barlow" w:cs="Arial"/>
          <w:bCs/>
          <w:color w:val="000000"/>
          <w:sz w:val="20"/>
          <w:szCs w:val="20"/>
          <w:lang w:eastAsia="es-MX"/>
        </w:rPr>
        <w:t>Esta cuenta representa el monto de los juicios laborales que se encuentran en proceso de resolución, mismos que se encuentran registrados en las cuentas de orden de esta Entidad, al 31 de marzo del 2022 se relaciona los siguientes montos estimados:</w:t>
      </w:r>
    </w:p>
    <w:tbl>
      <w:tblPr>
        <w:tblW w:w="11380" w:type="dxa"/>
        <w:tblInd w:w="-72" w:type="dxa"/>
        <w:tblLayout w:type="fixed"/>
        <w:tblCellMar>
          <w:left w:w="70" w:type="dxa"/>
          <w:right w:w="70" w:type="dxa"/>
        </w:tblCellMar>
        <w:tblLook w:val="04A0" w:firstRow="1" w:lastRow="0" w:firstColumn="1" w:lastColumn="0" w:noHBand="0" w:noVBand="1"/>
      </w:tblPr>
      <w:tblGrid>
        <w:gridCol w:w="2823"/>
        <w:gridCol w:w="6106"/>
        <w:gridCol w:w="2451"/>
      </w:tblGrid>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
                <w:bCs/>
                <w:color w:val="000000"/>
                <w:sz w:val="20"/>
                <w:szCs w:val="20"/>
                <w:lang w:eastAsia="es-MX"/>
              </w:rPr>
            </w:pPr>
            <w:r w:rsidRPr="007B5491">
              <w:rPr>
                <w:rFonts w:ascii="Barlow" w:eastAsia="Times New Roman" w:hAnsi="Barlow" w:cs="Arial"/>
                <w:b/>
                <w:bCs/>
                <w:color w:val="000000"/>
                <w:sz w:val="20"/>
                <w:szCs w:val="20"/>
                <w:lang w:eastAsia="es-MX"/>
              </w:rPr>
              <w:t>NÚMERO DE EXPEDIENTE</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
                <w:bCs/>
                <w:color w:val="000000"/>
                <w:sz w:val="20"/>
                <w:szCs w:val="20"/>
                <w:lang w:eastAsia="es-MX"/>
              </w:rPr>
            </w:pPr>
            <w:r w:rsidRPr="007B5491">
              <w:rPr>
                <w:rFonts w:ascii="Barlow" w:eastAsia="Times New Roman" w:hAnsi="Barlow" w:cs="Arial"/>
                <w:b/>
                <w:bCs/>
                <w:color w:val="000000"/>
                <w:sz w:val="20"/>
                <w:szCs w:val="20"/>
                <w:lang w:eastAsia="es-MX"/>
              </w:rPr>
              <w:t>DEMANDANTE</w:t>
            </w:r>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
                <w:bCs/>
                <w:color w:val="000000"/>
                <w:sz w:val="20"/>
                <w:szCs w:val="20"/>
                <w:lang w:eastAsia="es-MX"/>
              </w:rPr>
            </w:pPr>
            <w:r w:rsidRPr="007B5491">
              <w:rPr>
                <w:rFonts w:ascii="Barlow" w:eastAsia="Times New Roman" w:hAnsi="Barlow" w:cs="Arial"/>
                <w:b/>
                <w:bCs/>
                <w:color w:val="000000"/>
                <w:sz w:val="20"/>
                <w:szCs w:val="20"/>
                <w:lang w:eastAsia="es-MX"/>
              </w:rPr>
              <w:t>MONTO ESTIMADO</w:t>
            </w:r>
          </w:p>
        </w:tc>
      </w:tr>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371/2019</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xml:space="preserve">Maria Fernanda Campos </w:t>
            </w:r>
            <w:proofErr w:type="spellStart"/>
            <w:r w:rsidRPr="007B5491">
              <w:rPr>
                <w:rFonts w:ascii="Barlow" w:eastAsia="Times New Roman" w:hAnsi="Barlow" w:cs="Arial"/>
                <w:bCs/>
                <w:color w:val="000000"/>
                <w:sz w:val="20"/>
                <w:szCs w:val="20"/>
                <w:lang w:eastAsia="es-MX"/>
              </w:rPr>
              <w:t>Gongora</w:t>
            </w:r>
            <w:proofErr w:type="spellEnd"/>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406,417.08</w:t>
            </w:r>
          </w:p>
        </w:tc>
      </w:tr>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777/2019</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proofErr w:type="spellStart"/>
            <w:r w:rsidRPr="007B5491">
              <w:rPr>
                <w:rFonts w:ascii="Barlow" w:eastAsia="Times New Roman" w:hAnsi="Barlow" w:cs="Arial"/>
                <w:bCs/>
                <w:color w:val="000000"/>
                <w:sz w:val="20"/>
                <w:szCs w:val="20"/>
                <w:lang w:eastAsia="es-MX"/>
              </w:rPr>
              <w:t>Annie</w:t>
            </w:r>
            <w:proofErr w:type="spellEnd"/>
            <w:r w:rsidRPr="007B5491">
              <w:rPr>
                <w:rFonts w:ascii="Barlow" w:eastAsia="Times New Roman" w:hAnsi="Barlow" w:cs="Arial"/>
                <w:bCs/>
                <w:color w:val="000000"/>
                <w:sz w:val="20"/>
                <w:szCs w:val="20"/>
                <w:lang w:eastAsia="es-MX"/>
              </w:rPr>
              <w:t xml:space="preserve"> Patricia Cervantes Hernández</w:t>
            </w:r>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605,913.15</w:t>
            </w:r>
          </w:p>
        </w:tc>
      </w:tr>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958/2018</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proofErr w:type="spellStart"/>
            <w:r w:rsidRPr="007B5491">
              <w:rPr>
                <w:rFonts w:ascii="Barlow" w:eastAsia="Times New Roman" w:hAnsi="Barlow" w:cs="Arial"/>
                <w:bCs/>
                <w:color w:val="000000"/>
                <w:sz w:val="20"/>
                <w:szCs w:val="20"/>
                <w:lang w:eastAsia="es-MX"/>
              </w:rPr>
              <w:t>Noemi</w:t>
            </w:r>
            <w:proofErr w:type="spellEnd"/>
            <w:r w:rsidRPr="007B5491">
              <w:rPr>
                <w:rFonts w:ascii="Barlow" w:eastAsia="Times New Roman" w:hAnsi="Barlow" w:cs="Arial"/>
                <w:bCs/>
                <w:color w:val="000000"/>
                <w:sz w:val="20"/>
                <w:szCs w:val="20"/>
                <w:lang w:eastAsia="es-MX"/>
              </w:rPr>
              <w:t xml:space="preserve"> Cristina González </w:t>
            </w:r>
            <w:proofErr w:type="spellStart"/>
            <w:r w:rsidRPr="007B5491">
              <w:rPr>
                <w:rFonts w:ascii="Barlow" w:eastAsia="Times New Roman" w:hAnsi="Barlow" w:cs="Arial"/>
                <w:bCs/>
                <w:color w:val="000000"/>
                <w:sz w:val="20"/>
                <w:szCs w:val="20"/>
                <w:lang w:eastAsia="es-MX"/>
              </w:rPr>
              <w:t>Gongora</w:t>
            </w:r>
            <w:proofErr w:type="spellEnd"/>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$ 1,415,764.02</w:t>
            </w:r>
          </w:p>
        </w:tc>
      </w:tr>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984/2018</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José Francisco Rodriguez Valencia</w:t>
            </w:r>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246,599.53</w:t>
            </w:r>
          </w:p>
        </w:tc>
      </w:tr>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680/2018</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Ariel Enrique Lugo Cabrera</w:t>
            </w:r>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637,035.99</w:t>
            </w:r>
          </w:p>
        </w:tc>
      </w:tr>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049/2016</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Juana de la Cruz López Nah</w:t>
            </w:r>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173,363.64</w:t>
            </w:r>
          </w:p>
        </w:tc>
      </w:tr>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1096/2019</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Harley Joan Pacheco Franco</w:t>
            </w:r>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286,257.07</w:t>
            </w:r>
          </w:p>
        </w:tc>
      </w:tr>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661/2015</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proofErr w:type="spellStart"/>
            <w:r w:rsidRPr="007B5491">
              <w:rPr>
                <w:rFonts w:ascii="Barlow" w:eastAsia="Times New Roman" w:hAnsi="Barlow" w:cs="Arial"/>
                <w:bCs/>
                <w:color w:val="000000"/>
                <w:sz w:val="20"/>
                <w:szCs w:val="20"/>
                <w:lang w:eastAsia="es-MX"/>
              </w:rPr>
              <w:t>Joaquin</w:t>
            </w:r>
            <w:proofErr w:type="spellEnd"/>
            <w:r w:rsidRPr="007B5491">
              <w:rPr>
                <w:rFonts w:ascii="Barlow" w:eastAsia="Times New Roman" w:hAnsi="Barlow" w:cs="Arial"/>
                <w:bCs/>
                <w:color w:val="000000"/>
                <w:sz w:val="20"/>
                <w:szCs w:val="20"/>
                <w:lang w:eastAsia="es-MX"/>
              </w:rPr>
              <w:t xml:space="preserve"> Méndez </w:t>
            </w:r>
            <w:proofErr w:type="spellStart"/>
            <w:r w:rsidRPr="007B5491">
              <w:rPr>
                <w:rFonts w:ascii="Barlow" w:eastAsia="Times New Roman" w:hAnsi="Barlow" w:cs="Arial"/>
                <w:bCs/>
                <w:color w:val="000000"/>
                <w:sz w:val="20"/>
                <w:szCs w:val="20"/>
                <w:lang w:eastAsia="es-MX"/>
              </w:rPr>
              <w:t>Tuz</w:t>
            </w:r>
            <w:proofErr w:type="spellEnd"/>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451,860.84</w:t>
            </w:r>
          </w:p>
        </w:tc>
      </w:tr>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7/2020</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xml:space="preserve">Joaquín Méndez </w:t>
            </w:r>
            <w:proofErr w:type="spellStart"/>
            <w:r w:rsidRPr="007B5491">
              <w:rPr>
                <w:rFonts w:ascii="Barlow" w:eastAsia="Times New Roman" w:hAnsi="Barlow" w:cs="Arial"/>
                <w:bCs/>
                <w:color w:val="000000"/>
                <w:sz w:val="20"/>
                <w:szCs w:val="20"/>
                <w:lang w:eastAsia="es-MX"/>
              </w:rPr>
              <w:t>Tuz</w:t>
            </w:r>
            <w:proofErr w:type="spellEnd"/>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316,262.54</w:t>
            </w:r>
          </w:p>
        </w:tc>
      </w:tr>
      <w:tr w:rsidR="007B5491" w:rsidRPr="007B5491" w:rsidTr="007B5491">
        <w:trPr>
          <w:trHeight w:val="300"/>
        </w:trPr>
        <w:tc>
          <w:tcPr>
            <w:tcW w:w="2823" w:type="dxa"/>
            <w:tcBorders>
              <w:top w:val="single" w:sz="8" w:space="0" w:color="auto"/>
              <w:left w:val="single" w:sz="8" w:space="0" w:color="auto"/>
              <w:bottom w:val="single" w:sz="8" w:space="0" w:color="auto"/>
              <w:right w:val="single" w:sz="4" w:space="0" w:color="auto"/>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636/2021</w:t>
            </w:r>
          </w:p>
        </w:tc>
        <w:tc>
          <w:tcPr>
            <w:tcW w:w="6106" w:type="dxa"/>
            <w:tcBorders>
              <w:top w:val="single" w:sz="8" w:space="0" w:color="auto"/>
              <w:left w:val="nil"/>
              <w:bottom w:val="single" w:sz="8" w:space="0" w:color="auto"/>
              <w:right w:val="single" w:sz="4"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Pedro Pablo Vicente Maury Cuna</w:t>
            </w:r>
          </w:p>
        </w:tc>
        <w:tc>
          <w:tcPr>
            <w:tcW w:w="2451" w:type="dxa"/>
            <w:tcBorders>
              <w:top w:val="single" w:sz="8" w:space="0" w:color="auto"/>
              <w:left w:val="nil"/>
              <w:bottom w:val="single" w:sz="8" w:space="0" w:color="auto"/>
              <w:right w:val="single" w:sz="8" w:space="0" w:color="000000"/>
            </w:tcBorders>
            <w:hideMark/>
          </w:tcPr>
          <w:p w:rsidR="007B5491" w:rsidRPr="007B5491" w:rsidRDefault="007B5491">
            <w:pPr>
              <w:spacing w:after="0" w:line="240" w:lineRule="auto"/>
              <w:jc w:val="both"/>
              <w:rPr>
                <w:rFonts w:ascii="Barlow" w:eastAsia="Times New Roman" w:hAnsi="Barlow" w:cs="Arial"/>
                <w:bCs/>
                <w:color w:val="000000"/>
                <w:sz w:val="20"/>
                <w:szCs w:val="20"/>
                <w:lang w:eastAsia="es-MX"/>
              </w:rPr>
            </w:pPr>
            <w:r w:rsidRPr="007B5491">
              <w:rPr>
                <w:rFonts w:ascii="Barlow" w:eastAsia="Times New Roman" w:hAnsi="Barlow" w:cs="Arial"/>
                <w:bCs/>
                <w:color w:val="000000"/>
                <w:sz w:val="20"/>
                <w:szCs w:val="20"/>
                <w:lang w:eastAsia="es-MX"/>
              </w:rPr>
              <w:t>$   178,778.57</w:t>
            </w:r>
          </w:p>
        </w:tc>
      </w:tr>
    </w:tbl>
    <w:p w:rsidR="007B5491" w:rsidRPr="007B5491" w:rsidRDefault="007B5491" w:rsidP="007B5491">
      <w:pPr>
        <w:spacing w:line="240" w:lineRule="auto"/>
        <w:rPr>
          <w:rFonts w:ascii="Barlow" w:hAnsi="Barlow" w:cs="Arial"/>
          <w:b/>
          <w:sz w:val="20"/>
          <w:szCs w:val="20"/>
          <w:u w:val="single"/>
        </w:rPr>
      </w:pPr>
      <w:r w:rsidRPr="007B5491">
        <w:rPr>
          <w:rFonts w:ascii="Barlow" w:hAnsi="Barlow" w:cs="Arial"/>
          <w:b/>
          <w:sz w:val="20"/>
          <w:szCs w:val="20"/>
          <w:u w:val="single"/>
        </w:rPr>
        <w:t>TOTAL:</w:t>
      </w:r>
      <w:r w:rsidRPr="007B5491">
        <w:rPr>
          <w:rFonts w:ascii="Barlow" w:hAnsi="Barlow" w:cs="Arial"/>
          <w:b/>
          <w:sz w:val="20"/>
          <w:szCs w:val="20"/>
          <w:u w:val="single"/>
        </w:rPr>
        <w:tab/>
      </w:r>
      <w:r w:rsidRPr="007B5491">
        <w:rPr>
          <w:rFonts w:ascii="Barlow" w:hAnsi="Barlow" w:cs="Arial"/>
          <w:b/>
          <w:sz w:val="20"/>
          <w:szCs w:val="20"/>
          <w:u w:val="single"/>
        </w:rPr>
        <w:tab/>
      </w:r>
      <w:r w:rsidRPr="007B5491">
        <w:rPr>
          <w:rFonts w:ascii="Barlow" w:hAnsi="Barlow" w:cs="Arial"/>
          <w:b/>
          <w:sz w:val="20"/>
          <w:szCs w:val="20"/>
          <w:u w:val="single"/>
        </w:rPr>
        <w:tab/>
      </w:r>
      <w:r w:rsidRPr="007B5491">
        <w:rPr>
          <w:rFonts w:ascii="Barlow" w:hAnsi="Barlow" w:cs="Arial"/>
          <w:b/>
          <w:sz w:val="20"/>
          <w:szCs w:val="20"/>
          <w:u w:val="single"/>
        </w:rPr>
        <w:tab/>
      </w:r>
      <w:r w:rsidRPr="007B5491">
        <w:rPr>
          <w:rFonts w:ascii="Barlow" w:hAnsi="Barlow" w:cs="Arial"/>
          <w:b/>
          <w:sz w:val="20"/>
          <w:szCs w:val="20"/>
          <w:u w:val="single"/>
        </w:rPr>
        <w:tab/>
      </w:r>
      <w:r w:rsidRPr="007B5491">
        <w:rPr>
          <w:rFonts w:ascii="Barlow" w:hAnsi="Barlow" w:cs="Arial"/>
          <w:b/>
          <w:sz w:val="20"/>
          <w:szCs w:val="20"/>
          <w:u w:val="single"/>
        </w:rPr>
        <w:tab/>
      </w:r>
      <w:r w:rsidRPr="007B5491">
        <w:rPr>
          <w:rFonts w:ascii="Barlow" w:hAnsi="Barlow" w:cs="Arial"/>
          <w:b/>
          <w:sz w:val="20"/>
          <w:szCs w:val="20"/>
          <w:u w:val="single"/>
        </w:rPr>
        <w:tab/>
      </w:r>
      <w:r w:rsidRPr="007B5491">
        <w:rPr>
          <w:rFonts w:ascii="Barlow" w:hAnsi="Barlow" w:cs="Arial"/>
          <w:b/>
          <w:sz w:val="20"/>
          <w:szCs w:val="20"/>
          <w:u w:val="single"/>
        </w:rPr>
        <w:tab/>
      </w:r>
      <w:r w:rsidRPr="007B5491">
        <w:rPr>
          <w:rFonts w:ascii="Barlow" w:hAnsi="Barlow" w:cs="Arial"/>
          <w:b/>
          <w:sz w:val="20"/>
          <w:szCs w:val="20"/>
          <w:u w:val="single"/>
        </w:rPr>
        <w:tab/>
      </w:r>
      <w:r w:rsidRPr="007B5491">
        <w:rPr>
          <w:rFonts w:ascii="Barlow" w:hAnsi="Barlow" w:cs="Arial"/>
          <w:b/>
          <w:sz w:val="20"/>
          <w:szCs w:val="20"/>
          <w:u w:val="single"/>
        </w:rPr>
        <w:tab/>
      </w:r>
      <w:r w:rsidRPr="007B5491">
        <w:rPr>
          <w:rFonts w:ascii="Barlow" w:hAnsi="Barlow" w:cs="Arial"/>
          <w:b/>
          <w:sz w:val="20"/>
          <w:szCs w:val="20"/>
          <w:u w:val="single"/>
        </w:rPr>
        <w:tab/>
        <w:t xml:space="preserve">       </w:t>
      </w:r>
      <w:r w:rsidRPr="007B5491">
        <w:rPr>
          <w:rFonts w:ascii="Barlow" w:hAnsi="Barlow" w:cs="Arial"/>
          <w:b/>
          <w:sz w:val="20"/>
          <w:szCs w:val="20"/>
          <w:u w:val="single"/>
        </w:rPr>
        <w:tab/>
        <w:t xml:space="preserve">          $ 4, 718,252.44</w:t>
      </w:r>
      <w:r w:rsidRPr="007B5491">
        <w:rPr>
          <w:rFonts w:ascii="Barlow" w:hAnsi="Barlow" w:cs="Arial"/>
          <w:b/>
          <w:sz w:val="20"/>
          <w:szCs w:val="20"/>
          <w:u w:val="single"/>
        </w:rPr>
        <w:tab/>
      </w:r>
      <w:r w:rsidRPr="007B5491">
        <w:rPr>
          <w:rFonts w:ascii="Barlow" w:hAnsi="Barlow" w:cs="Arial"/>
          <w:b/>
          <w:sz w:val="20"/>
          <w:szCs w:val="20"/>
          <w:u w:val="single"/>
        </w:rPr>
        <w:tab/>
      </w:r>
      <w:r w:rsidRPr="007B5491">
        <w:rPr>
          <w:rFonts w:ascii="Barlow" w:hAnsi="Barlow" w:cs="Arial"/>
          <w:b/>
          <w:sz w:val="20"/>
          <w:szCs w:val="20"/>
          <w:u w:val="single"/>
        </w:rPr>
        <w:tab/>
      </w:r>
    </w:p>
    <w:p w:rsidR="007B5491" w:rsidRDefault="007B5491" w:rsidP="00462E33">
      <w:pPr>
        <w:spacing w:line="240" w:lineRule="auto"/>
        <w:rPr>
          <w:rFonts w:ascii="Barlow" w:hAnsi="Barlow" w:cs="Arial"/>
          <w:sz w:val="20"/>
          <w:szCs w:val="20"/>
        </w:rPr>
      </w:pPr>
    </w:p>
    <w:p w:rsidR="00462E33" w:rsidRPr="00215C8A" w:rsidRDefault="00462E33" w:rsidP="00462E33">
      <w:pPr>
        <w:spacing w:line="240" w:lineRule="auto"/>
        <w:rPr>
          <w:rFonts w:ascii="Barlow" w:hAnsi="Barlow" w:cs="Arial"/>
          <w:sz w:val="20"/>
          <w:szCs w:val="20"/>
        </w:rPr>
      </w:pPr>
      <w:r w:rsidRPr="00215C8A">
        <w:rPr>
          <w:rFonts w:ascii="Barlow" w:hAnsi="Barlow" w:cs="Arial"/>
          <w:sz w:val="20"/>
          <w:szCs w:val="20"/>
        </w:rPr>
        <w:t xml:space="preserve">Bajo </w:t>
      </w:r>
      <w:r w:rsidR="00AE25DB">
        <w:rPr>
          <w:rFonts w:ascii="Barlow" w:hAnsi="Barlow" w:cs="Arial"/>
          <w:sz w:val="20"/>
          <w:szCs w:val="20"/>
        </w:rPr>
        <w:t>protesta de decir</w:t>
      </w:r>
      <w:r w:rsidRPr="00215C8A">
        <w:rPr>
          <w:rFonts w:ascii="Barlow" w:hAnsi="Barlow" w:cs="Arial"/>
          <w:sz w:val="20"/>
          <w:szCs w:val="20"/>
        </w:rPr>
        <w:t xml:space="preserve"> verdad declaramos que</w:t>
      </w:r>
      <w:r w:rsidR="00000098" w:rsidRPr="00215C8A">
        <w:rPr>
          <w:rFonts w:ascii="Barlow" w:hAnsi="Barlow" w:cs="Arial"/>
          <w:sz w:val="20"/>
          <w:szCs w:val="20"/>
        </w:rPr>
        <w:t xml:space="preserve"> los Estados Financieros y sus N</w:t>
      </w:r>
      <w:r w:rsidRPr="00215C8A">
        <w:rPr>
          <w:rFonts w:ascii="Barlow" w:hAnsi="Barlow" w:cs="Arial"/>
          <w:sz w:val="20"/>
          <w:szCs w:val="20"/>
        </w:rPr>
        <w:t xml:space="preserve">otas son razonablemente correctos y </w:t>
      </w:r>
      <w:r w:rsidR="00054B3F">
        <w:rPr>
          <w:rFonts w:ascii="Barlow" w:hAnsi="Barlow" w:cs="Arial"/>
          <w:sz w:val="20"/>
          <w:szCs w:val="20"/>
        </w:rPr>
        <w:t xml:space="preserve">son </w:t>
      </w:r>
      <w:r w:rsidRPr="00215C8A">
        <w:rPr>
          <w:rFonts w:ascii="Barlow" w:hAnsi="Barlow" w:cs="Arial"/>
          <w:sz w:val="20"/>
          <w:szCs w:val="20"/>
        </w:rPr>
        <w:t>responsabilidad del emisor.</w:t>
      </w:r>
    </w:p>
    <w:sectPr w:rsidR="00462E33" w:rsidRPr="00215C8A" w:rsidSect="00033C12">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0098"/>
    <w:rsid w:val="000224A5"/>
    <w:rsid w:val="00033C12"/>
    <w:rsid w:val="00054B3F"/>
    <w:rsid w:val="00065BB9"/>
    <w:rsid w:val="00065F03"/>
    <w:rsid w:val="0007311C"/>
    <w:rsid w:val="00086CB0"/>
    <w:rsid w:val="000A2800"/>
    <w:rsid w:val="000D5BE4"/>
    <w:rsid w:val="000E1882"/>
    <w:rsid w:val="000F17F2"/>
    <w:rsid w:val="001342E6"/>
    <w:rsid w:val="00144839"/>
    <w:rsid w:val="001467E9"/>
    <w:rsid w:val="00173644"/>
    <w:rsid w:val="001E5C58"/>
    <w:rsid w:val="00202C31"/>
    <w:rsid w:val="00215C8A"/>
    <w:rsid w:val="00235349"/>
    <w:rsid w:val="00250458"/>
    <w:rsid w:val="002B0C2A"/>
    <w:rsid w:val="003123FD"/>
    <w:rsid w:val="003129FF"/>
    <w:rsid w:val="00314212"/>
    <w:rsid w:val="00375B15"/>
    <w:rsid w:val="004012A0"/>
    <w:rsid w:val="00407CEA"/>
    <w:rsid w:val="00442E26"/>
    <w:rsid w:val="00457893"/>
    <w:rsid w:val="00462E33"/>
    <w:rsid w:val="00535C4C"/>
    <w:rsid w:val="00545572"/>
    <w:rsid w:val="005525B0"/>
    <w:rsid w:val="00556D3E"/>
    <w:rsid w:val="0059011A"/>
    <w:rsid w:val="005F60AD"/>
    <w:rsid w:val="006167F4"/>
    <w:rsid w:val="006330C1"/>
    <w:rsid w:val="006641BD"/>
    <w:rsid w:val="006876BD"/>
    <w:rsid w:val="00692FC6"/>
    <w:rsid w:val="006B1EF7"/>
    <w:rsid w:val="006E38DA"/>
    <w:rsid w:val="006F3019"/>
    <w:rsid w:val="00723865"/>
    <w:rsid w:val="007242BE"/>
    <w:rsid w:val="00736760"/>
    <w:rsid w:val="007519DD"/>
    <w:rsid w:val="0078417C"/>
    <w:rsid w:val="007B5491"/>
    <w:rsid w:val="007C09AB"/>
    <w:rsid w:val="007C7722"/>
    <w:rsid w:val="00896F76"/>
    <w:rsid w:val="00927587"/>
    <w:rsid w:val="009450C2"/>
    <w:rsid w:val="009472B6"/>
    <w:rsid w:val="009C380B"/>
    <w:rsid w:val="009D664A"/>
    <w:rsid w:val="009D744B"/>
    <w:rsid w:val="009E1211"/>
    <w:rsid w:val="009F0245"/>
    <w:rsid w:val="009F0748"/>
    <w:rsid w:val="00A640E3"/>
    <w:rsid w:val="00A72342"/>
    <w:rsid w:val="00AC274A"/>
    <w:rsid w:val="00AC39DD"/>
    <w:rsid w:val="00AE0E4A"/>
    <w:rsid w:val="00AE25DB"/>
    <w:rsid w:val="00AE55B9"/>
    <w:rsid w:val="00AF0000"/>
    <w:rsid w:val="00B13C4E"/>
    <w:rsid w:val="00B34856"/>
    <w:rsid w:val="00B36437"/>
    <w:rsid w:val="00B41FD4"/>
    <w:rsid w:val="00B44471"/>
    <w:rsid w:val="00BB4FE4"/>
    <w:rsid w:val="00BE6994"/>
    <w:rsid w:val="00BF31FF"/>
    <w:rsid w:val="00BF6CAF"/>
    <w:rsid w:val="00C0724B"/>
    <w:rsid w:val="00C14444"/>
    <w:rsid w:val="00C63D13"/>
    <w:rsid w:val="00C97B2D"/>
    <w:rsid w:val="00CC0FFB"/>
    <w:rsid w:val="00CC3F40"/>
    <w:rsid w:val="00D132B6"/>
    <w:rsid w:val="00D414E7"/>
    <w:rsid w:val="00D83798"/>
    <w:rsid w:val="00E3289A"/>
    <w:rsid w:val="00E60F37"/>
    <w:rsid w:val="00E715C2"/>
    <w:rsid w:val="00E97E05"/>
    <w:rsid w:val="00EA2AB4"/>
    <w:rsid w:val="00F012EA"/>
    <w:rsid w:val="00FD30CD"/>
    <w:rsid w:val="00FD77D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9105"/>
  <w15:docId w15:val="{3A5851EA-3C1F-44DD-A7D1-FEDC11E2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B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Cuadrculadetablaclara1">
    <w:name w:val="Cuadrícula de tabla clara1"/>
    <w:basedOn w:val="Tablanormal"/>
    <w:uiPriority w:val="40"/>
    <w:rsid w:val="00723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8985">
      <w:bodyDiv w:val="1"/>
      <w:marLeft w:val="0"/>
      <w:marRight w:val="0"/>
      <w:marTop w:val="0"/>
      <w:marBottom w:val="0"/>
      <w:divBdr>
        <w:top w:val="none" w:sz="0" w:space="0" w:color="auto"/>
        <w:left w:val="none" w:sz="0" w:space="0" w:color="auto"/>
        <w:bottom w:val="none" w:sz="0" w:space="0" w:color="auto"/>
        <w:right w:val="none" w:sz="0" w:space="0" w:color="auto"/>
      </w:divBdr>
    </w:div>
    <w:div w:id="205794180">
      <w:bodyDiv w:val="1"/>
      <w:marLeft w:val="0"/>
      <w:marRight w:val="0"/>
      <w:marTop w:val="0"/>
      <w:marBottom w:val="0"/>
      <w:divBdr>
        <w:top w:val="none" w:sz="0" w:space="0" w:color="auto"/>
        <w:left w:val="none" w:sz="0" w:space="0" w:color="auto"/>
        <w:bottom w:val="none" w:sz="0" w:space="0" w:color="auto"/>
        <w:right w:val="none" w:sz="0" w:space="0" w:color="auto"/>
      </w:divBdr>
    </w:div>
    <w:div w:id="417365944">
      <w:bodyDiv w:val="1"/>
      <w:marLeft w:val="0"/>
      <w:marRight w:val="0"/>
      <w:marTop w:val="0"/>
      <w:marBottom w:val="0"/>
      <w:divBdr>
        <w:top w:val="none" w:sz="0" w:space="0" w:color="auto"/>
        <w:left w:val="none" w:sz="0" w:space="0" w:color="auto"/>
        <w:bottom w:val="none" w:sz="0" w:space="0" w:color="auto"/>
        <w:right w:val="none" w:sz="0" w:space="0" w:color="auto"/>
      </w:divBdr>
    </w:div>
    <w:div w:id="826895487">
      <w:bodyDiv w:val="1"/>
      <w:marLeft w:val="0"/>
      <w:marRight w:val="0"/>
      <w:marTop w:val="0"/>
      <w:marBottom w:val="0"/>
      <w:divBdr>
        <w:top w:val="none" w:sz="0" w:space="0" w:color="auto"/>
        <w:left w:val="none" w:sz="0" w:space="0" w:color="auto"/>
        <w:bottom w:val="none" w:sz="0" w:space="0" w:color="auto"/>
        <w:right w:val="none" w:sz="0" w:space="0" w:color="auto"/>
      </w:divBdr>
    </w:div>
    <w:div w:id="836920606">
      <w:bodyDiv w:val="1"/>
      <w:marLeft w:val="0"/>
      <w:marRight w:val="0"/>
      <w:marTop w:val="0"/>
      <w:marBottom w:val="0"/>
      <w:divBdr>
        <w:top w:val="none" w:sz="0" w:space="0" w:color="auto"/>
        <w:left w:val="none" w:sz="0" w:space="0" w:color="auto"/>
        <w:bottom w:val="none" w:sz="0" w:space="0" w:color="auto"/>
        <w:right w:val="none" w:sz="0" w:space="0" w:color="auto"/>
      </w:divBdr>
    </w:div>
    <w:div w:id="942154996">
      <w:bodyDiv w:val="1"/>
      <w:marLeft w:val="0"/>
      <w:marRight w:val="0"/>
      <w:marTop w:val="0"/>
      <w:marBottom w:val="0"/>
      <w:divBdr>
        <w:top w:val="none" w:sz="0" w:space="0" w:color="auto"/>
        <w:left w:val="none" w:sz="0" w:space="0" w:color="auto"/>
        <w:bottom w:val="none" w:sz="0" w:space="0" w:color="auto"/>
        <w:right w:val="none" w:sz="0" w:space="0" w:color="auto"/>
      </w:divBdr>
    </w:div>
    <w:div w:id="1124931528">
      <w:bodyDiv w:val="1"/>
      <w:marLeft w:val="0"/>
      <w:marRight w:val="0"/>
      <w:marTop w:val="0"/>
      <w:marBottom w:val="0"/>
      <w:divBdr>
        <w:top w:val="none" w:sz="0" w:space="0" w:color="auto"/>
        <w:left w:val="none" w:sz="0" w:space="0" w:color="auto"/>
        <w:bottom w:val="none" w:sz="0" w:space="0" w:color="auto"/>
        <w:right w:val="none" w:sz="0" w:space="0" w:color="auto"/>
      </w:divBdr>
    </w:div>
    <w:div w:id="1177574220">
      <w:bodyDiv w:val="1"/>
      <w:marLeft w:val="0"/>
      <w:marRight w:val="0"/>
      <w:marTop w:val="0"/>
      <w:marBottom w:val="0"/>
      <w:divBdr>
        <w:top w:val="none" w:sz="0" w:space="0" w:color="auto"/>
        <w:left w:val="none" w:sz="0" w:space="0" w:color="auto"/>
        <w:bottom w:val="none" w:sz="0" w:space="0" w:color="auto"/>
        <w:right w:val="none" w:sz="0" w:space="0" w:color="auto"/>
      </w:divBdr>
    </w:div>
    <w:div w:id="1235361267">
      <w:bodyDiv w:val="1"/>
      <w:marLeft w:val="0"/>
      <w:marRight w:val="0"/>
      <w:marTop w:val="0"/>
      <w:marBottom w:val="0"/>
      <w:divBdr>
        <w:top w:val="none" w:sz="0" w:space="0" w:color="auto"/>
        <w:left w:val="none" w:sz="0" w:space="0" w:color="auto"/>
        <w:bottom w:val="none" w:sz="0" w:space="0" w:color="auto"/>
        <w:right w:val="none" w:sz="0" w:space="0" w:color="auto"/>
      </w:divBdr>
    </w:div>
    <w:div w:id="1446803094">
      <w:bodyDiv w:val="1"/>
      <w:marLeft w:val="0"/>
      <w:marRight w:val="0"/>
      <w:marTop w:val="0"/>
      <w:marBottom w:val="0"/>
      <w:divBdr>
        <w:top w:val="none" w:sz="0" w:space="0" w:color="auto"/>
        <w:left w:val="none" w:sz="0" w:space="0" w:color="auto"/>
        <w:bottom w:val="none" w:sz="0" w:space="0" w:color="auto"/>
        <w:right w:val="none" w:sz="0" w:space="0" w:color="auto"/>
      </w:divBdr>
    </w:div>
    <w:div w:id="1601135357">
      <w:bodyDiv w:val="1"/>
      <w:marLeft w:val="0"/>
      <w:marRight w:val="0"/>
      <w:marTop w:val="0"/>
      <w:marBottom w:val="0"/>
      <w:divBdr>
        <w:top w:val="none" w:sz="0" w:space="0" w:color="auto"/>
        <w:left w:val="none" w:sz="0" w:space="0" w:color="auto"/>
        <w:bottom w:val="none" w:sz="0" w:space="0" w:color="auto"/>
        <w:right w:val="none" w:sz="0" w:space="0" w:color="auto"/>
      </w:divBdr>
    </w:div>
    <w:div w:id="1620185090">
      <w:bodyDiv w:val="1"/>
      <w:marLeft w:val="0"/>
      <w:marRight w:val="0"/>
      <w:marTop w:val="0"/>
      <w:marBottom w:val="0"/>
      <w:divBdr>
        <w:top w:val="none" w:sz="0" w:space="0" w:color="auto"/>
        <w:left w:val="none" w:sz="0" w:space="0" w:color="auto"/>
        <w:bottom w:val="none" w:sz="0" w:space="0" w:color="auto"/>
        <w:right w:val="none" w:sz="0" w:space="0" w:color="auto"/>
      </w:divBdr>
    </w:div>
    <w:div w:id="1802068318">
      <w:bodyDiv w:val="1"/>
      <w:marLeft w:val="0"/>
      <w:marRight w:val="0"/>
      <w:marTop w:val="0"/>
      <w:marBottom w:val="0"/>
      <w:divBdr>
        <w:top w:val="none" w:sz="0" w:space="0" w:color="auto"/>
        <w:left w:val="none" w:sz="0" w:space="0" w:color="auto"/>
        <w:bottom w:val="none" w:sz="0" w:space="0" w:color="auto"/>
        <w:right w:val="none" w:sz="0" w:space="0" w:color="auto"/>
      </w:divBdr>
    </w:div>
    <w:div w:id="2064060946">
      <w:bodyDiv w:val="1"/>
      <w:marLeft w:val="0"/>
      <w:marRight w:val="0"/>
      <w:marTop w:val="0"/>
      <w:marBottom w:val="0"/>
      <w:divBdr>
        <w:top w:val="none" w:sz="0" w:space="0" w:color="auto"/>
        <w:left w:val="none" w:sz="0" w:space="0" w:color="auto"/>
        <w:bottom w:val="none" w:sz="0" w:space="0" w:color="auto"/>
        <w:right w:val="none" w:sz="0" w:space="0" w:color="auto"/>
      </w:divBdr>
    </w:div>
    <w:div w:id="206609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183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Jennifer Estefany Millan Flores</cp:lastModifiedBy>
  <cp:revision>21</cp:revision>
  <cp:lastPrinted>2022-02-28T18:40:00Z</cp:lastPrinted>
  <dcterms:created xsi:type="dcterms:W3CDTF">2019-07-30T17:18:00Z</dcterms:created>
  <dcterms:modified xsi:type="dcterms:W3CDTF">2022-04-25T20:57:00Z</dcterms:modified>
</cp:coreProperties>
</file>