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7A" w:rsidRDefault="0036637A"/>
    <w:p w:rsidR="00C92E27" w:rsidRDefault="00C92E27" w:rsidP="00C92E2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Indicadores de Resultados</w:t>
      </w:r>
    </w:p>
    <w:p w:rsidR="00C92E27" w:rsidRDefault="005C46F5" w:rsidP="00C92E2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2022</w:t>
      </w:r>
    </w:p>
    <w:p w:rsidR="00C92E27" w:rsidRDefault="00C92E27" w:rsidP="00C92E2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:rsidR="00C92E27" w:rsidRDefault="00C92E27" w:rsidP="00C92E2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C92E27" w:rsidRDefault="00C92E27" w:rsidP="00C92E27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  INSTITUTO DE MOVILIDAD Y DESARROLLO URBANO TERRITORIAL</w:t>
      </w:r>
    </w:p>
    <w:p w:rsidR="0036637A" w:rsidRDefault="0036637A"/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1883"/>
        <w:gridCol w:w="1159"/>
        <w:gridCol w:w="1339"/>
        <w:gridCol w:w="2082"/>
        <w:gridCol w:w="2090"/>
        <w:gridCol w:w="1384"/>
        <w:gridCol w:w="1711"/>
      </w:tblGrid>
      <w:tr w:rsidR="00911712" w:rsidRPr="00911712" w:rsidTr="008D6AA7">
        <w:trPr>
          <w:trHeight w:val="1147"/>
        </w:trPr>
        <w:tc>
          <w:tcPr>
            <w:tcW w:w="658" w:type="pct"/>
            <w:shd w:val="clear" w:color="969696" w:fill="969696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NIVEL DEL INDICADOR</w:t>
            </w:r>
          </w:p>
        </w:tc>
        <w:tc>
          <w:tcPr>
            <w:tcW w:w="702" w:type="pct"/>
            <w:shd w:val="clear" w:color="969696" w:fill="969696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NIVEL DEL INDICADOR</w:t>
            </w:r>
          </w:p>
        </w:tc>
        <w:tc>
          <w:tcPr>
            <w:tcW w:w="432" w:type="pct"/>
            <w:shd w:val="clear" w:color="969696" w:fill="969696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SE REPORTA CADA:</w:t>
            </w:r>
          </w:p>
        </w:tc>
        <w:tc>
          <w:tcPr>
            <w:tcW w:w="499" w:type="pct"/>
            <w:shd w:val="clear" w:color="969696" w:fill="969696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# INDICADOR</w:t>
            </w:r>
          </w:p>
        </w:tc>
        <w:tc>
          <w:tcPr>
            <w:tcW w:w="776" w:type="pct"/>
            <w:shd w:val="clear" w:color="969696" w:fill="969696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INDICADORES</w:t>
            </w:r>
          </w:p>
        </w:tc>
        <w:tc>
          <w:tcPr>
            <w:tcW w:w="779" w:type="pct"/>
            <w:shd w:val="clear" w:color="969696" w:fill="969696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LINEA BASE 2022</w:t>
            </w:r>
          </w:p>
        </w:tc>
        <w:tc>
          <w:tcPr>
            <w:tcW w:w="516" w:type="pct"/>
            <w:shd w:val="clear" w:color="969696" w:fill="969696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TRIMESTRE I</w:t>
            </w:r>
          </w:p>
        </w:tc>
        <w:tc>
          <w:tcPr>
            <w:tcW w:w="638" w:type="pct"/>
            <w:shd w:val="clear" w:color="969696" w:fill="969696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META ESTABLECIDA PARA 2022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PP 515 - Modernización del Sistema de Transporte Público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FIN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Año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Lugar de Yucatán en la tasa de transporte público por cada 10 mil vehículos en circulación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19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PROPÓSITO DE PROGRAMA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Año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unidades con verificación físico-mecánica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13.88%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24.36%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unidades transporte público verificadas</w:t>
            </w:r>
          </w:p>
        </w:tc>
        <w:tc>
          <w:tcPr>
            <w:tcW w:w="779" w:type="pct"/>
            <w:shd w:val="clear" w:color="FFFFFF" w:fill="FFFFFF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684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1,200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unidades de transporte público</w:t>
            </w:r>
          </w:p>
        </w:tc>
        <w:tc>
          <w:tcPr>
            <w:tcW w:w="779" w:type="pct"/>
            <w:shd w:val="clear" w:color="FFFFFF" w:fill="FFFFFF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4,927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4,927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PROPÓSITO DE PROGRAMA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Año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20411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población usuaria de transporte público satisfecha con las condiciones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99.77%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99.52%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usuarios de transporte público satisfechos con el servicio de transporte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732,338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730,461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usuarios de transporte público en el Estado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734,011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734,011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COMPONENTE 1</w:t>
            </w:r>
          </w:p>
        </w:tc>
        <w:tc>
          <w:tcPr>
            <w:tcW w:w="432" w:type="pct"/>
            <w:vMerge w:val="restar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20414</w:t>
            </w:r>
          </w:p>
        </w:tc>
        <w:tc>
          <w:tcPr>
            <w:tcW w:w="77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reingeniería de rutas de transporte elaboradas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17.24%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reingenierías de transporte realizadas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138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reingenierías de transporte programadas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145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138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432" w:type="pct"/>
            <w:vMerge w:val="restar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20417</w:t>
            </w:r>
          </w:p>
        </w:tc>
        <w:tc>
          <w:tcPr>
            <w:tcW w:w="77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estudios de aforo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7.50%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estudios de aforo realizados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138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estudios de aforo programados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138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432" w:type="pct"/>
            <w:vMerge w:val="restar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20419</w:t>
            </w:r>
          </w:p>
        </w:tc>
        <w:tc>
          <w:tcPr>
            <w:tcW w:w="77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diagnósticos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diagnósticos de rutas realizados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138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diagnósticos de rutas programados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43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138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COMPONENTE 2</w:t>
            </w:r>
          </w:p>
        </w:tc>
        <w:tc>
          <w:tcPr>
            <w:tcW w:w="432" w:type="pct"/>
            <w:vMerge w:val="restar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20422</w:t>
            </w:r>
          </w:p>
        </w:tc>
        <w:tc>
          <w:tcPr>
            <w:tcW w:w="77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unidades modernizadas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87.69%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12.31%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unidades de transporte público modernizadas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1,140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160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unidades de transporte público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1,300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1,300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432" w:type="pct"/>
            <w:vMerge w:val="restar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20423</w:t>
            </w:r>
          </w:p>
        </w:tc>
        <w:tc>
          <w:tcPr>
            <w:tcW w:w="77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medios tecnológicos implementados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87.69%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12.31%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unidades de transporte público con medios tecnológicos implementados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1,140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160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unidades de transporte público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1,300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1,300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432" w:type="pct"/>
            <w:vMerge w:val="restar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20427</w:t>
            </w:r>
          </w:p>
        </w:tc>
        <w:tc>
          <w:tcPr>
            <w:tcW w:w="77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unidades monitoreadas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87.69%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unidades de transporte público monitoreadas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1,140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1,300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unidades de transporte público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1,300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1,300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COMPONENTE 3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20430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unidades de transporte público que cumplen con la normatividad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98.39%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unidades de transporte público que cumplen con la normativa</w:t>
            </w:r>
          </w:p>
        </w:tc>
        <w:tc>
          <w:tcPr>
            <w:tcW w:w="779" w:type="pct"/>
            <w:shd w:val="clear" w:color="FFFFFF" w:fill="FFFFFF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10,449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10,620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unidades de transporte público</w:t>
            </w:r>
          </w:p>
        </w:tc>
        <w:tc>
          <w:tcPr>
            <w:tcW w:w="779" w:type="pct"/>
            <w:shd w:val="clear" w:color="FFFFFF" w:fill="FFFFFF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10,620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10,620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20434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puntos de inspección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78.92%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puntos de inspección definidos</w:t>
            </w:r>
          </w:p>
        </w:tc>
        <w:tc>
          <w:tcPr>
            <w:tcW w:w="779" w:type="pct"/>
            <w:shd w:val="clear" w:color="FFFFFF" w:fill="FFFFFF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3,220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3,500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puntos de inspección programados</w:t>
            </w:r>
          </w:p>
        </w:tc>
        <w:tc>
          <w:tcPr>
            <w:tcW w:w="779" w:type="pct"/>
            <w:shd w:val="clear" w:color="FFFFFF" w:fill="FFFFFF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4,080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3,500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20437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reportes de inspección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96.43%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reportes de inspección realizadas</w:t>
            </w:r>
          </w:p>
        </w:tc>
        <w:tc>
          <w:tcPr>
            <w:tcW w:w="779" w:type="pct"/>
            <w:shd w:val="clear" w:color="FFFFFF" w:fill="FFFFFF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810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840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reportes de inspección programados</w:t>
            </w:r>
          </w:p>
        </w:tc>
        <w:tc>
          <w:tcPr>
            <w:tcW w:w="779" w:type="pct"/>
            <w:shd w:val="clear" w:color="FFFFFF" w:fill="FFFFFF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840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840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COMPONENTE 4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20441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instrumentos actualizados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50.00%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instrumentos jurídicos actualizados</w:t>
            </w:r>
          </w:p>
        </w:tc>
        <w:tc>
          <w:tcPr>
            <w:tcW w:w="779" w:type="pct"/>
            <w:shd w:val="clear" w:color="auto" w:fill="auto"/>
            <w:vAlign w:val="bottom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instrumentos jurídicos existentes</w:t>
            </w:r>
          </w:p>
        </w:tc>
        <w:tc>
          <w:tcPr>
            <w:tcW w:w="779" w:type="pct"/>
            <w:shd w:val="clear" w:color="auto" w:fill="auto"/>
            <w:vAlign w:val="bottom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20445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leyes y reglamentos revisadas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50.00%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leyes y reglamentos revisados</w:t>
            </w:r>
          </w:p>
        </w:tc>
        <w:tc>
          <w:tcPr>
            <w:tcW w:w="779" w:type="pct"/>
            <w:shd w:val="clear" w:color="auto" w:fill="auto"/>
            <w:vAlign w:val="bottom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leyes y reglamentos existentes</w:t>
            </w:r>
          </w:p>
        </w:tc>
        <w:tc>
          <w:tcPr>
            <w:tcW w:w="779" w:type="pct"/>
            <w:shd w:val="clear" w:color="auto" w:fill="auto"/>
            <w:vAlign w:val="bottom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20452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leyes y reglamentos realizadas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50.00%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50.00%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leyes y reglamentos modificadas</w:t>
            </w:r>
          </w:p>
        </w:tc>
        <w:tc>
          <w:tcPr>
            <w:tcW w:w="779" w:type="pct"/>
            <w:shd w:val="clear" w:color="auto" w:fill="auto"/>
            <w:vAlign w:val="bottom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leyes y reglamentos existentes</w:t>
            </w:r>
          </w:p>
        </w:tc>
        <w:tc>
          <w:tcPr>
            <w:tcW w:w="779" w:type="pct"/>
            <w:shd w:val="clear" w:color="auto" w:fill="auto"/>
            <w:vAlign w:val="bottom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COMPONENTE 5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20454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operadores capacitados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operadores capacitados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2,404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operadores de transporte público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2,404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2,404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20459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planes de capacitación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planes de capacitación elaborados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planes de capacitación programados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20463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registros de asistencia de operadores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operadores registrados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2,404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operadores de transporte público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2,404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2,404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22155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funcionarios capacitados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funcionarios del Instituto de Movilidad y Desarrollo Urbano Territorial capacitados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213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214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funcionarios del Instituto de Movilidad y Desarrollo Urbano Territorial en nómina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213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214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COMPONENTE 6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20465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atención ciudadana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66.92%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solicitudes y quejas ciudadanas atendidas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1,673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2,400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solicitudes y quejas ciudadanas recibidas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2,500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2,400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20468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protocolos de atención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66.67%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protocolos de atención elaborados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3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protocolos de atención programados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3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20469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capacitación a operadores telefónicos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capacitación a operadores telefónicos impartida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8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capacitación a operadores telefónicos programadas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8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 xml:space="preserve">COMPONENTE 7 </w:t>
            </w: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br/>
              <w:t xml:space="preserve">(La dependencia responsable [IIPEDEY] no proporcionó la </w:t>
            </w: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lastRenderedPageBreak/>
              <w:t>información de los indicadores para 2022)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lastRenderedPageBreak/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22198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personas con discapacidad motriz que recibieron el servicio de traslado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N/D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personas que reciben el apoyo del programa Transporte público en la modalidad de Taxi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personas que solicitan el apoyo del programa Transporte público en la modalidad de Taxi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22199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Porcentaje de personas con solicitud aceptada en el programa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N/D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personas con solicitud que cumplen con los requisitos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personas con solicitud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22200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Porcentaje de personas con solicitud y constancia de aceptación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N/D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personas con discapacidad motriz que cumplen los requisitos y cuentan con constancia de aceptación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personas con solicitudes recibidas que cumplen con los requisitos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COMPONENTE 8 (Este componente y sus actividades no aplican para 2022)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22210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Porcentaje de personas que trabajan en instituciones</w:t>
            </w: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br/>
              <w:t xml:space="preserve"> hospitalarias que recibieron el apoyo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personas que reciben el apoyo en especie o económico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personas que solicitan el apoyo en especie o económico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</w:tr>
      <w:tr w:rsidR="00911712" w:rsidRPr="00911712" w:rsidTr="008D6AA7">
        <w:trPr>
          <w:trHeight w:val="1319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22211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Promedio de interesados por institución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</w:tr>
      <w:tr w:rsidR="00911712" w:rsidRPr="00911712" w:rsidTr="008D6AA7">
        <w:trPr>
          <w:trHeight w:val="1319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personas interesadas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</w:tr>
      <w:tr w:rsidR="00911712" w:rsidRPr="00911712" w:rsidTr="008D6AA7">
        <w:trPr>
          <w:trHeight w:val="1319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instituciones hospitalarias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22209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beneficiarios seleccionados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personas beneficiarias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personas interesadas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</w:tr>
      <w:tr w:rsidR="00911712" w:rsidRPr="00911712" w:rsidTr="008D6AA7">
        <w:trPr>
          <w:trHeight w:val="1147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COMPONENTE 9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22300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Promedio de importe pagado por kilómetro recorrido de autobús convencional del servicio de transporte de pasajeros público a concesionarios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1.86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1.86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Importe total pagado a concesionarios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#############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 xml:space="preserve"> $  255,000,000.00 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kilómetros recorridos por lo concesionarios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137,023,100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137,023,100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22301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 xml:space="preserve">Porcentaje de operadores del servicio de transporte público </w:t>
            </w:r>
            <w:proofErr w:type="spellStart"/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sleccionados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100.00%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operadores del servicios de transporte público seleccionados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54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54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54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operadores del servicio de transporte público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54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54</w:t>
            </w:r>
          </w:p>
        </w:tc>
      </w:tr>
      <w:tr w:rsidR="00911712" w:rsidRPr="00911712" w:rsidTr="008D6AA7">
        <w:trPr>
          <w:trHeight w:val="1147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22302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unidades de autobús convencional del servicio de transporte de pasajeros público monitoreados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87.77%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88.85%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unidades de autobús convencional del servicio de transporte de pasajeros público monitoreados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1,141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1,155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1,300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 xml:space="preserve">Total de unidades de autobús convencional del servicio de transporte de pasajeros público 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1,300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1,300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PP 427 - Desarrollo Urbano y Ordenamiento Territorial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FIN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Dos años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20096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municipios con actividades de planeación urbana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42.9%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46.4%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con planeación urbana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46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49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del Estado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PROPÓSITO DE PROGRAMA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Año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20097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Índice de desarrollo urbano próspero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67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68</w:t>
            </w:r>
          </w:p>
        </w:tc>
      </w:tr>
      <w:tr w:rsidR="00911712" w:rsidRPr="00911712" w:rsidTr="008D6AA7">
        <w:trPr>
          <w:trHeight w:val="1147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COMPONENTE 1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Año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20098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nuevos o actualizados instrumentos normativos para el ordenamiento territorial y planeación urbana con participación ciudadana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N/D</w:t>
            </w:r>
          </w:p>
        </w:tc>
      </w:tr>
      <w:tr w:rsidR="00911712" w:rsidRPr="00911712" w:rsidTr="008D6AA7">
        <w:trPr>
          <w:trHeight w:val="145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instrumentos normativos nuevos o actualizados en materia urbanística vigentes que incluyeron mecanismos de participación ciudadana en su elaboración y/o consulta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instrumentos normativos nuevos o actualizados en materia urbanística que entraron en vigor (vigentes)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100</w:t>
            </w:r>
          </w:p>
        </w:tc>
      </w:tr>
      <w:tr w:rsidR="00911712" w:rsidRPr="00911712" w:rsidTr="008D6AA7">
        <w:trPr>
          <w:trHeight w:val="1147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Año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20099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municipios con planes o programas de ordenamiento territorial y/o desarrollo urbano actualizados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11.32%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12.26%</w:t>
            </w:r>
          </w:p>
        </w:tc>
      </w:tr>
      <w:tr w:rsidR="00911712" w:rsidRPr="00911712" w:rsidTr="008D6AA7">
        <w:trPr>
          <w:trHeight w:val="1090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con planes o programas de ordenamiento territorial y/o desarrollo urbano vigentes a nivel regional, metropolitano o municipal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13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en el estado de Yucatán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A1C1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20100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anteproyectos de leyes o reglamentos en materia urbanística elaborados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anteproyectos de leyes o reglamentos elaborados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anteproyectos de leyes o reglamentos programados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</w:tr>
      <w:tr w:rsidR="00911712" w:rsidRPr="00911712" w:rsidTr="008D6AA7">
        <w:trPr>
          <w:trHeight w:val="1147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A2C1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20101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anteproyectos de instrumentos de ordenamiento territorial o planeación urbana elaborados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anteproyectos de planes o programas elaborados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anteproyectos de planes o programas programados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</w:t>
            </w:r>
          </w:p>
        </w:tc>
      </w:tr>
      <w:tr w:rsidR="00911712" w:rsidRPr="00911712" w:rsidTr="008D6AA7">
        <w:trPr>
          <w:trHeight w:val="1147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A3C1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20103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instrumentos normativos para el ordenamiento territorial y planeación urbana vigentes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iniciativas que entraron en vigor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iniciativas gestionadas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COMPONENTE 2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20104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municipios con actividades de promoción urbana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3.77%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beneficiarios de actividades de promoción urbana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en el estado de Yucatán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A1C2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20105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municipios con funcionarios públicos capacitados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2.83%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6.60%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con funcionarios públicos capacitados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en el estado de Yucatán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A2C2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20106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sesiones en consejos realizadas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2.83%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con sesiones realizadas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3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en el estado de Yucatán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A3C2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20107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 xml:space="preserve">Porcentaje de usuarios satisfechos con los espacios de </w:t>
            </w: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lastRenderedPageBreak/>
              <w:t>infraestructura social administrados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lastRenderedPageBreak/>
              <w:t>N/D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15.44%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84.90%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usuarios solicitantes satisfechos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46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253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usuarios solicitantes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298</w:t>
            </w:r>
          </w:p>
        </w:tc>
      </w:tr>
      <w:tr w:rsidR="00911712" w:rsidRPr="00911712" w:rsidTr="008D6AA7">
        <w:trPr>
          <w:trHeight w:val="1147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COMPONENTE 3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Año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20108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población beneficiaria por planes o proyectos estratégicos de desarrollo urbano implementados o construidos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911712" w:rsidRPr="00911712" w:rsidTr="008D6AA7">
        <w:trPr>
          <w:trHeight w:val="1090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habitantes de Yucatán beneficiarios de planes o proyectos estratégicos de desarrollo urbano implementados o construidos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habitantes en el estado de Yucatán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N/D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2,259,098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A1C3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20109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estudios técnicos elaborados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estudios técnicos elaborados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estudios técnicos programados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A2C3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20110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planes y/o proyectos estratégicos elaborados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planes y proyectos estratégicos elaborados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planes y proyectos estratégicos programados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A3C3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20111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acciones de desarrollo urbano con gestión de fondos para su financiamiento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acciones gestionadas con asignación de recursos económicos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acciones con gestión de fondos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COMPONENTE 4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20112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municipios con información urbana y territorial actualizada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10.38%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11.32%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que cuentan con paquete básico de información urbana y territorial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12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en el estado de Yucatán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  <w:tc>
          <w:tcPr>
            <w:tcW w:w="516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A1C4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20113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municipios con cartografía urbana actualizada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7.55%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11.32%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con cartas urbanas actualizadas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12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en el estado de Yucatán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A2C4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20114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documentos elaborados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41.67%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documentos técnicos elaborados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documentos técnicos programados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A3C4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20116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acciones de difusión realizadas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acciones de difusión realizadas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8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acciones de difusión programadas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8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lastRenderedPageBreak/>
              <w:t>PP 516 - Fortalecimiento a la Movilidad Sustentable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FIN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Año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20080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Índice de Movilidad Urbana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53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58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PROPÓSITO DE PROGRAMA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Año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20081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Índice de alternativas óptimas de movilidad en el Estado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9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COMPONENTE 1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20082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municipios con planes y programas de movilidad sustentable realizados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0.94%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1.89%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con planes y programas realizados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del Estado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A1C1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20087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planes elaborados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planes elaborados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planes programados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A2C1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20088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programas elaborados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programas elaborados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programas programados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COMPONENTE 2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20084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municipios con estudios técnicos realizados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1.89%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2.83%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con estudios técnicos realizados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3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del Estado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A1C2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20089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municipios con diagnósticos realizados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0.94%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0.94%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1.89%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con diagnósticos realizados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del Estado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A2C2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20091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municipios con digitalización e integración de bases de datos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0.94%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0.94%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1.89%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con digitalización e integración de bases de datos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del Estado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COMPONENTE 3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20085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proyectos de infraestructura realizados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proyectos de infraestructura realizados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6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proyectos de infraestructura programados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6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A1C3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20093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levantamientos arquitectónicos y topográficos realizados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20.00%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levantamientos urbano arquitectónicos y topográficos realizados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5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levantamientos urbano arquitectónicos y topográficos programados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5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A2C3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20094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anteproyectos realizados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175.00%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42.86%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anteproyectos de infraestructura realizados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7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anteproyectos de infraestructura programados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7</w:t>
            </w:r>
          </w:p>
        </w:tc>
      </w:tr>
      <w:tr w:rsidR="00911712" w:rsidRPr="00911712" w:rsidTr="008D6AA7">
        <w:trPr>
          <w:trHeight w:val="1147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COMPONENTE 4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Semestre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20086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municipios con actividades de promoción de la cultura de movilidad sustentable implementado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10.38%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11.32%</w:t>
            </w:r>
          </w:p>
        </w:tc>
      </w:tr>
      <w:tr w:rsidR="00911712" w:rsidRPr="00911712" w:rsidTr="008D6AA7">
        <w:trPr>
          <w:trHeight w:val="726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con actividades de promoción realizadas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12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municipios del Estado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106</w:t>
            </w:r>
          </w:p>
        </w:tc>
      </w:tr>
      <w:tr w:rsidR="00911712" w:rsidRPr="00911712" w:rsidTr="008D6AA7">
        <w:trPr>
          <w:trHeight w:val="381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A1C4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20095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campañas y difusión implementados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25.00%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campañas y difusión realizados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campañas y difusión programados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</w:t>
            </w:r>
          </w:p>
        </w:tc>
      </w:tr>
      <w:tr w:rsidR="00911712" w:rsidRPr="00911712" w:rsidTr="008D6AA7">
        <w:trPr>
          <w:trHeight w:val="764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 w:val="restart"/>
            <w:shd w:val="clear" w:color="auto" w:fill="auto"/>
            <w:noWrap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ACTIVIDAD A2C4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Trimestre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20115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Porcentaje de difusión en plataformas digitales realizado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difusión en plataformas digitales realizados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5</w:t>
            </w:r>
          </w:p>
        </w:tc>
      </w:tr>
      <w:tr w:rsidR="00911712" w:rsidRPr="00911712" w:rsidTr="008D6AA7">
        <w:trPr>
          <w:trHeight w:val="362"/>
        </w:trPr>
        <w:tc>
          <w:tcPr>
            <w:tcW w:w="658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de difusión en plataformas digitales programados</w:t>
            </w:r>
          </w:p>
        </w:tc>
        <w:tc>
          <w:tcPr>
            <w:tcW w:w="779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8" w:type="pct"/>
            <w:shd w:val="clear" w:color="FFFFFF" w:fill="FFFFFF"/>
            <w:vAlign w:val="center"/>
            <w:hideMark/>
          </w:tcPr>
          <w:p w:rsidR="0036637A" w:rsidRPr="00911712" w:rsidRDefault="0036637A" w:rsidP="0036637A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911712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5</w:t>
            </w:r>
          </w:p>
        </w:tc>
      </w:tr>
    </w:tbl>
    <w:p w:rsidR="0036637A" w:rsidRDefault="0036637A"/>
    <w:tbl>
      <w:tblPr>
        <w:tblW w:w="13396" w:type="dxa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1313"/>
        <w:gridCol w:w="1313"/>
        <w:gridCol w:w="1102"/>
        <w:gridCol w:w="1304"/>
      </w:tblGrid>
      <w:tr w:rsidR="0036637A" w:rsidTr="008D6AA7">
        <w:trPr>
          <w:trHeight w:val="933"/>
        </w:trPr>
        <w:tc>
          <w:tcPr>
            <w:tcW w:w="8364" w:type="dxa"/>
            <w:shd w:val="clear" w:color="auto" w:fill="auto"/>
            <w:vAlign w:val="bottom"/>
          </w:tcPr>
          <w:p w:rsidR="0036637A" w:rsidRDefault="0036637A" w:rsidP="0046588C">
            <w:pPr>
              <w:spacing w:after="0" w:line="240" w:lineRule="auto"/>
            </w:pPr>
            <w:r>
              <w:rPr>
                <w:rFonts w:ascii="Eras Light ITC" w:eastAsia="Times New Roman" w:hAnsi="Eras Light ITC" w:cs="Eras Light ITC"/>
                <w:b/>
                <w:bCs/>
                <w:color w:val="000000"/>
                <w:lang w:eastAsia="es-MX"/>
              </w:rPr>
              <w:t>NOTA</w:t>
            </w:r>
            <w:r>
              <w:rPr>
                <w:rFonts w:ascii="Eras Light ITC" w:eastAsia="Times New Roman" w:hAnsi="Eras Light ITC" w:cs="Eras Light ITC"/>
                <w:color w:val="000000"/>
                <w:lang w:eastAsia="es-MX"/>
              </w:rPr>
              <w:t>: En caso de que no se cuente con el dato para indicador con periodicidad trimestral, por falta de disposición de la información, capturar el valor -999, con este valor se indica que la información se encuentra no disponible, y en el reporte de SAF aparecerá con un ND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36637A" w:rsidRDefault="0036637A" w:rsidP="0046588C">
            <w:pPr>
              <w:snapToGrid w:val="0"/>
              <w:spacing w:after="0" w:line="240" w:lineRule="auto"/>
              <w:rPr>
                <w:rFonts w:ascii="Eras Light ITC" w:eastAsia="Times New Roman" w:hAnsi="Eras Light ITC" w:cs="Eras Light ITC"/>
                <w:color w:val="000000"/>
                <w:lang w:eastAsia="es-MX"/>
              </w:rPr>
            </w:pPr>
          </w:p>
        </w:tc>
        <w:tc>
          <w:tcPr>
            <w:tcW w:w="1313" w:type="dxa"/>
            <w:shd w:val="clear" w:color="auto" w:fill="auto"/>
            <w:vAlign w:val="bottom"/>
          </w:tcPr>
          <w:p w:rsidR="0036637A" w:rsidRDefault="0036637A" w:rsidP="0046588C">
            <w:pPr>
              <w:snapToGrid w:val="0"/>
              <w:spacing w:after="0" w:line="240" w:lineRule="auto"/>
              <w:rPr>
                <w:rFonts w:ascii="Eras Light ITC" w:eastAsia="Times New Roman" w:hAnsi="Eras Light ITC" w:cs="Eras Light ITC"/>
                <w:color w:val="000000"/>
                <w:lang w:eastAsia="es-MX"/>
              </w:rPr>
            </w:pPr>
          </w:p>
        </w:tc>
        <w:tc>
          <w:tcPr>
            <w:tcW w:w="1102" w:type="dxa"/>
            <w:shd w:val="clear" w:color="auto" w:fill="auto"/>
            <w:vAlign w:val="bottom"/>
          </w:tcPr>
          <w:p w:rsidR="0036637A" w:rsidRDefault="0036637A" w:rsidP="0046588C">
            <w:pPr>
              <w:snapToGrid w:val="0"/>
              <w:spacing w:after="0" w:line="240" w:lineRule="auto"/>
              <w:rPr>
                <w:rFonts w:ascii="Eras Light ITC" w:eastAsia="Times New Roman" w:hAnsi="Eras Light ITC" w:cs="Eras Light ITC"/>
                <w:color w:val="000000"/>
                <w:lang w:eastAsia="es-MX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6637A" w:rsidRDefault="0036637A" w:rsidP="0046588C">
            <w:pPr>
              <w:snapToGrid w:val="0"/>
              <w:spacing w:after="0" w:line="240" w:lineRule="auto"/>
              <w:jc w:val="center"/>
              <w:rPr>
                <w:rFonts w:ascii="Eras Light ITC" w:eastAsia="Times New Roman" w:hAnsi="Eras Light ITC" w:cs="Eras Light ITC"/>
                <w:color w:val="000000"/>
                <w:lang w:eastAsia="es-MX"/>
              </w:rPr>
            </w:pPr>
          </w:p>
        </w:tc>
      </w:tr>
    </w:tbl>
    <w:p w:rsidR="008D6AA7" w:rsidRDefault="008D6AA7" w:rsidP="00C92E27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  </w:t>
      </w:r>
    </w:p>
    <w:p w:rsidR="008D6AA7" w:rsidRDefault="008D6AA7" w:rsidP="00C92E27">
      <w:pPr>
        <w:spacing w:line="240" w:lineRule="auto"/>
        <w:rPr>
          <w:rFonts w:ascii="Barlow" w:hAnsi="Barlow" w:cs="Arial"/>
          <w:sz w:val="20"/>
          <w:szCs w:val="20"/>
        </w:rPr>
      </w:pPr>
      <w:bookmarkStart w:id="0" w:name="_GoBack"/>
      <w:bookmarkEnd w:id="0"/>
    </w:p>
    <w:p w:rsidR="008D6AA7" w:rsidRDefault="008D6AA7" w:rsidP="00C92E27">
      <w:pPr>
        <w:spacing w:line="240" w:lineRule="auto"/>
        <w:rPr>
          <w:rFonts w:ascii="Barlow" w:hAnsi="Barlow" w:cs="Arial"/>
          <w:sz w:val="20"/>
          <w:szCs w:val="20"/>
        </w:rPr>
      </w:pPr>
    </w:p>
    <w:p w:rsidR="00C92E27" w:rsidRDefault="00C92E27" w:rsidP="00C92E27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emisor.</w:t>
      </w:r>
    </w:p>
    <w:p w:rsidR="002C79EC" w:rsidRDefault="002C79EC" w:rsidP="002C79EC">
      <w:pPr>
        <w:pStyle w:val="Piedepgina"/>
      </w:pPr>
    </w:p>
    <w:p w:rsidR="0036637A" w:rsidRDefault="0036637A"/>
    <w:sectPr w:rsidR="0036637A" w:rsidSect="008D6AA7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Times New Roman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7A"/>
    <w:rsid w:val="002C79EC"/>
    <w:rsid w:val="0036637A"/>
    <w:rsid w:val="004F650C"/>
    <w:rsid w:val="005C46F5"/>
    <w:rsid w:val="008D6AA7"/>
    <w:rsid w:val="00911712"/>
    <w:rsid w:val="00C9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FC613-C283-4EC9-A9BB-27C89B30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6637A"/>
    <w:rPr>
      <w:color w:val="1155CC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6637A"/>
    <w:rPr>
      <w:color w:val="1155CC"/>
      <w:u w:val="single"/>
    </w:rPr>
  </w:style>
  <w:style w:type="paragraph" w:customStyle="1" w:styleId="msonormal0">
    <w:name w:val="msonormal"/>
    <w:basedOn w:val="Normal"/>
    <w:rsid w:val="0036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36637A"/>
    <w:pPr>
      <w:pBdr>
        <w:top w:val="single" w:sz="4" w:space="0" w:color="000000"/>
        <w:right w:val="single" w:sz="4" w:space="0" w:color="000000"/>
      </w:pBdr>
      <w:shd w:val="clear" w:color="969696" w:fill="969696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66">
    <w:name w:val="xl66"/>
    <w:basedOn w:val="Normal"/>
    <w:rsid w:val="0036637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969696" w:fill="969696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67">
    <w:name w:val="xl67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969696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68">
    <w:name w:val="xl68"/>
    <w:basedOn w:val="Normal"/>
    <w:rsid w:val="0036637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69">
    <w:name w:val="xl69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70">
    <w:name w:val="xl70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71">
    <w:name w:val="xl71"/>
    <w:basedOn w:val="Normal"/>
    <w:rsid w:val="0036637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72">
    <w:name w:val="xl72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73">
    <w:name w:val="xl73"/>
    <w:basedOn w:val="Normal"/>
    <w:rsid w:val="0036637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74">
    <w:name w:val="xl74"/>
    <w:basedOn w:val="Normal"/>
    <w:rsid w:val="0036637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75">
    <w:name w:val="xl75"/>
    <w:basedOn w:val="Normal"/>
    <w:rsid w:val="0036637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76">
    <w:name w:val="xl76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77">
    <w:name w:val="xl77"/>
    <w:basedOn w:val="Normal"/>
    <w:rsid w:val="0036637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78">
    <w:name w:val="xl78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79">
    <w:name w:val="xl79"/>
    <w:basedOn w:val="Normal"/>
    <w:rsid w:val="0036637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80">
    <w:name w:val="xl80"/>
    <w:basedOn w:val="Normal"/>
    <w:rsid w:val="0036637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81">
    <w:name w:val="xl81"/>
    <w:basedOn w:val="Normal"/>
    <w:rsid w:val="0036637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82">
    <w:name w:val="xl82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83">
    <w:name w:val="xl83"/>
    <w:basedOn w:val="Normal"/>
    <w:rsid w:val="0036637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84">
    <w:name w:val="xl84"/>
    <w:basedOn w:val="Normal"/>
    <w:rsid w:val="0036637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85">
    <w:name w:val="xl85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86">
    <w:name w:val="xl86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87">
    <w:name w:val="xl87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color w:val="000000"/>
      <w:lang w:eastAsia="es-MX"/>
    </w:rPr>
  </w:style>
  <w:style w:type="paragraph" w:customStyle="1" w:styleId="xl88">
    <w:name w:val="xl88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lang w:eastAsia="es-MX"/>
    </w:rPr>
  </w:style>
  <w:style w:type="paragraph" w:customStyle="1" w:styleId="xl89">
    <w:name w:val="xl89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lang w:eastAsia="es-MX"/>
    </w:rPr>
  </w:style>
  <w:style w:type="paragraph" w:customStyle="1" w:styleId="xl90">
    <w:name w:val="xl90"/>
    <w:basedOn w:val="Normal"/>
    <w:rsid w:val="0036637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lang w:eastAsia="es-MX"/>
    </w:rPr>
  </w:style>
  <w:style w:type="paragraph" w:customStyle="1" w:styleId="xl91">
    <w:name w:val="xl91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lang w:eastAsia="es-MX"/>
    </w:rPr>
  </w:style>
  <w:style w:type="paragraph" w:customStyle="1" w:styleId="xl92">
    <w:name w:val="xl92"/>
    <w:basedOn w:val="Normal"/>
    <w:rsid w:val="0036637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color w:val="000000"/>
      <w:lang w:eastAsia="es-MX"/>
    </w:rPr>
  </w:style>
  <w:style w:type="paragraph" w:customStyle="1" w:styleId="xl93">
    <w:name w:val="xl93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color w:val="000000"/>
      <w:lang w:eastAsia="es-MX"/>
    </w:rPr>
  </w:style>
  <w:style w:type="paragraph" w:customStyle="1" w:styleId="xl94">
    <w:name w:val="xl94"/>
    <w:basedOn w:val="Normal"/>
    <w:rsid w:val="0036637A"/>
    <w:pPr>
      <w:spacing w:before="100" w:beforeAutospacing="1" w:after="100" w:afterAutospacing="1" w:line="240" w:lineRule="auto"/>
    </w:pPr>
    <w:rPr>
      <w:rFonts w:ascii="Barlow" w:eastAsia="Times New Roman" w:hAnsi="Barlow" w:cs="Times New Roman"/>
      <w:lang w:eastAsia="es-MX"/>
    </w:rPr>
  </w:style>
  <w:style w:type="paragraph" w:customStyle="1" w:styleId="xl95">
    <w:name w:val="xl95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96">
    <w:name w:val="xl96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Barlow" w:eastAsia="Times New Roman" w:hAnsi="Barlow" w:cs="Times New Roman"/>
      <w:lang w:eastAsia="es-MX"/>
    </w:rPr>
  </w:style>
  <w:style w:type="paragraph" w:customStyle="1" w:styleId="xl97">
    <w:name w:val="xl97"/>
    <w:basedOn w:val="Normal"/>
    <w:rsid w:val="0036637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Barlow" w:eastAsia="Times New Roman" w:hAnsi="Barlow" w:cs="Times New Roman"/>
      <w:lang w:eastAsia="es-MX"/>
    </w:rPr>
  </w:style>
  <w:style w:type="paragraph" w:customStyle="1" w:styleId="xl98">
    <w:name w:val="xl98"/>
    <w:basedOn w:val="Normal"/>
    <w:rsid w:val="0036637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Barlow" w:eastAsia="Times New Roman" w:hAnsi="Barlow" w:cs="Times New Roman"/>
      <w:lang w:eastAsia="es-MX"/>
    </w:rPr>
  </w:style>
  <w:style w:type="paragraph" w:customStyle="1" w:styleId="xl99">
    <w:name w:val="xl99"/>
    <w:basedOn w:val="Normal"/>
    <w:rsid w:val="0036637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Barlow" w:eastAsia="Times New Roman" w:hAnsi="Barlow" w:cs="Times New Roman"/>
      <w:lang w:eastAsia="es-MX"/>
    </w:rPr>
  </w:style>
  <w:style w:type="paragraph" w:customStyle="1" w:styleId="xl100">
    <w:name w:val="xl100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lang w:eastAsia="es-MX"/>
    </w:rPr>
  </w:style>
  <w:style w:type="paragraph" w:customStyle="1" w:styleId="xl101">
    <w:name w:val="xl101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lang w:eastAsia="es-MX"/>
    </w:rPr>
  </w:style>
  <w:style w:type="paragraph" w:customStyle="1" w:styleId="xl102">
    <w:name w:val="xl102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103">
    <w:name w:val="xl103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104">
    <w:name w:val="xl104"/>
    <w:basedOn w:val="Normal"/>
    <w:rsid w:val="0036637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105">
    <w:name w:val="xl105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106">
    <w:name w:val="xl106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color w:val="BFBFBF"/>
      <w:lang w:eastAsia="es-MX"/>
    </w:rPr>
  </w:style>
  <w:style w:type="paragraph" w:customStyle="1" w:styleId="xl107">
    <w:name w:val="xl107"/>
    <w:basedOn w:val="Normal"/>
    <w:rsid w:val="0036637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color w:val="BFBFBF"/>
      <w:lang w:eastAsia="es-MX"/>
    </w:rPr>
  </w:style>
  <w:style w:type="paragraph" w:customStyle="1" w:styleId="xl108">
    <w:name w:val="xl108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BFBFBF"/>
      <w:lang w:eastAsia="es-MX"/>
    </w:rPr>
  </w:style>
  <w:style w:type="paragraph" w:customStyle="1" w:styleId="xl109">
    <w:name w:val="xl109"/>
    <w:basedOn w:val="Normal"/>
    <w:rsid w:val="0036637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BFBFBF"/>
      <w:lang w:eastAsia="es-MX"/>
    </w:rPr>
  </w:style>
  <w:style w:type="paragraph" w:customStyle="1" w:styleId="xl110">
    <w:name w:val="xl110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color w:val="BFBFBF"/>
      <w:lang w:eastAsia="es-MX"/>
    </w:rPr>
  </w:style>
  <w:style w:type="paragraph" w:customStyle="1" w:styleId="xl111">
    <w:name w:val="xl111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112">
    <w:name w:val="xl112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113">
    <w:name w:val="xl113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114">
    <w:name w:val="xl114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115">
    <w:name w:val="xl115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116">
    <w:name w:val="xl116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117">
    <w:name w:val="xl117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118">
    <w:name w:val="xl118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119">
    <w:name w:val="xl119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120">
    <w:name w:val="xl120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121">
    <w:name w:val="xl121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122">
    <w:name w:val="xl122"/>
    <w:basedOn w:val="Normal"/>
    <w:rsid w:val="0036637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123">
    <w:name w:val="xl123"/>
    <w:basedOn w:val="Normal"/>
    <w:rsid w:val="003663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color w:val="000000"/>
      <w:lang w:eastAsia="es-MX"/>
    </w:rPr>
  </w:style>
  <w:style w:type="paragraph" w:customStyle="1" w:styleId="xl124">
    <w:name w:val="xl124"/>
    <w:basedOn w:val="Normal"/>
    <w:rsid w:val="00366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color w:val="000000"/>
      <w:lang w:eastAsia="es-MX"/>
    </w:rPr>
  </w:style>
  <w:style w:type="paragraph" w:customStyle="1" w:styleId="xl125">
    <w:name w:val="xl125"/>
    <w:basedOn w:val="Normal"/>
    <w:rsid w:val="00366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lang w:eastAsia="es-MX"/>
    </w:rPr>
  </w:style>
  <w:style w:type="paragraph" w:customStyle="1" w:styleId="xl126">
    <w:name w:val="xl126"/>
    <w:basedOn w:val="Normal"/>
    <w:rsid w:val="00366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color w:val="000000"/>
      <w:lang w:eastAsia="es-MX"/>
    </w:rPr>
  </w:style>
  <w:style w:type="paragraph" w:customStyle="1" w:styleId="xl127">
    <w:name w:val="xl127"/>
    <w:basedOn w:val="Normal"/>
    <w:rsid w:val="00366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lang w:eastAsia="es-MX"/>
    </w:rPr>
  </w:style>
  <w:style w:type="paragraph" w:customStyle="1" w:styleId="xl128">
    <w:name w:val="xl128"/>
    <w:basedOn w:val="Normal"/>
    <w:rsid w:val="00366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129">
    <w:name w:val="xl129"/>
    <w:basedOn w:val="Normal"/>
    <w:rsid w:val="0036637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130">
    <w:name w:val="xl130"/>
    <w:basedOn w:val="Normal"/>
    <w:rsid w:val="0036637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131">
    <w:name w:val="xl131"/>
    <w:basedOn w:val="Normal"/>
    <w:rsid w:val="0036637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132">
    <w:name w:val="xl132"/>
    <w:basedOn w:val="Normal"/>
    <w:rsid w:val="0036637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color w:val="000000"/>
      <w:lang w:eastAsia="es-MX"/>
    </w:rPr>
  </w:style>
  <w:style w:type="paragraph" w:customStyle="1" w:styleId="xl133">
    <w:name w:val="xl133"/>
    <w:basedOn w:val="Normal"/>
    <w:rsid w:val="0036637A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color w:val="000000"/>
      <w:lang w:eastAsia="es-MX"/>
    </w:rPr>
  </w:style>
  <w:style w:type="paragraph" w:customStyle="1" w:styleId="xl134">
    <w:name w:val="xl134"/>
    <w:basedOn w:val="Normal"/>
    <w:rsid w:val="0036637A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color w:val="000000"/>
      <w:lang w:eastAsia="es-MX"/>
    </w:rPr>
  </w:style>
  <w:style w:type="paragraph" w:customStyle="1" w:styleId="xl135">
    <w:name w:val="xl135"/>
    <w:basedOn w:val="Normal"/>
    <w:rsid w:val="0036637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136">
    <w:name w:val="xl136"/>
    <w:basedOn w:val="Normal"/>
    <w:rsid w:val="0036637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Barlow" w:eastAsia="Times New Roman" w:hAnsi="Barlow" w:cs="Times New Roman"/>
      <w:lang w:eastAsia="es-MX"/>
    </w:rPr>
  </w:style>
  <w:style w:type="paragraph" w:customStyle="1" w:styleId="xl137">
    <w:name w:val="xl137"/>
    <w:basedOn w:val="Normal"/>
    <w:rsid w:val="0036637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138">
    <w:name w:val="xl138"/>
    <w:basedOn w:val="Normal"/>
    <w:rsid w:val="0036637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Barlow" w:eastAsia="Times New Roman" w:hAnsi="Barlow" w:cs="Times New Roman"/>
      <w:lang w:eastAsia="es-MX"/>
    </w:rPr>
  </w:style>
  <w:style w:type="paragraph" w:customStyle="1" w:styleId="xl139">
    <w:name w:val="xl139"/>
    <w:basedOn w:val="Normal"/>
    <w:rsid w:val="0036637A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140">
    <w:name w:val="xl140"/>
    <w:basedOn w:val="Normal"/>
    <w:rsid w:val="0036637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Barlow" w:eastAsia="Times New Roman" w:hAnsi="Barlow" w:cs="Times New Roman"/>
      <w:lang w:eastAsia="es-MX"/>
    </w:rPr>
  </w:style>
  <w:style w:type="paragraph" w:customStyle="1" w:styleId="xl141">
    <w:name w:val="xl141"/>
    <w:basedOn w:val="Normal"/>
    <w:rsid w:val="0036637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Barlow" w:eastAsia="Times New Roman" w:hAnsi="Barlow" w:cs="Times New Roman"/>
      <w:lang w:eastAsia="es-MX"/>
    </w:rPr>
  </w:style>
  <w:style w:type="paragraph" w:customStyle="1" w:styleId="xl142">
    <w:name w:val="xl142"/>
    <w:basedOn w:val="Normal"/>
    <w:rsid w:val="0036637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143">
    <w:name w:val="xl143"/>
    <w:basedOn w:val="Normal"/>
    <w:rsid w:val="0036637A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144">
    <w:name w:val="xl144"/>
    <w:basedOn w:val="Normal"/>
    <w:rsid w:val="00366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145">
    <w:name w:val="xl145"/>
    <w:basedOn w:val="Normal"/>
    <w:rsid w:val="0036637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146">
    <w:name w:val="xl146"/>
    <w:basedOn w:val="Normal"/>
    <w:rsid w:val="0036637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147">
    <w:name w:val="xl147"/>
    <w:basedOn w:val="Normal"/>
    <w:rsid w:val="0036637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lang w:eastAsia="es-MX"/>
    </w:rPr>
  </w:style>
  <w:style w:type="paragraph" w:customStyle="1" w:styleId="xl148">
    <w:name w:val="xl148"/>
    <w:basedOn w:val="Normal"/>
    <w:rsid w:val="0036637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149">
    <w:name w:val="xl149"/>
    <w:basedOn w:val="Normal"/>
    <w:rsid w:val="0036637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150">
    <w:name w:val="xl150"/>
    <w:basedOn w:val="Normal"/>
    <w:rsid w:val="0036637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Barlow" w:eastAsia="Times New Roman" w:hAnsi="Barlow" w:cs="Times New Roman"/>
      <w:b/>
      <w:bCs/>
      <w:lang w:eastAsia="es-MX"/>
    </w:rPr>
  </w:style>
  <w:style w:type="paragraph" w:customStyle="1" w:styleId="xl151">
    <w:name w:val="xl151"/>
    <w:basedOn w:val="Normal"/>
    <w:rsid w:val="0036637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lang w:eastAsia="es-MX"/>
    </w:rPr>
  </w:style>
  <w:style w:type="paragraph" w:customStyle="1" w:styleId="xl152">
    <w:name w:val="xl152"/>
    <w:basedOn w:val="Normal"/>
    <w:rsid w:val="0036637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color w:val="BFBFBF"/>
      <w:lang w:eastAsia="es-MX"/>
    </w:rPr>
  </w:style>
  <w:style w:type="paragraph" w:customStyle="1" w:styleId="xl153">
    <w:name w:val="xl153"/>
    <w:basedOn w:val="Normal"/>
    <w:rsid w:val="0036637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Barlow" w:eastAsia="Times New Roman" w:hAnsi="Barlow" w:cs="Times New Roman"/>
      <w:color w:val="BFBFBF"/>
      <w:lang w:eastAsia="es-MX"/>
    </w:rPr>
  </w:style>
  <w:style w:type="paragraph" w:customStyle="1" w:styleId="xl154">
    <w:name w:val="xl154"/>
    <w:basedOn w:val="Normal"/>
    <w:rsid w:val="0036637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Barlow" w:eastAsia="Times New Roman" w:hAnsi="Barlow" w:cs="Times New Roman"/>
      <w:color w:val="BFBFBF"/>
      <w:lang w:eastAsia="es-MX"/>
    </w:rPr>
  </w:style>
  <w:style w:type="paragraph" w:customStyle="1" w:styleId="xl155">
    <w:name w:val="xl155"/>
    <w:basedOn w:val="Normal"/>
    <w:rsid w:val="0036637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BFBFBF"/>
      <w:lang w:eastAsia="es-MX"/>
    </w:rPr>
  </w:style>
  <w:style w:type="paragraph" w:customStyle="1" w:styleId="xl156">
    <w:name w:val="xl156"/>
    <w:basedOn w:val="Normal"/>
    <w:rsid w:val="0036637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lang w:eastAsia="es-MX"/>
    </w:rPr>
  </w:style>
  <w:style w:type="paragraph" w:customStyle="1" w:styleId="xl157">
    <w:name w:val="xl157"/>
    <w:basedOn w:val="Normal"/>
    <w:rsid w:val="0036637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lang w:eastAsia="es-MX"/>
    </w:rPr>
  </w:style>
  <w:style w:type="paragraph" w:customStyle="1" w:styleId="xl158">
    <w:name w:val="xl158"/>
    <w:basedOn w:val="Normal"/>
    <w:rsid w:val="0036637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b/>
      <w:bCs/>
      <w:color w:val="00000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C7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2489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Patricia Camacho Pinto</dc:creator>
  <cp:keywords/>
  <dc:description/>
  <cp:lastModifiedBy>Jennifer Estefany Millan Flores</cp:lastModifiedBy>
  <cp:revision>3</cp:revision>
  <dcterms:created xsi:type="dcterms:W3CDTF">2022-04-25T20:13:00Z</dcterms:created>
  <dcterms:modified xsi:type="dcterms:W3CDTF">2022-04-26T18:10:00Z</dcterms:modified>
</cp:coreProperties>
</file>